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b/>
          <w:bCs/>
          <w:color w:val="auto"/>
          <w:kern w:val="2"/>
          <w:sz w:val="28"/>
          <w:szCs w:val="28"/>
          <w:lang w:val="en-US" w:eastAsia="zh-CN" w:bidi="ar-SA"/>
        </w:rPr>
        <w:id w:val="147480898"/>
        <w15:color w:val="DBDBDB"/>
        <w:docPartObj>
          <w:docPartGallery w:val="Table of Contents"/>
          <w:docPartUnique/>
        </w:docPartObj>
      </w:sdtPr>
      <w:sdtEndPr>
        <w:rPr>
          <w:rFonts w:hint="eastAsia" w:ascii="Times New Roman" w:hAnsi="Times New Roman" w:eastAsia="宋体" w:cs="Times New Roman"/>
          <w:b/>
          <w:bCs/>
          <w:snapToGrid w:val="0"/>
          <w:color w:val="auto"/>
          <w:kern w:val="0"/>
          <w:sz w:val="24"/>
          <w:szCs w:val="24"/>
          <w:lang w:val="en-US" w:eastAsia="zh-CN" w:bidi="ar-SA"/>
        </w:rPr>
      </w:sdtEndPr>
      <w:sdtContent>
        <w:p w14:paraId="7D30FB07">
          <w:pPr>
            <w:keepNext w:val="0"/>
            <w:keepLines w:val="0"/>
            <w:pageBreakBefore w:val="0"/>
            <w:kinsoku/>
            <w:wordWrap/>
            <w:overflowPunct/>
            <w:topLinePunct w:val="0"/>
            <w:autoSpaceDE/>
            <w:autoSpaceDN/>
            <w:bidi w:val="0"/>
            <w:spacing w:before="0" w:beforeLines="0" w:after="0" w:afterLines="0" w:line="480" w:lineRule="auto"/>
            <w:ind w:left="0" w:leftChars="0" w:right="0" w:rightChars="0" w:firstLine="0" w:firstLineChars="0"/>
            <w:jc w:val="center"/>
            <w:textAlignment w:val="auto"/>
            <w:rPr>
              <w:rFonts w:ascii="Times New Roman" w:hAnsi="Times New Roman" w:eastAsia="宋体"/>
              <w:b/>
              <w:bCs/>
              <w:color w:val="auto"/>
              <w:sz w:val="28"/>
              <w:szCs w:val="28"/>
            </w:rPr>
          </w:pPr>
          <w:r>
            <w:rPr>
              <w:rFonts w:ascii="Times New Roman" w:hAnsi="Times New Roman" w:eastAsia="宋体"/>
              <w:b/>
              <w:bCs/>
              <w:color w:val="auto"/>
              <w:sz w:val="28"/>
              <w:szCs w:val="28"/>
            </w:rPr>
            <w:t>目</w:t>
          </w:r>
          <w:r>
            <w:rPr>
              <w:rFonts w:hint="eastAsia" w:ascii="Times New Roman" w:hAnsi="Times New Roman" w:eastAsia="宋体"/>
              <w:b/>
              <w:bCs/>
              <w:color w:val="auto"/>
              <w:sz w:val="28"/>
              <w:szCs w:val="28"/>
              <w:lang w:val="en-US" w:eastAsia="zh-CN"/>
            </w:rPr>
            <w:t xml:space="preserve">   </w:t>
          </w:r>
          <w:r>
            <w:rPr>
              <w:rFonts w:ascii="Times New Roman" w:hAnsi="Times New Roman" w:eastAsia="宋体"/>
              <w:b/>
              <w:bCs/>
              <w:color w:val="auto"/>
              <w:sz w:val="28"/>
              <w:szCs w:val="28"/>
            </w:rPr>
            <w:t>录</w:t>
          </w:r>
        </w:p>
        <w:p w14:paraId="742F27CA">
          <w:pPr>
            <w:pStyle w:val="71"/>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TOC \o "1-1" \h \u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_Toc32194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一、建设项目基本情况</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_Toc32194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1</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50443298">
          <w:pPr>
            <w:pStyle w:val="71"/>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_Toc8052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二、建设项目工程分析</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_Toc8052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40</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1A1611D7">
          <w:pPr>
            <w:pStyle w:val="71"/>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_Toc14047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三、区域环境质量现状、环境保护目标及评价标准</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_Toc14047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52</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3F07AA69">
          <w:pPr>
            <w:pStyle w:val="71"/>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_Toc25543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四、主要环境影响和保护措施</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_Toc25543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60</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215BCFDB">
          <w:pPr>
            <w:pStyle w:val="71"/>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_Toc16667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五、环境保护措施监督检查清单</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_Toc16667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96</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7AAF330A">
          <w:pPr>
            <w:pStyle w:val="71"/>
            <w:keepNext w:val="0"/>
            <w:keepLines w:val="0"/>
            <w:pageBreakBefore w:val="0"/>
            <w:tabs>
              <w:tab w:val="right" w:leader="dot" w:pos="8503"/>
            </w:tabs>
            <w:kinsoku/>
            <w:wordWrap/>
            <w:overflowPunct/>
            <w:topLinePunct w:val="0"/>
            <w:autoSpaceDE/>
            <w:autoSpaceDN/>
            <w:bidi w:val="0"/>
            <w:spacing w:line="480" w:lineRule="auto"/>
            <w:textAlignment w:val="auto"/>
            <w:rPr>
              <w:rFonts w:ascii="Times New Roman" w:hAnsi="Times New Roman" w:eastAsia="宋体"/>
              <w:b/>
              <w:bCs/>
              <w:color w:val="auto"/>
              <w:sz w:val="28"/>
              <w:szCs w:val="28"/>
            </w:rPr>
          </w:pPr>
          <w:r>
            <w:rPr>
              <w:rFonts w:hint="eastAsia" w:ascii="Times New Roman" w:hAnsi="Times New Roman" w:eastAsia="宋体"/>
              <w:b/>
              <w:bCs/>
              <w:snapToGrid w:val="0"/>
              <w:color w:val="auto"/>
              <w:sz w:val="28"/>
              <w:szCs w:val="28"/>
              <w:lang w:eastAsia="zh-CN"/>
            </w:rPr>
            <w:fldChar w:fldCharType="begin"/>
          </w:r>
          <w:r>
            <w:rPr>
              <w:rFonts w:hint="eastAsia" w:ascii="Times New Roman" w:hAnsi="Times New Roman" w:eastAsia="宋体"/>
              <w:b/>
              <w:bCs/>
              <w:snapToGrid w:val="0"/>
              <w:color w:val="auto"/>
              <w:sz w:val="28"/>
              <w:szCs w:val="28"/>
              <w:lang w:eastAsia="zh-CN"/>
            </w:rPr>
            <w:instrText xml:space="preserve"> HYPERLINK \l _Toc17659 </w:instrText>
          </w:r>
          <w:r>
            <w:rPr>
              <w:rFonts w:hint="eastAsia" w:ascii="Times New Roman" w:hAnsi="Times New Roman" w:eastAsia="宋体"/>
              <w:b/>
              <w:bCs/>
              <w:snapToGrid w:val="0"/>
              <w:color w:val="auto"/>
              <w:sz w:val="28"/>
              <w:szCs w:val="28"/>
              <w:lang w:eastAsia="zh-CN"/>
            </w:rPr>
            <w:fldChar w:fldCharType="separate"/>
          </w:r>
          <w:r>
            <w:rPr>
              <w:rFonts w:hint="eastAsia" w:ascii="Times New Roman" w:hAnsi="Times New Roman" w:eastAsia="宋体"/>
              <w:b/>
              <w:bCs/>
              <w:snapToGrid w:val="0"/>
              <w:color w:val="auto"/>
              <w:sz w:val="28"/>
              <w:szCs w:val="28"/>
            </w:rPr>
            <w:t>六、结论</w:t>
          </w:r>
          <w:r>
            <w:rPr>
              <w:rFonts w:ascii="Times New Roman" w:hAnsi="Times New Roman" w:eastAsia="宋体"/>
              <w:b/>
              <w:bCs/>
              <w:color w:val="auto"/>
              <w:sz w:val="28"/>
              <w:szCs w:val="28"/>
            </w:rPr>
            <w:tab/>
          </w:r>
          <w:r>
            <w:rPr>
              <w:rFonts w:ascii="Times New Roman" w:hAnsi="Times New Roman" w:eastAsia="宋体"/>
              <w:b/>
              <w:bCs/>
              <w:color w:val="auto"/>
              <w:sz w:val="28"/>
              <w:szCs w:val="28"/>
            </w:rPr>
            <w:fldChar w:fldCharType="begin"/>
          </w:r>
          <w:r>
            <w:rPr>
              <w:rFonts w:ascii="Times New Roman" w:hAnsi="Times New Roman" w:eastAsia="宋体"/>
              <w:b/>
              <w:bCs/>
              <w:color w:val="auto"/>
              <w:sz w:val="28"/>
              <w:szCs w:val="28"/>
            </w:rPr>
            <w:instrText xml:space="preserve"> PAGEREF _Toc17659 \h </w:instrText>
          </w:r>
          <w:r>
            <w:rPr>
              <w:rFonts w:ascii="Times New Roman" w:hAnsi="Times New Roman" w:eastAsia="宋体"/>
              <w:b/>
              <w:bCs/>
              <w:color w:val="auto"/>
              <w:sz w:val="28"/>
              <w:szCs w:val="28"/>
            </w:rPr>
            <w:fldChar w:fldCharType="separate"/>
          </w:r>
          <w:r>
            <w:rPr>
              <w:rFonts w:ascii="Times New Roman" w:hAnsi="Times New Roman" w:eastAsia="宋体"/>
              <w:b/>
              <w:bCs/>
              <w:color w:val="auto"/>
              <w:sz w:val="28"/>
              <w:szCs w:val="28"/>
            </w:rPr>
            <w:t>99</w:t>
          </w:r>
          <w:r>
            <w:rPr>
              <w:rFonts w:ascii="Times New Roman" w:hAnsi="Times New Roman" w:eastAsia="宋体"/>
              <w:b/>
              <w:bCs/>
              <w:color w:val="auto"/>
              <w:sz w:val="28"/>
              <w:szCs w:val="28"/>
            </w:rPr>
            <w:fldChar w:fldCharType="end"/>
          </w:r>
          <w:r>
            <w:rPr>
              <w:rFonts w:hint="eastAsia" w:ascii="Times New Roman" w:hAnsi="Times New Roman" w:eastAsia="宋体"/>
              <w:b/>
              <w:bCs/>
              <w:snapToGrid w:val="0"/>
              <w:color w:val="auto"/>
              <w:sz w:val="28"/>
              <w:szCs w:val="28"/>
              <w:lang w:eastAsia="zh-CN"/>
            </w:rPr>
            <w:fldChar w:fldCharType="end"/>
          </w:r>
        </w:p>
        <w:p w14:paraId="470CAD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left"/>
            <w:textAlignment w:val="auto"/>
            <w:outlineLvl w:val="9"/>
            <w:rPr>
              <w:rFonts w:hint="eastAsia" w:ascii="Times New Roman" w:hAnsi="Times New Roman" w:eastAsia="宋体"/>
              <w:snapToGrid w:val="0"/>
              <w:color w:val="auto"/>
              <w:szCs w:val="24"/>
              <w:lang w:eastAsia="zh-CN"/>
            </w:rPr>
          </w:pPr>
          <w:r>
            <w:rPr>
              <w:rFonts w:hint="eastAsia" w:ascii="Times New Roman" w:hAnsi="Times New Roman" w:eastAsia="宋体"/>
              <w:b/>
              <w:bCs/>
              <w:snapToGrid w:val="0"/>
              <w:color w:val="auto"/>
              <w:sz w:val="28"/>
              <w:szCs w:val="28"/>
              <w:lang w:eastAsia="zh-CN"/>
            </w:rPr>
            <w:fldChar w:fldCharType="end"/>
          </w:r>
        </w:p>
        <w:p w14:paraId="23A68A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9"/>
            <w:rPr>
              <w:rFonts w:hint="eastAsia" w:ascii="Times New Roman" w:hAnsi="Times New Roman" w:eastAsia="宋体"/>
              <w:snapToGrid w:val="0"/>
              <w:color w:val="auto"/>
              <w:szCs w:val="24"/>
              <w:lang w:eastAsia="zh-CN"/>
            </w:rPr>
          </w:pPr>
        </w:p>
        <w:p w14:paraId="5571E36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9"/>
            <w:rPr>
              <w:rFonts w:hint="eastAsia" w:ascii="Times New Roman" w:hAnsi="Times New Roman" w:eastAsia="宋体"/>
              <w:b/>
              <w:bCs/>
              <w:snapToGrid w:val="0"/>
              <w:color w:val="auto"/>
              <w:sz w:val="21"/>
              <w:szCs w:val="21"/>
              <w:lang w:eastAsia="zh-CN"/>
            </w:rPr>
          </w:pPr>
          <w:r>
            <w:rPr>
              <w:rFonts w:hint="eastAsia" w:ascii="Times New Roman" w:hAnsi="Times New Roman" w:eastAsia="宋体"/>
              <w:b/>
              <w:bCs/>
              <w:snapToGrid w:val="0"/>
              <w:color w:val="auto"/>
              <w:sz w:val="21"/>
              <w:szCs w:val="21"/>
              <w:lang w:eastAsia="zh-CN"/>
            </w:rPr>
            <w:t>附图：</w:t>
          </w:r>
        </w:p>
        <w:p w14:paraId="04F6470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附图1 云南省主体功能区划分总图；</w:t>
          </w:r>
        </w:p>
        <w:p w14:paraId="231B47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w:t>
          </w:r>
          <w:r>
            <w:rPr>
              <w:rFonts w:hint="eastAsia" w:ascii="Times New Roman" w:hAnsi="Times New Roman"/>
              <w:snapToGrid w:val="0"/>
              <w:color w:val="auto"/>
              <w:sz w:val="21"/>
              <w:szCs w:val="21"/>
              <w:lang w:val="en-US" w:eastAsia="zh-CN"/>
            </w:rPr>
            <w:t>2</w:t>
          </w:r>
          <w:r>
            <w:rPr>
              <w:rFonts w:hint="eastAsia" w:ascii="Times New Roman" w:hAnsi="Times New Roman" w:eastAsia="宋体"/>
              <w:snapToGrid w:val="0"/>
              <w:color w:val="auto"/>
              <w:sz w:val="21"/>
              <w:szCs w:val="21"/>
              <w:lang w:eastAsia="zh-CN"/>
            </w:rPr>
            <w:t xml:space="preserve"> 项目地理位置图；</w:t>
          </w:r>
          <w:bookmarkStart w:id="22" w:name="_GoBack"/>
          <w:bookmarkEnd w:id="22"/>
        </w:p>
        <w:p w14:paraId="6101C97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w:t>
          </w:r>
          <w:r>
            <w:rPr>
              <w:rFonts w:hint="eastAsia" w:ascii="Times New Roman" w:hAnsi="Times New Roman"/>
              <w:snapToGrid w:val="0"/>
              <w:color w:val="auto"/>
              <w:sz w:val="21"/>
              <w:szCs w:val="21"/>
              <w:lang w:val="en-US" w:eastAsia="zh-CN"/>
            </w:rPr>
            <w:t>3</w:t>
          </w:r>
          <w:r>
            <w:rPr>
              <w:rFonts w:hint="eastAsia" w:ascii="Times New Roman" w:hAnsi="Times New Roman" w:eastAsia="宋体"/>
              <w:snapToGrid w:val="0"/>
              <w:color w:val="auto"/>
              <w:sz w:val="21"/>
              <w:szCs w:val="21"/>
              <w:lang w:eastAsia="zh-CN"/>
            </w:rPr>
            <w:t xml:space="preserve"> 项目周边关系图；</w:t>
          </w:r>
        </w:p>
        <w:p w14:paraId="5A7ACC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w:t>
          </w:r>
          <w:r>
            <w:rPr>
              <w:rFonts w:hint="eastAsia" w:ascii="Times New Roman" w:hAnsi="Times New Roman"/>
              <w:snapToGrid w:val="0"/>
              <w:color w:val="auto"/>
              <w:sz w:val="21"/>
              <w:szCs w:val="21"/>
              <w:lang w:val="en-US" w:eastAsia="zh-CN"/>
            </w:rPr>
            <w:t>4</w:t>
          </w:r>
          <w:r>
            <w:rPr>
              <w:rFonts w:hint="eastAsia" w:ascii="Times New Roman" w:hAnsi="Times New Roman" w:eastAsia="宋体"/>
              <w:snapToGrid w:val="0"/>
              <w:color w:val="auto"/>
              <w:sz w:val="21"/>
              <w:szCs w:val="21"/>
              <w:lang w:eastAsia="zh-CN"/>
            </w:rPr>
            <w:t xml:space="preserve"> 项目平面布置图；</w:t>
          </w:r>
        </w:p>
        <w:p w14:paraId="1AA8B0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w:t>
          </w:r>
          <w:r>
            <w:rPr>
              <w:rFonts w:hint="eastAsia" w:ascii="Times New Roman" w:hAnsi="Times New Roman"/>
              <w:snapToGrid w:val="0"/>
              <w:color w:val="auto"/>
              <w:sz w:val="21"/>
              <w:szCs w:val="21"/>
              <w:lang w:val="en-US" w:eastAsia="zh-CN"/>
            </w:rPr>
            <w:t>5</w:t>
          </w:r>
          <w:r>
            <w:rPr>
              <w:rFonts w:hint="eastAsia" w:ascii="Times New Roman" w:hAnsi="Times New Roman" w:eastAsia="宋体"/>
              <w:snapToGrid w:val="0"/>
              <w:color w:val="auto"/>
              <w:sz w:val="21"/>
              <w:szCs w:val="21"/>
              <w:lang w:eastAsia="zh-CN"/>
            </w:rPr>
            <w:t xml:space="preserve"> 项目区域水系图；</w:t>
          </w:r>
        </w:p>
        <w:p w14:paraId="09A5FF2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附图</w:t>
          </w:r>
          <w:r>
            <w:rPr>
              <w:rFonts w:hint="eastAsia" w:ascii="Times New Roman" w:hAnsi="Times New Roman"/>
              <w:snapToGrid w:val="0"/>
              <w:color w:val="auto"/>
              <w:sz w:val="21"/>
              <w:szCs w:val="21"/>
              <w:lang w:val="en-US" w:eastAsia="zh-CN"/>
            </w:rPr>
            <w:t>6</w:t>
          </w:r>
          <w:r>
            <w:rPr>
              <w:rFonts w:hint="eastAsia" w:ascii="Times New Roman" w:hAnsi="Times New Roman" w:eastAsia="宋体"/>
              <w:snapToGrid w:val="0"/>
              <w:color w:val="auto"/>
              <w:sz w:val="21"/>
              <w:szCs w:val="21"/>
              <w:lang w:eastAsia="zh-CN"/>
            </w:rPr>
            <w:t xml:space="preserve"> 杞麓湖生态保护核心区生态保护缓冲区绿色发展区划定范围关系图；</w:t>
          </w:r>
        </w:p>
        <w:p w14:paraId="7DF1B5C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default" w:ascii="Times New Roman" w:hAnsi="Times New Roman" w:eastAsia="宋体"/>
              <w:snapToGrid w:val="0"/>
              <w:color w:val="auto"/>
              <w:sz w:val="21"/>
              <w:szCs w:val="21"/>
              <w:lang w:val="en-US" w:eastAsia="zh-CN"/>
            </w:rPr>
          </w:pPr>
          <w:r>
            <w:rPr>
              <w:rFonts w:hint="eastAsia" w:ascii="Times New Roman" w:hAnsi="Times New Roman" w:eastAsia="宋体"/>
              <w:snapToGrid w:val="0"/>
              <w:color w:val="auto"/>
              <w:sz w:val="21"/>
              <w:szCs w:val="21"/>
              <w:lang w:eastAsia="zh-CN"/>
            </w:rPr>
            <w:t>附图</w:t>
          </w:r>
          <w:r>
            <w:rPr>
              <w:rFonts w:hint="eastAsia" w:ascii="Times New Roman" w:hAnsi="Times New Roman"/>
              <w:snapToGrid w:val="0"/>
              <w:color w:val="auto"/>
              <w:sz w:val="21"/>
              <w:szCs w:val="21"/>
              <w:lang w:val="en-US" w:eastAsia="zh-CN"/>
            </w:rPr>
            <w:t>7</w:t>
          </w:r>
          <w:r>
            <w:rPr>
              <w:rFonts w:hint="eastAsia" w:ascii="Times New Roman" w:hAnsi="Times New Roman" w:eastAsia="宋体"/>
              <w:snapToGrid w:val="0"/>
              <w:color w:val="auto"/>
              <w:sz w:val="21"/>
              <w:szCs w:val="21"/>
              <w:lang w:eastAsia="zh-CN"/>
            </w:rPr>
            <w:t xml:space="preserve"> 项目与玉溪市通海县纳古镇北片区国土空间详细规划（2单元）关系图</w:t>
          </w:r>
          <w:r>
            <w:rPr>
              <w:rFonts w:hint="eastAsia" w:ascii="Times New Roman" w:hAnsi="Times New Roman" w:eastAsia="宋体"/>
              <w:snapToGrid w:val="0"/>
              <w:color w:val="auto"/>
              <w:sz w:val="21"/>
              <w:szCs w:val="21"/>
              <w:lang w:val="en-US" w:eastAsia="zh-CN"/>
            </w:rPr>
            <w:t>。</w:t>
          </w:r>
        </w:p>
        <w:p w14:paraId="21FF4AE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9"/>
            <w:rPr>
              <w:rFonts w:hint="eastAsia" w:ascii="Times New Roman" w:hAnsi="Times New Roman" w:eastAsia="宋体"/>
              <w:b/>
              <w:bCs/>
              <w:snapToGrid w:val="0"/>
              <w:color w:val="auto"/>
              <w:sz w:val="21"/>
              <w:szCs w:val="21"/>
              <w:lang w:eastAsia="zh-CN"/>
            </w:rPr>
          </w:pPr>
          <w:r>
            <w:rPr>
              <w:rFonts w:hint="eastAsia" w:ascii="Times New Roman" w:hAnsi="Times New Roman" w:eastAsia="宋体"/>
              <w:b/>
              <w:bCs/>
              <w:snapToGrid w:val="0"/>
              <w:color w:val="auto"/>
              <w:sz w:val="21"/>
              <w:szCs w:val="21"/>
              <w:lang w:eastAsia="zh-CN"/>
            </w:rPr>
            <w:t>附件：</w:t>
          </w:r>
        </w:p>
        <w:p w14:paraId="3EFA6EB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 委托书；</w:t>
          </w:r>
        </w:p>
        <w:p w14:paraId="33638C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附件2 项目投资备案证；</w:t>
          </w:r>
        </w:p>
        <w:p w14:paraId="02F7DEF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附件3 通海县纳古镇人民政府关于项目的选址</w:t>
          </w:r>
          <w:r>
            <w:rPr>
              <w:rFonts w:hint="eastAsia" w:ascii="Times New Roman" w:hAnsi="Times New Roman"/>
              <w:snapToGrid w:val="0"/>
              <w:color w:val="auto"/>
              <w:sz w:val="21"/>
              <w:szCs w:val="21"/>
              <w:lang w:eastAsia="zh-CN"/>
            </w:rPr>
            <w:t>请示</w:t>
          </w:r>
          <w:r>
            <w:rPr>
              <w:rFonts w:hint="eastAsia" w:ascii="Times New Roman" w:hAnsi="Times New Roman" w:eastAsia="宋体"/>
              <w:snapToGrid w:val="0"/>
              <w:color w:val="auto"/>
              <w:sz w:val="21"/>
              <w:szCs w:val="21"/>
              <w:lang w:eastAsia="zh-CN"/>
            </w:rPr>
            <w:t>；</w:t>
          </w:r>
        </w:p>
        <w:p w14:paraId="68975D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0" w:leftChars="200" w:hanging="630" w:hangingChars="300"/>
            <w:jc w:val="left"/>
            <w:textAlignment w:val="auto"/>
            <w:outlineLvl w:val="9"/>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eastAsia="宋体"/>
              <w:snapToGrid w:val="0"/>
              <w:color w:val="auto"/>
              <w:sz w:val="21"/>
              <w:szCs w:val="21"/>
              <w:lang w:val="en-US" w:eastAsia="zh-CN"/>
            </w:rPr>
            <w:t>4</w:t>
          </w:r>
          <w:r>
            <w:rPr>
              <w:rFonts w:hint="eastAsia" w:ascii="Times New Roman" w:hAnsi="Times New Roman" w:eastAsia="宋体"/>
              <w:snapToGrid w:val="0"/>
              <w:color w:val="auto"/>
              <w:sz w:val="21"/>
              <w:szCs w:val="21"/>
              <w:lang w:eastAsia="zh-CN"/>
            </w:rPr>
            <w:t xml:space="preserve"> </w:t>
          </w:r>
          <w:r>
            <w:rPr>
              <w:rFonts w:hint="eastAsia" w:ascii="Times New Roman" w:hAnsi="Times New Roman" w:eastAsia="宋体" w:cs="Times New Roman"/>
              <w:snapToGrid w:val="0"/>
              <w:color w:val="auto"/>
              <w:sz w:val="21"/>
              <w:szCs w:val="21"/>
              <w:lang w:val="en-US" w:eastAsia="zh-CN"/>
            </w:rPr>
            <w:t>通海县自然资源局出具的关于在编纳古镇北片区国土空间详细规划（2单元）中大白龙片区规划用途修改完善的回复</w:t>
          </w:r>
          <w:r>
            <w:rPr>
              <w:rFonts w:hint="eastAsia" w:ascii="Times New Roman" w:hAnsi="Times New Roman" w:eastAsia="宋体" w:cs="Times New Roman"/>
              <w:snapToGrid w:val="0"/>
              <w:color w:val="auto"/>
              <w:sz w:val="21"/>
              <w:szCs w:val="21"/>
              <w:lang w:eastAsia="zh-CN"/>
            </w:rPr>
            <w:t>；</w:t>
          </w:r>
        </w:p>
        <w:p w14:paraId="2417CB5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snapToGrid w:val="0"/>
              <w:color w:val="auto"/>
              <w:sz w:val="21"/>
              <w:szCs w:val="21"/>
              <w:lang w:val="en-US" w:eastAsia="zh-CN"/>
            </w:rPr>
            <w:t>5</w:t>
          </w:r>
          <w:r>
            <w:rPr>
              <w:rFonts w:hint="eastAsia" w:ascii="Times New Roman" w:hAnsi="Times New Roman" w:eastAsia="宋体"/>
              <w:snapToGrid w:val="0"/>
              <w:color w:val="auto"/>
              <w:sz w:val="21"/>
              <w:szCs w:val="21"/>
              <w:lang w:eastAsia="zh-CN"/>
            </w:rPr>
            <w:t xml:space="preserve"> 企业营业执照；</w:t>
          </w:r>
        </w:p>
        <w:p w14:paraId="7C60D1D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snapToGrid w:val="0"/>
              <w:color w:val="auto"/>
              <w:sz w:val="21"/>
              <w:szCs w:val="21"/>
              <w:lang w:val="en-US" w:eastAsia="zh-CN"/>
            </w:rPr>
            <w:t>6</w:t>
          </w:r>
          <w:r>
            <w:rPr>
              <w:rFonts w:hint="eastAsia" w:ascii="Times New Roman" w:hAnsi="Times New Roman" w:eastAsia="宋体"/>
              <w:snapToGrid w:val="0"/>
              <w:color w:val="auto"/>
              <w:sz w:val="21"/>
              <w:szCs w:val="21"/>
              <w:lang w:eastAsia="zh-CN"/>
            </w:rPr>
            <w:t xml:space="preserve"> 项目三区三线数据查询结果；</w:t>
          </w:r>
        </w:p>
        <w:p w14:paraId="11BF5F0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snapToGrid w:val="0"/>
              <w:color w:val="auto"/>
              <w:sz w:val="21"/>
              <w:szCs w:val="21"/>
              <w:lang w:val="en-US" w:eastAsia="zh-CN"/>
            </w:rPr>
            <w:t>7</w:t>
          </w:r>
          <w:r>
            <w:rPr>
              <w:rFonts w:hint="eastAsia" w:ascii="Times New Roman" w:hAnsi="Times New Roman" w:eastAsia="宋体"/>
              <w:snapToGrid w:val="0"/>
              <w:color w:val="auto"/>
              <w:sz w:val="21"/>
              <w:szCs w:val="21"/>
              <w:lang w:eastAsia="zh-CN"/>
            </w:rPr>
            <w:t xml:space="preserve"> 项目管控单元查询结果；</w:t>
          </w:r>
        </w:p>
        <w:p w14:paraId="6E20DA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snapToGrid w:val="0"/>
              <w:color w:val="auto"/>
              <w:sz w:val="21"/>
              <w:szCs w:val="21"/>
              <w:lang w:val="en-US" w:eastAsia="zh-CN"/>
            </w:rPr>
            <w:t>8</w:t>
          </w:r>
          <w:r>
            <w:rPr>
              <w:rFonts w:hint="eastAsia" w:ascii="Times New Roman" w:hAnsi="Times New Roman" w:eastAsia="宋体"/>
              <w:snapToGrid w:val="0"/>
              <w:color w:val="auto"/>
              <w:sz w:val="21"/>
              <w:szCs w:val="21"/>
              <w:lang w:eastAsia="zh-CN"/>
            </w:rPr>
            <w:t xml:space="preserve"> 杞麓湖管理局关于云南佳康型材有限公司年产</w:t>
          </w:r>
          <w:r>
            <w:rPr>
              <w:rFonts w:hint="eastAsia" w:ascii="Times New Roman" w:hAnsi="Times New Roman"/>
              <w:snapToGrid w:val="0"/>
              <w:color w:val="auto"/>
              <w:sz w:val="21"/>
              <w:szCs w:val="21"/>
              <w:lang w:val="en-US" w:eastAsia="zh-CN"/>
            </w:rPr>
            <w:t>20</w:t>
          </w:r>
          <w:r>
            <w:rPr>
              <w:rFonts w:hint="eastAsia" w:ascii="Times New Roman" w:hAnsi="Times New Roman" w:eastAsia="宋体"/>
              <w:snapToGrid w:val="0"/>
              <w:color w:val="auto"/>
              <w:sz w:val="21"/>
              <w:szCs w:val="21"/>
              <w:lang w:eastAsia="zh-CN"/>
            </w:rPr>
            <w:t>万吨焊管生产线项目的选址意见；</w:t>
          </w:r>
        </w:p>
        <w:p w14:paraId="59B170B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snapToGrid w:val="0"/>
              <w:color w:val="auto"/>
              <w:sz w:val="21"/>
              <w:szCs w:val="21"/>
              <w:lang w:val="en-US" w:eastAsia="zh-CN"/>
            </w:rPr>
            <w:t>9</w:t>
          </w:r>
          <w:r>
            <w:rPr>
              <w:rFonts w:hint="eastAsia" w:ascii="Times New Roman" w:hAnsi="Times New Roman" w:eastAsia="宋体"/>
              <w:snapToGrid w:val="0"/>
              <w:color w:val="auto"/>
              <w:sz w:val="21"/>
              <w:szCs w:val="21"/>
              <w:lang w:eastAsia="zh-CN"/>
            </w:rPr>
            <w:t xml:space="preserve"> 生活</w:t>
          </w:r>
          <w:r>
            <w:rPr>
              <w:rFonts w:hint="eastAsia" w:ascii="Times New Roman" w:hAnsi="Times New Roman"/>
              <w:snapToGrid w:val="0"/>
              <w:color w:val="auto"/>
              <w:sz w:val="21"/>
              <w:szCs w:val="21"/>
              <w:lang w:eastAsia="zh-CN"/>
            </w:rPr>
            <w:t>污水</w:t>
          </w:r>
          <w:r>
            <w:rPr>
              <w:rFonts w:hint="eastAsia" w:ascii="Times New Roman" w:hAnsi="Times New Roman" w:eastAsia="宋体"/>
              <w:snapToGrid w:val="0"/>
              <w:color w:val="auto"/>
              <w:sz w:val="21"/>
              <w:szCs w:val="21"/>
              <w:lang w:eastAsia="zh-CN"/>
            </w:rPr>
            <w:t>接纳申请；</w:t>
          </w:r>
        </w:p>
        <w:p w14:paraId="732E11A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w:t>
          </w:r>
          <w:r>
            <w:rPr>
              <w:rFonts w:hint="eastAsia" w:ascii="Times New Roman" w:hAnsi="Times New Roman"/>
              <w:snapToGrid w:val="0"/>
              <w:color w:val="auto"/>
              <w:sz w:val="21"/>
              <w:szCs w:val="21"/>
              <w:lang w:val="en-US" w:eastAsia="zh-CN"/>
            </w:rPr>
            <w:t>0</w:t>
          </w:r>
          <w:r>
            <w:rPr>
              <w:rFonts w:hint="eastAsia" w:ascii="Times New Roman" w:hAnsi="Times New Roman" w:eastAsia="宋体"/>
              <w:snapToGrid w:val="0"/>
              <w:color w:val="auto"/>
              <w:sz w:val="21"/>
              <w:szCs w:val="21"/>
              <w:lang w:eastAsia="zh-CN"/>
            </w:rPr>
            <w:t xml:space="preserve"> 项目工作进度表和三级审核单；</w:t>
          </w:r>
        </w:p>
        <w:p w14:paraId="7B75AE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snapToGrid w:val="0"/>
              <w:color w:val="auto"/>
              <w:sz w:val="21"/>
              <w:szCs w:val="21"/>
              <w:lang w:val="en-US" w:eastAsia="zh-CN"/>
            </w:rPr>
            <w:t>11</w:t>
          </w:r>
          <w:r>
            <w:rPr>
              <w:rFonts w:hint="eastAsia" w:ascii="Times New Roman" w:hAnsi="Times New Roman" w:eastAsia="宋体"/>
              <w:snapToGrid w:val="0"/>
              <w:color w:val="auto"/>
              <w:sz w:val="21"/>
              <w:szCs w:val="21"/>
              <w:lang w:eastAsia="zh-CN"/>
            </w:rPr>
            <w:t xml:space="preserve"> 环评合同；</w:t>
          </w:r>
        </w:p>
        <w:p w14:paraId="5C604D9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w:t>
          </w:r>
          <w:r>
            <w:rPr>
              <w:rFonts w:hint="eastAsia" w:ascii="Times New Roman" w:hAnsi="Times New Roman" w:eastAsia="宋体"/>
              <w:snapToGrid w:val="0"/>
              <w:color w:val="auto"/>
              <w:sz w:val="21"/>
              <w:szCs w:val="21"/>
              <w:lang w:val="en-US" w:eastAsia="zh-CN"/>
            </w:rPr>
            <w:t>1</w:t>
          </w:r>
          <w:r>
            <w:rPr>
              <w:rFonts w:hint="eastAsia" w:ascii="Times New Roman" w:hAnsi="Times New Roman"/>
              <w:snapToGrid w:val="0"/>
              <w:color w:val="auto"/>
              <w:sz w:val="21"/>
              <w:szCs w:val="21"/>
              <w:lang w:val="en-US" w:eastAsia="zh-CN"/>
            </w:rPr>
            <w:t>2</w:t>
          </w:r>
          <w:r>
            <w:rPr>
              <w:rFonts w:hint="eastAsia" w:ascii="Times New Roman" w:hAnsi="Times New Roman" w:eastAsia="宋体"/>
              <w:snapToGrid w:val="0"/>
              <w:color w:val="auto"/>
              <w:sz w:val="21"/>
              <w:szCs w:val="21"/>
              <w:lang w:eastAsia="zh-CN"/>
            </w:rPr>
            <w:t xml:space="preserve"> 专家评审意见及签到表；</w:t>
          </w:r>
        </w:p>
        <w:p w14:paraId="22C4A98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r>
            <w:rPr>
              <w:rFonts w:hint="eastAsia" w:ascii="Times New Roman" w:hAnsi="Times New Roman" w:eastAsia="宋体"/>
              <w:snapToGrid w:val="0"/>
              <w:color w:val="auto"/>
              <w:sz w:val="21"/>
              <w:szCs w:val="21"/>
              <w:lang w:eastAsia="zh-CN"/>
            </w:rPr>
            <w:t>附件1</w:t>
          </w:r>
          <w:r>
            <w:rPr>
              <w:rFonts w:hint="eastAsia" w:ascii="Times New Roman" w:hAnsi="Times New Roman"/>
              <w:snapToGrid w:val="0"/>
              <w:color w:val="auto"/>
              <w:sz w:val="21"/>
              <w:szCs w:val="21"/>
              <w:lang w:val="en-US" w:eastAsia="zh-CN"/>
            </w:rPr>
            <w:t>3</w:t>
          </w:r>
          <w:r>
            <w:rPr>
              <w:rFonts w:hint="eastAsia" w:ascii="Times New Roman" w:hAnsi="Times New Roman" w:eastAsia="宋体"/>
              <w:snapToGrid w:val="0"/>
              <w:color w:val="auto"/>
              <w:sz w:val="21"/>
              <w:szCs w:val="21"/>
              <w:lang w:eastAsia="zh-CN"/>
            </w:rPr>
            <w:t xml:space="preserve"> 修改清单</w:t>
          </w:r>
          <w:r>
            <w:rPr>
              <w:rFonts w:hint="eastAsia" w:ascii="Times New Roman" w:hAnsi="Times New Roman" w:eastAsia="宋体"/>
              <w:snapToGrid w:val="0"/>
              <w:color w:val="auto"/>
              <w:sz w:val="21"/>
              <w:szCs w:val="21"/>
              <w:lang w:val="en-US" w:eastAsia="zh-CN"/>
            </w:rPr>
            <w:t>。</w:t>
          </w:r>
        </w:p>
        <w:p w14:paraId="5987C66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left"/>
            <w:textAlignment w:val="auto"/>
            <w:outlineLvl w:val="9"/>
            <w:rPr>
              <w:rFonts w:hint="eastAsia" w:ascii="Times New Roman" w:hAnsi="Times New Roman" w:eastAsia="宋体"/>
              <w:snapToGrid w:val="0"/>
              <w:color w:val="auto"/>
              <w:sz w:val="21"/>
              <w:szCs w:val="21"/>
              <w:lang w:eastAsia="zh-CN"/>
            </w:rPr>
          </w:pPr>
        </w:p>
        <w:p w14:paraId="3751BBE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9"/>
            <w:rPr>
              <w:rFonts w:hint="eastAsia" w:ascii="Times New Roman" w:hAnsi="Times New Roman" w:eastAsia="宋体"/>
              <w:snapToGrid w:val="0"/>
              <w:color w:val="auto"/>
              <w:szCs w:val="24"/>
              <w:lang w:eastAsia="zh-CN"/>
            </w:rPr>
          </w:pPr>
        </w:p>
        <w:p w14:paraId="4CD1741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outlineLvl w:val="9"/>
            <w:rPr>
              <w:rFonts w:hint="eastAsia" w:ascii="Times New Roman" w:hAnsi="Times New Roman" w:eastAsia="宋体"/>
              <w:snapToGrid w:val="0"/>
              <w:color w:val="auto"/>
              <w:sz w:val="24"/>
              <w:szCs w:val="24"/>
              <w:lang w:eastAsia="zh-CN"/>
            </w:rPr>
          </w:pPr>
        </w:p>
      </w:sdtContent>
    </w:sdt>
    <w:p w14:paraId="0F1F6649">
      <w:pPr>
        <w:pStyle w:val="19"/>
        <w:adjustRightInd w:val="0"/>
        <w:snapToGrid w:val="0"/>
        <w:spacing w:before="0" w:beforeAutospacing="0" w:after="0" w:afterAutospacing="0" w:line="360" w:lineRule="auto"/>
        <w:jc w:val="left"/>
        <w:outlineLvl w:val="9"/>
        <w:rPr>
          <w:rFonts w:hint="eastAsia" w:ascii="Times New Roman" w:hAnsi="Times New Roman" w:eastAsia="宋体"/>
          <w:snapToGrid w:val="0"/>
          <w:color w:val="auto"/>
          <w:sz w:val="30"/>
          <w:szCs w:val="30"/>
          <w:lang w:eastAsia="zh-CN"/>
        </w:rPr>
        <w:sectPr>
          <w:footerReference r:id="rId3" w:type="default"/>
          <w:pgSz w:w="11905" w:h="16838"/>
          <w:pgMar w:top="1440" w:right="1701" w:bottom="1440" w:left="1701" w:header="851" w:footer="1077" w:gutter="0"/>
          <w:pgBorders>
            <w:top w:val="none" w:sz="0" w:space="0"/>
            <w:left w:val="none" w:sz="0" w:space="0"/>
            <w:bottom w:val="none" w:sz="0" w:space="0"/>
            <w:right w:val="none" w:sz="0" w:space="0"/>
          </w:pgBorders>
          <w:pgNumType w:fmt="upperRoman"/>
          <w:cols w:space="720" w:num="1"/>
          <w:docGrid w:type="lines" w:linePitch="317" w:charSpace="0"/>
        </w:sectPr>
      </w:pPr>
    </w:p>
    <w:p w14:paraId="72381B89">
      <w:pPr>
        <w:pStyle w:val="19"/>
        <w:adjustRightInd w:val="0"/>
        <w:snapToGrid w:val="0"/>
        <w:spacing w:before="0" w:beforeAutospacing="0" w:after="0" w:afterAutospacing="0" w:line="360" w:lineRule="auto"/>
        <w:jc w:val="center"/>
        <w:outlineLvl w:val="0"/>
        <w:rPr>
          <w:rFonts w:ascii="Times New Roman" w:hAnsi="Times New Roman" w:eastAsia="宋体"/>
          <w:b/>
          <w:bCs/>
          <w:snapToGrid w:val="0"/>
          <w:color w:val="auto"/>
          <w:sz w:val="30"/>
          <w:szCs w:val="30"/>
        </w:rPr>
      </w:pPr>
      <w:bookmarkStart w:id="0" w:name="_Toc32194"/>
      <w:r>
        <w:rPr>
          <w:rFonts w:hint="eastAsia" w:ascii="Times New Roman" w:hAnsi="Times New Roman" w:eastAsia="宋体"/>
          <w:b/>
          <w:bCs/>
          <w:snapToGrid w:val="0"/>
          <w:color w:val="auto"/>
          <w:sz w:val="30"/>
          <w:szCs w:val="30"/>
        </w:rPr>
        <w:t>一、建设项目基本情况</w:t>
      </w:r>
      <w:bookmarkEnd w:id="0"/>
    </w:p>
    <w:tbl>
      <w:tblPr>
        <w:tblStyle w:val="24"/>
        <w:tblW w:w="89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29"/>
        <w:gridCol w:w="2397"/>
        <w:gridCol w:w="1736"/>
        <w:gridCol w:w="3229"/>
      </w:tblGrid>
      <w:tr w14:paraId="1BCFF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09142BC7">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建设项目名称</w:t>
            </w:r>
          </w:p>
        </w:tc>
        <w:tc>
          <w:tcPr>
            <w:tcW w:w="7142" w:type="dxa"/>
            <w:gridSpan w:val="3"/>
            <w:vAlign w:val="center"/>
          </w:tcPr>
          <w:p w14:paraId="3E76BA8A">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eastAsia="宋体"/>
                <w:color w:val="auto"/>
                <w:sz w:val="24"/>
                <w:lang w:eastAsia="zh-CN"/>
              </w:rPr>
              <w:t>年产</w:t>
            </w:r>
            <w:r>
              <w:rPr>
                <w:rFonts w:hint="eastAsia"/>
                <w:color w:val="auto"/>
                <w:sz w:val="24"/>
                <w:lang w:val="en-US" w:eastAsia="zh-CN"/>
              </w:rPr>
              <w:t>20</w:t>
            </w:r>
            <w:r>
              <w:rPr>
                <w:rFonts w:hint="eastAsia" w:ascii="Times New Roman" w:hAnsi="Times New Roman" w:eastAsia="宋体"/>
                <w:color w:val="auto"/>
                <w:sz w:val="24"/>
                <w:lang w:eastAsia="zh-CN"/>
              </w:rPr>
              <w:t>万吨焊管生产线建设项目</w:t>
            </w:r>
          </w:p>
        </w:tc>
      </w:tr>
      <w:tr w14:paraId="6EB3F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6414A4DC">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项目代码</w:t>
            </w:r>
          </w:p>
        </w:tc>
        <w:tc>
          <w:tcPr>
            <w:tcW w:w="7142" w:type="dxa"/>
            <w:gridSpan w:val="3"/>
            <w:vAlign w:val="center"/>
          </w:tcPr>
          <w:p w14:paraId="1D54BEAE">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eastAsia="zh-CN"/>
              </w:rPr>
              <w:t>2</w:t>
            </w:r>
            <w:r>
              <w:rPr>
                <w:rFonts w:hint="eastAsia"/>
                <w:color w:val="auto"/>
                <w:sz w:val="24"/>
                <w:lang w:val="en-US" w:eastAsia="zh-CN"/>
              </w:rPr>
              <w:t>60</w:t>
            </w:r>
            <w:r>
              <w:rPr>
                <w:rFonts w:hint="eastAsia" w:ascii="Times New Roman" w:hAnsi="Times New Roman" w:eastAsia="宋体"/>
                <w:color w:val="auto"/>
                <w:sz w:val="24"/>
                <w:lang w:eastAsia="zh-CN"/>
              </w:rPr>
              <w:t>1-530423-04-0</w:t>
            </w:r>
            <w:r>
              <w:rPr>
                <w:rFonts w:hint="eastAsia"/>
                <w:color w:val="auto"/>
                <w:sz w:val="24"/>
                <w:lang w:val="en-US" w:eastAsia="zh-CN"/>
              </w:rPr>
              <w:t>1</w:t>
            </w:r>
            <w:r>
              <w:rPr>
                <w:rFonts w:hint="eastAsia" w:ascii="Times New Roman" w:hAnsi="Times New Roman" w:eastAsia="宋体"/>
                <w:color w:val="auto"/>
                <w:sz w:val="24"/>
                <w:lang w:eastAsia="zh-CN"/>
              </w:rPr>
              <w:t>-</w:t>
            </w:r>
            <w:r>
              <w:rPr>
                <w:rFonts w:hint="eastAsia"/>
                <w:color w:val="auto"/>
                <w:sz w:val="24"/>
                <w:lang w:val="en-US" w:eastAsia="zh-CN"/>
              </w:rPr>
              <w:t>860902</w:t>
            </w:r>
          </w:p>
        </w:tc>
      </w:tr>
      <w:tr w14:paraId="489BE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7C09160D">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建设单位联系人</w:t>
            </w:r>
          </w:p>
        </w:tc>
        <w:tc>
          <w:tcPr>
            <w:tcW w:w="2409" w:type="dxa"/>
            <w:vAlign w:val="center"/>
          </w:tcPr>
          <w:p w14:paraId="6CB2214F">
            <w:pPr>
              <w:adjustRightInd w:val="0"/>
              <w:snapToGrid w:val="0"/>
              <w:jc w:val="center"/>
              <w:rPr>
                <w:rFonts w:hint="default" w:ascii="Times New Roman" w:hAnsi="Times New Roman" w:eastAsia="宋体"/>
                <w:color w:val="auto"/>
                <w:sz w:val="24"/>
                <w:lang w:val="en-US" w:eastAsia="zh-CN"/>
              </w:rPr>
            </w:pPr>
            <w:r>
              <w:rPr>
                <w:rFonts w:hint="eastAsia"/>
                <w:color w:val="auto"/>
                <w:sz w:val="24"/>
                <w:lang w:val="en-US" w:eastAsia="zh-CN"/>
              </w:rPr>
              <w:t>王建</w:t>
            </w:r>
          </w:p>
        </w:tc>
        <w:tc>
          <w:tcPr>
            <w:tcW w:w="1639" w:type="dxa"/>
            <w:vAlign w:val="center"/>
          </w:tcPr>
          <w:p w14:paraId="4FE45CFE">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联系方式</w:t>
            </w:r>
          </w:p>
        </w:tc>
        <w:tc>
          <w:tcPr>
            <w:tcW w:w="3094" w:type="dxa"/>
            <w:vAlign w:val="center"/>
          </w:tcPr>
          <w:p w14:paraId="64B16CD1">
            <w:pPr>
              <w:adjustRightInd w:val="0"/>
              <w:snapToGrid w:val="0"/>
              <w:jc w:val="center"/>
              <w:rPr>
                <w:rFonts w:hint="default" w:ascii="Times New Roman" w:hAnsi="Times New Roman" w:eastAsia="宋体"/>
                <w:color w:val="auto"/>
                <w:sz w:val="24"/>
                <w:lang w:val="en-US" w:eastAsia="zh-CN"/>
              </w:rPr>
            </w:pPr>
            <w:r>
              <w:rPr>
                <w:rFonts w:hint="eastAsia"/>
                <w:color w:val="auto"/>
                <w:sz w:val="24"/>
                <w:lang w:val="en-US" w:eastAsia="zh-CN"/>
              </w:rPr>
              <w:t>13608777678</w:t>
            </w:r>
          </w:p>
        </w:tc>
      </w:tr>
      <w:tr w14:paraId="71F52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7B17CB16">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建设地点</w:t>
            </w:r>
          </w:p>
        </w:tc>
        <w:tc>
          <w:tcPr>
            <w:tcW w:w="7142" w:type="dxa"/>
            <w:gridSpan w:val="3"/>
            <w:vAlign w:val="center"/>
          </w:tcPr>
          <w:p w14:paraId="0751E9AC">
            <w:pPr>
              <w:adjustRightInd w:val="0"/>
              <w:snapToGrid w:val="0"/>
              <w:jc w:val="center"/>
              <w:rPr>
                <w:rFonts w:hint="default" w:ascii="Times New Roman" w:hAnsi="Times New Roman" w:eastAsia="宋体"/>
                <w:color w:val="auto"/>
                <w:sz w:val="24"/>
                <w:lang w:val="en-US" w:eastAsia="zh-CN"/>
              </w:rPr>
            </w:pPr>
            <w:r>
              <w:rPr>
                <w:rFonts w:ascii="Times New Roman" w:hAnsi="Times New Roman" w:eastAsia="宋体"/>
                <w:color w:val="auto"/>
                <w:sz w:val="24"/>
                <w:u w:val="single"/>
              </w:rPr>
              <w:t>云南</w:t>
            </w:r>
            <w:r>
              <w:rPr>
                <w:rFonts w:ascii="Times New Roman" w:hAnsi="Times New Roman" w:eastAsia="宋体"/>
                <w:color w:val="auto"/>
                <w:sz w:val="24"/>
              </w:rPr>
              <w:t>省</w:t>
            </w:r>
            <w:r>
              <w:rPr>
                <w:rFonts w:hint="eastAsia" w:ascii="Times New Roman" w:hAnsi="Times New Roman" w:eastAsia="宋体"/>
                <w:color w:val="auto"/>
                <w:sz w:val="24"/>
                <w:u w:val="single"/>
                <w:lang w:val="en-US" w:eastAsia="zh-CN"/>
              </w:rPr>
              <w:t>玉溪</w:t>
            </w:r>
            <w:r>
              <w:rPr>
                <w:rFonts w:hint="eastAsia" w:ascii="Times New Roman" w:hAnsi="Times New Roman" w:eastAsia="宋体"/>
                <w:color w:val="auto"/>
                <w:sz w:val="24"/>
                <w:lang w:val="en-US" w:eastAsia="zh-CN"/>
              </w:rPr>
              <w:t>市</w:t>
            </w:r>
            <w:r>
              <w:rPr>
                <w:rFonts w:hint="eastAsia" w:ascii="Times New Roman" w:hAnsi="Times New Roman" w:eastAsia="宋体"/>
                <w:color w:val="auto"/>
                <w:sz w:val="24"/>
                <w:u w:val="single"/>
                <w:lang w:val="en-US" w:eastAsia="zh-CN"/>
              </w:rPr>
              <w:t>通海</w:t>
            </w:r>
            <w:r>
              <w:rPr>
                <w:rFonts w:hint="eastAsia" w:ascii="Times New Roman" w:hAnsi="Times New Roman" w:eastAsia="宋体"/>
                <w:color w:val="auto"/>
                <w:sz w:val="24"/>
                <w:u w:val="none"/>
                <w:vertAlign w:val="baseline"/>
                <w:lang w:val="en-US" w:eastAsia="zh-CN"/>
              </w:rPr>
              <w:t>县</w:t>
            </w:r>
            <w:r>
              <w:rPr>
                <w:rFonts w:hint="eastAsia"/>
                <w:color w:val="auto"/>
                <w:sz w:val="24"/>
                <w:lang w:val="en-US" w:eastAsia="zh-CN"/>
              </w:rPr>
              <w:t>纳古</w:t>
            </w:r>
            <w:r>
              <w:rPr>
                <w:rFonts w:hint="eastAsia" w:ascii="Times New Roman" w:hAnsi="Times New Roman" w:eastAsia="宋体"/>
                <w:color w:val="auto"/>
                <w:sz w:val="24"/>
                <w:lang w:val="en-US" w:eastAsia="zh-CN"/>
              </w:rPr>
              <w:t>镇</w:t>
            </w:r>
            <w:r>
              <w:rPr>
                <w:rFonts w:hint="eastAsia"/>
                <w:color w:val="auto"/>
                <w:sz w:val="24"/>
                <w:lang w:val="en-US" w:eastAsia="zh-CN"/>
              </w:rPr>
              <w:t>大白龙</w:t>
            </w:r>
          </w:p>
        </w:tc>
      </w:tr>
      <w:tr w14:paraId="49B41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36BDE89B">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地理坐标</w:t>
            </w:r>
          </w:p>
        </w:tc>
        <w:tc>
          <w:tcPr>
            <w:tcW w:w="7142" w:type="dxa"/>
            <w:gridSpan w:val="3"/>
            <w:vAlign w:val="center"/>
          </w:tcPr>
          <w:p w14:paraId="696242AF">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w:t>
            </w:r>
            <w:r>
              <w:rPr>
                <w:rFonts w:ascii="Times New Roman" w:hAnsi="Times New Roman" w:eastAsia="宋体"/>
                <w:color w:val="auto"/>
                <w:sz w:val="24"/>
                <w:u w:val="single"/>
              </w:rPr>
              <w:t>10</w:t>
            </w:r>
            <w:r>
              <w:rPr>
                <w:rFonts w:hint="eastAsia" w:ascii="Times New Roman" w:hAnsi="Times New Roman" w:eastAsia="宋体"/>
                <w:color w:val="auto"/>
                <w:sz w:val="24"/>
                <w:u w:val="single"/>
                <w:lang w:val="en-US" w:eastAsia="zh-CN"/>
              </w:rPr>
              <w:t>2</w:t>
            </w:r>
            <w:r>
              <w:rPr>
                <w:rFonts w:ascii="Times New Roman" w:hAnsi="Times New Roman" w:eastAsia="宋体"/>
                <w:color w:val="auto"/>
                <w:sz w:val="24"/>
              </w:rPr>
              <w:t>度</w:t>
            </w:r>
            <w:r>
              <w:rPr>
                <w:rFonts w:hint="eastAsia"/>
                <w:color w:val="auto"/>
                <w:sz w:val="24"/>
                <w:u w:val="single"/>
                <w:lang w:val="en-US" w:eastAsia="zh-CN"/>
              </w:rPr>
              <w:t>74</w:t>
            </w:r>
            <w:r>
              <w:rPr>
                <w:rFonts w:ascii="Times New Roman" w:hAnsi="Times New Roman" w:eastAsia="宋体"/>
                <w:color w:val="auto"/>
                <w:sz w:val="24"/>
              </w:rPr>
              <w:t>分</w:t>
            </w:r>
            <w:r>
              <w:rPr>
                <w:rFonts w:hint="eastAsia"/>
                <w:color w:val="auto"/>
                <w:sz w:val="24"/>
                <w:u w:val="single"/>
                <w:lang w:val="en-US" w:eastAsia="zh-CN"/>
              </w:rPr>
              <w:t>55</w:t>
            </w:r>
            <w:r>
              <w:rPr>
                <w:rFonts w:hint="eastAsia" w:ascii="Times New Roman" w:hAnsi="Times New Roman" w:eastAsia="宋体"/>
                <w:color w:val="auto"/>
                <w:sz w:val="24"/>
                <w:u w:val="single"/>
                <w:lang w:val="en-US" w:eastAsia="zh-CN"/>
              </w:rPr>
              <w:t>.</w:t>
            </w:r>
            <w:r>
              <w:rPr>
                <w:rFonts w:hint="eastAsia"/>
                <w:color w:val="auto"/>
                <w:sz w:val="24"/>
                <w:u w:val="single"/>
                <w:lang w:val="en-US" w:eastAsia="zh-CN"/>
              </w:rPr>
              <w:t>800</w:t>
            </w:r>
            <w:r>
              <w:rPr>
                <w:rFonts w:ascii="Times New Roman" w:hAnsi="Times New Roman" w:eastAsia="宋体"/>
                <w:color w:val="auto"/>
                <w:sz w:val="24"/>
              </w:rPr>
              <w:t>秒，</w:t>
            </w:r>
            <w:r>
              <w:rPr>
                <w:rFonts w:ascii="Times New Roman" w:hAnsi="Times New Roman" w:eastAsia="宋体"/>
                <w:color w:val="auto"/>
                <w:sz w:val="24"/>
                <w:u w:val="single"/>
              </w:rPr>
              <w:t>2</w:t>
            </w:r>
            <w:r>
              <w:rPr>
                <w:rFonts w:hint="eastAsia" w:ascii="Times New Roman" w:hAnsi="Times New Roman" w:eastAsia="宋体"/>
                <w:color w:val="auto"/>
                <w:sz w:val="24"/>
                <w:u w:val="single"/>
                <w:lang w:val="en-US" w:eastAsia="zh-CN"/>
              </w:rPr>
              <w:t>4</w:t>
            </w:r>
            <w:r>
              <w:rPr>
                <w:rFonts w:ascii="Times New Roman" w:hAnsi="Times New Roman" w:eastAsia="宋体"/>
                <w:color w:val="auto"/>
                <w:sz w:val="24"/>
              </w:rPr>
              <w:t>度</w:t>
            </w:r>
            <w:r>
              <w:rPr>
                <w:rFonts w:hint="eastAsia"/>
                <w:color w:val="auto"/>
                <w:sz w:val="24"/>
                <w:u w:val="single"/>
                <w:lang w:val="en-US" w:eastAsia="zh-CN"/>
              </w:rPr>
              <w:t>21</w:t>
            </w:r>
            <w:r>
              <w:rPr>
                <w:rFonts w:ascii="Times New Roman" w:hAnsi="Times New Roman" w:eastAsia="宋体"/>
                <w:color w:val="auto"/>
                <w:sz w:val="24"/>
              </w:rPr>
              <w:t>分</w:t>
            </w:r>
            <w:r>
              <w:rPr>
                <w:rFonts w:hint="eastAsia"/>
                <w:color w:val="auto"/>
                <w:sz w:val="24"/>
                <w:u w:val="single"/>
                <w:lang w:val="en-US" w:eastAsia="zh-CN"/>
              </w:rPr>
              <w:t>40</w:t>
            </w:r>
            <w:r>
              <w:rPr>
                <w:rFonts w:hint="eastAsia" w:ascii="Times New Roman" w:hAnsi="Times New Roman" w:eastAsia="宋体"/>
                <w:color w:val="auto"/>
                <w:sz w:val="24"/>
                <w:u w:val="single"/>
                <w:lang w:val="en-US" w:eastAsia="zh-CN"/>
              </w:rPr>
              <w:t>.</w:t>
            </w:r>
            <w:r>
              <w:rPr>
                <w:rFonts w:hint="eastAsia"/>
                <w:color w:val="auto"/>
                <w:sz w:val="24"/>
                <w:u w:val="single"/>
                <w:lang w:val="en-US" w:eastAsia="zh-CN"/>
              </w:rPr>
              <w:t>985</w:t>
            </w:r>
            <w:r>
              <w:rPr>
                <w:rFonts w:ascii="Times New Roman" w:hAnsi="Times New Roman" w:eastAsia="宋体"/>
                <w:color w:val="auto"/>
                <w:sz w:val="24"/>
              </w:rPr>
              <w:t>秒）</w:t>
            </w:r>
          </w:p>
        </w:tc>
      </w:tr>
      <w:tr w14:paraId="5C4F5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49" w:type="dxa"/>
            <w:tcMar>
              <w:top w:w="16" w:type="dxa"/>
              <w:left w:w="16" w:type="dxa"/>
              <w:right w:w="16" w:type="dxa"/>
            </w:tcMar>
            <w:vAlign w:val="center"/>
          </w:tcPr>
          <w:p w14:paraId="1B314DBB">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国民经济行业类别</w:t>
            </w:r>
          </w:p>
        </w:tc>
        <w:tc>
          <w:tcPr>
            <w:tcW w:w="2409" w:type="dxa"/>
            <w:vAlign w:val="center"/>
          </w:tcPr>
          <w:p w14:paraId="16B7B8BA">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rPr>
              <w:t>C3130钢压延加工</w:t>
            </w:r>
          </w:p>
        </w:tc>
        <w:tc>
          <w:tcPr>
            <w:tcW w:w="1639" w:type="dxa"/>
            <w:vAlign w:val="center"/>
          </w:tcPr>
          <w:p w14:paraId="55EF42E2">
            <w:pPr>
              <w:adjustRightInd w:val="0"/>
              <w:snapToGrid w:val="0"/>
              <w:jc w:val="center"/>
              <w:rPr>
                <w:rFonts w:ascii="Times New Roman" w:hAnsi="Times New Roman" w:eastAsia="宋体"/>
                <w:color w:val="auto"/>
                <w:sz w:val="24"/>
              </w:rPr>
            </w:pPr>
            <w:bookmarkStart w:id="1" w:name="_Hlk49843745"/>
            <w:r>
              <w:rPr>
                <w:rFonts w:ascii="Times New Roman" w:hAnsi="Times New Roman" w:eastAsia="宋体"/>
                <w:color w:val="auto"/>
                <w:sz w:val="24"/>
              </w:rPr>
              <w:t>建设项目行业类别</w:t>
            </w:r>
            <w:bookmarkEnd w:id="1"/>
          </w:p>
        </w:tc>
        <w:tc>
          <w:tcPr>
            <w:tcW w:w="3094" w:type="dxa"/>
            <w:vAlign w:val="center"/>
          </w:tcPr>
          <w:p w14:paraId="2B6B32A1">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ascii="Times New Roman" w:hAnsi="Times New Roman" w:eastAsia="宋体" w:cs="Times New Roman"/>
                <w:color w:val="auto"/>
                <w:sz w:val="24"/>
                <w:lang w:eastAsia="zh-CN"/>
              </w:rPr>
              <w:t>二十八、黑色金属冶炼和压延加工业 31</w:t>
            </w:r>
            <w:r>
              <w:rPr>
                <w:rFonts w:hint="eastAsia" w:ascii="Times New Roman" w:hAnsi="Times New Roman" w:eastAsia="宋体" w:cs="Times New Roman"/>
                <w:color w:val="auto"/>
                <w:sz w:val="24"/>
                <w:lang w:val="en-US" w:eastAsia="zh-CN"/>
              </w:rPr>
              <w:t>-</w:t>
            </w:r>
            <w:r>
              <w:rPr>
                <w:rFonts w:hint="eastAsia" w:ascii="Times New Roman" w:hAnsi="Times New Roman" w:eastAsia="宋体"/>
                <w:color w:val="auto"/>
                <w:sz w:val="24"/>
                <w:lang w:val="en-US" w:eastAsia="zh-CN"/>
              </w:rPr>
              <w:t>63钢压延加工313</w:t>
            </w:r>
          </w:p>
        </w:tc>
      </w:tr>
      <w:tr w14:paraId="291D6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49" w:type="dxa"/>
            <w:tcMar>
              <w:top w:w="16" w:type="dxa"/>
              <w:left w:w="16" w:type="dxa"/>
              <w:right w:w="16" w:type="dxa"/>
            </w:tcMar>
            <w:vAlign w:val="center"/>
          </w:tcPr>
          <w:p w14:paraId="4F9276FB">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建设性质</w:t>
            </w:r>
          </w:p>
        </w:tc>
        <w:tc>
          <w:tcPr>
            <w:tcW w:w="2409" w:type="dxa"/>
            <w:vAlign w:val="center"/>
          </w:tcPr>
          <w:p w14:paraId="1E3E2A21">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新建（迁建）</w:t>
            </w:r>
          </w:p>
          <w:p w14:paraId="6F045580">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改建</w:t>
            </w:r>
          </w:p>
          <w:p w14:paraId="3B258DAA">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扩建</w:t>
            </w:r>
          </w:p>
          <w:p w14:paraId="1305F9BE">
            <w:pPr>
              <w:autoSpaceDE w:val="0"/>
              <w:autoSpaceDN w:val="0"/>
              <w:adjustRightInd w:val="0"/>
              <w:snapToGrid w:val="0"/>
              <w:ind w:firstLine="120" w:firstLineChars="50"/>
              <w:jc w:val="left"/>
              <w:rPr>
                <w:rFonts w:ascii="Times New Roman" w:hAnsi="Times New Roman" w:eastAsia="宋体"/>
                <w:color w:val="auto"/>
                <w:kern w:val="0"/>
                <w:sz w:val="24"/>
              </w:rPr>
            </w:pPr>
            <w:r>
              <w:rPr>
                <w:rFonts w:ascii="Times New Roman" w:hAnsi="Times New Roman" w:eastAsia="宋体"/>
                <w:color w:val="auto"/>
                <w:kern w:val="0"/>
                <w:sz w:val="24"/>
              </w:rPr>
              <w:sym w:font="Wingdings 2" w:char="00A3"/>
            </w:r>
            <w:r>
              <w:rPr>
                <w:rFonts w:ascii="Times New Roman" w:hAnsi="Times New Roman" w:eastAsia="宋体"/>
                <w:color w:val="auto"/>
                <w:kern w:val="0"/>
                <w:sz w:val="24"/>
              </w:rPr>
              <w:t>技术改造</w:t>
            </w:r>
          </w:p>
        </w:tc>
        <w:tc>
          <w:tcPr>
            <w:tcW w:w="1639" w:type="dxa"/>
            <w:vAlign w:val="center"/>
          </w:tcPr>
          <w:p w14:paraId="72672BD2">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建设项目</w:t>
            </w:r>
          </w:p>
          <w:p w14:paraId="29135C4C">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申报情形</w:t>
            </w:r>
          </w:p>
        </w:tc>
        <w:tc>
          <w:tcPr>
            <w:tcW w:w="3094" w:type="dxa"/>
            <w:vAlign w:val="center"/>
          </w:tcPr>
          <w:p w14:paraId="2861EAC3">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52"/>
            </w:r>
            <w:r>
              <w:rPr>
                <w:rFonts w:ascii="Times New Roman" w:hAnsi="Times New Roman" w:eastAsia="宋体"/>
                <w:color w:val="auto"/>
                <w:sz w:val="24"/>
              </w:rPr>
              <w:t>首次申报项目</w:t>
            </w:r>
          </w:p>
          <w:p w14:paraId="5996BCB3">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不予批准后再次申报项目</w:t>
            </w:r>
          </w:p>
          <w:p w14:paraId="4EA02F04">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超五年重新审核项目</w:t>
            </w:r>
          </w:p>
          <w:p w14:paraId="4807F245">
            <w:pPr>
              <w:adjustRightInd w:val="0"/>
              <w:snapToGrid w:val="0"/>
              <w:ind w:firstLine="120" w:firstLineChars="50"/>
              <w:jc w:val="left"/>
              <w:rPr>
                <w:rFonts w:ascii="Times New Roman" w:hAnsi="Times New Roman" w:eastAsia="宋体"/>
                <w:color w:val="auto"/>
                <w:sz w:val="24"/>
              </w:rPr>
            </w:pPr>
            <w:r>
              <w:rPr>
                <w:rFonts w:ascii="Times New Roman" w:hAnsi="Times New Roman" w:eastAsia="宋体"/>
                <w:color w:val="auto"/>
                <w:sz w:val="24"/>
              </w:rPr>
              <w:sym w:font="Wingdings 2" w:char="00A3"/>
            </w:r>
            <w:r>
              <w:rPr>
                <w:rFonts w:ascii="Times New Roman" w:hAnsi="Times New Roman" w:eastAsia="宋体"/>
                <w:color w:val="auto"/>
                <w:sz w:val="24"/>
              </w:rPr>
              <w:t>重大变动重新报批项目</w:t>
            </w:r>
          </w:p>
        </w:tc>
      </w:tr>
      <w:tr w14:paraId="5C307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49" w:type="dxa"/>
            <w:tcMar>
              <w:top w:w="16" w:type="dxa"/>
              <w:left w:w="16" w:type="dxa"/>
              <w:right w:w="16" w:type="dxa"/>
            </w:tcMar>
            <w:vAlign w:val="center"/>
          </w:tcPr>
          <w:p w14:paraId="79A5F6E4">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项目审批（核准/备案）部门（选填）</w:t>
            </w:r>
          </w:p>
        </w:tc>
        <w:tc>
          <w:tcPr>
            <w:tcW w:w="2409" w:type="dxa"/>
            <w:vAlign w:val="center"/>
          </w:tcPr>
          <w:p w14:paraId="00FCC4D5">
            <w:pPr>
              <w:adjustRightInd w:val="0"/>
              <w:snapToGrid w:val="0"/>
              <w:ind w:firstLine="120" w:firstLineChars="50"/>
              <w:jc w:val="center"/>
              <w:rPr>
                <w:rFonts w:ascii="Times New Roman" w:hAnsi="Times New Roman" w:eastAsia="宋体"/>
                <w:color w:val="auto"/>
                <w:sz w:val="24"/>
              </w:rPr>
            </w:pPr>
            <w:r>
              <w:rPr>
                <w:rFonts w:hint="eastAsia" w:ascii="Times New Roman" w:hAnsi="Times New Roman" w:eastAsia="宋体"/>
                <w:color w:val="auto"/>
                <w:sz w:val="24"/>
                <w:lang w:val="en-US" w:eastAsia="zh-CN"/>
              </w:rPr>
              <w:t>通海县</w:t>
            </w:r>
            <w:r>
              <w:rPr>
                <w:rFonts w:hint="eastAsia" w:ascii="Times New Roman" w:hAnsi="Times New Roman" w:eastAsia="宋体"/>
                <w:color w:val="auto"/>
                <w:sz w:val="24"/>
              </w:rPr>
              <w:t>发展和改革局</w:t>
            </w:r>
          </w:p>
        </w:tc>
        <w:tc>
          <w:tcPr>
            <w:tcW w:w="1639" w:type="dxa"/>
            <w:vAlign w:val="center"/>
          </w:tcPr>
          <w:p w14:paraId="3751B8B5">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项目审批（核准/备案）文号（选填）</w:t>
            </w:r>
          </w:p>
        </w:tc>
        <w:tc>
          <w:tcPr>
            <w:tcW w:w="3094" w:type="dxa"/>
            <w:vAlign w:val="center"/>
          </w:tcPr>
          <w:p w14:paraId="228DFE5C">
            <w:pPr>
              <w:adjustRightInd w:val="0"/>
              <w:snapToGrid w:val="0"/>
              <w:ind w:firstLine="120" w:firstLineChars="50"/>
              <w:jc w:val="center"/>
              <w:rPr>
                <w:rFonts w:hint="eastAsia" w:ascii="Times New Roman" w:hAnsi="Times New Roman" w:eastAsia="宋体"/>
                <w:color w:val="auto"/>
                <w:sz w:val="24"/>
                <w:lang w:val="en-US" w:eastAsia="zh-CN"/>
              </w:rPr>
            </w:pPr>
            <w:r>
              <w:rPr>
                <w:rFonts w:hint="eastAsia"/>
                <w:color w:val="auto"/>
                <w:sz w:val="24"/>
                <w:lang w:val="en-US" w:eastAsia="zh-CN"/>
              </w:rPr>
              <w:t>/</w:t>
            </w:r>
          </w:p>
        </w:tc>
      </w:tr>
      <w:tr w14:paraId="3E669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1849" w:type="dxa"/>
            <w:tcMar>
              <w:top w:w="16" w:type="dxa"/>
              <w:left w:w="16" w:type="dxa"/>
              <w:right w:w="16" w:type="dxa"/>
            </w:tcMar>
            <w:vAlign w:val="center"/>
          </w:tcPr>
          <w:p w14:paraId="6883AC3C">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总投资（万元）</w:t>
            </w:r>
          </w:p>
        </w:tc>
        <w:tc>
          <w:tcPr>
            <w:tcW w:w="2409" w:type="dxa"/>
            <w:vAlign w:val="center"/>
          </w:tcPr>
          <w:p w14:paraId="4FAB570B">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color w:val="auto"/>
                <w:sz w:val="24"/>
                <w:lang w:val="en-US" w:eastAsia="zh-CN"/>
              </w:rPr>
              <w:t>1500</w:t>
            </w:r>
          </w:p>
        </w:tc>
        <w:tc>
          <w:tcPr>
            <w:tcW w:w="1639" w:type="dxa"/>
            <w:tcMar>
              <w:top w:w="16" w:type="dxa"/>
              <w:left w:w="16" w:type="dxa"/>
              <w:right w:w="16" w:type="dxa"/>
            </w:tcMar>
            <w:vAlign w:val="center"/>
          </w:tcPr>
          <w:p w14:paraId="185ECD29">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环保投资（万元）</w:t>
            </w:r>
          </w:p>
        </w:tc>
        <w:tc>
          <w:tcPr>
            <w:tcW w:w="3094" w:type="dxa"/>
            <w:vAlign w:val="center"/>
          </w:tcPr>
          <w:p w14:paraId="307ABD9F">
            <w:pPr>
              <w:adjustRightInd w:val="0"/>
              <w:snapToGrid w:val="0"/>
              <w:jc w:val="center"/>
              <w:rPr>
                <w:rFonts w:hint="default" w:ascii="Times New Roman" w:hAnsi="Times New Roman" w:eastAsia="宋体"/>
                <w:color w:val="auto"/>
                <w:sz w:val="24"/>
                <w:lang w:val="en-US" w:eastAsia="zh-CN"/>
              </w:rPr>
            </w:pPr>
            <w:r>
              <w:rPr>
                <w:rFonts w:hint="eastAsia"/>
                <w:color w:val="auto"/>
                <w:sz w:val="24"/>
                <w:lang w:val="en-US" w:eastAsia="zh-CN"/>
              </w:rPr>
              <w:t>71</w:t>
            </w:r>
          </w:p>
        </w:tc>
      </w:tr>
      <w:tr w14:paraId="1AB0E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5440100F">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环保投资占比（%）</w:t>
            </w:r>
          </w:p>
        </w:tc>
        <w:tc>
          <w:tcPr>
            <w:tcW w:w="2409" w:type="dxa"/>
            <w:vAlign w:val="center"/>
          </w:tcPr>
          <w:p w14:paraId="5A59E42B">
            <w:pPr>
              <w:adjustRightInd w:val="0"/>
              <w:snapToGrid w:val="0"/>
              <w:ind w:firstLine="120" w:firstLineChars="50"/>
              <w:jc w:val="center"/>
              <w:rPr>
                <w:rFonts w:hint="default" w:ascii="Times New Roman" w:hAnsi="Times New Roman" w:eastAsia="宋体"/>
                <w:color w:val="auto"/>
                <w:sz w:val="24"/>
                <w:lang w:val="en-US" w:eastAsia="zh-CN"/>
              </w:rPr>
            </w:pPr>
            <w:r>
              <w:rPr>
                <w:rFonts w:hint="eastAsia"/>
                <w:color w:val="auto"/>
                <w:sz w:val="24"/>
                <w:lang w:val="en-US" w:eastAsia="zh-CN"/>
              </w:rPr>
              <w:t>4.7</w:t>
            </w:r>
          </w:p>
        </w:tc>
        <w:tc>
          <w:tcPr>
            <w:tcW w:w="1639" w:type="dxa"/>
            <w:tcMar>
              <w:top w:w="16" w:type="dxa"/>
              <w:left w:w="16" w:type="dxa"/>
              <w:right w:w="16" w:type="dxa"/>
            </w:tcMar>
            <w:vAlign w:val="center"/>
          </w:tcPr>
          <w:p w14:paraId="6E18682A">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施工工期</w:t>
            </w:r>
          </w:p>
        </w:tc>
        <w:tc>
          <w:tcPr>
            <w:tcW w:w="3094" w:type="dxa"/>
            <w:vAlign w:val="center"/>
          </w:tcPr>
          <w:p w14:paraId="6B19353D">
            <w:pPr>
              <w:adjustRightInd w:val="0"/>
              <w:snapToGrid w:val="0"/>
              <w:jc w:val="center"/>
              <w:rPr>
                <w:rFonts w:hint="default" w:ascii="Times New Roman" w:hAnsi="Times New Roman" w:eastAsia="宋体"/>
                <w:color w:val="auto"/>
                <w:sz w:val="24"/>
                <w:lang w:val="en-US" w:eastAsia="zh-CN"/>
              </w:rPr>
            </w:pPr>
            <w:r>
              <w:rPr>
                <w:rFonts w:hint="eastAsia"/>
                <w:color w:val="auto"/>
                <w:sz w:val="24"/>
                <w:lang w:val="en-US" w:eastAsia="zh-CN"/>
              </w:rPr>
              <w:t>23个月</w:t>
            </w:r>
          </w:p>
        </w:tc>
      </w:tr>
      <w:tr w14:paraId="0E4F6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9" w:type="dxa"/>
            <w:tcMar>
              <w:top w:w="16" w:type="dxa"/>
              <w:left w:w="16" w:type="dxa"/>
              <w:right w:w="16" w:type="dxa"/>
            </w:tcMar>
            <w:vAlign w:val="center"/>
          </w:tcPr>
          <w:p w14:paraId="2A374F0F">
            <w:pPr>
              <w:adjustRightInd w:val="0"/>
              <w:snapToGrid w:val="0"/>
              <w:ind w:firstLine="120" w:firstLineChars="50"/>
              <w:jc w:val="center"/>
              <w:rPr>
                <w:rFonts w:ascii="Times New Roman" w:hAnsi="Times New Roman" w:eastAsia="宋体"/>
                <w:color w:val="auto"/>
                <w:sz w:val="24"/>
              </w:rPr>
            </w:pPr>
            <w:r>
              <w:rPr>
                <w:rFonts w:ascii="Times New Roman" w:hAnsi="Times New Roman" w:eastAsia="宋体"/>
                <w:color w:val="auto"/>
                <w:sz w:val="24"/>
              </w:rPr>
              <w:t>是否开工建设</w:t>
            </w:r>
          </w:p>
        </w:tc>
        <w:tc>
          <w:tcPr>
            <w:tcW w:w="2409" w:type="dxa"/>
            <w:vAlign w:val="center"/>
          </w:tcPr>
          <w:p w14:paraId="50EDA56E">
            <w:pPr>
              <w:adjustRightInd w:val="0"/>
              <w:snapToGrid w:val="0"/>
              <w:ind w:firstLine="120" w:firstLineChars="50"/>
              <w:jc w:val="left"/>
              <w:rPr>
                <w:rFonts w:ascii="Times New Roman" w:hAnsi="Times New Roman" w:eastAsia="宋体" w:cs="Times New Roman"/>
                <w:color w:val="auto"/>
                <w:sz w:val="24"/>
              </w:rPr>
            </w:pPr>
            <w:r>
              <w:rPr>
                <w:rFonts w:hint="eastAsia" w:ascii="Times New Roman" w:hAnsi="Times New Roman" w:eastAsia="宋体" w:cs="Times New Roman"/>
                <w:color w:val="auto"/>
                <w:sz w:val="24"/>
              </w:rPr>
              <w:sym w:font="Wingdings 2" w:char="0052"/>
            </w:r>
            <w:r>
              <w:rPr>
                <w:rFonts w:hint="eastAsia" w:ascii="Times New Roman" w:hAnsi="Times New Roman" w:eastAsia="宋体" w:cs="Times New Roman"/>
                <w:color w:val="auto"/>
                <w:sz w:val="24"/>
              </w:rPr>
              <w:t>否</w:t>
            </w:r>
          </w:p>
          <w:p w14:paraId="0FDA0A3D">
            <w:pPr>
              <w:adjustRightInd w:val="0"/>
              <w:snapToGrid w:val="0"/>
              <w:ind w:firstLine="120" w:firstLineChars="50"/>
              <w:jc w:val="left"/>
              <w:rPr>
                <w:rFonts w:hint="default" w:ascii="Times New Roman" w:hAnsi="Times New Roman" w:eastAsia="宋体"/>
                <w:color w:val="auto"/>
                <w:sz w:val="24"/>
                <w:lang w:val="en-US" w:eastAsia="zh-CN"/>
              </w:rPr>
            </w:pPr>
            <w:r>
              <w:rPr>
                <w:rFonts w:ascii="Times New Roman" w:hAnsi="Times New Roman" w:eastAsia="宋体" w:cs="Times New Roman"/>
                <w:color w:val="auto"/>
                <w:sz w:val="24"/>
              </w:rPr>
              <w:sym w:font="Wingdings 2" w:char="00A3"/>
            </w:r>
            <w:r>
              <w:rPr>
                <w:rFonts w:hint="eastAsia" w:ascii="Times New Roman" w:hAnsi="Times New Roman" w:eastAsia="宋体" w:cs="Times New Roman"/>
                <w:color w:val="auto"/>
                <w:sz w:val="24"/>
              </w:rPr>
              <w:t>是：</w:t>
            </w:r>
            <w:r>
              <w:rPr>
                <w:rFonts w:hint="eastAsia" w:ascii="Times New Roman" w:hAnsi="Times New Roman" w:eastAsia="宋体" w:cs="Times New Roman"/>
                <w:color w:val="auto"/>
                <w:sz w:val="24"/>
                <w:u w:val="single"/>
              </w:rPr>
              <w:t xml:space="preserve">         </w:t>
            </w:r>
          </w:p>
        </w:tc>
        <w:tc>
          <w:tcPr>
            <w:tcW w:w="1639" w:type="dxa"/>
            <w:tcMar>
              <w:top w:w="16" w:type="dxa"/>
              <w:left w:w="16" w:type="dxa"/>
              <w:right w:w="16" w:type="dxa"/>
            </w:tcMar>
            <w:vAlign w:val="center"/>
          </w:tcPr>
          <w:p w14:paraId="3A5061A8">
            <w:pPr>
              <w:adjustRightInd w:val="0"/>
              <w:snapToGrid w:val="0"/>
              <w:ind w:firstLine="114" w:firstLineChars="50"/>
              <w:jc w:val="center"/>
              <w:rPr>
                <w:rFonts w:ascii="Times New Roman" w:hAnsi="Times New Roman" w:eastAsia="宋体"/>
                <w:color w:val="auto"/>
                <w:spacing w:val="-6"/>
                <w:sz w:val="24"/>
              </w:rPr>
            </w:pPr>
            <w:r>
              <w:rPr>
                <w:rFonts w:ascii="Times New Roman" w:hAnsi="Times New Roman" w:eastAsia="宋体"/>
                <w:color w:val="auto"/>
                <w:spacing w:val="-6"/>
                <w:sz w:val="24"/>
              </w:rPr>
              <w:t>用地（用海）</w:t>
            </w:r>
          </w:p>
          <w:p w14:paraId="2124273A">
            <w:pPr>
              <w:adjustRightInd w:val="0"/>
              <w:snapToGrid w:val="0"/>
              <w:ind w:firstLine="114" w:firstLineChars="50"/>
              <w:jc w:val="center"/>
              <w:rPr>
                <w:rFonts w:ascii="Times New Roman" w:hAnsi="Times New Roman" w:eastAsia="宋体"/>
                <w:color w:val="auto"/>
                <w:sz w:val="24"/>
              </w:rPr>
            </w:pPr>
            <w:r>
              <w:rPr>
                <w:rFonts w:ascii="Times New Roman" w:hAnsi="Times New Roman" w:eastAsia="宋体"/>
                <w:color w:val="auto"/>
                <w:spacing w:val="-6"/>
                <w:sz w:val="24"/>
              </w:rPr>
              <w:t>面积（m</w:t>
            </w:r>
            <w:r>
              <w:rPr>
                <w:rFonts w:ascii="Times New Roman" w:hAnsi="Times New Roman" w:eastAsia="宋体"/>
                <w:color w:val="auto"/>
                <w:spacing w:val="-6"/>
                <w:sz w:val="24"/>
                <w:vertAlign w:val="superscript"/>
              </w:rPr>
              <w:t>2</w:t>
            </w:r>
            <w:r>
              <w:rPr>
                <w:rFonts w:ascii="Times New Roman" w:hAnsi="Times New Roman" w:eastAsia="宋体"/>
                <w:color w:val="auto"/>
                <w:spacing w:val="-6"/>
                <w:sz w:val="24"/>
              </w:rPr>
              <w:t>）</w:t>
            </w:r>
          </w:p>
        </w:tc>
        <w:tc>
          <w:tcPr>
            <w:tcW w:w="3094" w:type="dxa"/>
            <w:vAlign w:val="center"/>
          </w:tcPr>
          <w:p w14:paraId="1E8F8C9B">
            <w:pPr>
              <w:adjustRightInd w:val="0"/>
              <w:snapToGrid w:val="0"/>
              <w:jc w:val="center"/>
              <w:rPr>
                <w:rFonts w:hint="default" w:ascii="Times New Roman" w:hAnsi="Times New Roman" w:eastAsia="宋体"/>
                <w:color w:val="auto"/>
                <w:sz w:val="24"/>
                <w:lang w:val="en-US" w:eastAsia="zh-CN"/>
              </w:rPr>
            </w:pPr>
            <w:r>
              <w:rPr>
                <w:rFonts w:hint="eastAsia" w:ascii="Times New Roman" w:hAnsi="Times New Roman" w:eastAsia="宋体"/>
                <w:color w:val="auto"/>
                <w:sz w:val="24"/>
                <w:lang w:val="en-US" w:eastAsia="zh-CN"/>
              </w:rPr>
              <w:t>1</w:t>
            </w:r>
            <w:r>
              <w:rPr>
                <w:rFonts w:hint="eastAsia"/>
                <w:color w:val="auto"/>
                <w:sz w:val="24"/>
                <w:lang w:val="en-US" w:eastAsia="zh-CN"/>
              </w:rPr>
              <w:t>65</w:t>
            </w:r>
            <w:r>
              <w:rPr>
                <w:rFonts w:hint="eastAsia" w:ascii="Times New Roman" w:hAnsi="Times New Roman" w:eastAsia="宋体"/>
                <w:color w:val="auto"/>
                <w:sz w:val="24"/>
                <w:lang w:val="en-US" w:eastAsia="zh-CN"/>
              </w:rPr>
              <w:t>00</w:t>
            </w:r>
          </w:p>
        </w:tc>
      </w:tr>
      <w:tr w14:paraId="4D35E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9" w:type="dxa"/>
            <w:vAlign w:val="center"/>
          </w:tcPr>
          <w:p w14:paraId="1114A813">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专项评价设置情况</w:t>
            </w:r>
          </w:p>
        </w:tc>
        <w:tc>
          <w:tcPr>
            <w:tcW w:w="7142" w:type="dxa"/>
            <w:gridSpan w:val="3"/>
            <w:vAlign w:val="center"/>
          </w:tcPr>
          <w:p w14:paraId="68C3AFC3">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根据《建设项目环境影响报告表编制技术指南（污染影响类）（试行）》，本项目不涉及专项评价设置原则中的内容，因此不设置专项评价，具体专项评价设置原则及判定情况详见下表。</w:t>
            </w:r>
          </w:p>
          <w:p w14:paraId="0A8134C3">
            <w:pPr>
              <w:adjustRightInd w:val="0"/>
              <w:snapToGrid w:val="0"/>
              <w:spacing w:after="158" w:afterLines="50"/>
              <w:jc w:val="center"/>
              <w:rPr>
                <w:rFonts w:hint="eastAsia" w:ascii="Times New Roman" w:hAnsi="Times New Roman" w:eastAsia="宋体" w:cs="宋体"/>
                <w:b/>
                <w:bCs/>
                <w:color w:val="auto"/>
                <w:spacing w:val="4"/>
                <w:kern w:val="0"/>
                <w:sz w:val="24"/>
              </w:rPr>
            </w:pPr>
            <w:r>
              <w:rPr>
                <w:rFonts w:hint="eastAsia" w:ascii="Times New Roman" w:hAnsi="Times New Roman" w:eastAsia="宋体" w:cs="宋体"/>
                <w:b/>
                <w:bCs/>
                <w:color w:val="auto"/>
                <w:spacing w:val="4"/>
                <w:kern w:val="0"/>
                <w:sz w:val="21"/>
                <w:szCs w:val="21"/>
              </w:rPr>
              <w:t>表1-1污染影响类专项评价设置原则与本项目判定情况对照表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546"/>
              <w:gridCol w:w="2982"/>
              <w:gridCol w:w="681"/>
            </w:tblGrid>
            <w:tr w14:paraId="1E80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shd w:val="clear" w:color="auto" w:fill="D7D7D7" w:themeFill="background1" w:themeFillShade="D8"/>
                  <w:noWrap w:val="0"/>
                  <w:vAlign w:val="center"/>
                </w:tcPr>
                <w:p w14:paraId="33F385A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类别</w:t>
                  </w:r>
                </w:p>
              </w:tc>
              <w:tc>
                <w:tcPr>
                  <w:tcW w:w="2546" w:type="dxa"/>
                  <w:shd w:val="clear" w:color="auto" w:fill="D7D7D7" w:themeFill="background1" w:themeFillShade="D8"/>
                  <w:noWrap w:val="0"/>
                  <w:vAlign w:val="center"/>
                </w:tcPr>
                <w:p w14:paraId="2DA21AB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设置原则</w:t>
                  </w:r>
                </w:p>
              </w:tc>
              <w:tc>
                <w:tcPr>
                  <w:tcW w:w="2982" w:type="dxa"/>
                  <w:shd w:val="clear" w:color="auto" w:fill="D7D7D7" w:themeFill="background1" w:themeFillShade="D8"/>
                  <w:noWrap w:val="0"/>
                  <w:vAlign w:val="center"/>
                </w:tcPr>
                <w:p w14:paraId="64FE58F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项目判定情况</w:t>
                  </w:r>
                </w:p>
              </w:tc>
              <w:tc>
                <w:tcPr>
                  <w:tcW w:w="681" w:type="dxa"/>
                  <w:shd w:val="clear" w:color="auto" w:fill="D7D7D7" w:themeFill="background1" w:themeFillShade="D8"/>
                  <w:noWrap w:val="0"/>
                  <w:vAlign w:val="center"/>
                </w:tcPr>
                <w:p w14:paraId="57AE90D2">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是否涉及</w:t>
                  </w:r>
                </w:p>
              </w:tc>
            </w:tr>
            <w:tr w14:paraId="5348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4E041917">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大气</w:t>
                  </w:r>
                </w:p>
              </w:tc>
              <w:tc>
                <w:tcPr>
                  <w:tcW w:w="2546" w:type="dxa"/>
                  <w:noWrap w:val="0"/>
                  <w:vAlign w:val="center"/>
                </w:tcPr>
                <w:p w14:paraId="663B707B">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排放废气含有毒有害污染物</w:t>
                  </w:r>
                  <w:r>
                    <w:rPr>
                      <w:rFonts w:ascii="Times New Roman" w:hAnsi="Times New Roman" w:eastAsia="宋体" w:cs="宋体"/>
                      <w:snapToGrid w:val="0"/>
                      <w:color w:val="auto"/>
                      <w:kern w:val="0"/>
                      <w:szCs w:val="21"/>
                      <w:vertAlign w:val="superscript"/>
                      <w:lang w:val="zh-CN"/>
                    </w:rPr>
                    <w:t>1</w:t>
                  </w:r>
                  <w:r>
                    <w:rPr>
                      <w:rFonts w:ascii="Times New Roman" w:hAnsi="Times New Roman" w:eastAsia="宋体" w:cs="宋体"/>
                      <w:snapToGrid w:val="0"/>
                      <w:color w:val="auto"/>
                      <w:kern w:val="0"/>
                      <w:szCs w:val="21"/>
                      <w:lang w:val="zh-CN"/>
                    </w:rPr>
                    <w:t>、二噁英、苯并[</w:t>
                  </w:r>
                  <w:r>
                    <w:rPr>
                      <w:rFonts w:ascii="Times New Roman" w:hAnsi="Times New Roman" w:eastAsia="宋体" w:cs="宋体"/>
                      <w:snapToGrid w:val="0"/>
                      <w:color w:val="auto"/>
                      <w:kern w:val="0"/>
                      <w:szCs w:val="21"/>
                    </w:rPr>
                    <w:t>a]</w:t>
                  </w:r>
                  <w:r>
                    <w:rPr>
                      <w:rFonts w:ascii="Times New Roman" w:hAnsi="Times New Roman" w:eastAsia="宋体" w:cs="宋体"/>
                      <w:snapToGrid w:val="0"/>
                      <w:color w:val="auto"/>
                      <w:kern w:val="0"/>
                      <w:szCs w:val="21"/>
                      <w:lang w:val="zh-CN"/>
                    </w:rPr>
                    <w:t>芘、氰化物、氯气且厂界外500米范围内有环境空气保护目标</w:t>
                  </w:r>
                  <w:r>
                    <w:rPr>
                      <w:rFonts w:ascii="Times New Roman" w:hAnsi="Times New Roman" w:eastAsia="宋体" w:cs="宋体"/>
                      <w:snapToGrid w:val="0"/>
                      <w:color w:val="auto"/>
                      <w:kern w:val="0"/>
                      <w:szCs w:val="21"/>
                      <w:vertAlign w:val="superscript"/>
                      <w:lang w:val="zh-CN"/>
                    </w:rPr>
                    <w:t>2</w:t>
                  </w:r>
                  <w:r>
                    <w:rPr>
                      <w:rFonts w:ascii="Times New Roman" w:hAnsi="Times New Roman" w:eastAsia="宋体" w:cs="宋体"/>
                      <w:snapToGrid w:val="0"/>
                      <w:color w:val="auto"/>
                      <w:kern w:val="0"/>
                      <w:szCs w:val="21"/>
                      <w:lang w:val="zh-CN"/>
                    </w:rPr>
                    <w:t>的建设项目</w:t>
                  </w:r>
                </w:p>
              </w:tc>
              <w:tc>
                <w:tcPr>
                  <w:tcW w:w="2982" w:type="dxa"/>
                  <w:noWrap w:val="0"/>
                  <w:vAlign w:val="center"/>
                </w:tcPr>
                <w:p w14:paraId="3A25D048">
                  <w:pPr>
                    <w:pStyle w:val="31"/>
                    <w:ind w:firstLine="0" w:firstLineChars="0"/>
                    <w:jc w:val="left"/>
                    <w:rPr>
                      <w:rFonts w:ascii="Times New Roman" w:hAnsi="Times New Roman" w:eastAsia="宋体" w:cs="宋体"/>
                      <w:snapToGrid w:val="0"/>
                      <w:color w:val="auto"/>
                      <w:kern w:val="0"/>
                      <w:szCs w:val="21"/>
                      <w:lang w:val="zh-CN"/>
                    </w:rPr>
                  </w:pPr>
                  <w:r>
                    <w:rPr>
                      <w:rFonts w:ascii="Times New Roman" w:hAnsi="Times New Roman" w:eastAsia="宋体"/>
                      <w:color w:val="auto"/>
                    </w:rPr>
                    <w:t>本项目</w:t>
                  </w:r>
                  <w:r>
                    <w:rPr>
                      <w:rFonts w:hint="eastAsia" w:ascii="Times New Roman" w:hAnsi="Times New Roman" w:eastAsia="宋体"/>
                      <w:color w:val="auto"/>
                      <w:lang w:eastAsia="zh-CN"/>
                    </w:rPr>
                    <w:t>排放废气主要为</w:t>
                  </w:r>
                  <w:r>
                    <w:rPr>
                      <w:rFonts w:ascii="Times New Roman" w:hAnsi="Times New Roman" w:eastAsia="宋体"/>
                      <w:color w:val="auto"/>
                    </w:rPr>
                    <w:t>颗粒物</w:t>
                  </w:r>
                  <w:r>
                    <w:rPr>
                      <w:rFonts w:hint="eastAsia" w:ascii="Times New Roman" w:hAnsi="Times New Roman" w:eastAsia="宋体"/>
                      <w:color w:val="auto"/>
                      <w:lang w:eastAsia="zh-CN"/>
                    </w:rPr>
                    <w:t>不涉及</w:t>
                  </w:r>
                  <w:r>
                    <w:rPr>
                      <w:rFonts w:ascii="Times New Roman" w:hAnsi="Times New Roman" w:eastAsia="宋体"/>
                      <w:color w:val="auto"/>
                    </w:rPr>
                    <w:t>《有毒有害大气污染物名录》的污染物及二噁英、苯并[a]芘、氰化物、氯气等污染物。</w:t>
                  </w:r>
                </w:p>
              </w:tc>
              <w:tc>
                <w:tcPr>
                  <w:tcW w:w="681" w:type="dxa"/>
                  <w:noWrap w:val="0"/>
                  <w:vAlign w:val="center"/>
                </w:tcPr>
                <w:p w14:paraId="412882E4">
                  <w:pPr>
                    <w:pStyle w:val="3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0848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6A34249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地表水</w:t>
                  </w:r>
                </w:p>
              </w:tc>
              <w:tc>
                <w:tcPr>
                  <w:tcW w:w="2546" w:type="dxa"/>
                  <w:noWrap w:val="0"/>
                  <w:vAlign w:val="center"/>
                </w:tcPr>
                <w:p w14:paraId="4DBE1979">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新增工业废水直排建设项目（槽罐车外送污水处理厂的除外）；</w:t>
                  </w:r>
                </w:p>
                <w:p w14:paraId="05144C5D">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新增废水直排的污水集中处理厂</w:t>
                  </w:r>
                </w:p>
              </w:tc>
              <w:tc>
                <w:tcPr>
                  <w:tcW w:w="2982" w:type="dxa"/>
                  <w:noWrap w:val="0"/>
                  <w:vAlign w:val="center"/>
                </w:tcPr>
                <w:p w14:paraId="3DD3621B">
                  <w:pPr>
                    <w:pStyle w:val="31"/>
                    <w:ind w:firstLine="0" w:firstLineChars="0"/>
                    <w:jc w:val="left"/>
                    <w:rPr>
                      <w:rFonts w:hint="default" w:ascii="Times New Roman" w:hAnsi="Times New Roman" w:eastAsia="宋体" w:cs="宋体"/>
                      <w:snapToGrid w:val="0"/>
                      <w:color w:val="auto"/>
                      <w:kern w:val="0"/>
                      <w:szCs w:val="21"/>
                      <w:lang w:val="en-US" w:eastAsia="zh-CN"/>
                    </w:rPr>
                  </w:pPr>
                  <w:r>
                    <w:rPr>
                      <w:rFonts w:ascii="Times New Roman" w:hAnsi="Times New Roman" w:eastAsia="宋体"/>
                      <w:color w:val="auto"/>
                    </w:rPr>
                    <w:t>本项目废水主要是生产废水和生活污水。生产废水</w:t>
                  </w:r>
                  <w:r>
                    <w:rPr>
                      <w:rFonts w:hint="eastAsia" w:ascii="Times New Roman" w:hAnsi="Times New Roman" w:eastAsia="宋体"/>
                      <w:color w:val="auto"/>
                      <w:lang w:eastAsia="zh-CN"/>
                    </w:rPr>
                    <w:t>处理后</w:t>
                  </w:r>
                  <w:r>
                    <w:rPr>
                      <w:rFonts w:ascii="Times New Roman" w:hAnsi="Times New Roman" w:eastAsia="宋体"/>
                      <w:color w:val="auto"/>
                    </w:rPr>
                    <w:t>循环使用，不外排；生活污水</w:t>
                  </w:r>
                  <w:r>
                    <w:rPr>
                      <w:rFonts w:hint="eastAsia" w:ascii="Times New Roman" w:hAnsi="Times New Roman" w:eastAsia="宋体"/>
                      <w:color w:val="auto"/>
                      <w:lang w:eastAsia="zh-CN"/>
                    </w:rPr>
                    <w:t>经</w:t>
                  </w:r>
                  <w:r>
                    <w:rPr>
                      <w:rFonts w:ascii="Times New Roman" w:hAnsi="Times New Roman" w:eastAsia="宋体"/>
                      <w:color w:val="auto"/>
                    </w:rPr>
                    <w:t>化粪池</w:t>
                  </w:r>
                  <w:r>
                    <w:rPr>
                      <w:rFonts w:hint="eastAsia" w:ascii="Times New Roman" w:hAnsi="Times New Roman" w:eastAsia="宋体"/>
                      <w:color w:val="auto"/>
                      <w:lang w:eastAsia="zh-CN"/>
                    </w:rPr>
                    <w:t>处理</w:t>
                  </w:r>
                  <w:r>
                    <w:rPr>
                      <w:rFonts w:ascii="Times New Roman" w:hAnsi="Times New Roman" w:eastAsia="宋体"/>
                      <w:color w:val="auto"/>
                    </w:rPr>
                    <w:t>后，</w:t>
                  </w:r>
                  <w:r>
                    <w:rPr>
                      <w:rFonts w:hint="eastAsia" w:cs="Times New Roman"/>
                      <w:color w:val="auto"/>
                      <w:sz w:val="21"/>
                      <w:szCs w:val="21"/>
                      <w:lang w:val="en-US" w:eastAsia="zh-CN"/>
                    </w:rPr>
                    <w:t>利用罐车拉运至纳古镇污水处理站处理，属于间接排放</w:t>
                  </w:r>
                  <w:r>
                    <w:rPr>
                      <w:rFonts w:ascii="Times New Roman" w:hAnsi="Times New Roman" w:eastAsia="宋体"/>
                      <w:color w:val="auto"/>
                    </w:rPr>
                    <w:t>。</w:t>
                  </w:r>
                </w:p>
              </w:tc>
              <w:tc>
                <w:tcPr>
                  <w:tcW w:w="681" w:type="dxa"/>
                  <w:noWrap w:val="0"/>
                  <w:vAlign w:val="center"/>
                </w:tcPr>
                <w:p w14:paraId="0AC3A679">
                  <w:pPr>
                    <w:pStyle w:val="3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48BF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67871EB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环境风险</w:t>
                  </w:r>
                </w:p>
              </w:tc>
              <w:tc>
                <w:tcPr>
                  <w:tcW w:w="2546" w:type="dxa"/>
                  <w:noWrap w:val="0"/>
                  <w:vAlign w:val="center"/>
                </w:tcPr>
                <w:p w14:paraId="7CE3DB8D">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有毒有害和易燃易爆危险物质存储量超过临界量</w:t>
                  </w:r>
                  <w:r>
                    <w:rPr>
                      <w:rFonts w:ascii="Times New Roman" w:hAnsi="Times New Roman" w:eastAsia="宋体" w:cs="宋体"/>
                      <w:snapToGrid w:val="0"/>
                      <w:color w:val="auto"/>
                      <w:kern w:val="0"/>
                      <w:szCs w:val="21"/>
                      <w:vertAlign w:val="superscript"/>
                      <w:lang w:val="zh-CN"/>
                    </w:rPr>
                    <w:t>3</w:t>
                  </w:r>
                  <w:r>
                    <w:rPr>
                      <w:rFonts w:ascii="Times New Roman" w:hAnsi="Times New Roman" w:eastAsia="宋体" w:cs="宋体"/>
                      <w:snapToGrid w:val="0"/>
                      <w:color w:val="auto"/>
                      <w:kern w:val="0"/>
                      <w:szCs w:val="21"/>
                      <w:lang w:val="zh-CN"/>
                    </w:rPr>
                    <w:t>的建设项目</w:t>
                  </w:r>
                </w:p>
              </w:tc>
              <w:tc>
                <w:tcPr>
                  <w:tcW w:w="2982" w:type="dxa"/>
                  <w:noWrap w:val="0"/>
                  <w:vAlign w:val="center"/>
                </w:tcPr>
                <w:p w14:paraId="182BFBC3">
                  <w:pPr>
                    <w:pStyle w:val="31"/>
                    <w:ind w:firstLine="0" w:firstLineChars="0"/>
                    <w:jc w:val="left"/>
                    <w:rPr>
                      <w:rFonts w:ascii="Times New Roman" w:hAnsi="Times New Roman" w:eastAsia="宋体" w:cs="宋体"/>
                      <w:snapToGrid w:val="0"/>
                      <w:color w:val="auto"/>
                      <w:kern w:val="0"/>
                      <w:szCs w:val="21"/>
                      <w:lang w:val="zh-CN"/>
                    </w:rPr>
                  </w:pPr>
                  <w:r>
                    <w:rPr>
                      <w:color w:val="auto"/>
                      <w:kern w:val="0"/>
                      <w:szCs w:val="21"/>
                    </w:rPr>
                    <w:t>项目涉及的环境风险物质为</w:t>
                  </w:r>
                  <w:r>
                    <w:rPr>
                      <w:rFonts w:hint="eastAsia"/>
                      <w:color w:val="auto"/>
                      <w:kern w:val="0"/>
                      <w:szCs w:val="21"/>
                    </w:rPr>
                    <w:t>废机油、</w:t>
                  </w:r>
                  <w:r>
                    <w:rPr>
                      <w:rFonts w:hint="eastAsia"/>
                      <w:color w:val="auto"/>
                      <w:kern w:val="0"/>
                      <w:szCs w:val="21"/>
                      <w:lang w:eastAsia="zh-CN"/>
                    </w:rPr>
                    <w:t>废</w:t>
                  </w:r>
                  <w:r>
                    <w:rPr>
                      <w:rFonts w:hint="eastAsia"/>
                      <w:color w:val="auto"/>
                      <w:kern w:val="0"/>
                      <w:szCs w:val="21"/>
                    </w:rPr>
                    <w:t>液压油等</w:t>
                  </w:r>
                  <w:r>
                    <w:rPr>
                      <w:color w:val="auto"/>
                      <w:kern w:val="0"/>
                      <w:szCs w:val="21"/>
                    </w:rPr>
                    <w:t>，</w:t>
                  </w:r>
                  <w:r>
                    <w:rPr>
                      <w:rFonts w:hint="eastAsia"/>
                      <w:color w:val="auto"/>
                      <w:kern w:val="0"/>
                      <w:szCs w:val="21"/>
                    </w:rPr>
                    <w:t>计算得Q=</w:t>
                  </w:r>
                  <w:r>
                    <w:rPr>
                      <w:rFonts w:hint="eastAsia"/>
                      <w:color w:val="auto"/>
                      <w:kern w:val="0"/>
                      <w:szCs w:val="21"/>
                      <w:lang w:val="en-US" w:eastAsia="zh-CN"/>
                    </w:rPr>
                    <w:t>0.000224</w:t>
                  </w:r>
                  <w:r>
                    <w:rPr>
                      <w:rFonts w:hint="eastAsia"/>
                      <w:color w:val="auto"/>
                      <w:kern w:val="0"/>
                      <w:szCs w:val="21"/>
                    </w:rPr>
                    <w:t>＜1；上述风险物质</w:t>
                  </w:r>
                  <w:r>
                    <w:rPr>
                      <w:color w:val="auto"/>
                      <w:kern w:val="0"/>
                      <w:szCs w:val="21"/>
                    </w:rPr>
                    <w:t>储量</w:t>
                  </w:r>
                  <w:r>
                    <w:rPr>
                      <w:rFonts w:hint="eastAsia"/>
                      <w:color w:val="auto"/>
                      <w:kern w:val="0"/>
                      <w:szCs w:val="21"/>
                    </w:rPr>
                    <w:t>均</w:t>
                  </w:r>
                  <w:r>
                    <w:rPr>
                      <w:color w:val="auto"/>
                      <w:kern w:val="0"/>
                      <w:szCs w:val="21"/>
                    </w:rPr>
                    <w:t>未超过临界量。</w:t>
                  </w:r>
                </w:p>
              </w:tc>
              <w:tc>
                <w:tcPr>
                  <w:tcW w:w="681" w:type="dxa"/>
                  <w:noWrap w:val="0"/>
                  <w:vAlign w:val="center"/>
                </w:tcPr>
                <w:p w14:paraId="529144FD">
                  <w:pPr>
                    <w:pStyle w:val="3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51D2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18E2971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生态</w:t>
                  </w:r>
                </w:p>
              </w:tc>
              <w:tc>
                <w:tcPr>
                  <w:tcW w:w="2546" w:type="dxa"/>
                  <w:noWrap w:val="0"/>
                  <w:vAlign w:val="center"/>
                </w:tcPr>
                <w:p w14:paraId="3EDE8411">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取水口下游</w:t>
                  </w:r>
                  <w:r>
                    <w:rPr>
                      <w:rFonts w:ascii="Times New Roman" w:hAnsi="Times New Roman" w:eastAsia="宋体" w:cs="宋体"/>
                      <w:snapToGrid w:val="0"/>
                      <w:color w:val="auto"/>
                      <w:kern w:val="0"/>
                      <w:szCs w:val="21"/>
                      <w:lang w:val="zh-CN"/>
                    </w:rPr>
                    <w:t>500米范围内有重要水生生物的自然产卵场、索饵场、越冬场和</w:t>
                  </w:r>
                  <w:r>
                    <w:rPr>
                      <w:rFonts w:hint="eastAsia" w:ascii="Times New Roman" w:hAnsi="Times New Roman" w:eastAsia="宋体" w:cs="宋体"/>
                      <w:snapToGrid w:val="0"/>
                      <w:color w:val="auto"/>
                      <w:kern w:val="0"/>
                      <w:szCs w:val="21"/>
                      <w:lang w:val="zh-CN"/>
                    </w:rPr>
                    <w:t>洄游通道的新增河道取水的污染类建设项目</w:t>
                  </w:r>
                </w:p>
              </w:tc>
              <w:tc>
                <w:tcPr>
                  <w:tcW w:w="2982" w:type="dxa"/>
                  <w:noWrap w:val="0"/>
                  <w:vAlign w:val="center"/>
                </w:tcPr>
                <w:p w14:paraId="76329A81">
                  <w:pPr>
                    <w:pStyle w:val="31"/>
                    <w:ind w:firstLine="0" w:firstLineChars="0"/>
                    <w:jc w:val="left"/>
                    <w:rPr>
                      <w:rFonts w:ascii="Times New Roman" w:hAnsi="Times New Roman" w:eastAsia="宋体" w:cs="宋体"/>
                      <w:snapToGrid w:val="0"/>
                      <w:color w:val="auto"/>
                      <w:kern w:val="0"/>
                      <w:szCs w:val="21"/>
                      <w:lang w:val="zh-CN"/>
                    </w:rPr>
                  </w:pPr>
                  <w:r>
                    <w:rPr>
                      <w:color w:val="auto"/>
                    </w:rPr>
                    <w:t>本项目</w:t>
                  </w:r>
                  <w:r>
                    <w:rPr>
                      <w:rFonts w:hint="eastAsia"/>
                      <w:color w:val="auto"/>
                      <w:lang w:eastAsia="zh-CN"/>
                    </w:rPr>
                    <w:t>生活</w:t>
                  </w:r>
                  <w:r>
                    <w:rPr>
                      <w:color w:val="auto"/>
                    </w:rPr>
                    <w:t>用水主</w:t>
                  </w:r>
                  <w:r>
                    <w:rPr>
                      <w:rFonts w:hint="eastAsia" w:ascii="Times New Roman" w:hAnsi="Times New Roman" w:eastAsia="宋体" w:cs="Times New Roman"/>
                      <w:color w:val="auto"/>
                      <w:lang w:eastAsia="zh-CN"/>
                    </w:rPr>
                    <w:t>要依托</w:t>
                  </w:r>
                  <w:r>
                    <w:rPr>
                      <w:rFonts w:hint="eastAsia" w:ascii="Times New Roman" w:hAnsi="Times New Roman" w:eastAsia="宋体" w:cs="Times New Roman"/>
                      <w:color w:val="auto"/>
                      <w:lang w:val="en-US" w:eastAsia="zh-CN"/>
                    </w:rPr>
                    <w:t>通海大白龙工贸有限公司</w:t>
                  </w:r>
                  <w:r>
                    <w:rPr>
                      <w:rFonts w:hint="eastAsia" w:ascii="Times New Roman" w:hAnsi="Times New Roman" w:eastAsia="宋体" w:cs="Times New Roman"/>
                      <w:color w:val="auto"/>
                      <w:lang w:eastAsia="zh-CN"/>
                    </w:rPr>
                    <w:t>接入的自来水管网，不</w:t>
                  </w:r>
                  <w:r>
                    <w:rPr>
                      <w:color w:val="auto"/>
                    </w:rPr>
                    <w:t>涉及取水口。因此项目不做生态环境专项评价。</w:t>
                  </w:r>
                </w:p>
              </w:tc>
              <w:tc>
                <w:tcPr>
                  <w:tcW w:w="681" w:type="dxa"/>
                  <w:noWrap w:val="0"/>
                  <w:vAlign w:val="center"/>
                </w:tcPr>
                <w:p w14:paraId="0373DC3F">
                  <w:pPr>
                    <w:pStyle w:val="31"/>
                    <w:ind w:firstLine="0" w:firstLineChars="0"/>
                    <w:rPr>
                      <w:rFonts w:ascii="Times New Roman" w:hAnsi="Times New Roman" w:eastAsia="宋体" w:cs="宋体"/>
                      <w:snapToGrid w:val="0"/>
                      <w:color w:val="auto"/>
                      <w:kern w:val="0"/>
                      <w:szCs w:val="21"/>
                      <w:lang w:val="zh-CN"/>
                    </w:rPr>
                  </w:pPr>
                  <w:r>
                    <w:rPr>
                      <w:rFonts w:ascii="Times New Roman" w:hAnsi="Times New Roman" w:eastAsia="宋体"/>
                      <w:color w:val="auto"/>
                    </w:rPr>
                    <w:t>否</w:t>
                  </w:r>
                </w:p>
              </w:tc>
            </w:tr>
            <w:tr w14:paraId="5449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14:paraId="4559292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海洋</w:t>
                  </w:r>
                </w:p>
              </w:tc>
              <w:tc>
                <w:tcPr>
                  <w:tcW w:w="2546" w:type="dxa"/>
                  <w:noWrap w:val="0"/>
                  <w:vAlign w:val="center"/>
                </w:tcPr>
                <w:p w14:paraId="17BA4567">
                  <w:pPr>
                    <w:widowControl/>
                    <w:tabs>
                      <w:tab w:val="left" w:pos="-2400"/>
                      <w:tab w:val="left" w:pos="1320"/>
                      <w:tab w:val="left" w:pos="3878"/>
                      <w:tab w:val="left" w:pos="6080"/>
                      <w:tab w:val="left" w:pos="6580"/>
                      <w:tab w:val="left" w:pos="8137"/>
                    </w:tabs>
                    <w:adjustRightInd w:val="0"/>
                    <w:snapToGrid w:val="0"/>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直接向海排放污染物的海洋工程建设项目</w:t>
                  </w:r>
                </w:p>
              </w:tc>
              <w:tc>
                <w:tcPr>
                  <w:tcW w:w="2982" w:type="dxa"/>
                  <w:noWrap w:val="0"/>
                  <w:vAlign w:val="center"/>
                </w:tcPr>
                <w:p w14:paraId="00939D15">
                  <w:pPr>
                    <w:widowControl/>
                    <w:tabs>
                      <w:tab w:val="left" w:pos="-2400"/>
                      <w:tab w:val="left" w:pos="1320"/>
                      <w:tab w:val="left" w:pos="3878"/>
                      <w:tab w:val="left" w:pos="6080"/>
                      <w:tab w:val="left" w:pos="6580"/>
                      <w:tab w:val="left" w:pos="8137"/>
                    </w:tabs>
                    <w:adjustRightInd w:val="0"/>
                    <w:snapToGrid w:val="0"/>
                    <w:jc w:val="left"/>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en-US" w:eastAsia="zh-CN"/>
                    </w:rPr>
                    <w:t>本</w:t>
                  </w:r>
                  <w:r>
                    <w:rPr>
                      <w:rFonts w:hint="eastAsia" w:ascii="Times New Roman" w:hAnsi="Times New Roman" w:eastAsia="宋体" w:cs="宋体"/>
                      <w:snapToGrid w:val="0"/>
                      <w:color w:val="auto"/>
                      <w:kern w:val="0"/>
                      <w:szCs w:val="21"/>
                      <w:lang w:val="zh-CN"/>
                    </w:rPr>
                    <w:t>项目不涉及。</w:t>
                  </w:r>
                </w:p>
              </w:tc>
              <w:tc>
                <w:tcPr>
                  <w:tcW w:w="681" w:type="dxa"/>
                  <w:noWrap w:val="0"/>
                  <w:vAlign w:val="center"/>
                </w:tcPr>
                <w:p w14:paraId="667B1AE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cs="宋体"/>
                      <w:snapToGrid w:val="0"/>
                      <w:color w:val="auto"/>
                      <w:kern w:val="0"/>
                      <w:szCs w:val="21"/>
                      <w:lang w:val="zh-CN"/>
                    </w:rPr>
                  </w:pPr>
                  <w:r>
                    <w:rPr>
                      <w:rFonts w:hint="eastAsia" w:ascii="Times New Roman" w:hAnsi="Times New Roman" w:eastAsia="宋体" w:cs="宋体"/>
                      <w:snapToGrid w:val="0"/>
                      <w:color w:val="auto"/>
                      <w:kern w:val="0"/>
                      <w:szCs w:val="21"/>
                      <w:lang w:val="zh-CN"/>
                    </w:rPr>
                    <w:t>否</w:t>
                  </w:r>
                </w:p>
              </w:tc>
            </w:tr>
          </w:tbl>
          <w:p w14:paraId="4D8B4E59">
            <w:pPr>
              <w:spacing w:line="360" w:lineRule="auto"/>
              <w:ind w:firstLine="420" w:firstLineChars="20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注：1.废气中有毒有害污染物指纳入《有毒有害大气污染物名录》的污染物（二氯甲烷、甲醛、三氯甲烷、三氯乙烯、四氯乙烯、乙醛、镉及其化合物、铬及其化合物、汞及其化合物、铅及其化合物、砷及其化合物）（不包括无排放标准的污染物）。</w:t>
            </w:r>
          </w:p>
          <w:p w14:paraId="2662AB59">
            <w:pPr>
              <w:spacing w:line="360" w:lineRule="auto"/>
              <w:ind w:firstLine="420" w:firstLineChars="20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2.环境空气保护目标指自然保护区、风景名胜区、居住区、文化区和农村地区中人群较集中的区域。</w:t>
            </w:r>
          </w:p>
          <w:p w14:paraId="56F2E8EA">
            <w:pPr>
              <w:spacing w:line="360" w:lineRule="auto"/>
              <w:ind w:firstLine="420" w:firstLineChars="200"/>
              <w:rPr>
                <w:rFonts w:ascii="Times New Roman" w:hAnsi="Times New Roman" w:eastAsia="宋体"/>
                <w:color w:val="auto"/>
                <w:kern w:val="0"/>
                <w:sz w:val="24"/>
              </w:rPr>
            </w:pPr>
            <w:r>
              <w:rPr>
                <w:rFonts w:hint="eastAsia" w:ascii="Times New Roman" w:hAnsi="Times New Roman" w:cs="Times New Roman"/>
                <w:color w:val="auto"/>
                <w:sz w:val="21"/>
                <w:szCs w:val="21"/>
              </w:rPr>
              <w:t>3.临界量及其计算方法可参考《建设项目环境风险评价技术导则》（HJ169）附录B、附录C。</w:t>
            </w:r>
          </w:p>
        </w:tc>
      </w:tr>
      <w:tr w14:paraId="39695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849" w:type="dxa"/>
            <w:vAlign w:val="center"/>
          </w:tcPr>
          <w:p w14:paraId="199BD6F0">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sz w:val="24"/>
              </w:rPr>
              <w:t>规划情况</w:t>
            </w:r>
          </w:p>
        </w:tc>
        <w:tc>
          <w:tcPr>
            <w:tcW w:w="7142" w:type="dxa"/>
            <w:gridSpan w:val="3"/>
            <w:vAlign w:val="center"/>
          </w:tcPr>
          <w:p w14:paraId="587F22BE">
            <w:pPr>
              <w:pStyle w:val="35"/>
              <w:keepNext w:val="0"/>
              <w:pageBreakBefore w:val="0"/>
              <w:widowControl w:val="0"/>
              <w:kinsoku/>
              <w:overflowPunct/>
              <w:bidi w:val="0"/>
              <w:spacing w:before="24" w:after="24" w:line="460" w:lineRule="exact"/>
              <w:ind w:left="0" w:leftChars="0" w:firstLine="0" w:firstLineChars="0"/>
              <w:textAlignment w:val="auto"/>
              <w:rPr>
                <w:rFonts w:hint="eastAsia" w:ascii="Times New Roman" w:hAnsi="Times New Roman" w:eastAsia="宋体" w:cs="Times New Roman"/>
                <w:b/>
                <w:bCs/>
                <w:color w:val="auto"/>
                <w:spacing w:val="-6"/>
                <w:sz w:val="24"/>
                <w:lang w:val="en-US" w:eastAsia="zh-CN"/>
              </w:rPr>
            </w:pPr>
            <w:r>
              <w:rPr>
                <w:rFonts w:hint="eastAsia" w:ascii="Times New Roman" w:hAnsi="Times New Roman" w:eastAsia="宋体" w:cs="Times New Roman"/>
                <w:b/>
                <w:bCs/>
                <w:color w:val="auto"/>
                <w:spacing w:val="-6"/>
                <w:sz w:val="24"/>
                <w:lang w:val="en-US" w:eastAsia="zh-CN"/>
              </w:rPr>
              <w:t>（</w:t>
            </w:r>
            <w:r>
              <w:rPr>
                <w:rFonts w:hint="eastAsia" w:cs="Times New Roman"/>
                <w:b/>
                <w:bCs/>
                <w:color w:val="auto"/>
                <w:spacing w:val="-6"/>
                <w:sz w:val="24"/>
                <w:lang w:val="en-US" w:eastAsia="zh-CN"/>
              </w:rPr>
              <w:t>1</w:t>
            </w:r>
            <w:r>
              <w:rPr>
                <w:rFonts w:hint="eastAsia" w:ascii="Times New Roman" w:hAnsi="Times New Roman" w:eastAsia="宋体" w:cs="Times New Roman"/>
                <w:b/>
                <w:bCs/>
                <w:color w:val="auto"/>
                <w:spacing w:val="-6"/>
                <w:sz w:val="24"/>
                <w:lang w:val="en-US" w:eastAsia="zh-CN"/>
              </w:rPr>
              <w:t>）项目与《通海县国土空间总体规划（2021—2035年）》规划符合性分析</w:t>
            </w:r>
          </w:p>
          <w:p w14:paraId="29EA8FF9">
            <w:pPr>
              <w:keepNext w:val="0"/>
              <w:pageBreakBefore w:val="0"/>
              <w:widowControl w:val="0"/>
              <w:kinsoku/>
              <w:overflowPunct/>
              <w:bidi w:val="0"/>
              <w:adjustRightInd w:val="0"/>
              <w:snapToGrid w:val="0"/>
              <w:spacing w:line="460" w:lineRule="exact"/>
              <w:ind w:firstLine="456" w:firstLineChars="200"/>
              <w:textAlignment w:val="auto"/>
              <w:rPr>
                <w:rFonts w:hint="eastAsia"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根据《通海县国土空间总体规划（2021—2035年）》，通海县中心城区范围为：北至玉通公路—杞麓湖湖泊生态黄线，南至呈通高速公路—秀山后山沿线—里山工业园区城镇开发边界，西至通海火车站西侧呈通高速连接线，东至秀山街道行政边界，包括秀山街道城镇集中连片区域、里山工业园区城镇开发边界内区域、九龙街道集镇和通海火车站物流园片区。规划要求夯实“三区三线”，优化总体格局。</w:t>
            </w:r>
          </w:p>
          <w:p w14:paraId="580272B8">
            <w:pPr>
              <w:keepNext w:val="0"/>
              <w:pageBreakBefore w:val="0"/>
              <w:widowControl w:val="0"/>
              <w:kinsoku/>
              <w:overflowPunct/>
              <w:bidi w:val="0"/>
              <w:adjustRightInd w:val="0"/>
              <w:snapToGrid w:val="0"/>
              <w:spacing w:line="460" w:lineRule="exact"/>
              <w:ind w:firstLine="456" w:firstLineChars="200"/>
              <w:textAlignment w:val="auto"/>
              <w:rPr>
                <w:rFonts w:hint="eastAsia"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lang w:val="en-US" w:eastAsia="zh-CN"/>
              </w:rPr>
              <w:t>本项目位于玉溪市通海县</w:t>
            </w:r>
            <w:r>
              <w:rPr>
                <w:rFonts w:hint="eastAsia" w:cs="Times New Roman"/>
                <w:color w:val="auto"/>
                <w:spacing w:val="-6"/>
                <w:sz w:val="24"/>
                <w:lang w:val="en-US" w:eastAsia="zh-CN"/>
              </w:rPr>
              <w:t>纳古</w:t>
            </w:r>
            <w:r>
              <w:rPr>
                <w:rFonts w:hint="eastAsia" w:ascii="Times New Roman" w:hAnsi="Times New Roman" w:eastAsia="宋体" w:cs="Times New Roman"/>
                <w:color w:val="auto"/>
                <w:spacing w:val="-6"/>
                <w:sz w:val="24"/>
                <w:lang w:val="en-US" w:eastAsia="zh-CN"/>
              </w:rPr>
              <w:t>镇</w:t>
            </w:r>
            <w:r>
              <w:rPr>
                <w:rFonts w:hint="eastAsia" w:cs="Times New Roman"/>
                <w:color w:val="auto"/>
                <w:spacing w:val="-6"/>
                <w:sz w:val="24"/>
                <w:lang w:val="en-US" w:eastAsia="zh-CN"/>
              </w:rPr>
              <w:t>大白龙</w:t>
            </w:r>
            <w:r>
              <w:rPr>
                <w:rFonts w:hint="eastAsia" w:ascii="Times New Roman" w:hAnsi="Times New Roman" w:eastAsia="宋体" w:cs="Times New Roman"/>
                <w:color w:val="auto"/>
                <w:spacing w:val="-6"/>
                <w:sz w:val="24"/>
                <w:highlight w:val="none"/>
                <w:lang w:val="en-US" w:eastAsia="zh-CN"/>
              </w:rPr>
              <w:t>，根据通海县自然资源局于202</w:t>
            </w:r>
            <w:r>
              <w:rPr>
                <w:rFonts w:hint="eastAsia" w:cs="Times New Roman"/>
                <w:color w:val="auto"/>
                <w:spacing w:val="-6"/>
                <w:sz w:val="24"/>
                <w:highlight w:val="none"/>
                <w:lang w:val="en-US" w:eastAsia="zh-CN"/>
              </w:rPr>
              <w:t>6</w:t>
            </w:r>
            <w:r>
              <w:rPr>
                <w:rFonts w:hint="eastAsia" w:ascii="Times New Roman" w:hAnsi="Times New Roman" w:eastAsia="宋体" w:cs="Times New Roman"/>
                <w:color w:val="auto"/>
                <w:spacing w:val="-6"/>
                <w:sz w:val="24"/>
                <w:highlight w:val="none"/>
                <w:lang w:val="en-US" w:eastAsia="zh-CN"/>
              </w:rPr>
              <w:t>年1月</w:t>
            </w:r>
            <w:r>
              <w:rPr>
                <w:rFonts w:hint="eastAsia" w:cs="Times New Roman"/>
                <w:color w:val="auto"/>
                <w:spacing w:val="-6"/>
                <w:sz w:val="24"/>
                <w:highlight w:val="none"/>
                <w:lang w:val="en-US" w:eastAsia="zh-CN"/>
              </w:rPr>
              <w:t>12</w:t>
            </w:r>
            <w:r>
              <w:rPr>
                <w:rFonts w:hint="eastAsia" w:ascii="Times New Roman" w:hAnsi="Times New Roman" w:eastAsia="宋体" w:cs="Times New Roman"/>
                <w:color w:val="auto"/>
                <w:spacing w:val="-6"/>
                <w:sz w:val="24"/>
                <w:highlight w:val="none"/>
                <w:lang w:val="en-US" w:eastAsia="zh-CN"/>
              </w:rPr>
              <w:t>日出具的“通海县三区三线”数据查询结果，本项目矢量范围内不涉及永久基本农田，不涉及生态保护红线，位于城镇开发边界内，因此项目符合</w:t>
            </w:r>
            <w:r>
              <w:rPr>
                <w:rFonts w:hint="eastAsia" w:cs="Times New Roman"/>
                <w:color w:val="auto"/>
                <w:spacing w:val="-6"/>
                <w:sz w:val="24"/>
                <w:highlight w:val="none"/>
                <w:lang w:val="en-US" w:eastAsia="zh-CN"/>
              </w:rPr>
              <w:t>分区管控</w:t>
            </w:r>
            <w:r>
              <w:rPr>
                <w:rFonts w:hint="eastAsia" w:ascii="Times New Roman" w:hAnsi="Times New Roman" w:eastAsia="宋体" w:cs="Times New Roman"/>
                <w:color w:val="auto"/>
                <w:spacing w:val="-6"/>
                <w:sz w:val="24"/>
                <w:highlight w:val="none"/>
                <w:lang w:val="en-US" w:eastAsia="zh-CN"/>
              </w:rPr>
              <w:t>要求。202</w:t>
            </w:r>
            <w:r>
              <w:rPr>
                <w:rFonts w:hint="eastAsia" w:cs="Times New Roman"/>
                <w:color w:val="auto"/>
                <w:spacing w:val="-6"/>
                <w:sz w:val="24"/>
                <w:highlight w:val="none"/>
                <w:lang w:val="en-US" w:eastAsia="zh-CN"/>
              </w:rPr>
              <w:t>6</w:t>
            </w:r>
            <w:r>
              <w:rPr>
                <w:rFonts w:hint="eastAsia" w:ascii="Times New Roman" w:hAnsi="Times New Roman" w:eastAsia="宋体" w:cs="Times New Roman"/>
                <w:color w:val="auto"/>
                <w:spacing w:val="-6"/>
                <w:sz w:val="24"/>
                <w:highlight w:val="none"/>
                <w:lang w:val="en-US" w:eastAsia="zh-CN"/>
              </w:rPr>
              <w:t>年1月1</w:t>
            </w:r>
            <w:r>
              <w:rPr>
                <w:rFonts w:hint="eastAsia" w:cs="Times New Roman"/>
                <w:color w:val="auto"/>
                <w:spacing w:val="-6"/>
                <w:sz w:val="24"/>
                <w:highlight w:val="none"/>
                <w:lang w:val="en-US" w:eastAsia="zh-CN"/>
              </w:rPr>
              <w:t>5</w:t>
            </w:r>
            <w:r>
              <w:rPr>
                <w:rFonts w:hint="eastAsia" w:ascii="Times New Roman" w:hAnsi="Times New Roman" w:eastAsia="宋体" w:cs="Times New Roman"/>
                <w:color w:val="auto"/>
                <w:spacing w:val="-6"/>
                <w:sz w:val="24"/>
                <w:highlight w:val="none"/>
                <w:lang w:val="en-US" w:eastAsia="zh-CN"/>
              </w:rPr>
              <w:t>日通海县纳古镇人民政府出具的</w:t>
            </w:r>
            <w:r>
              <w:rPr>
                <w:rFonts w:hint="eastAsia" w:cs="Times New Roman"/>
                <w:color w:val="auto"/>
                <w:spacing w:val="-6"/>
                <w:sz w:val="24"/>
                <w:highlight w:val="none"/>
                <w:lang w:val="en-US" w:eastAsia="zh-CN"/>
              </w:rPr>
              <w:t>请示</w:t>
            </w:r>
            <w:r>
              <w:rPr>
                <w:rFonts w:hint="eastAsia" w:ascii="Times New Roman" w:hAnsi="Times New Roman" w:eastAsia="宋体" w:cs="宋体"/>
                <w:color w:val="auto"/>
                <w:spacing w:val="-6"/>
                <w:kern w:val="0"/>
                <w:sz w:val="24"/>
                <w:lang w:eastAsia="zh-CN"/>
              </w:rPr>
              <w:t>（详见附件3）</w:t>
            </w:r>
            <w:r>
              <w:rPr>
                <w:rFonts w:hint="eastAsia" w:cs="宋体"/>
                <w:color w:val="auto"/>
                <w:spacing w:val="-6"/>
                <w:kern w:val="0"/>
                <w:sz w:val="24"/>
                <w:lang w:eastAsia="zh-CN"/>
              </w:rPr>
              <w:t>及</w:t>
            </w:r>
            <w:r>
              <w:rPr>
                <w:rFonts w:hint="eastAsia" w:cs="宋体"/>
                <w:color w:val="auto"/>
                <w:spacing w:val="-6"/>
                <w:kern w:val="0"/>
                <w:sz w:val="24"/>
                <w:lang w:val="en-US" w:eastAsia="zh-CN"/>
              </w:rPr>
              <w:t>2026年1月16日通海县自然资源局出具的关于在编纳古镇北片区国土空间详细规划（2单元）中大白龙片区规划用途修改完善的回复（详见附件4）</w:t>
            </w:r>
            <w:r>
              <w:rPr>
                <w:rFonts w:hint="eastAsia" w:ascii="Times New Roman" w:hAnsi="Times New Roman" w:eastAsia="宋体" w:cs="Times New Roman"/>
                <w:color w:val="auto"/>
                <w:spacing w:val="-6"/>
                <w:sz w:val="24"/>
                <w:highlight w:val="none"/>
                <w:lang w:val="en-US" w:eastAsia="zh-CN"/>
              </w:rPr>
              <w:t>，项目用地与《通海县国土空间总体规划（2021—2035年）》规划不冲突。</w:t>
            </w:r>
          </w:p>
          <w:p w14:paraId="76685241">
            <w:pPr>
              <w:pStyle w:val="35"/>
              <w:keepNext w:val="0"/>
              <w:pageBreakBefore w:val="0"/>
              <w:widowControl w:val="0"/>
              <w:kinsoku/>
              <w:overflowPunct/>
              <w:bidi w:val="0"/>
              <w:spacing w:before="24" w:after="24" w:line="460" w:lineRule="exact"/>
              <w:ind w:left="0" w:leftChars="0" w:firstLine="0" w:firstLineChars="0"/>
              <w:textAlignment w:val="auto"/>
              <w:rPr>
                <w:rFonts w:hint="eastAsia" w:ascii="Times New Roman" w:hAnsi="Times New Roman" w:eastAsia="宋体" w:cs="Times New Roman"/>
                <w:b/>
                <w:bCs/>
                <w:color w:val="auto"/>
                <w:spacing w:val="-6"/>
                <w:sz w:val="24"/>
                <w:lang w:val="en-US" w:eastAsia="zh-CN"/>
              </w:rPr>
            </w:pPr>
            <w:r>
              <w:rPr>
                <w:rFonts w:hint="eastAsia" w:ascii="Times New Roman" w:hAnsi="Times New Roman" w:eastAsia="宋体" w:cs="Times New Roman"/>
                <w:b/>
                <w:bCs/>
                <w:color w:val="auto"/>
                <w:spacing w:val="-6"/>
                <w:sz w:val="24"/>
                <w:lang w:val="en-US" w:eastAsia="zh-CN"/>
              </w:rPr>
              <w:t>（</w:t>
            </w:r>
            <w:r>
              <w:rPr>
                <w:rFonts w:hint="eastAsia" w:cs="Times New Roman"/>
                <w:b/>
                <w:bCs/>
                <w:color w:val="auto"/>
                <w:spacing w:val="-6"/>
                <w:sz w:val="24"/>
                <w:lang w:val="en-US" w:eastAsia="zh-CN"/>
              </w:rPr>
              <w:t>2</w:t>
            </w:r>
            <w:r>
              <w:rPr>
                <w:rFonts w:hint="eastAsia" w:ascii="Times New Roman" w:hAnsi="Times New Roman" w:eastAsia="宋体" w:cs="Times New Roman"/>
                <w:b/>
                <w:bCs/>
                <w:color w:val="auto"/>
                <w:spacing w:val="-6"/>
                <w:sz w:val="24"/>
                <w:lang w:val="en-US" w:eastAsia="zh-CN"/>
              </w:rPr>
              <w:t>）项目与《玉溪市通海县纳古镇集镇区国土空间详细规划（2单元）》规划符合性分析</w:t>
            </w:r>
          </w:p>
          <w:p w14:paraId="0B790F39">
            <w:pPr>
              <w:keepNext w:val="0"/>
              <w:pageBreakBefore w:val="0"/>
              <w:widowControl w:val="0"/>
              <w:kinsoku/>
              <w:overflowPunct/>
              <w:bidi w:val="0"/>
              <w:adjustRightInd w:val="0"/>
              <w:snapToGrid w:val="0"/>
              <w:spacing w:line="460" w:lineRule="exact"/>
              <w:ind w:firstLine="456" w:firstLineChars="200"/>
              <w:textAlignment w:val="auto"/>
              <w:rPr>
                <w:rFonts w:hint="eastAsia" w:cs="Times New Roman"/>
                <w:color w:val="auto"/>
                <w:spacing w:val="-6"/>
                <w:sz w:val="24"/>
                <w:lang w:val="en-US" w:eastAsia="zh-CN"/>
              </w:rPr>
            </w:pPr>
            <w:r>
              <w:rPr>
                <w:rFonts w:hint="eastAsia" w:cs="Times New Roman"/>
                <w:color w:val="auto"/>
                <w:spacing w:val="-6"/>
                <w:sz w:val="24"/>
                <w:lang w:val="en-US" w:eastAsia="zh-CN"/>
              </w:rPr>
              <w:t>根据《玉溪市通海县纳古镇集镇区国土空间详细规划（2单元）》，规划范围与已批复的《通海县国土空间总体规划(2021-2035年)》划定的城镇单元纳古-2单元(530423106010020)的范围保持一致，北接江川区，南至在建弥楚高速与G245国道交汇处，西至鸡脖子山脚，东至米冲水库，总面积222.50公顷，其中146.47公顷在纳古镇行政区范围内，另外76.03公顷在四街镇行政区范围内。</w:t>
            </w:r>
          </w:p>
          <w:p w14:paraId="3B482EF5">
            <w:pPr>
              <w:keepNext w:val="0"/>
              <w:pageBreakBefore w:val="0"/>
              <w:widowControl w:val="0"/>
              <w:kinsoku/>
              <w:overflowPunct/>
              <w:bidi w:val="0"/>
              <w:adjustRightInd w:val="0"/>
              <w:snapToGrid w:val="0"/>
              <w:spacing w:line="460" w:lineRule="exact"/>
              <w:ind w:firstLine="456" w:firstLineChars="200"/>
              <w:textAlignment w:val="auto"/>
              <w:rPr>
                <w:rFonts w:hint="eastAsia" w:ascii="Times New Roman" w:hAnsi="Times New Roman" w:eastAsia="宋体"/>
                <w:color w:val="auto"/>
                <w:kern w:val="0"/>
                <w:sz w:val="24"/>
                <w:lang w:eastAsia="zh-CN"/>
              </w:rPr>
            </w:pPr>
            <w:r>
              <w:rPr>
                <w:rFonts w:hint="eastAsia" w:ascii="Times New Roman" w:hAnsi="Times New Roman" w:eastAsia="宋体" w:cs="Times New Roman"/>
                <w:color w:val="auto"/>
                <w:spacing w:val="-6"/>
                <w:sz w:val="24"/>
                <w:lang w:val="en-US" w:eastAsia="zh-CN"/>
              </w:rPr>
              <w:t>本项目位于玉溪市通海县</w:t>
            </w:r>
            <w:r>
              <w:rPr>
                <w:rFonts w:hint="eastAsia" w:cs="Times New Roman"/>
                <w:color w:val="auto"/>
                <w:spacing w:val="-6"/>
                <w:sz w:val="24"/>
                <w:lang w:val="en-US" w:eastAsia="zh-CN"/>
              </w:rPr>
              <w:t>纳古</w:t>
            </w:r>
            <w:r>
              <w:rPr>
                <w:rFonts w:hint="eastAsia" w:ascii="Times New Roman" w:hAnsi="Times New Roman" w:eastAsia="宋体" w:cs="Times New Roman"/>
                <w:color w:val="auto"/>
                <w:spacing w:val="-6"/>
                <w:sz w:val="24"/>
                <w:lang w:val="en-US" w:eastAsia="zh-CN"/>
              </w:rPr>
              <w:t>镇</w:t>
            </w:r>
            <w:r>
              <w:rPr>
                <w:rFonts w:hint="eastAsia" w:cs="Times New Roman"/>
                <w:color w:val="auto"/>
                <w:spacing w:val="-6"/>
                <w:sz w:val="24"/>
                <w:lang w:val="en-US" w:eastAsia="zh-CN"/>
              </w:rPr>
              <w:t>大白龙</w:t>
            </w:r>
            <w:r>
              <w:rPr>
                <w:rFonts w:hint="eastAsia" w:ascii="Times New Roman" w:hAnsi="Times New Roman" w:eastAsia="宋体" w:cs="Times New Roman"/>
                <w:color w:val="auto"/>
                <w:spacing w:val="-6"/>
                <w:sz w:val="24"/>
                <w:lang w:val="en-US" w:eastAsia="zh-CN"/>
              </w:rPr>
              <w:t>，</w:t>
            </w:r>
            <w:r>
              <w:rPr>
                <w:rFonts w:hint="eastAsia" w:cs="Times New Roman"/>
                <w:color w:val="auto"/>
                <w:spacing w:val="-6"/>
                <w:sz w:val="24"/>
                <w:lang w:val="en-US" w:eastAsia="zh-CN"/>
              </w:rPr>
              <w:t>根据《玉溪市通海县纳古镇集镇区国土空间详细规划（2单元）》规划范围图，项目所在地属于通海县纳古镇集镇区范围（详见附图7），通海县纳古镇集镇区国土空间详细规划（2单元）国土空间结构规划构建“一环、一心、四片、两带”的国土空间功能结构。“一环”：将四个片区串联成集镇区多远绿色产业联动环；“一心”：指整个单元中心的综合服务中心；“四片”：整个单元由四个片区组成，分别为北部现代物流片区、西部彩印包装片区、东部装备制造片区；“两带”：由东西两侧山体、林地构建的两条山林屏障隔离带。项目位于“四片”中的北部现代物流片区，该项目选址为物流仓储用地，</w:t>
            </w:r>
            <w:r>
              <w:rPr>
                <w:rFonts w:hint="eastAsia" w:ascii="Times New Roman" w:hAnsi="Times New Roman" w:eastAsia="宋体" w:cs="Times New Roman"/>
                <w:color w:val="auto"/>
                <w:spacing w:val="-6"/>
                <w:sz w:val="24"/>
                <w:highlight w:val="none"/>
                <w:lang w:val="en-US" w:eastAsia="zh-CN"/>
              </w:rPr>
              <w:t>202</w:t>
            </w:r>
            <w:r>
              <w:rPr>
                <w:rFonts w:hint="eastAsia" w:cs="Times New Roman"/>
                <w:color w:val="auto"/>
                <w:spacing w:val="-6"/>
                <w:sz w:val="24"/>
                <w:highlight w:val="none"/>
                <w:lang w:val="en-US" w:eastAsia="zh-CN"/>
              </w:rPr>
              <w:t>6</w:t>
            </w:r>
            <w:r>
              <w:rPr>
                <w:rFonts w:hint="eastAsia" w:ascii="Times New Roman" w:hAnsi="Times New Roman" w:eastAsia="宋体" w:cs="Times New Roman"/>
                <w:color w:val="auto"/>
                <w:spacing w:val="-6"/>
                <w:sz w:val="24"/>
                <w:highlight w:val="none"/>
                <w:lang w:val="en-US" w:eastAsia="zh-CN"/>
              </w:rPr>
              <w:t>年1月1</w:t>
            </w:r>
            <w:r>
              <w:rPr>
                <w:rFonts w:hint="eastAsia" w:cs="Times New Roman"/>
                <w:color w:val="auto"/>
                <w:spacing w:val="-6"/>
                <w:sz w:val="24"/>
                <w:highlight w:val="none"/>
                <w:lang w:val="en-US" w:eastAsia="zh-CN"/>
              </w:rPr>
              <w:t>5</w:t>
            </w:r>
            <w:r>
              <w:rPr>
                <w:rFonts w:hint="eastAsia" w:ascii="Times New Roman" w:hAnsi="Times New Roman" w:eastAsia="宋体" w:cs="Times New Roman"/>
                <w:color w:val="auto"/>
                <w:spacing w:val="-6"/>
                <w:sz w:val="24"/>
                <w:highlight w:val="none"/>
                <w:lang w:val="en-US" w:eastAsia="zh-CN"/>
              </w:rPr>
              <w:t>日，通海县纳古镇人民政府出具的</w:t>
            </w:r>
            <w:r>
              <w:rPr>
                <w:rFonts w:hint="eastAsia" w:cs="Times New Roman"/>
                <w:color w:val="auto"/>
                <w:spacing w:val="-6"/>
                <w:sz w:val="24"/>
                <w:highlight w:val="none"/>
                <w:lang w:val="en-US" w:eastAsia="zh-CN"/>
              </w:rPr>
              <w:t>请示</w:t>
            </w:r>
            <w:r>
              <w:rPr>
                <w:rFonts w:hint="eastAsia" w:ascii="Times New Roman" w:hAnsi="Times New Roman" w:eastAsia="宋体" w:cs="宋体"/>
                <w:color w:val="auto"/>
                <w:spacing w:val="-6"/>
                <w:kern w:val="0"/>
                <w:sz w:val="24"/>
                <w:lang w:eastAsia="zh-CN"/>
              </w:rPr>
              <w:t>（详见附件3）</w:t>
            </w:r>
            <w:r>
              <w:rPr>
                <w:rFonts w:hint="eastAsia" w:cs="宋体"/>
                <w:color w:val="auto"/>
                <w:spacing w:val="-6"/>
                <w:kern w:val="0"/>
                <w:sz w:val="24"/>
                <w:lang w:eastAsia="zh-CN"/>
              </w:rPr>
              <w:t>，纳古镇计划将该区域规划调整为工业用地；</w:t>
            </w:r>
            <w:r>
              <w:rPr>
                <w:rFonts w:hint="eastAsia" w:cs="宋体"/>
                <w:color w:val="auto"/>
                <w:spacing w:val="-6"/>
                <w:kern w:val="0"/>
                <w:sz w:val="24"/>
                <w:lang w:val="en-US" w:eastAsia="zh-CN"/>
              </w:rPr>
              <w:t>2026年1月16日通海县自然资源局出具的关于在编纳古镇北片区国土空间详细规划（2单元）中大白龙片区规划用途修改完善的回复（详见附件4），原则同意将物流仓储用地调整为工业用地符合上位规划的管控规则</w:t>
            </w:r>
            <w:r>
              <w:rPr>
                <w:rFonts w:hint="eastAsia" w:ascii="Times New Roman" w:hAnsi="Times New Roman" w:eastAsia="宋体" w:cs="Times New Roman"/>
                <w:color w:val="auto"/>
                <w:spacing w:val="-6"/>
                <w:sz w:val="24"/>
                <w:highlight w:val="none"/>
                <w:lang w:val="en-US" w:eastAsia="zh-CN"/>
              </w:rPr>
              <w:t>。项目用地与</w:t>
            </w:r>
            <w:r>
              <w:rPr>
                <w:rFonts w:hint="eastAsia" w:cs="Times New Roman"/>
                <w:color w:val="auto"/>
                <w:spacing w:val="-6"/>
                <w:sz w:val="24"/>
                <w:lang w:val="en-US" w:eastAsia="zh-CN"/>
              </w:rPr>
              <w:t>《玉溪市通海县纳古镇集镇区国土空间详细规划（2单元）》</w:t>
            </w:r>
            <w:r>
              <w:rPr>
                <w:rFonts w:hint="eastAsia" w:ascii="Times New Roman" w:hAnsi="Times New Roman" w:eastAsia="宋体" w:cs="Times New Roman"/>
                <w:color w:val="auto"/>
                <w:spacing w:val="-6"/>
                <w:sz w:val="24"/>
                <w:highlight w:val="none"/>
                <w:lang w:val="en-US" w:eastAsia="zh-CN"/>
              </w:rPr>
              <w:t>不冲突。</w:t>
            </w:r>
          </w:p>
        </w:tc>
      </w:tr>
      <w:tr w14:paraId="0A974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9" w:type="dxa"/>
            <w:vAlign w:val="center"/>
          </w:tcPr>
          <w:p w14:paraId="38B8730D">
            <w:pPr>
              <w:adjustRightInd w:val="0"/>
              <w:snapToGrid w:val="0"/>
              <w:jc w:val="center"/>
              <w:rPr>
                <w:rFonts w:ascii="Times New Roman" w:hAnsi="Times New Roman" w:eastAsia="宋体"/>
                <w:color w:val="auto"/>
                <w:kern w:val="0"/>
                <w:sz w:val="24"/>
              </w:rPr>
            </w:pPr>
            <w:r>
              <w:rPr>
                <w:rFonts w:ascii="Times New Roman" w:hAnsi="Times New Roman" w:eastAsia="宋体"/>
                <w:color w:val="auto"/>
                <w:sz w:val="24"/>
              </w:rPr>
              <w:t>规划环境影响评价情况</w:t>
            </w:r>
          </w:p>
        </w:tc>
        <w:tc>
          <w:tcPr>
            <w:tcW w:w="7142" w:type="dxa"/>
            <w:gridSpan w:val="3"/>
            <w:vAlign w:val="center"/>
          </w:tcPr>
          <w:p w14:paraId="53CC7241">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ascii="Times New Roman" w:hAnsi="Times New Roman" w:eastAsia="宋体"/>
                <w:color w:val="auto"/>
                <w:kern w:val="0"/>
                <w:sz w:val="24"/>
              </w:rPr>
            </w:pPr>
            <w:r>
              <w:rPr>
                <w:rFonts w:hint="eastAsia" w:ascii="Times New Roman" w:hAnsi="Times New Roman" w:eastAsia="宋体"/>
                <w:b w:val="0"/>
                <w:bCs w:val="0"/>
                <w:color w:val="auto"/>
                <w:kern w:val="0"/>
                <w:sz w:val="24"/>
                <w:lang w:val="en-US" w:eastAsia="zh-CN"/>
              </w:rPr>
              <w:t>无</w:t>
            </w:r>
          </w:p>
        </w:tc>
      </w:tr>
      <w:tr w14:paraId="77C7F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849" w:type="dxa"/>
            <w:vAlign w:val="center"/>
          </w:tcPr>
          <w:p w14:paraId="1E96BCF9">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规划及规划环境影响评价符合性分析</w:t>
            </w:r>
          </w:p>
        </w:tc>
        <w:tc>
          <w:tcPr>
            <w:tcW w:w="7142" w:type="dxa"/>
            <w:gridSpan w:val="3"/>
            <w:vAlign w:val="center"/>
          </w:tcPr>
          <w:p w14:paraId="1F307CB5">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Times New Roman" w:hAnsi="Times New Roman" w:eastAsia="宋体"/>
                <w:color w:val="auto"/>
                <w:kern w:val="0"/>
                <w:sz w:val="24"/>
                <w:lang w:eastAsia="zh-CN"/>
              </w:rPr>
            </w:pPr>
            <w:r>
              <w:rPr>
                <w:rFonts w:hint="eastAsia" w:ascii="Times New Roman" w:hAnsi="Times New Roman" w:eastAsia="宋体"/>
                <w:b w:val="0"/>
                <w:bCs w:val="0"/>
                <w:color w:val="auto"/>
                <w:kern w:val="0"/>
                <w:sz w:val="24"/>
                <w:lang w:val="en-US" w:eastAsia="zh-CN"/>
              </w:rPr>
              <w:t>无</w:t>
            </w:r>
          </w:p>
        </w:tc>
      </w:tr>
      <w:tr w14:paraId="6D2ECC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9" w:type="dxa"/>
            <w:vAlign w:val="center"/>
          </w:tcPr>
          <w:p w14:paraId="484CB792">
            <w:pPr>
              <w:autoSpaceDE w:val="0"/>
              <w:autoSpaceDN w:val="0"/>
              <w:adjustRightInd w:val="0"/>
              <w:snapToGrid w:val="0"/>
              <w:jc w:val="center"/>
              <w:rPr>
                <w:rFonts w:ascii="Times New Roman" w:hAnsi="Times New Roman" w:eastAsia="宋体"/>
                <w:color w:val="auto"/>
                <w:kern w:val="0"/>
                <w:sz w:val="24"/>
              </w:rPr>
            </w:pPr>
            <w:r>
              <w:rPr>
                <w:rFonts w:ascii="Times New Roman" w:hAnsi="Times New Roman" w:eastAsia="宋体"/>
                <w:color w:val="auto"/>
                <w:kern w:val="0"/>
                <w:sz w:val="24"/>
              </w:rPr>
              <w:t>其他符合性分析</w:t>
            </w:r>
          </w:p>
        </w:tc>
        <w:tc>
          <w:tcPr>
            <w:tcW w:w="7142" w:type="dxa"/>
            <w:gridSpan w:val="3"/>
            <w:vAlign w:val="center"/>
          </w:tcPr>
          <w:p w14:paraId="13FFD55D">
            <w:pPr>
              <w:autoSpaceDE w:val="0"/>
              <w:autoSpaceDN w:val="0"/>
              <w:adjustRightInd w:val="0"/>
              <w:snapToGrid w:val="0"/>
              <w:spacing w:line="360" w:lineRule="auto"/>
              <w:rPr>
                <w:rFonts w:hint="eastAsia" w:ascii="Times New Roman" w:hAnsi="Times New Roman" w:eastAsia="宋体"/>
                <w:b/>
                <w:bCs/>
                <w:color w:val="auto"/>
                <w:kern w:val="0"/>
                <w:sz w:val="24"/>
                <w:lang w:val="zh-CN"/>
              </w:rPr>
            </w:pPr>
            <w:r>
              <w:rPr>
                <w:rFonts w:hint="eastAsia" w:ascii="Times New Roman" w:hAnsi="Times New Roman" w:eastAsia="宋体"/>
                <w:b/>
                <w:bCs/>
                <w:color w:val="auto"/>
                <w:kern w:val="0"/>
                <w:sz w:val="24"/>
              </w:rPr>
              <w:t>（1）项目产业政策符合性分析</w:t>
            </w:r>
          </w:p>
          <w:p w14:paraId="3131C33D">
            <w:pPr>
              <w:adjustRightInd w:val="0"/>
              <w:snapToGrid w:val="0"/>
              <w:spacing w:line="360" w:lineRule="auto"/>
              <w:ind w:firstLine="480" w:firstLineChars="200"/>
              <w:rPr>
                <w:rFonts w:hint="eastAsia" w:ascii="Times New Roman" w:hAnsi="Times New Roman" w:eastAsia="宋体"/>
                <w:color w:val="auto"/>
                <w:sz w:val="24"/>
              </w:rPr>
            </w:pPr>
            <w:r>
              <w:rPr>
                <w:rFonts w:hint="eastAsia" w:ascii="宋体" w:hAnsi="宋体" w:eastAsia="宋体" w:cs="宋体"/>
                <w:color w:val="auto"/>
                <w:sz w:val="24"/>
                <w:szCs w:val="24"/>
              </w:rPr>
              <w:t>根据《国民经济行业分类》（</w:t>
            </w:r>
            <w:r>
              <w:rPr>
                <w:rFonts w:hint="default" w:ascii="Times New Roman" w:hAnsi="Times New Roman" w:eastAsia="宋体" w:cs="Times New Roman"/>
                <w:color w:val="auto"/>
                <w:sz w:val="24"/>
                <w:szCs w:val="24"/>
              </w:rPr>
              <w:t>GB/T</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4754—2017</w:t>
            </w:r>
            <w:r>
              <w:rPr>
                <w:rFonts w:hint="eastAsia" w:ascii="宋体" w:hAnsi="宋体" w:eastAsia="宋体" w:cs="宋体"/>
                <w:color w:val="auto"/>
                <w:sz w:val="24"/>
                <w:szCs w:val="24"/>
              </w:rPr>
              <w:t>）本项目属于</w:t>
            </w:r>
            <w:r>
              <w:rPr>
                <w:rFonts w:hint="default" w:ascii="Times New Roman" w:hAnsi="Times New Roman" w:eastAsia="宋体" w:cs="Times New Roman"/>
                <w:color w:val="auto"/>
                <w:sz w:val="24"/>
                <w:szCs w:val="24"/>
              </w:rPr>
              <w:t>C3130</w:t>
            </w:r>
            <w:r>
              <w:rPr>
                <w:rFonts w:hint="eastAsia" w:ascii="宋体" w:hAnsi="宋体" w:eastAsia="宋体" w:cs="宋体"/>
                <w:color w:val="auto"/>
                <w:sz w:val="24"/>
                <w:szCs w:val="24"/>
              </w:rPr>
              <w:t>钢压延加工</w:t>
            </w:r>
            <w:r>
              <w:rPr>
                <w:rFonts w:hint="eastAsia" w:ascii="宋体" w:hAnsi="宋体" w:cs="宋体"/>
                <w:color w:val="auto"/>
                <w:sz w:val="24"/>
                <w:szCs w:val="24"/>
                <w:lang w:eastAsia="zh-CN"/>
              </w:rPr>
              <w:t>，</w:t>
            </w:r>
            <w:r>
              <w:rPr>
                <w:rFonts w:hint="eastAsia" w:ascii="Times New Roman" w:hAnsi="Times New Roman" w:eastAsia="宋体"/>
                <w:color w:val="auto"/>
                <w:sz w:val="24"/>
              </w:rPr>
              <w:t>本项目产品为高频直缝焊管，</w:t>
            </w:r>
            <w:r>
              <w:rPr>
                <w:rFonts w:hint="eastAsia" w:ascii="宋体" w:hAnsi="宋体" w:eastAsia="宋体" w:cs="宋体"/>
                <w:color w:val="auto"/>
                <w:sz w:val="24"/>
                <w:szCs w:val="24"/>
              </w:rPr>
              <w:t>对照《产业结构调整指导目录（</w:t>
            </w:r>
            <w:r>
              <w:rPr>
                <w:rFonts w:hint="default" w:ascii="Times New Roman" w:hAnsi="Times New Roman" w:eastAsia="宋体" w:cs="Times New Roman"/>
                <w:color w:val="auto"/>
                <w:sz w:val="24"/>
                <w:szCs w:val="24"/>
              </w:rPr>
              <w:t>2024</w:t>
            </w:r>
            <w:r>
              <w:rPr>
                <w:rFonts w:hint="eastAsia" w:ascii="宋体" w:hAnsi="宋体" w:eastAsia="宋体" w:cs="宋体"/>
                <w:color w:val="auto"/>
                <w:sz w:val="24"/>
                <w:szCs w:val="24"/>
              </w:rPr>
              <w:t>年本）》“鼓励类、限制类</w:t>
            </w:r>
            <w:r>
              <w:rPr>
                <w:rFonts w:hint="eastAsia" w:ascii="宋体" w:hAnsi="宋体" w:cs="宋体"/>
                <w:color w:val="auto"/>
                <w:sz w:val="24"/>
                <w:szCs w:val="24"/>
                <w:lang w:eastAsia="zh-CN"/>
              </w:rPr>
              <w:t>和</w:t>
            </w:r>
            <w:r>
              <w:rPr>
                <w:rFonts w:hint="eastAsia" w:ascii="宋体" w:hAnsi="宋体" w:eastAsia="宋体" w:cs="宋体"/>
                <w:color w:val="auto"/>
                <w:sz w:val="24"/>
                <w:szCs w:val="24"/>
              </w:rPr>
              <w:t>淘汰类</w:t>
            </w:r>
            <w:r>
              <w:rPr>
                <w:rFonts w:hint="eastAsia" w:ascii="宋体" w:hAnsi="宋体" w:cs="宋体"/>
                <w:color w:val="auto"/>
                <w:sz w:val="24"/>
                <w:szCs w:val="24"/>
                <w:lang w:eastAsia="zh-CN"/>
              </w:rPr>
              <w:t>之外的</w:t>
            </w:r>
            <w:r>
              <w:rPr>
                <w:rFonts w:hint="eastAsia" w:ascii="宋体" w:hAnsi="宋体" w:eastAsia="宋体" w:cs="宋体"/>
                <w:color w:val="auto"/>
                <w:sz w:val="24"/>
                <w:szCs w:val="24"/>
              </w:rPr>
              <w:t>，且符合国家有关法律、法规和政策规定的</w:t>
            </w:r>
            <w:r>
              <w:rPr>
                <w:rFonts w:hint="eastAsia" w:ascii="宋体" w:hAnsi="宋体" w:cs="宋体"/>
                <w:color w:val="auto"/>
                <w:sz w:val="24"/>
                <w:szCs w:val="24"/>
                <w:lang w:eastAsia="zh-CN"/>
              </w:rPr>
              <w:t>属于</w:t>
            </w:r>
            <w:r>
              <w:rPr>
                <w:rFonts w:hint="eastAsia" w:ascii="宋体" w:hAnsi="宋体" w:eastAsia="宋体" w:cs="宋体"/>
                <w:color w:val="auto"/>
                <w:sz w:val="24"/>
                <w:szCs w:val="24"/>
              </w:rPr>
              <w:t>允许类”，</w:t>
            </w:r>
            <w:r>
              <w:rPr>
                <w:rFonts w:hint="eastAsia" w:ascii="宋体" w:hAnsi="宋体" w:cs="宋体"/>
                <w:color w:val="auto"/>
                <w:sz w:val="24"/>
              </w:rPr>
              <w:t>本项目不属于鼓励类、限制类、淘汰类范围，</w:t>
            </w:r>
            <w:r>
              <w:rPr>
                <w:rFonts w:hint="eastAsia" w:ascii="宋体" w:hAnsi="宋体" w:cs="宋体"/>
                <w:color w:val="auto"/>
                <w:sz w:val="24"/>
                <w:szCs w:val="24"/>
                <w:lang w:eastAsia="zh-CN"/>
              </w:rPr>
              <w:t>属</w:t>
            </w:r>
            <w:r>
              <w:rPr>
                <w:rFonts w:hint="eastAsia" w:ascii="宋体" w:hAnsi="宋体" w:eastAsia="宋体" w:cs="宋体"/>
                <w:color w:val="auto"/>
                <w:sz w:val="24"/>
                <w:szCs w:val="24"/>
              </w:rPr>
              <w:t>允许类项目</w:t>
            </w:r>
            <w:r>
              <w:rPr>
                <w:rFonts w:hint="eastAsia" w:ascii="Times New Roman" w:hAnsi="Times New Roman" w:eastAsia="宋体"/>
                <w:color w:val="auto"/>
                <w:sz w:val="24"/>
              </w:rPr>
              <w:t>。</w:t>
            </w:r>
          </w:p>
          <w:p w14:paraId="699DC5DE">
            <w:pPr>
              <w:adjustRightInd w:val="0"/>
              <w:snapToGrid w:val="0"/>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olor w:val="auto"/>
                <w:sz w:val="24"/>
              </w:rPr>
              <w:t>项目于20</w:t>
            </w:r>
            <w:r>
              <w:rPr>
                <w:rFonts w:hint="eastAsia" w:ascii="Times New Roman" w:hAnsi="Times New Roman" w:eastAsia="宋体"/>
                <w:color w:val="auto"/>
                <w:sz w:val="24"/>
                <w:lang w:val="en-US" w:eastAsia="zh-CN"/>
              </w:rPr>
              <w:t>2</w:t>
            </w:r>
            <w:r>
              <w:rPr>
                <w:rFonts w:hint="eastAsia"/>
                <w:color w:val="auto"/>
                <w:sz w:val="24"/>
                <w:lang w:val="en-US" w:eastAsia="zh-CN"/>
              </w:rPr>
              <w:t>6</w:t>
            </w:r>
            <w:r>
              <w:rPr>
                <w:rFonts w:hint="eastAsia" w:ascii="Times New Roman" w:hAnsi="Times New Roman" w:eastAsia="宋体"/>
                <w:color w:val="auto"/>
                <w:sz w:val="24"/>
              </w:rPr>
              <w:t>年</w:t>
            </w:r>
            <w:r>
              <w:rPr>
                <w:rFonts w:hint="eastAsia" w:ascii="Times New Roman" w:hAnsi="Times New Roman" w:eastAsia="宋体"/>
                <w:color w:val="auto"/>
                <w:sz w:val="24"/>
                <w:lang w:val="en-US" w:eastAsia="zh-CN"/>
              </w:rPr>
              <w:t>1</w:t>
            </w:r>
            <w:r>
              <w:rPr>
                <w:rFonts w:hint="eastAsia" w:ascii="Times New Roman" w:hAnsi="Times New Roman" w:eastAsia="宋体"/>
                <w:color w:val="auto"/>
                <w:sz w:val="24"/>
              </w:rPr>
              <w:t>月</w:t>
            </w:r>
            <w:r>
              <w:rPr>
                <w:rFonts w:hint="eastAsia" w:ascii="Times New Roman" w:hAnsi="Times New Roman" w:eastAsia="宋体"/>
                <w:color w:val="auto"/>
                <w:sz w:val="24"/>
                <w:lang w:val="en-US" w:eastAsia="zh-CN"/>
              </w:rPr>
              <w:t>9</w:t>
            </w:r>
            <w:r>
              <w:rPr>
                <w:rFonts w:hint="eastAsia" w:ascii="Times New Roman" w:hAnsi="Times New Roman" w:eastAsia="宋体"/>
                <w:color w:val="auto"/>
                <w:sz w:val="24"/>
              </w:rPr>
              <w:t>日，取得了通海县发展和改革局下发的投资备案证，项目备案编码：</w:t>
            </w:r>
            <w:r>
              <w:rPr>
                <w:rFonts w:hint="eastAsia" w:ascii="Times New Roman" w:hAnsi="Times New Roman" w:eastAsia="宋体"/>
                <w:color w:val="auto"/>
                <w:sz w:val="24"/>
                <w:lang w:eastAsia="zh-CN"/>
              </w:rPr>
              <w:t>2</w:t>
            </w:r>
            <w:r>
              <w:rPr>
                <w:rFonts w:hint="eastAsia"/>
                <w:color w:val="auto"/>
                <w:sz w:val="24"/>
                <w:lang w:val="en-US" w:eastAsia="zh-CN"/>
              </w:rPr>
              <w:t>60</w:t>
            </w:r>
            <w:r>
              <w:rPr>
                <w:rFonts w:hint="eastAsia" w:ascii="Times New Roman" w:hAnsi="Times New Roman" w:eastAsia="宋体"/>
                <w:color w:val="auto"/>
                <w:sz w:val="24"/>
                <w:lang w:eastAsia="zh-CN"/>
              </w:rPr>
              <w:t>1-530423-04-0</w:t>
            </w:r>
            <w:r>
              <w:rPr>
                <w:rFonts w:hint="eastAsia"/>
                <w:color w:val="auto"/>
                <w:sz w:val="24"/>
                <w:lang w:val="en-US" w:eastAsia="zh-CN"/>
              </w:rPr>
              <w:t>1</w:t>
            </w:r>
            <w:r>
              <w:rPr>
                <w:rFonts w:hint="eastAsia" w:ascii="Times New Roman" w:hAnsi="Times New Roman" w:eastAsia="宋体"/>
                <w:color w:val="auto"/>
                <w:sz w:val="24"/>
                <w:lang w:eastAsia="zh-CN"/>
              </w:rPr>
              <w:t>-</w:t>
            </w:r>
            <w:r>
              <w:rPr>
                <w:rFonts w:hint="eastAsia"/>
                <w:color w:val="auto"/>
                <w:sz w:val="24"/>
                <w:lang w:val="en-US" w:eastAsia="zh-CN"/>
              </w:rPr>
              <w:t>860902</w:t>
            </w:r>
            <w:r>
              <w:rPr>
                <w:rFonts w:hint="eastAsia"/>
                <w:color w:val="auto"/>
                <w:sz w:val="24"/>
                <w:lang w:eastAsia="zh-CN"/>
              </w:rPr>
              <w:t>；</w:t>
            </w:r>
            <w:r>
              <w:rPr>
                <w:rFonts w:hint="eastAsia"/>
                <w:color w:val="auto"/>
                <w:sz w:val="24"/>
                <w:lang w:val="en-US" w:eastAsia="zh-CN"/>
              </w:rPr>
              <w:t>2026年1月13日变更项目总投资及资金来源、建设内容及规模。</w:t>
            </w:r>
          </w:p>
          <w:p w14:paraId="27892992">
            <w:pPr>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eastAsia="宋体"/>
                <w:color w:val="auto"/>
                <w:sz w:val="24"/>
              </w:rPr>
              <w:t>综上所述，本项目符合国家及地方现行产业政策</w:t>
            </w:r>
            <w:r>
              <w:rPr>
                <w:rFonts w:hint="eastAsia" w:ascii="Times New Roman" w:hAnsi="Times New Roman" w:eastAsia="宋体"/>
                <w:bCs/>
                <w:color w:val="auto"/>
                <w:sz w:val="24"/>
                <w:lang w:eastAsia="zh-CN"/>
              </w:rPr>
              <w:t>。</w:t>
            </w:r>
          </w:p>
          <w:p w14:paraId="075B290C">
            <w:pPr>
              <w:autoSpaceDE w:val="0"/>
              <w:autoSpaceDN w:val="0"/>
              <w:adjustRightInd w:val="0"/>
              <w:snapToGrid w:val="0"/>
              <w:spacing w:line="360" w:lineRule="auto"/>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eastAsia="zh-CN"/>
              </w:rPr>
              <w:t>（</w:t>
            </w:r>
            <w:r>
              <w:rPr>
                <w:rFonts w:hint="eastAsia" w:ascii="Times New Roman" w:hAnsi="Times New Roman" w:eastAsia="宋体" w:cs="Times New Roman"/>
                <w:b/>
                <w:bCs/>
                <w:color w:val="auto"/>
                <w:kern w:val="0"/>
                <w:sz w:val="24"/>
                <w:lang w:val="en-US" w:eastAsia="zh-CN"/>
              </w:rPr>
              <w:t>2</w:t>
            </w:r>
            <w:r>
              <w:rPr>
                <w:rFonts w:hint="eastAsia" w:ascii="Times New Roman" w:hAnsi="Times New Roman" w:eastAsia="宋体" w:cs="Times New Roman"/>
                <w:b/>
                <w:bCs/>
                <w:color w:val="auto"/>
                <w:kern w:val="0"/>
                <w:sz w:val="24"/>
                <w:lang w:eastAsia="zh-CN"/>
              </w:rPr>
              <w:t>）</w:t>
            </w:r>
            <w:r>
              <w:rPr>
                <w:rFonts w:hint="eastAsia" w:ascii="Times New Roman" w:hAnsi="Times New Roman" w:eastAsia="宋体" w:cs="Times New Roman"/>
                <w:b/>
                <w:bCs/>
                <w:color w:val="auto"/>
                <w:kern w:val="0"/>
                <w:sz w:val="24"/>
              </w:rPr>
              <w:t>《云南省主体功能区规划》</w:t>
            </w:r>
            <w:r>
              <w:rPr>
                <w:rFonts w:hint="eastAsia" w:ascii="Times New Roman" w:hAnsi="Times New Roman" w:eastAsia="宋体" w:cs="Times New Roman"/>
                <w:b/>
                <w:bCs/>
                <w:color w:val="auto"/>
                <w:kern w:val="0"/>
                <w:sz w:val="24"/>
                <w:lang w:val="en-US" w:eastAsia="zh-CN"/>
              </w:rPr>
              <w:t>符合性分析</w:t>
            </w:r>
          </w:p>
          <w:p w14:paraId="3F701523">
            <w:pPr>
              <w:adjustRightInd w:val="0"/>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云南省人民政府于</w:t>
            </w:r>
            <w:r>
              <w:rPr>
                <w:rFonts w:hint="default" w:ascii="Times New Roman" w:hAnsi="Times New Roman" w:eastAsia="宋体" w:cs="Times New Roman"/>
                <w:color w:val="auto"/>
                <w:sz w:val="24"/>
                <w:szCs w:val="24"/>
                <w:lang w:val="en-US" w:eastAsia="zh-CN"/>
              </w:rPr>
              <w:t>2014年1月6日印发了《云南省主体功能区规划》（云政发〔2014〕1号文）</w:t>
            </w:r>
            <w:r>
              <w:rPr>
                <w:rFonts w:hint="eastAsia" w:ascii="宋体" w:hAnsi="宋体" w:eastAsia="宋体" w:cs="宋体"/>
                <w:color w:val="auto"/>
                <w:sz w:val="24"/>
                <w:szCs w:val="24"/>
                <w:lang w:val="en-US" w:eastAsia="zh-CN"/>
              </w:rPr>
              <w:t>。《云南省主体功能区划》将云南省国土空问按照开发方式分为重点开发区域、限制开发区域和禁止开发区域3类主体功能区域。其中重点开发区是重点进行工业化城镇化开发的区域，包括国家层面的重点开发区域、省级层面集中连片重点开发区域和其他重点开发的城镇。限制开发区域是保障农产品供给和生态安全的重要区域，包括农产品主产区和重点生态功能区。禁止开发区域是保护自然文化遗产的重要区域，包括农产品主产区和重点生态功能区。禁止开发区域是保护自然文化遗产的重要区域，分为国家级和省级，具体包括：自然保护区、世界遗产、风景名胜区、森林公园、地质公园、城市饮用水源保护区、湿地公园、水产种质资源保护区、牛栏江流域上游保护区水源保护核心区等。</w:t>
            </w:r>
          </w:p>
          <w:p w14:paraId="6DE76FD4">
            <w:pPr>
              <w:adjustRightInd w:val="0"/>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根据云南省主体功能区划分总图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详见附图</w:t>
            </w:r>
            <w:r>
              <w:rPr>
                <w:rFonts w:hint="default" w:ascii="Times New Roman" w:hAnsi="Times New Roman" w:eastAsia="宋体" w:cs="Times New Roman"/>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，本项目所在的玉溪市</w:t>
            </w:r>
            <w:r>
              <w:rPr>
                <w:rFonts w:hint="eastAsia" w:ascii="宋体" w:hAnsi="宋体" w:eastAsia="宋体" w:cs="宋体"/>
                <w:color w:val="auto"/>
                <w:sz w:val="24"/>
                <w:szCs w:val="24"/>
                <w:lang w:val="en-US" w:eastAsia="zh-CN"/>
              </w:rPr>
              <w:t>通海县</w:t>
            </w:r>
            <w:r>
              <w:rPr>
                <w:rFonts w:hint="eastAsia" w:ascii="宋体" w:hAnsi="宋体" w:eastAsia="宋体" w:cs="宋体"/>
                <w:color w:val="auto"/>
                <w:sz w:val="24"/>
                <w:szCs w:val="24"/>
              </w:rPr>
              <w:t>，属于《云南省主体功能区划》中国家重点开发区，</w:t>
            </w:r>
            <w:r>
              <w:rPr>
                <w:rFonts w:hint="eastAsia" w:ascii="宋体" w:hAnsi="宋体" w:eastAsia="宋体" w:cs="宋体"/>
                <w:color w:val="auto"/>
                <w:sz w:val="24"/>
                <w:szCs w:val="24"/>
                <w:lang w:val="en-US" w:eastAsia="zh-CN"/>
              </w:rPr>
              <w:t>不属于</w:t>
            </w:r>
            <w:r>
              <w:rPr>
                <w:rFonts w:hint="default" w:ascii="宋体" w:hAnsi="宋体" w:eastAsia="宋体" w:cs="宋体"/>
                <w:color w:val="auto"/>
                <w:sz w:val="24"/>
                <w:szCs w:val="24"/>
                <w:lang w:val="en-US" w:eastAsia="zh-CN"/>
              </w:rPr>
              <w:t>限制开发区域和禁止开发区域</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符合《云南省主体功能区划》。</w:t>
            </w:r>
          </w:p>
          <w:p w14:paraId="7DB113B4">
            <w:pPr>
              <w:autoSpaceDE w:val="0"/>
              <w:autoSpaceDN w:val="0"/>
              <w:adjustRightInd w:val="0"/>
              <w:snapToGrid w:val="0"/>
              <w:spacing w:line="360" w:lineRule="auto"/>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（3）《云南省生态功能区划》的符合性分析</w:t>
            </w:r>
          </w:p>
          <w:p w14:paraId="43A5117A">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sz w:val="24"/>
                <w:szCs w:val="24"/>
                <w:lang w:val="en-US" w:eastAsia="zh-CN"/>
              </w:rPr>
              <w:t>根据云南省的生态环境敏感性、生态系统服务功能分布规律及存在的主要生态问题，</w:t>
            </w:r>
            <w:r>
              <w:rPr>
                <w:rFonts w:hint="default" w:ascii="Times New Roman" w:hAnsi="Times New Roman" w:eastAsia="宋体" w:cs="Times New Roman"/>
                <w:color w:val="auto"/>
                <w:sz w:val="24"/>
                <w:szCs w:val="24"/>
                <w:lang w:val="en-US" w:eastAsia="zh-CN"/>
              </w:rPr>
              <w:t>2009年9月云南省人民政府批复的《云南省生态功能区划》，将云南生态功能分为5个一级区（生态区）、19个二级区（生态亚区）和65个三级区（生态功能区）。</w:t>
            </w:r>
          </w:p>
          <w:p w14:paraId="1AFCCF0D">
            <w:pPr>
              <w:adjustRightInd w:val="0"/>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根据《云南省生态功能区划》，项目区属于</w:t>
            </w:r>
            <w:r>
              <w:rPr>
                <w:rFonts w:hint="default" w:ascii="Times New Roman" w:hAnsi="Times New Roman" w:eastAsia="宋体" w:cs="Times New Roman"/>
                <w:color w:val="auto"/>
                <w:sz w:val="24"/>
                <w:szCs w:val="24"/>
                <w:lang w:val="en-US" w:eastAsia="zh-CN"/>
              </w:rPr>
              <w:t>Ⅲ1-6</w:t>
            </w:r>
            <w:r>
              <w:rPr>
                <w:rFonts w:hint="eastAsia" w:ascii="宋体" w:hAnsi="宋体" w:eastAsia="宋体" w:cs="宋体"/>
                <w:color w:val="auto"/>
                <w:sz w:val="24"/>
                <w:szCs w:val="24"/>
                <w:lang w:val="en-US" w:eastAsia="zh-CN"/>
              </w:rPr>
              <w:t>昆明、玉溪高原湖盆城镇生态功能区，主要保护措施及发展方向见下表。</w:t>
            </w:r>
          </w:p>
          <w:p w14:paraId="7F65E281">
            <w:pPr>
              <w:pStyle w:val="32"/>
              <w:bidi w:val="0"/>
              <w:rPr>
                <w:rFonts w:hint="eastAsia"/>
                <w:color w:val="auto"/>
                <w:sz w:val="21"/>
                <w:szCs w:val="21"/>
                <w:lang w:val="en-US" w:eastAsia="zh-CN"/>
              </w:rPr>
            </w:pPr>
            <w:r>
              <w:rPr>
                <w:rFonts w:hint="eastAsia"/>
                <w:color w:val="auto"/>
                <w:sz w:val="21"/>
                <w:szCs w:val="21"/>
                <w:lang w:val="en-US" w:eastAsia="zh-CN"/>
              </w:rPr>
              <w:t>表1-2 本项目所在区生态功能区划</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865"/>
              <w:gridCol w:w="865"/>
              <w:gridCol w:w="1775"/>
              <w:gridCol w:w="831"/>
              <w:gridCol w:w="571"/>
              <w:gridCol w:w="662"/>
              <w:gridCol w:w="992"/>
            </w:tblGrid>
            <w:tr w14:paraId="741D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615" w:type="pct"/>
                  <w:gridSpan w:val="3"/>
                  <w:shd w:val="clear" w:color="auto" w:fill="D7D7D7" w:themeFill="background1" w:themeFillShade="D8"/>
                  <w:vAlign w:val="center"/>
                </w:tcPr>
                <w:p w14:paraId="79F0D810">
                  <w:pPr>
                    <w:pStyle w:val="31"/>
                    <w:bidi w:val="0"/>
                    <w:rPr>
                      <w:rFonts w:hint="default"/>
                      <w:color w:val="auto"/>
                      <w:sz w:val="21"/>
                      <w:szCs w:val="21"/>
                      <w:lang w:val="en-US" w:eastAsia="zh-CN"/>
                    </w:rPr>
                  </w:pPr>
                  <w:r>
                    <w:rPr>
                      <w:rFonts w:hint="eastAsia"/>
                      <w:color w:val="auto"/>
                      <w:sz w:val="21"/>
                      <w:szCs w:val="21"/>
                      <w:lang w:val="en-US" w:eastAsia="zh-CN"/>
                    </w:rPr>
                    <w:t>生态功能分区单元</w:t>
                  </w:r>
                </w:p>
              </w:tc>
              <w:tc>
                <w:tcPr>
                  <w:tcW w:w="1243" w:type="pct"/>
                  <w:vMerge w:val="restart"/>
                  <w:shd w:val="clear" w:color="auto" w:fill="D7D7D7" w:themeFill="background1" w:themeFillShade="D8"/>
                  <w:vAlign w:val="center"/>
                </w:tcPr>
                <w:p w14:paraId="7CBBD119">
                  <w:pPr>
                    <w:pStyle w:val="31"/>
                    <w:bidi w:val="0"/>
                    <w:rPr>
                      <w:rFonts w:hint="default"/>
                      <w:color w:val="auto"/>
                      <w:sz w:val="21"/>
                      <w:szCs w:val="21"/>
                      <w:lang w:val="en-US" w:eastAsia="zh-CN"/>
                    </w:rPr>
                  </w:pPr>
                  <w:r>
                    <w:rPr>
                      <w:rFonts w:hint="eastAsia"/>
                      <w:color w:val="auto"/>
                      <w:sz w:val="21"/>
                      <w:szCs w:val="21"/>
                      <w:lang w:val="en-US" w:eastAsia="zh-CN"/>
                    </w:rPr>
                    <w:t>主要生态特征</w:t>
                  </w:r>
                </w:p>
              </w:tc>
              <w:tc>
                <w:tcPr>
                  <w:tcW w:w="582" w:type="pct"/>
                  <w:vMerge w:val="restart"/>
                  <w:shd w:val="clear" w:color="auto" w:fill="D7D7D7" w:themeFill="background1" w:themeFillShade="D8"/>
                  <w:vAlign w:val="center"/>
                </w:tcPr>
                <w:p w14:paraId="7615A335">
                  <w:pPr>
                    <w:pStyle w:val="31"/>
                    <w:bidi w:val="0"/>
                    <w:rPr>
                      <w:rFonts w:hint="default"/>
                      <w:color w:val="auto"/>
                      <w:sz w:val="21"/>
                      <w:szCs w:val="21"/>
                      <w:lang w:val="en-US" w:eastAsia="zh-CN"/>
                    </w:rPr>
                  </w:pPr>
                  <w:r>
                    <w:rPr>
                      <w:rFonts w:hint="eastAsia"/>
                      <w:color w:val="auto"/>
                      <w:sz w:val="21"/>
                      <w:szCs w:val="21"/>
                      <w:lang w:val="en-US" w:eastAsia="zh-CN"/>
                    </w:rPr>
                    <w:t>主要生态环境问题</w:t>
                  </w:r>
                </w:p>
              </w:tc>
              <w:tc>
                <w:tcPr>
                  <w:tcW w:w="400" w:type="pct"/>
                  <w:vMerge w:val="restart"/>
                  <w:shd w:val="clear" w:color="auto" w:fill="D7D7D7" w:themeFill="background1" w:themeFillShade="D8"/>
                  <w:vAlign w:val="center"/>
                </w:tcPr>
                <w:p w14:paraId="0E56FAAE">
                  <w:pPr>
                    <w:pStyle w:val="31"/>
                    <w:bidi w:val="0"/>
                    <w:rPr>
                      <w:rFonts w:hint="default"/>
                      <w:color w:val="auto"/>
                      <w:sz w:val="21"/>
                      <w:szCs w:val="21"/>
                      <w:lang w:val="en-US" w:eastAsia="zh-CN"/>
                    </w:rPr>
                  </w:pPr>
                  <w:r>
                    <w:rPr>
                      <w:rFonts w:hint="eastAsia"/>
                      <w:color w:val="auto"/>
                      <w:sz w:val="21"/>
                      <w:szCs w:val="21"/>
                      <w:lang w:val="en-US" w:eastAsia="zh-CN"/>
                    </w:rPr>
                    <w:t>生态环境敏感性</w:t>
                  </w:r>
                </w:p>
              </w:tc>
              <w:tc>
                <w:tcPr>
                  <w:tcW w:w="463" w:type="pct"/>
                  <w:vMerge w:val="restart"/>
                  <w:shd w:val="clear" w:color="auto" w:fill="D7D7D7" w:themeFill="background1" w:themeFillShade="D8"/>
                  <w:vAlign w:val="center"/>
                </w:tcPr>
                <w:p w14:paraId="3E07C20C">
                  <w:pPr>
                    <w:pStyle w:val="31"/>
                    <w:bidi w:val="0"/>
                    <w:rPr>
                      <w:rFonts w:hint="default"/>
                      <w:color w:val="auto"/>
                      <w:sz w:val="21"/>
                      <w:szCs w:val="21"/>
                      <w:lang w:val="en-US" w:eastAsia="zh-CN"/>
                    </w:rPr>
                  </w:pPr>
                  <w:r>
                    <w:rPr>
                      <w:rFonts w:hint="eastAsia"/>
                      <w:color w:val="auto"/>
                      <w:sz w:val="21"/>
                      <w:szCs w:val="21"/>
                      <w:lang w:val="en-US" w:eastAsia="zh-CN"/>
                    </w:rPr>
                    <w:t>主要生态系统服务功能</w:t>
                  </w:r>
                </w:p>
              </w:tc>
              <w:tc>
                <w:tcPr>
                  <w:tcW w:w="694" w:type="pct"/>
                  <w:vMerge w:val="restart"/>
                  <w:shd w:val="clear" w:color="auto" w:fill="D7D7D7" w:themeFill="background1" w:themeFillShade="D8"/>
                  <w:vAlign w:val="center"/>
                </w:tcPr>
                <w:p w14:paraId="022A3B58">
                  <w:pPr>
                    <w:pStyle w:val="31"/>
                    <w:bidi w:val="0"/>
                    <w:rPr>
                      <w:rFonts w:hint="default"/>
                      <w:color w:val="auto"/>
                      <w:sz w:val="21"/>
                      <w:szCs w:val="21"/>
                      <w:lang w:val="en-US" w:eastAsia="zh-CN"/>
                    </w:rPr>
                  </w:pPr>
                  <w:r>
                    <w:rPr>
                      <w:rFonts w:hint="eastAsia"/>
                      <w:color w:val="auto"/>
                      <w:sz w:val="21"/>
                      <w:szCs w:val="21"/>
                      <w:lang w:val="en-US" w:eastAsia="zh-CN"/>
                    </w:rPr>
                    <w:t>保护措施与发展方向</w:t>
                  </w:r>
                </w:p>
              </w:tc>
            </w:tr>
            <w:tr w14:paraId="33B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03" w:type="pct"/>
                  <w:shd w:val="clear" w:color="auto" w:fill="D7D7D7" w:themeFill="background1" w:themeFillShade="D8"/>
                  <w:vAlign w:val="center"/>
                </w:tcPr>
                <w:p w14:paraId="22A50031">
                  <w:pPr>
                    <w:pStyle w:val="31"/>
                    <w:bidi w:val="0"/>
                    <w:rPr>
                      <w:rFonts w:hint="default"/>
                      <w:color w:val="auto"/>
                      <w:sz w:val="21"/>
                      <w:szCs w:val="21"/>
                      <w:lang w:val="en-US" w:eastAsia="zh-CN"/>
                    </w:rPr>
                  </w:pPr>
                  <w:r>
                    <w:rPr>
                      <w:rFonts w:hint="eastAsia"/>
                      <w:color w:val="auto"/>
                      <w:sz w:val="21"/>
                      <w:szCs w:val="21"/>
                      <w:lang w:val="en-US" w:eastAsia="zh-CN"/>
                    </w:rPr>
                    <w:t>生态区</w:t>
                  </w:r>
                </w:p>
              </w:tc>
              <w:tc>
                <w:tcPr>
                  <w:tcW w:w="606" w:type="pct"/>
                  <w:shd w:val="clear" w:color="auto" w:fill="D7D7D7" w:themeFill="background1" w:themeFillShade="D8"/>
                  <w:vAlign w:val="center"/>
                </w:tcPr>
                <w:p w14:paraId="35959265">
                  <w:pPr>
                    <w:pStyle w:val="31"/>
                    <w:bidi w:val="0"/>
                    <w:rPr>
                      <w:rFonts w:hint="default"/>
                      <w:color w:val="auto"/>
                      <w:sz w:val="21"/>
                      <w:szCs w:val="21"/>
                      <w:lang w:val="en-US" w:eastAsia="zh-CN"/>
                    </w:rPr>
                  </w:pPr>
                  <w:r>
                    <w:rPr>
                      <w:rFonts w:hint="eastAsia"/>
                      <w:color w:val="auto"/>
                      <w:sz w:val="21"/>
                      <w:szCs w:val="21"/>
                      <w:lang w:val="en-US" w:eastAsia="zh-CN"/>
                    </w:rPr>
                    <w:t>生态亚区</w:t>
                  </w:r>
                </w:p>
              </w:tc>
              <w:tc>
                <w:tcPr>
                  <w:tcW w:w="605" w:type="pct"/>
                  <w:shd w:val="clear" w:color="auto" w:fill="D7D7D7" w:themeFill="background1" w:themeFillShade="D8"/>
                  <w:vAlign w:val="center"/>
                </w:tcPr>
                <w:p w14:paraId="3D9FA197">
                  <w:pPr>
                    <w:pStyle w:val="31"/>
                    <w:bidi w:val="0"/>
                    <w:rPr>
                      <w:rFonts w:hint="default"/>
                      <w:color w:val="auto"/>
                      <w:sz w:val="21"/>
                      <w:szCs w:val="21"/>
                      <w:lang w:val="en-US" w:eastAsia="zh-CN"/>
                    </w:rPr>
                  </w:pPr>
                  <w:r>
                    <w:rPr>
                      <w:rFonts w:hint="eastAsia"/>
                      <w:color w:val="auto"/>
                      <w:sz w:val="21"/>
                      <w:szCs w:val="21"/>
                      <w:lang w:val="en-US" w:eastAsia="zh-CN"/>
                    </w:rPr>
                    <w:t>生态功能区</w:t>
                  </w:r>
                </w:p>
              </w:tc>
              <w:tc>
                <w:tcPr>
                  <w:tcW w:w="1243" w:type="pct"/>
                  <w:vMerge w:val="continue"/>
                  <w:shd w:val="clear" w:color="auto" w:fill="D7D7D7" w:themeFill="background1" w:themeFillShade="D8"/>
                  <w:vAlign w:val="center"/>
                </w:tcPr>
                <w:p w14:paraId="40A48AEE">
                  <w:pPr>
                    <w:pStyle w:val="31"/>
                    <w:bidi w:val="0"/>
                    <w:rPr>
                      <w:rFonts w:hint="default"/>
                      <w:color w:val="auto"/>
                      <w:sz w:val="21"/>
                      <w:szCs w:val="21"/>
                      <w:lang w:val="en-US" w:eastAsia="zh-CN"/>
                    </w:rPr>
                  </w:pPr>
                </w:p>
              </w:tc>
              <w:tc>
                <w:tcPr>
                  <w:tcW w:w="582" w:type="pct"/>
                  <w:vMerge w:val="continue"/>
                  <w:shd w:val="clear" w:color="auto" w:fill="D7D7D7" w:themeFill="background1" w:themeFillShade="D8"/>
                  <w:vAlign w:val="center"/>
                </w:tcPr>
                <w:p w14:paraId="0ED0F9AC">
                  <w:pPr>
                    <w:pStyle w:val="31"/>
                    <w:bidi w:val="0"/>
                    <w:rPr>
                      <w:rFonts w:hint="default"/>
                      <w:color w:val="auto"/>
                      <w:sz w:val="21"/>
                      <w:szCs w:val="21"/>
                      <w:lang w:val="en-US" w:eastAsia="zh-CN"/>
                    </w:rPr>
                  </w:pPr>
                </w:p>
              </w:tc>
              <w:tc>
                <w:tcPr>
                  <w:tcW w:w="400" w:type="pct"/>
                  <w:vMerge w:val="continue"/>
                  <w:shd w:val="clear" w:color="auto" w:fill="D7D7D7" w:themeFill="background1" w:themeFillShade="D8"/>
                  <w:vAlign w:val="center"/>
                </w:tcPr>
                <w:p w14:paraId="7989AF9B">
                  <w:pPr>
                    <w:pStyle w:val="31"/>
                    <w:bidi w:val="0"/>
                    <w:rPr>
                      <w:rFonts w:hint="default"/>
                      <w:color w:val="auto"/>
                      <w:sz w:val="21"/>
                      <w:szCs w:val="21"/>
                      <w:lang w:val="en-US" w:eastAsia="zh-CN"/>
                    </w:rPr>
                  </w:pPr>
                </w:p>
              </w:tc>
              <w:tc>
                <w:tcPr>
                  <w:tcW w:w="463" w:type="pct"/>
                  <w:vMerge w:val="continue"/>
                  <w:shd w:val="clear" w:color="auto" w:fill="D7D7D7" w:themeFill="background1" w:themeFillShade="D8"/>
                  <w:vAlign w:val="center"/>
                </w:tcPr>
                <w:p w14:paraId="7CD5005B">
                  <w:pPr>
                    <w:pStyle w:val="31"/>
                    <w:bidi w:val="0"/>
                    <w:rPr>
                      <w:rFonts w:hint="default"/>
                      <w:color w:val="auto"/>
                      <w:sz w:val="21"/>
                      <w:szCs w:val="21"/>
                      <w:lang w:val="en-US" w:eastAsia="zh-CN"/>
                    </w:rPr>
                  </w:pPr>
                </w:p>
              </w:tc>
              <w:tc>
                <w:tcPr>
                  <w:tcW w:w="694" w:type="pct"/>
                  <w:vMerge w:val="continue"/>
                  <w:shd w:val="clear" w:color="auto" w:fill="D7D7D7" w:themeFill="background1" w:themeFillShade="D8"/>
                  <w:vAlign w:val="center"/>
                </w:tcPr>
                <w:p w14:paraId="588D9F88">
                  <w:pPr>
                    <w:pStyle w:val="31"/>
                    <w:bidi w:val="0"/>
                    <w:rPr>
                      <w:rFonts w:hint="default"/>
                      <w:color w:val="auto"/>
                      <w:sz w:val="21"/>
                      <w:szCs w:val="21"/>
                      <w:lang w:val="en-US" w:eastAsia="zh-CN"/>
                    </w:rPr>
                  </w:pPr>
                </w:p>
              </w:tc>
            </w:tr>
            <w:tr w14:paraId="6CC0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C868CFD">
                  <w:pPr>
                    <w:pStyle w:val="31"/>
                    <w:bidi w:val="0"/>
                    <w:rPr>
                      <w:rFonts w:hint="default"/>
                      <w:color w:val="auto"/>
                      <w:sz w:val="21"/>
                      <w:szCs w:val="21"/>
                      <w:lang w:val="en-US" w:eastAsia="zh-CN"/>
                    </w:rPr>
                  </w:pPr>
                  <w:r>
                    <w:rPr>
                      <w:rFonts w:hint="eastAsia"/>
                      <w:color w:val="auto"/>
                      <w:sz w:val="21"/>
                      <w:szCs w:val="21"/>
                    </w:rPr>
                    <w:t>Ⅲ高原亚热带北部常绿阔叶林生态区</w:t>
                  </w:r>
                </w:p>
              </w:tc>
              <w:tc>
                <w:tcPr>
                  <w:tcW w:w="606" w:type="pct"/>
                  <w:vAlign w:val="center"/>
                </w:tcPr>
                <w:p w14:paraId="5FE60247">
                  <w:pPr>
                    <w:pStyle w:val="31"/>
                    <w:bidi w:val="0"/>
                    <w:rPr>
                      <w:rFonts w:hint="default"/>
                      <w:color w:val="auto"/>
                      <w:sz w:val="21"/>
                      <w:szCs w:val="21"/>
                      <w:lang w:val="en-US" w:eastAsia="zh-CN"/>
                    </w:rPr>
                  </w:pPr>
                  <w:r>
                    <w:rPr>
                      <w:rFonts w:hint="eastAsia"/>
                      <w:color w:val="auto"/>
                      <w:sz w:val="21"/>
                      <w:szCs w:val="21"/>
                    </w:rPr>
                    <w:t>Ⅲ1滇中高原谷盆半湿润常绿阔叶林、暖性针叶林生态亚区</w:t>
                  </w:r>
                </w:p>
              </w:tc>
              <w:tc>
                <w:tcPr>
                  <w:tcW w:w="605" w:type="pct"/>
                  <w:vAlign w:val="center"/>
                </w:tcPr>
                <w:p w14:paraId="233A499F">
                  <w:pPr>
                    <w:pStyle w:val="31"/>
                    <w:bidi w:val="0"/>
                    <w:rPr>
                      <w:rFonts w:hint="default"/>
                      <w:color w:val="auto"/>
                      <w:sz w:val="21"/>
                      <w:szCs w:val="21"/>
                      <w:lang w:val="en-US" w:eastAsia="zh-CN"/>
                    </w:rPr>
                  </w:pPr>
                  <w:r>
                    <w:rPr>
                      <w:rFonts w:hint="default"/>
                      <w:color w:val="auto"/>
                      <w:sz w:val="21"/>
                      <w:szCs w:val="21"/>
                      <w:lang w:val="en-US" w:eastAsia="zh-CN"/>
                    </w:rPr>
                    <w:t>Ⅲ1-6昆明、玉溪高原湖盆城镇生态功能区</w:t>
                  </w:r>
                </w:p>
              </w:tc>
              <w:tc>
                <w:tcPr>
                  <w:tcW w:w="1243" w:type="pct"/>
                  <w:vAlign w:val="center"/>
                </w:tcPr>
                <w:p w14:paraId="1C409D07">
                  <w:pPr>
                    <w:pStyle w:val="31"/>
                    <w:bidi w:val="0"/>
                    <w:rPr>
                      <w:rFonts w:hint="default"/>
                      <w:color w:val="auto"/>
                      <w:sz w:val="21"/>
                      <w:szCs w:val="21"/>
                      <w:lang w:val="en-US" w:eastAsia="zh-CN"/>
                    </w:rPr>
                  </w:pPr>
                  <w:r>
                    <w:rPr>
                      <w:rFonts w:hint="default"/>
                      <w:color w:val="auto"/>
                      <w:sz w:val="21"/>
                      <w:szCs w:val="21"/>
                      <w:lang w:val="en-US" w:eastAsia="zh-CN"/>
                    </w:rPr>
                    <w:t>以湖盆和丘状高原地貌为主。滇池、抚仙湖、星云湖、杞麓湖等高原湖泊都分布在本区内，大部分地区的年降雨量在900-1000毫米，现存植被以云南松林为主。土壤以红壤、紫色土和水稻土为主</w:t>
                  </w:r>
                </w:p>
              </w:tc>
              <w:tc>
                <w:tcPr>
                  <w:tcW w:w="582" w:type="pct"/>
                  <w:vAlign w:val="center"/>
                </w:tcPr>
                <w:p w14:paraId="2282CB7B">
                  <w:pPr>
                    <w:pStyle w:val="31"/>
                    <w:bidi w:val="0"/>
                    <w:rPr>
                      <w:rFonts w:hint="default"/>
                      <w:color w:val="auto"/>
                      <w:sz w:val="21"/>
                      <w:szCs w:val="21"/>
                      <w:lang w:val="en-US" w:eastAsia="zh-CN"/>
                    </w:rPr>
                  </w:pPr>
                  <w:r>
                    <w:rPr>
                      <w:rFonts w:hint="default"/>
                      <w:color w:val="auto"/>
                      <w:sz w:val="21"/>
                      <w:szCs w:val="21"/>
                      <w:lang w:val="en-US" w:eastAsia="zh-CN"/>
                    </w:rPr>
                    <w:t>农业面源污染，环境污染、水资源和土地资源短缺</w:t>
                  </w:r>
                </w:p>
              </w:tc>
              <w:tc>
                <w:tcPr>
                  <w:tcW w:w="400" w:type="pct"/>
                  <w:vAlign w:val="center"/>
                </w:tcPr>
                <w:p w14:paraId="463646C5">
                  <w:pPr>
                    <w:pStyle w:val="31"/>
                    <w:bidi w:val="0"/>
                    <w:rPr>
                      <w:rFonts w:hint="default"/>
                      <w:color w:val="auto"/>
                      <w:sz w:val="21"/>
                      <w:szCs w:val="21"/>
                      <w:lang w:val="en-US" w:eastAsia="zh-CN"/>
                    </w:rPr>
                  </w:pPr>
                  <w:r>
                    <w:rPr>
                      <w:rFonts w:hint="default"/>
                      <w:color w:val="auto"/>
                      <w:sz w:val="21"/>
                      <w:szCs w:val="21"/>
                      <w:lang w:val="en-US" w:eastAsia="zh-CN"/>
                    </w:rPr>
                    <w:t>高原湖盆和城乡交错带的生态脆弱性</w:t>
                  </w:r>
                </w:p>
              </w:tc>
              <w:tc>
                <w:tcPr>
                  <w:tcW w:w="463" w:type="pct"/>
                  <w:vAlign w:val="center"/>
                </w:tcPr>
                <w:p w14:paraId="27253BFD">
                  <w:pPr>
                    <w:pStyle w:val="31"/>
                    <w:bidi w:val="0"/>
                    <w:rPr>
                      <w:rFonts w:hint="default"/>
                      <w:color w:val="auto"/>
                      <w:sz w:val="21"/>
                      <w:szCs w:val="21"/>
                      <w:lang w:val="en-US" w:eastAsia="zh-CN"/>
                    </w:rPr>
                  </w:pPr>
                  <w:r>
                    <w:rPr>
                      <w:rFonts w:hint="default"/>
                      <w:color w:val="auto"/>
                      <w:sz w:val="21"/>
                      <w:szCs w:val="21"/>
                      <w:lang w:val="en-US" w:eastAsia="zh-CN"/>
                    </w:rPr>
                    <w:t>昆明中心城市建设及维护高原湖泊群及周边地区的生态安全</w:t>
                  </w:r>
                </w:p>
              </w:tc>
              <w:tc>
                <w:tcPr>
                  <w:tcW w:w="694" w:type="pct"/>
                  <w:vAlign w:val="center"/>
                </w:tcPr>
                <w:p w14:paraId="16C87E90">
                  <w:pPr>
                    <w:pStyle w:val="31"/>
                    <w:bidi w:val="0"/>
                    <w:rPr>
                      <w:rFonts w:hint="default"/>
                      <w:color w:val="auto"/>
                      <w:sz w:val="21"/>
                      <w:szCs w:val="21"/>
                      <w:lang w:val="en-US" w:eastAsia="zh-CN"/>
                    </w:rPr>
                  </w:pPr>
                  <w:r>
                    <w:rPr>
                      <w:rFonts w:hint="default"/>
                      <w:color w:val="auto"/>
                      <w:sz w:val="21"/>
                      <w:szCs w:val="21"/>
                      <w:lang w:val="en-US" w:eastAsia="zh-CN"/>
                    </w:rPr>
                    <w:t>调整产业结构，发展循环经济，推行清洁生产，治理高原湖泊水体污染和流域区的面源污染</w:t>
                  </w:r>
                </w:p>
              </w:tc>
            </w:tr>
          </w:tbl>
          <w:p w14:paraId="4B6D681F">
            <w:pPr>
              <w:adjustRightInd w:val="0"/>
              <w:snapToGrid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根据《云南省生态功能区划》的符合性分析，本项目运营过程中</w:t>
            </w:r>
            <w:r>
              <w:rPr>
                <w:rFonts w:hint="default" w:ascii="宋体" w:hAnsi="宋体" w:eastAsia="宋体" w:cs="宋体"/>
                <w:color w:val="auto"/>
                <w:sz w:val="24"/>
                <w:szCs w:val="24"/>
                <w:lang w:val="en-US" w:eastAsia="zh-CN"/>
              </w:rPr>
              <w:t>运行期</w:t>
            </w:r>
            <w:r>
              <w:rPr>
                <w:rFonts w:hint="eastAsia" w:ascii="宋体" w:hAnsi="宋体" w:eastAsia="宋体" w:cs="宋体"/>
                <w:color w:val="auto"/>
                <w:sz w:val="24"/>
                <w:szCs w:val="24"/>
                <w:lang w:val="en-US" w:eastAsia="zh-CN"/>
              </w:rPr>
              <w:t>生产废水仅为冷却水，循环使用不外排，生活污水经化粪池处理后，利用罐车拉运至纳古镇污水处理站处理，固废均能合理处置，不会对杞麓湖水体造成污染。因此，本项目建设与所在区生态功能区划不冲突。</w:t>
            </w:r>
          </w:p>
          <w:p w14:paraId="57CD8D13">
            <w:pPr>
              <w:keepNext/>
              <w:keepLines/>
              <w:adjustRightInd w:val="0"/>
              <w:snapToGrid w:val="0"/>
              <w:spacing w:line="360" w:lineRule="auto"/>
              <w:outlineLvl w:val="2"/>
              <w:rPr>
                <w:rFonts w:hint="default" w:ascii="Times New Roman" w:hAnsi="Times New Roman" w:eastAsia="宋体" w:cs="宋体"/>
                <w:b/>
                <w:bCs/>
                <w:color w:val="auto"/>
                <w:kern w:val="0"/>
                <w:sz w:val="24"/>
              </w:rPr>
            </w:pPr>
            <w:r>
              <w:rPr>
                <w:rFonts w:hint="eastAsia" w:ascii="Times New Roman" w:hAnsi="Times New Roman" w:eastAsia="宋体" w:cs="宋体"/>
                <w:b/>
                <w:bCs/>
                <w:color w:val="auto"/>
                <w:kern w:val="0"/>
                <w:sz w:val="24"/>
                <w:lang w:eastAsia="zh-CN"/>
              </w:rPr>
              <w:t>（</w:t>
            </w:r>
            <w:r>
              <w:rPr>
                <w:rFonts w:hint="eastAsia" w:cs="宋体"/>
                <w:b/>
                <w:bCs/>
                <w:color w:val="auto"/>
                <w:kern w:val="0"/>
                <w:sz w:val="24"/>
                <w:lang w:val="en-US" w:eastAsia="zh-CN"/>
              </w:rPr>
              <w:t>4</w:t>
            </w:r>
            <w:r>
              <w:rPr>
                <w:rFonts w:hint="eastAsia" w:ascii="Times New Roman" w:hAnsi="Times New Roman" w:eastAsia="宋体" w:cs="宋体"/>
                <w:b/>
                <w:bCs/>
                <w:color w:val="auto"/>
                <w:kern w:val="0"/>
                <w:sz w:val="24"/>
                <w:lang w:eastAsia="zh-CN"/>
              </w:rPr>
              <w:t>）</w:t>
            </w:r>
            <w:r>
              <w:rPr>
                <w:rFonts w:hint="default" w:ascii="Times New Roman" w:hAnsi="Times New Roman" w:eastAsia="宋体" w:cs="宋体"/>
                <w:b/>
                <w:bCs/>
                <w:color w:val="auto"/>
                <w:kern w:val="0"/>
                <w:sz w:val="24"/>
              </w:rPr>
              <w:t>与</w:t>
            </w:r>
            <w:r>
              <w:rPr>
                <w:rFonts w:hint="eastAsia"/>
                <w:b/>
                <w:bCs/>
                <w:color w:val="auto"/>
                <w:kern w:val="0"/>
                <w:sz w:val="24"/>
              </w:rPr>
              <w:t>《玉溪市生态环境分区管控动态更新调整方案（2023年）》（玉市环〔2024〕40号）</w:t>
            </w:r>
            <w:r>
              <w:rPr>
                <w:rFonts w:hint="eastAsia"/>
                <w:b/>
                <w:bCs/>
                <w:color w:val="auto"/>
                <w:kern w:val="0"/>
                <w:sz w:val="24"/>
                <w:lang w:eastAsia="zh-CN"/>
              </w:rPr>
              <w:t>和</w:t>
            </w:r>
            <w:r>
              <w:rPr>
                <w:rFonts w:hint="default" w:ascii="Times New Roman" w:hAnsi="Times New Roman" w:eastAsia="宋体" w:cs="宋体"/>
                <w:b/>
                <w:bCs/>
                <w:color w:val="auto"/>
                <w:kern w:val="0"/>
                <w:sz w:val="24"/>
              </w:rPr>
              <w:t>《玉溪市生态环境局关于印发玉溪市生态环境分区管控动态更新调整方案(</w:t>
            </w:r>
            <w:r>
              <w:rPr>
                <w:rFonts w:hint="eastAsia" w:cs="宋体"/>
                <w:b/>
                <w:bCs/>
                <w:color w:val="auto"/>
                <w:kern w:val="0"/>
                <w:sz w:val="24"/>
                <w:lang w:eastAsia="zh-CN"/>
              </w:rPr>
              <w:t>通海县</w:t>
            </w:r>
            <w:r>
              <w:rPr>
                <w:rFonts w:hint="default" w:ascii="Times New Roman" w:hAnsi="Times New Roman" w:eastAsia="宋体" w:cs="宋体"/>
                <w:b/>
                <w:bCs/>
                <w:color w:val="auto"/>
                <w:kern w:val="0"/>
                <w:sz w:val="24"/>
              </w:rPr>
              <w:t>)的通知》符合性分析</w:t>
            </w:r>
          </w:p>
          <w:p w14:paraId="4CF6BDD9">
            <w:pPr>
              <w:snapToGrid w:val="0"/>
              <w:spacing w:line="360" w:lineRule="auto"/>
              <w:ind w:firstLine="480" w:firstLineChars="200"/>
              <w:rPr>
                <w:rFonts w:hint="default" w:ascii="Times New Roman" w:hAnsi="Times New Roman" w:eastAsia="宋体" w:cs="Times New Roman"/>
                <w:color w:val="auto"/>
                <w:sz w:val="24"/>
                <w:szCs w:val="24"/>
              </w:rPr>
            </w:pPr>
            <w:r>
              <w:rPr>
                <w:color w:val="auto"/>
                <w:kern w:val="0"/>
                <w:sz w:val="24"/>
                <w:lang w:bidi="ar"/>
              </w:rPr>
              <w:t>2024年7月6日，玉溪市生态环境</w:t>
            </w:r>
            <w:r>
              <w:rPr>
                <w:rFonts w:hint="eastAsia"/>
                <w:color w:val="auto"/>
                <w:kern w:val="0"/>
                <w:sz w:val="24"/>
                <w:lang w:bidi="ar"/>
              </w:rPr>
              <w:t>局</w:t>
            </w:r>
            <w:r>
              <w:rPr>
                <w:color w:val="auto"/>
                <w:kern w:val="0"/>
                <w:sz w:val="24"/>
                <w:lang w:bidi="ar"/>
              </w:rPr>
              <w:t>发布了《玉溪市生态环境分区管控动态更新调整方案（2023年）》（玉市环〔2024〕40号）</w:t>
            </w:r>
            <w:r>
              <w:rPr>
                <w:rFonts w:hint="eastAsia"/>
                <w:color w:val="auto"/>
                <w:kern w:val="0"/>
                <w:sz w:val="24"/>
                <w:lang w:bidi="ar"/>
              </w:rPr>
              <w:t>。</w:t>
            </w: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日玉溪市人民政府印发了《玉溪市生态环境局关于印发玉溪市生态环境分区管控动态更新调整方案(</w:t>
            </w:r>
            <w:r>
              <w:rPr>
                <w:rFonts w:hint="eastAsia" w:cs="Times New Roman"/>
                <w:color w:val="auto"/>
                <w:sz w:val="24"/>
                <w:szCs w:val="24"/>
                <w:lang w:eastAsia="zh-CN"/>
              </w:rPr>
              <w:t>通海县</w:t>
            </w:r>
            <w:r>
              <w:rPr>
                <w:rFonts w:hint="default" w:ascii="Times New Roman" w:hAnsi="Times New Roman" w:eastAsia="宋体" w:cs="Times New Roman"/>
                <w:color w:val="auto"/>
                <w:sz w:val="24"/>
                <w:szCs w:val="24"/>
              </w:rPr>
              <w:t>)的通知》（以下简称《通知》）。</w:t>
            </w:r>
          </w:p>
          <w:p w14:paraId="1197E2BC">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玉溪市通过划分区域的环境管控单元，提出分区管控要求，进行构建生态环境分区体系。玉溪市划分优先保护、重点管控、一般管控三大类，共</w:t>
            </w:r>
            <w:r>
              <w:rPr>
                <w:rFonts w:hint="eastAsia" w:cs="Times New Roman"/>
                <w:color w:val="auto"/>
                <w:sz w:val="24"/>
                <w:szCs w:val="24"/>
                <w:lang w:val="en-US" w:eastAsia="zh-CN"/>
              </w:rPr>
              <w:t>83</w:t>
            </w:r>
            <w:r>
              <w:rPr>
                <w:rFonts w:hint="default" w:ascii="Times New Roman" w:hAnsi="Times New Roman" w:eastAsia="宋体" w:cs="Times New Roman"/>
                <w:color w:val="auto"/>
                <w:sz w:val="24"/>
                <w:szCs w:val="24"/>
                <w:lang w:val="en-US" w:eastAsia="zh-CN"/>
              </w:rPr>
              <w:t>个生态环境管控单元。</w:t>
            </w:r>
          </w:p>
          <w:p w14:paraId="710D45DD">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①优先保护单元。共</w:t>
            </w:r>
            <w:r>
              <w:rPr>
                <w:rFonts w:hint="eastAsia"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个，包含生态保护红线和一般生态空间，主要分布在哀牢山、红河（元江）干热河谷、珠江上游及滇东南喀斯特地带、高原湖泊湖区及流域水源涵养区等生态功能重要、生态环境敏感区域。</w:t>
            </w:r>
          </w:p>
          <w:p w14:paraId="3C3A5E12">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②重点管控单元。共</w:t>
            </w:r>
            <w:r>
              <w:rPr>
                <w:rFonts w:hint="eastAsia" w:cs="Times New Roman"/>
                <w:color w:val="auto"/>
                <w:sz w:val="24"/>
                <w:szCs w:val="24"/>
                <w:lang w:val="en-US" w:eastAsia="zh-CN"/>
              </w:rPr>
              <w:t>47</w:t>
            </w:r>
            <w:r>
              <w:rPr>
                <w:rFonts w:hint="default" w:ascii="Times New Roman" w:hAnsi="Times New Roman" w:eastAsia="宋体" w:cs="Times New Roman"/>
                <w:color w:val="auto"/>
                <w:sz w:val="24"/>
                <w:szCs w:val="24"/>
                <w:lang w:val="en-US" w:eastAsia="zh-CN"/>
              </w:rPr>
              <w:t>个，包含开发强度高、污染物排放强度大、环境问题相对集中的区域和大气环境布局敏感区等，主要分布在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三湖</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（抚仙湖、星云湖、杞麓湖）坝区、各类开发区和工业集中区、城镇规划区及环境质量改善压力较大的区域。</w:t>
            </w:r>
          </w:p>
          <w:p w14:paraId="607447A4">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③一般管控单元。共</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个，为优先保护、重点管控单元之外的区域。</w:t>
            </w:r>
          </w:p>
          <w:p w14:paraId="7A5F7E35">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ascii="Times New Roman" w:hAnsi="Times New Roman" w:eastAsia="宋体" w:cs="Times New Roman"/>
                <w:color w:val="auto"/>
                <w:sz w:val="24"/>
                <w:szCs w:val="24"/>
                <w:lang w:val="en-US" w:eastAsia="zh-CN"/>
              </w:rPr>
              <w:t>玉溪市通海县纳古镇大白龙</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lang w:val="en-US" w:eastAsia="zh-CN"/>
              </w:rPr>
              <w:t>本次评价在《云南省生态环境分区管控公共服务查询平台》对项目用地范围进行了查询，经查询，项目涉及管控单元如下表所示（详见附件7）</w:t>
            </w:r>
            <w:r>
              <w:rPr>
                <w:rFonts w:hint="default" w:ascii="Times New Roman" w:hAnsi="Times New Roman" w:eastAsia="宋体" w:cs="Times New Roman"/>
                <w:color w:val="auto"/>
                <w:sz w:val="24"/>
                <w:szCs w:val="24"/>
                <w:lang w:val="en-US" w:eastAsia="zh-CN"/>
              </w:rPr>
              <w:t>。</w:t>
            </w:r>
          </w:p>
          <w:p w14:paraId="03DED9A7">
            <w:pPr>
              <w:adjustRightInd w:val="0"/>
              <w:snapToGrid w:val="0"/>
              <w:spacing w:after="158" w:afterLines="50"/>
              <w:jc w:val="center"/>
              <w:rPr>
                <w:rFonts w:hint="default" w:ascii="Times New Roman" w:hAnsi="Times New Roman" w:eastAsia="宋体" w:cs="宋体"/>
                <w:b/>
                <w:bCs/>
                <w:color w:val="auto"/>
                <w:spacing w:val="4"/>
                <w:kern w:val="0"/>
                <w:sz w:val="21"/>
                <w:szCs w:val="21"/>
                <w:lang w:val="en-US" w:eastAsia="zh-CN"/>
              </w:rPr>
            </w:pPr>
            <w:r>
              <w:rPr>
                <w:rFonts w:hint="eastAsia" w:ascii="Times New Roman" w:hAnsi="Times New Roman" w:eastAsia="宋体" w:cs="宋体"/>
                <w:b/>
                <w:bCs/>
                <w:color w:val="auto"/>
                <w:spacing w:val="4"/>
                <w:kern w:val="0"/>
                <w:sz w:val="21"/>
                <w:szCs w:val="21"/>
                <w:lang w:val="en-US" w:eastAsia="zh-CN"/>
              </w:rPr>
              <w:t>表1-3   项目用地范围涉及的管控单元及编码</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2085"/>
              <w:gridCol w:w="2744"/>
              <w:gridCol w:w="1603"/>
            </w:tblGrid>
            <w:tr w14:paraId="0387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91" w:type="pct"/>
                  <w:shd w:val="clear" w:color="auto" w:fill="D7D7D7" w:themeFill="background1" w:themeFillShade="D8"/>
                  <w:noWrap w:val="0"/>
                  <w:vAlign w:val="center"/>
                </w:tcPr>
                <w:p w14:paraId="5755A896">
                  <w:pPr>
                    <w:ind w:left="0" w:leftChars="0" w:right="0" w:rightChars="0" w:firstLine="0" w:firstLineChars="0"/>
                    <w:jc w:val="center"/>
                    <w:rPr>
                      <w:color w:val="auto"/>
                    </w:rPr>
                  </w:pPr>
                  <w:r>
                    <w:rPr>
                      <w:color w:val="auto"/>
                    </w:rPr>
                    <w:t>序号</w:t>
                  </w:r>
                </w:p>
              </w:tc>
              <w:tc>
                <w:tcPr>
                  <w:tcW w:w="1461" w:type="pct"/>
                  <w:shd w:val="clear" w:color="auto" w:fill="D7D7D7" w:themeFill="background1" w:themeFillShade="D8"/>
                  <w:noWrap w:val="0"/>
                  <w:vAlign w:val="center"/>
                </w:tcPr>
                <w:p w14:paraId="57CCE351">
                  <w:pPr>
                    <w:ind w:left="0" w:leftChars="0" w:right="0" w:rightChars="0" w:firstLine="0" w:firstLineChars="0"/>
                    <w:jc w:val="center"/>
                    <w:rPr>
                      <w:color w:val="auto"/>
                    </w:rPr>
                  </w:pPr>
                  <w:r>
                    <w:rPr>
                      <w:color w:val="auto"/>
                    </w:rPr>
                    <w:t>环境管控单元编码</w:t>
                  </w:r>
                </w:p>
              </w:tc>
              <w:tc>
                <w:tcPr>
                  <w:tcW w:w="1923" w:type="pct"/>
                  <w:shd w:val="clear" w:color="auto" w:fill="D7D7D7" w:themeFill="background1" w:themeFillShade="D8"/>
                  <w:noWrap w:val="0"/>
                  <w:vAlign w:val="center"/>
                </w:tcPr>
                <w:p w14:paraId="031F0C11">
                  <w:pPr>
                    <w:ind w:left="0" w:leftChars="0" w:right="0" w:rightChars="0" w:firstLine="0" w:firstLineChars="0"/>
                    <w:jc w:val="center"/>
                    <w:rPr>
                      <w:color w:val="auto"/>
                    </w:rPr>
                  </w:pPr>
                  <w:r>
                    <w:rPr>
                      <w:color w:val="auto"/>
                    </w:rPr>
                    <w:t>环境管控单元名称</w:t>
                  </w:r>
                </w:p>
              </w:tc>
              <w:tc>
                <w:tcPr>
                  <w:tcW w:w="1123" w:type="pct"/>
                  <w:shd w:val="clear" w:color="auto" w:fill="D7D7D7" w:themeFill="background1" w:themeFillShade="D8"/>
                  <w:noWrap w:val="0"/>
                  <w:vAlign w:val="center"/>
                </w:tcPr>
                <w:p w14:paraId="413F4C45">
                  <w:pPr>
                    <w:ind w:left="0" w:leftChars="0" w:right="0" w:rightChars="0" w:firstLine="0" w:firstLineChars="0"/>
                    <w:jc w:val="center"/>
                    <w:rPr>
                      <w:color w:val="auto"/>
                    </w:rPr>
                  </w:pPr>
                  <w:r>
                    <w:rPr>
                      <w:color w:val="auto"/>
                    </w:rPr>
                    <w:t>管控单元类型</w:t>
                  </w:r>
                </w:p>
              </w:tc>
            </w:tr>
            <w:tr w14:paraId="28EA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jc w:val="center"/>
              </w:trPr>
              <w:tc>
                <w:tcPr>
                  <w:tcW w:w="491" w:type="pct"/>
                  <w:noWrap w:val="0"/>
                  <w:vAlign w:val="center"/>
                </w:tcPr>
                <w:p w14:paraId="7F7FCF24">
                  <w:pPr>
                    <w:ind w:left="0" w:leftChars="0" w:right="0" w:rightChars="0" w:firstLine="0" w:firstLineChars="0"/>
                    <w:jc w:val="center"/>
                    <w:rPr>
                      <w:color w:val="auto"/>
                    </w:rPr>
                  </w:pPr>
                  <w:r>
                    <w:rPr>
                      <w:color w:val="auto"/>
                    </w:rPr>
                    <w:t>1</w:t>
                  </w:r>
                </w:p>
              </w:tc>
              <w:tc>
                <w:tcPr>
                  <w:tcW w:w="1461" w:type="pct"/>
                  <w:noWrap w:val="0"/>
                  <w:vAlign w:val="center"/>
                </w:tcPr>
                <w:p w14:paraId="209884AD">
                  <w:pPr>
                    <w:ind w:left="0" w:leftChars="0" w:right="0" w:rightChars="0" w:firstLine="0" w:firstLineChars="0"/>
                    <w:jc w:val="center"/>
                    <w:rPr>
                      <w:rFonts w:hint="default" w:eastAsia="宋体"/>
                      <w:color w:val="auto"/>
                      <w:lang w:val="en-US" w:eastAsia="zh-CN"/>
                    </w:rPr>
                  </w:pPr>
                  <w:r>
                    <w:rPr>
                      <w:color w:val="auto"/>
                    </w:rPr>
                    <w:t>ZH530</w:t>
                  </w:r>
                  <w:r>
                    <w:rPr>
                      <w:rFonts w:hint="eastAsia"/>
                      <w:color w:val="auto"/>
                      <w:lang w:val="en-US" w:eastAsia="zh-CN"/>
                    </w:rPr>
                    <w:t>42320005</w:t>
                  </w:r>
                </w:p>
              </w:tc>
              <w:tc>
                <w:tcPr>
                  <w:tcW w:w="1923" w:type="pct"/>
                  <w:noWrap w:val="0"/>
                  <w:vAlign w:val="center"/>
                </w:tcPr>
                <w:p w14:paraId="0E97B51E">
                  <w:pPr>
                    <w:ind w:left="0" w:leftChars="0" w:right="0" w:rightChars="0" w:firstLine="0" w:firstLineChars="0"/>
                    <w:jc w:val="center"/>
                    <w:rPr>
                      <w:color w:val="auto"/>
                    </w:rPr>
                  </w:pPr>
                  <w:r>
                    <w:rPr>
                      <w:rFonts w:hint="eastAsia" w:ascii="Times New Roman" w:hAnsi="Times New Roman" w:eastAsia="宋体" w:cs="Times New Roman"/>
                      <w:color w:val="auto"/>
                      <w:lang w:val="en-US" w:eastAsia="zh-CN"/>
                    </w:rPr>
                    <w:t>通海县乡镇生活污染重点管控单元</w:t>
                  </w:r>
                </w:p>
              </w:tc>
              <w:tc>
                <w:tcPr>
                  <w:tcW w:w="1123" w:type="pct"/>
                  <w:noWrap w:val="0"/>
                  <w:vAlign w:val="center"/>
                </w:tcPr>
                <w:p w14:paraId="74569822">
                  <w:pPr>
                    <w:ind w:left="0" w:leftChars="0" w:right="0" w:rightChars="0" w:firstLine="0" w:firstLineChars="0"/>
                    <w:jc w:val="center"/>
                    <w:rPr>
                      <w:color w:val="auto"/>
                    </w:rPr>
                  </w:pPr>
                  <w:r>
                    <w:rPr>
                      <w:color w:val="auto"/>
                    </w:rPr>
                    <w:t>重点管控单元</w:t>
                  </w:r>
                </w:p>
              </w:tc>
            </w:tr>
          </w:tbl>
          <w:p w14:paraId="12A53322">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分区管控</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相关要求相符性分析详见下表。</w:t>
            </w:r>
          </w:p>
          <w:p w14:paraId="06973ED2">
            <w:pPr>
              <w:adjustRightInd w:val="0"/>
              <w:snapToGrid w:val="0"/>
              <w:spacing w:after="158" w:afterLines="50"/>
              <w:jc w:val="center"/>
              <w:rPr>
                <w:rFonts w:hint="default" w:ascii="Times New Roman" w:hAnsi="Times New Roman" w:eastAsia="宋体" w:cs="宋体"/>
                <w:b/>
                <w:bCs/>
                <w:color w:val="auto"/>
                <w:spacing w:val="4"/>
                <w:kern w:val="0"/>
                <w:sz w:val="21"/>
                <w:szCs w:val="21"/>
                <w:lang w:val="en-US" w:eastAsia="zh-CN"/>
              </w:rPr>
            </w:pPr>
            <w:r>
              <w:rPr>
                <w:rFonts w:hint="default" w:ascii="Times New Roman" w:hAnsi="Times New Roman" w:eastAsia="宋体" w:cs="宋体"/>
                <w:b/>
                <w:bCs/>
                <w:color w:val="auto"/>
                <w:spacing w:val="4"/>
                <w:kern w:val="0"/>
                <w:sz w:val="21"/>
                <w:szCs w:val="21"/>
                <w:lang w:val="en-US" w:eastAsia="zh-CN"/>
              </w:rPr>
              <w:t>表1-</w:t>
            </w:r>
            <w:r>
              <w:rPr>
                <w:rFonts w:hint="eastAsia" w:cs="宋体"/>
                <w:b/>
                <w:bCs/>
                <w:color w:val="auto"/>
                <w:spacing w:val="4"/>
                <w:kern w:val="0"/>
                <w:sz w:val="21"/>
                <w:szCs w:val="21"/>
                <w:lang w:val="en-US" w:eastAsia="zh-CN"/>
              </w:rPr>
              <w:t>4</w:t>
            </w:r>
            <w:r>
              <w:rPr>
                <w:rFonts w:hint="default" w:ascii="Times New Roman" w:hAnsi="Times New Roman" w:eastAsia="宋体" w:cs="宋体"/>
                <w:b/>
                <w:bCs/>
                <w:color w:val="auto"/>
                <w:spacing w:val="4"/>
                <w:kern w:val="0"/>
                <w:sz w:val="21"/>
                <w:szCs w:val="21"/>
                <w:lang w:val="en-US" w:eastAsia="zh-CN"/>
              </w:rPr>
              <w:t xml:space="preserve">  与玉溪市分区管控符合性分析</w:t>
            </w:r>
          </w:p>
          <w:tbl>
            <w:tblPr>
              <w:tblStyle w:val="25"/>
              <w:tblW w:w="7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2903"/>
              <w:gridCol w:w="2959"/>
              <w:gridCol w:w="755"/>
            </w:tblGrid>
            <w:tr w14:paraId="5617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shd w:val="clear" w:color="auto" w:fill="D7D7D7" w:themeFill="background1" w:themeFillShade="D8"/>
                  <w:vAlign w:val="center"/>
                </w:tcPr>
                <w:p w14:paraId="3FCB40B1">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序号</w:t>
                  </w:r>
                </w:p>
              </w:tc>
              <w:tc>
                <w:tcPr>
                  <w:tcW w:w="2049" w:type="pct"/>
                  <w:shd w:val="clear" w:color="auto" w:fill="D7D7D7" w:themeFill="background1" w:themeFillShade="D8"/>
                  <w:vAlign w:val="center"/>
                </w:tcPr>
                <w:p w14:paraId="6B9C74AE">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要求</w:t>
                  </w:r>
                </w:p>
              </w:tc>
              <w:tc>
                <w:tcPr>
                  <w:tcW w:w="2088" w:type="pct"/>
                  <w:shd w:val="clear" w:color="auto" w:fill="D7D7D7" w:themeFill="background1" w:themeFillShade="D8"/>
                  <w:vAlign w:val="center"/>
                </w:tcPr>
                <w:p w14:paraId="3BF13C89">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项目情况</w:t>
                  </w:r>
                </w:p>
              </w:tc>
              <w:tc>
                <w:tcPr>
                  <w:tcW w:w="531" w:type="pct"/>
                  <w:shd w:val="clear" w:color="auto" w:fill="D7D7D7" w:themeFill="background1" w:themeFillShade="D8"/>
                  <w:vAlign w:val="center"/>
                </w:tcPr>
                <w:p w14:paraId="50B49D72">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符合性</w:t>
                  </w:r>
                </w:p>
              </w:tc>
            </w:tr>
            <w:tr w14:paraId="21F8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1C225436">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一、生态保护红线和一般生态空间</w:t>
                  </w:r>
                </w:p>
              </w:tc>
            </w:tr>
            <w:tr w14:paraId="1899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jc w:val="center"/>
              </w:trPr>
              <w:tc>
                <w:tcPr>
                  <w:tcW w:w="330" w:type="pct"/>
                  <w:vAlign w:val="center"/>
                </w:tcPr>
                <w:p w14:paraId="7A86DCC0">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w:t>
                  </w:r>
                </w:p>
              </w:tc>
              <w:tc>
                <w:tcPr>
                  <w:tcW w:w="2049" w:type="pct"/>
                  <w:vAlign w:val="center"/>
                </w:tcPr>
                <w:p w14:paraId="2F368FFB">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2088" w:type="pct"/>
                  <w:vAlign w:val="center"/>
                </w:tcPr>
                <w:p w14:paraId="039E3601">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lang w:val="en-US" w:eastAsia="zh-CN"/>
                    </w:rPr>
                  </w:pPr>
                  <w:bookmarkStart w:id="2" w:name="_Toc19719"/>
                  <w:bookmarkStart w:id="3" w:name="_Toc26230"/>
                  <w:bookmarkStart w:id="4" w:name="_Toc8786"/>
                  <w:bookmarkStart w:id="5" w:name="_Toc70"/>
                  <w:bookmarkStart w:id="6" w:name="_Toc128948146"/>
                  <w:r>
                    <w:rPr>
                      <w:rFonts w:hint="default" w:ascii="Times New Roman" w:hAnsi="Times New Roman" w:eastAsia="宋体" w:cs="Times New Roman"/>
                      <w:b w:val="0"/>
                      <w:bCs/>
                      <w:color w:val="auto"/>
                      <w:sz w:val="21"/>
                      <w:highlight w:val="none"/>
                    </w:rPr>
                    <w:t>本项目</w:t>
                  </w:r>
                  <w:r>
                    <w:rPr>
                      <w:rFonts w:hint="eastAsia" w:ascii="Times New Roman" w:hAnsi="Times New Roman" w:eastAsia="宋体" w:cs="Times New Roman"/>
                      <w:b w:val="0"/>
                      <w:bCs/>
                      <w:color w:val="auto"/>
                      <w:sz w:val="21"/>
                      <w:highlight w:val="none"/>
                    </w:rPr>
                    <w:t>位于玉溪市通海县</w:t>
                  </w:r>
                  <w:r>
                    <w:rPr>
                      <w:rFonts w:hint="eastAsia" w:ascii="Times New Roman" w:hAnsi="Times New Roman" w:eastAsia="宋体" w:cs="Times New Roman"/>
                      <w:b w:val="0"/>
                      <w:bCs/>
                      <w:color w:val="auto"/>
                      <w:sz w:val="21"/>
                      <w:highlight w:val="none"/>
                      <w:lang w:val="en-US" w:eastAsia="zh-CN"/>
                    </w:rPr>
                    <w:t>纳古镇大白龙</w:t>
                  </w:r>
                  <w:r>
                    <w:rPr>
                      <w:rFonts w:hint="default" w:ascii="Times New Roman" w:hAnsi="Times New Roman" w:eastAsia="宋体" w:cs="Times New Roman"/>
                      <w:b w:val="0"/>
                      <w:bCs/>
                      <w:color w:val="auto"/>
                      <w:sz w:val="21"/>
                      <w:highlight w:val="none"/>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w:t>
                  </w:r>
                  <w:r>
                    <w:rPr>
                      <w:rFonts w:hint="default" w:ascii="Times New Roman" w:hAnsi="Times New Roman" w:eastAsia="宋体" w:cs="Times New Roman"/>
                      <w:b w:val="0"/>
                      <w:bCs/>
                      <w:color w:val="auto"/>
                      <w:sz w:val="21"/>
                      <w:highlight w:val="none"/>
                    </w:rPr>
                    <w:t>不新增用地，</w:t>
                  </w:r>
                  <w:r>
                    <w:rPr>
                      <w:rFonts w:hint="eastAsia" w:hAnsi="Times New Roman" w:eastAsia="宋体" w:cs="Times New Roman"/>
                      <w:b w:val="0"/>
                      <w:bCs/>
                      <w:color w:val="auto"/>
                      <w:sz w:val="21"/>
                      <w:highlight w:val="none"/>
                      <w:lang w:eastAsia="zh-CN"/>
                    </w:rPr>
                    <w:t>根据三区三线查询结果可知，</w:t>
                  </w:r>
                  <w:r>
                    <w:rPr>
                      <w:rFonts w:hint="default" w:ascii="Times New Roman" w:hAnsi="Times New Roman" w:eastAsia="宋体" w:cs="Times New Roman"/>
                      <w:b w:val="0"/>
                      <w:bCs/>
                      <w:color w:val="auto"/>
                      <w:sz w:val="21"/>
                      <w:highlight w:val="none"/>
                    </w:rPr>
                    <w:t>不涉及占用生态红线和一般生态空间</w:t>
                  </w:r>
                  <w:bookmarkEnd w:id="2"/>
                  <w:bookmarkEnd w:id="3"/>
                  <w:bookmarkEnd w:id="4"/>
                  <w:bookmarkEnd w:id="5"/>
                  <w:bookmarkEnd w:id="6"/>
                  <w:r>
                    <w:rPr>
                      <w:rFonts w:hint="default" w:ascii="Times New Roman" w:hAnsi="Times New Roman" w:eastAsia="宋体" w:cs="Times New Roman"/>
                      <w:b w:val="0"/>
                      <w:bCs/>
                      <w:color w:val="auto"/>
                      <w:sz w:val="21"/>
                      <w:highlight w:val="none"/>
                      <w:lang w:val="en-US" w:eastAsia="zh-CN"/>
                    </w:rPr>
                    <w:t>。</w:t>
                  </w:r>
                </w:p>
              </w:tc>
              <w:tc>
                <w:tcPr>
                  <w:tcW w:w="531" w:type="pct"/>
                  <w:vAlign w:val="center"/>
                </w:tcPr>
                <w:p w14:paraId="3812CA3C">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62CF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6DB8DF09">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二、环境质量底线</w:t>
                  </w:r>
                </w:p>
              </w:tc>
            </w:tr>
            <w:tr w14:paraId="503A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 w:type="pct"/>
                  <w:vAlign w:val="center"/>
                </w:tcPr>
                <w:p w14:paraId="5CC4F965">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w:t>
                  </w:r>
                </w:p>
              </w:tc>
              <w:tc>
                <w:tcPr>
                  <w:tcW w:w="2049" w:type="pct"/>
                  <w:vAlign w:val="center"/>
                </w:tcPr>
                <w:p w14:paraId="65549F25">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2088" w:type="pct"/>
                  <w:vAlign w:val="center"/>
                </w:tcPr>
                <w:p w14:paraId="059B6FD0">
                  <w:pPr>
                    <w:wordWrap w:val="0"/>
                    <w:jc w:val="left"/>
                    <w:rPr>
                      <w:rFonts w:hint="eastAsia" w:ascii="Times New Roman" w:hAnsi="Times New Roman" w:eastAsia="宋体" w:cs="Times New Roman"/>
                      <w:b w:val="0"/>
                      <w:bCs/>
                      <w:color w:val="auto"/>
                      <w:kern w:val="2"/>
                      <w:sz w:val="21"/>
                      <w:szCs w:val="24"/>
                      <w:highlight w:val="none"/>
                      <w:lang w:val="en-US" w:eastAsia="zh-CN" w:bidi="ar-SA"/>
                    </w:rPr>
                  </w:pPr>
                  <w:r>
                    <w:rPr>
                      <w:rFonts w:hint="eastAsia" w:ascii="Times New Roman" w:hAnsi="Times New Roman" w:eastAsia="宋体" w:cs="Times New Roman"/>
                      <w:b w:val="0"/>
                      <w:bCs/>
                      <w:color w:val="auto"/>
                      <w:kern w:val="2"/>
                      <w:sz w:val="21"/>
                      <w:szCs w:val="24"/>
                      <w:highlight w:val="none"/>
                      <w:lang w:val="en-US" w:eastAsia="zh-CN" w:bidi="ar-SA"/>
                    </w:rPr>
                    <w:t>项目区最近地表水体为东南侧800m的米冲水库，米冲水库主要水功能为农灌用水，径流从通海县纳古镇北部自东北向西南流下，经六街大沟最终汇入杞麓湖，项目区域</w:t>
                  </w:r>
                  <w:r>
                    <w:rPr>
                      <w:rFonts w:hint="default" w:ascii="Times New Roman" w:hAnsi="Times New Roman" w:eastAsia="宋体" w:cs="Times New Roman"/>
                      <w:b w:val="0"/>
                      <w:bCs/>
                      <w:color w:val="auto"/>
                      <w:kern w:val="2"/>
                      <w:sz w:val="21"/>
                      <w:szCs w:val="24"/>
                      <w:highlight w:val="none"/>
                      <w:lang w:val="en-US" w:eastAsia="zh-CN" w:bidi="ar-SA"/>
                    </w:rPr>
                    <w:t>属于杞麓湖</w:t>
                  </w:r>
                  <w:r>
                    <w:rPr>
                      <w:rFonts w:hint="eastAsia" w:ascii="Times New Roman" w:hAnsi="Times New Roman" w:eastAsia="宋体" w:cs="Times New Roman"/>
                      <w:b w:val="0"/>
                      <w:bCs/>
                      <w:color w:val="auto"/>
                      <w:kern w:val="2"/>
                      <w:sz w:val="21"/>
                      <w:szCs w:val="24"/>
                      <w:highlight w:val="none"/>
                      <w:lang w:val="en-US" w:eastAsia="zh-CN" w:bidi="ar-SA"/>
                    </w:rPr>
                    <w:t>汇水范围</w:t>
                  </w:r>
                  <w:r>
                    <w:rPr>
                      <w:rFonts w:hint="default" w:ascii="Times New Roman" w:hAnsi="Times New Roman" w:eastAsia="宋体" w:cs="Times New Roman"/>
                      <w:b w:val="0"/>
                      <w:bCs/>
                      <w:color w:val="auto"/>
                      <w:kern w:val="2"/>
                      <w:sz w:val="21"/>
                      <w:szCs w:val="24"/>
                      <w:highlight w:val="none"/>
                      <w:lang w:val="en-US" w:eastAsia="zh-CN" w:bidi="ar-SA"/>
                    </w:rPr>
                    <w:t>。根据云南省水利厅制定的《云南省水功能区划（2014年修订）》（云政复〔2014〕27号），杞麓湖主要为通海农业、景观、渔业用水区，2020年水质目标为Ⅳ类，2030年水质目标为Ⅲ类。杞麓湖执行《地表水环境质量标准》（GB3838-2002）中的Ⅲ类水质标准</w:t>
                  </w:r>
                  <w:r>
                    <w:rPr>
                      <w:rFonts w:hint="eastAsia" w:ascii="Times New Roman" w:hAnsi="Times New Roman" w:eastAsia="宋体" w:cs="Times New Roman"/>
                      <w:b w:val="0"/>
                      <w:bCs/>
                      <w:color w:val="auto"/>
                      <w:kern w:val="2"/>
                      <w:sz w:val="21"/>
                      <w:szCs w:val="24"/>
                      <w:highlight w:val="none"/>
                      <w:lang w:val="en-US" w:eastAsia="zh-CN" w:bidi="ar-SA"/>
                    </w:rPr>
                    <w:t>，《云南省水功能区划（2014年修订）》中未对米冲水库及六街大沟进行区划，参照杞麓湖执行《地表水环境质量标准》（GB3838-2002）Ⅲ类水质标准。根据中国环境全国生态环境信息平台发布的《云南杞麓湖国控断面和全湖平均水质双脱劣》。受多种条件影响，直至2024年湖泊水质仍为劣Ⅴ类，经过省市县三级同题共答、聚力攻坚，2025年，杞麓湖实现了国控断面和全湖平均水质双脱劣。监测数据显示，杞麓湖湖心（国控点）、全湖平均水质类别由2019年至2024年连续6年的劣Ⅴ类，提升为2025年的Ⅴ类；其中，湖心国控点化学需氧量（COD）均值从2024年的41.2mg/L下降为2025年的34.2mg/L，降幅达17.0%；全湖化学需氧量（COD）均值从2024年的44.5mg/L下降为2025年的35.9mg/L，降幅达19.3%。</w:t>
                  </w:r>
                  <w:r>
                    <w:rPr>
                      <w:rFonts w:hint="default" w:ascii="Times New Roman" w:hAnsi="Times New Roman" w:eastAsia="宋体" w:cs="Times New Roman"/>
                      <w:b w:val="0"/>
                      <w:bCs/>
                      <w:color w:val="auto"/>
                      <w:kern w:val="2"/>
                      <w:sz w:val="21"/>
                      <w:szCs w:val="24"/>
                      <w:highlight w:val="none"/>
                      <w:lang w:val="en-US" w:eastAsia="zh-CN" w:bidi="ar-SA"/>
                    </w:rPr>
                    <w:t>因此，</w:t>
                  </w:r>
                  <w:r>
                    <w:rPr>
                      <w:rFonts w:hint="eastAsia" w:ascii="Times New Roman" w:hAnsi="Times New Roman" w:eastAsia="宋体" w:cs="Times New Roman"/>
                      <w:b w:val="0"/>
                      <w:bCs/>
                      <w:color w:val="auto"/>
                      <w:kern w:val="2"/>
                      <w:sz w:val="21"/>
                      <w:szCs w:val="24"/>
                      <w:highlight w:val="none"/>
                      <w:lang w:val="en-US" w:eastAsia="zh-CN" w:bidi="ar-SA"/>
                    </w:rPr>
                    <w:t>杞麓湖水质类别均为</w:t>
                  </w:r>
                  <w:r>
                    <w:rPr>
                      <w:rFonts w:hint="default" w:ascii="Times New Roman" w:hAnsi="Times New Roman" w:eastAsia="宋体" w:cs="Times New Roman"/>
                      <w:b w:val="0"/>
                      <w:bCs/>
                      <w:color w:val="auto"/>
                      <w:kern w:val="2"/>
                      <w:sz w:val="21"/>
                      <w:szCs w:val="24"/>
                      <w:highlight w:val="none"/>
                      <w:lang w:val="en-US" w:eastAsia="zh-CN" w:bidi="ar-SA"/>
                    </w:rPr>
                    <w:t>Ⅴ类</w:t>
                  </w:r>
                  <w:r>
                    <w:rPr>
                      <w:rFonts w:hint="eastAsia" w:ascii="Times New Roman" w:hAnsi="Times New Roman" w:eastAsia="宋体" w:cs="Times New Roman"/>
                      <w:b w:val="0"/>
                      <w:bCs/>
                      <w:color w:val="auto"/>
                      <w:kern w:val="2"/>
                      <w:sz w:val="21"/>
                      <w:szCs w:val="24"/>
                      <w:highlight w:val="none"/>
                      <w:lang w:val="en-US" w:eastAsia="zh-CN" w:bidi="ar-SA"/>
                    </w:rPr>
                    <w:t>，</w:t>
                  </w:r>
                  <w:r>
                    <w:rPr>
                      <w:rFonts w:hint="default" w:ascii="Times New Roman" w:hAnsi="Times New Roman" w:eastAsia="宋体" w:cs="Times New Roman"/>
                      <w:b w:val="0"/>
                      <w:bCs/>
                      <w:color w:val="auto"/>
                      <w:kern w:val="2"/>
                      <w:sz w:val="21"/>
                      <w:szCs w:val="24"/>
                      <w:highlight w:val="none"/>
                      <w:lang w:val="en-US" w:eastAsia="zh-CN" w:bidi="ar-SA"/>
                    </w:rPr>
                    <w:t>水质</w:t>
                  </w:r>
                  <w:r>
                    <w:rPr>
                      <w:rFonts w:hint="eastAsia" w:ascii="Times New Roman" w:hAnsi="Times New Roman" w:eastAsia="宋体" w:cs="Times New Roman"/>
                      <w:b w:val="0"/>
                      <w:bCs/>
                      <w:color w:val="auto"/>
                      <w:kern w:val="2"/>
                      <w:sz w:val="21"/>
                      <w:szCs w:val="24"/>
                      <w:highlight w:val="none"/>
                      <w:lang w:val="en-US" w:eastAsia="zh-CN" w:bidi="ar-SA"/>
                    </w:rPr>
                    <w:t>中度</w:t>
                  </w:r>
                  <w:r>
                    <w:rPr>
                      <w:rFonts w:hint="default" w:ascii="Times New Roman" w:hAnsi="Times New Roman" w:eastAsia="宋体" w:cs="Times New Roman"/>
                      <w:b w:val="0"/>
                      <w:bCs/>
                      <w:color w:val="auto"/>
                      <w:kern w:val="2"/>
                      <w:sz w:val="21"/>
                      <w:szCs w:val="24"/>
                      <w:highlight w:val="none"/>
                      <w:lang w:val="en-US" w:eastAsia="zh-CN" w:bidi="ar-SA"/>
                    </w:rPr>
                    <w:t>污染，营养状态为中度富营养。项目所在区域地表水体杞麓湖水质不能满足《地表水环境质量标准》（GB3838-2002）Ⅲ类水质标准，不满足环境功能要求，该区域没有水环境容量。水质超标原因主要是由于周围农田及生活面源污染，农村生活污水、农业灌溉用水直接排入河流水体，河道常年污染严重，失去自净能力</w:t>
                  </w:r>
                  <w:r>
                    <w:rPr>
                      <w:rFonts w:hint="eastAsia" w:ascii="Times New Roman" w:hAnsi="Times New Roman" w:eastAsia="宋体" w:cs="Times New Roman"/>
                      <w:b w:val="0"/>
                      <w:bCs/>
                      <w:color w:val="auto"/>
                      <w:kern w:val="2"/>
                      <w:sz w:val="21"/>
                      <w:szCs w:val="24"/>
                      <w:highlight w:val="none"/>
                      <w:lang w:val="en-US" w:eastAsia="zh-CN" w:bidi="ar-SA"/>
                    </w:rPr>
                    <w:t>，</w:t>
                  </w:r>
                  <w:r>
                    <w:rPr>
                      <w:rFonts w:hint="eastAsia" w:ascii="Times New Roman" w:hAnsi="Times New Roman" w:cs="Times New Roman"/>
                      <w:b w:val="0"/>
                      <w:bCs/>
                      <w:color w:val="auto"/>
                      <w:kern w:val="2"/>
                      <w:sz w:val="21"/>
                      <w:szCs w:val="24"/>
                      <w:highlight w:val="none"/>
                      <w:lang w:val="en-US" w:eastAsia="zh-CN" w:bidi="ar-SA"/>
                    </w:rPr>
                    <w:t>现</w:t>
                  </w:r>
                  <w:r>
                    <w:rPr>
                      <w:rFonts w:hint="eastAsia" w:ascii="Times New Roman" w:hAnsi="Times New Roman" w:eastAsia="宋体" w:cs="Times New Roman"/>
                      <w:b w:val="0"/>
                      <w:bCs/>
                      <w:color w:val="auto"/>
                      <w:kern w:val="2"/>
                      <w:sz w:val="21"/>
                      <w:szCs w:val="24"/>
                      <w:highlight w:val="none"/>
                      <w:lang w:val="en-US" w:eastAsia="zh-CN" w:bidi="ar-SA"/>
                    </w:rPr>
                    <w:t>米冲水库水资源总量较小，主要用于农业灌溉、应急供水等使用。</w:t>
                  </w:r>
                  <w:r>
                    <w:rPr>
                      <w:rFonts w:hint="eastAsia"/>
                      <w:color w:val="auto"/>
                      <w:szCs w:val="21"/>
                    </w:rPr>
                    <w:t>目前通海县通过全面加强、纵深推进、整体提升城乡生活污水治理、人居环境整治、农业面源污染、初汛期雨水防控、宣传发动等工作，持续对杞麓湖展开多维度、全方位治理。</w:t>
                  </w:r>
                </w:p>
                <w:p w14:paraId="775CB11B">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kern w:val="2"/>
                      <w:sz w:val="21"/>
                      <w:szCs w:val="24"/>
                      <w:highlight w:val="none"/>
                      <w:lang w:val="en-US" w:eastAsia="zh-CN" w:bidi="ar-SA"/>
                    </w:rPr>
                    <w:t>运行期</w:t>
                  </w:r>
                  <w:r>
                    <w:rPr>
                      <w:rFonts w:hint="eastAsia" w:ascii="Times New Roman" w:hAnsi="Times New Roman" w:eastAsia="宋体" w:cs="Times New Roman"/>
                      <w:b w:val="0"/>
                      <w:bCs/>
                      <w:color w:val="auto"/>
                      <w:kern w:val="2"/>
                      <w:sz w:val="21"/>
                      <w:szCs w:val="24"/>
                      <w:highlight w:val="none"/>
                      <w:lang w:val="en-US" w:eastAsia="zh-CN" w:bidi="ar-SA"/>
                    </w:rPr>
                    <w:t>生产废水仅为冷却水，循环使用不外排，生活污水经化粪池处理后，利用罐车拉运至纳古镇污水处理站处理，属于间接排放，</w:t>
                  </w:r>
                  <w:r>
                    <w:rPr>
                      <w:rFonts w:hint="default" w:ascii="Times New Roman" w:hAnsi="Times New Roman" w:eastAsia="宋体" w:cs="Times New Roman"/>
                      <w:b w:val="0"/>
                      <w:bCs/>
                      <w:color w:val="auto"/>
                      <w:kern w:val="2"/>
                      <w:sz w:val="21"/>
                      <w:szCs w:val="24"/>
                      <w:highlight w:val="none"/>
                      <w:lang w:val="en-US" w:eastAsia="zh-CN" w:bidi="ar-SA"/>
                    </w:rPr>
                    <w:t>对地表水环境的影响较小。</w:t>
                  </w:r>
                </w:p>
              </w:tc>
              <w:tc>
                <w:tcPr>
                  <w:tcW w:w="531" w:type="pct"/>
                  <w:vAlign w:val="center"/>
                </w:tcPr>
                <w:p w14:paraId="77E22A96">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3927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50DC70B1">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2</w:t>
                  </w:r>
                </w:p>
              </w:tc>
              <w:tc>
                <w:tcPr>
                  <w:tcW w:w="2049" w:type="pct"/>
                  <w:vAlign w:val="center"/>
                </w:tcPr>
                <w:p w14:paraId="063F106D">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2088" w:type="pct"/>
                  <w:vAlign w:val="center"/>
                </w:tcPr>
                <w:p w14:paraId="1523FE40">
                  <w:pPr>
                    <w:pStyle w:val="31"/>
                    <w:keepNext w:val="0"/>
                    <w:keepLines/>
                    <w:pageBreakBefore w:val="0"/>
                    <w:widowControl w:val="0"/>
                    <w:kinsoku/>
                    <w:wordWrap w:val="0"/>
                    <w:overflowPunct/>
                    <w:topLinePunct/>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根据202</w:t>
                  </w:r>
                  <w:r>
                    <w:rPr>
                      <w:rFonts w:hint="eastAsia" w:cs="Times New Roman"/>
                      <w:b w:val="0"/>
                      <w:bCs/>
                      <w:color w:val="auto"/>
                      <w:sz w:val="21"/>
                      <w:highlight w:val="none"/>
                      <w:lang w:val="en-US" w:eastAsia="zh-CN"/>
                    </w:rPr>
                    <w:t>4</w:t>
                  </w:r>
                  <w:r>
                    <w:rPr>
                      <w:rFonts w:hint="default" w:ascii="Times New Roman" w:hAnsi="Times New Roman" w:eastAsia="宋体" w:cs="Times New Roman"/>
                      <w:b w:val="0"/>
                      <w:bCs/>
                      <w:color w:val="auto"/>
                      <w:sz w:val="21"/>
                      <w:highlight w:val="none"/>
                    </w:rPr>
                    <w:t>年</w:t>
                  </w:r>
                  <w:r>
                    <w:rPr>
                      <w:rFonts w:hint="eastAsia" w:ascii="Times New Roman" w:hAnsi="Times New Roman" w:eastAsia="宋体" w:cs="Times New Roman"/>
                      <w:b w:val="0"/>
                      <w:bCs/>
                      <w:color w:val="auto"/>
                      <w:sz w:val="21"/>
                      <w:highlight w:val="none"/>
                      <w:lang w:val="en-US" w:eastAsia="zh-CN"/>
                    </w:rPr>
                    <w:t>通海</w:t>
                  </w:r>
                  <w:r>
                    <w:rPr>
                      <w:rFonts w:hint="default" w:ascii="Times New Roman" w:hAnsi="Times New Roman" w:eastAsia="宋体" w:cs="Times New Roman"/>
                      <w:b w:val="0"/>
                      <w:bCs/>
                      <w:color w:val="auto"/>
                      <w:sz w:val="21"/>
                      <w:highlight w:val="none"/>
                    </w:rPr>
                    <w:t>县自动监测站空气质量统计数据可知，SO</w:t>
                  </w:r>
                  <w:r>
                    <w:rPr>
                      <w:rFonts w:hint="default" w:ascii="Times New Roman" w:hAnsi="Times New Roman" w:eastAsia="宋体" w:cs="Times New Roman"/>
                      <w:b w:val="0"/>
                      <w:bCs/>
                      <w:color w:val="auto"/>
                      <w:sz w:val="21"/>
                      <w:highlight w:val="none"/>
                      <w:vertAlign w:val="subscript"/>
                    </w:rPr>
                    <w:t>2</w:t>
                  </w:r>
                  <w:r>
                    <w:rPr>
                      <w:rFonts w:hint="default" w:ascii="Times New Roman" w:hAnsi="Times New Roman" w:eastAsia="宋体" w:cs="Times New Roman"/>
                      <w:b w:val="0"/>
                      <w:bCs/>
                      <w:color w:val="auto"/>
                      <w:sz w:val="21"/>
                      <w:highlight w:val="none"/>
                    </w:rPr>
                    <w:t>、NO</w:t>
                  </w:r>
                  <w:r>
                    <w:rPr>
                      <w:rFonts w:hint="default" w:ascii="Times New Roman" w:hAnsi="Times New Roman" w:eastAsia="宋体" w:cs="Times New Roman"/>
                      <w:b w:val="0"/>
                      <w:bCs/>
                      <w:color w:val="auto"/>
                      <w:sz w:val="21"/>
                      <w:highlight w:val="none"/>
                      <w:vertAlign w:val="subscript"/>
                    </w:rPr>
                    <w:t>2</w:t>
                  </w:r>
                  <w:r>
                    <w:rPr>
                      <w:rFonts w:hint="default" w:ascii="Times New Roman" w:hAnsi="Times New Roman" w:eastAsia="宋体" w:cs="Times New Roman"/>
                      <w:b w:val="0"/>
                      <w:bCs/>
                      <w:color w:val="auto"/>
                      <w:sz w:val="21"/>
                      <w:highlight w:val="none"/>
                    </w:rPr>
                    <w:t>、PM</w:t>
                  </w:r>
                  <w:r>
                    <w:rPr>
                      <w:rFonts w:hint="default" w:ascii="Times New Roman" w:hAnsi="Times New Roman" w:eastAsia="宋体" w:cs="Times New Roman"/>
                      <w:b w:val="0"/>
                      <w:bCs/>
                      <w:color w:val="auto"/>
                      <w:sz w:val="21"/>
                      <w:highlight w:val="none"/>
                      <w:vertAlign w:val="subscript"/>
                    </w:rPr>
                    <w:t>10</w:t>
                  </w:r>
                  <w:r>
                    <w:rPr>
                      <w:rFonts w:hint="default" w:ascii="Times New Roman" w:hAnsi="Times New Roman" w:eastAsia="宋体" w:cs="Times New Roman"/>
                      <w:b w:val="0"/>
                      <w:bCs/>
                      <w:color w:val="auto"/>
                      <w:sz w:val="21"/>
                      <w:highlight w:val="none"/>
                    </w:rPr>
                    <w:t>、PM</w:t>
                  </w:r>
                  <w:r>
                    <w:rPr>
                      <w:rFonts w:hint="default" w:ascii="Times New Roman" w:hAnsi="Times New Roman" w:eastAsia="宋体" w:cs="Times New Roman"/>
                      <w:b w:val="0"/>
                      <w:bCs/>
                      <w:color w:val="auto"/>
                      <w:sz w:val="21"/>
                      <w:highlight w:val="none"/>
                      <w:vertAlign w:val="subscript"/>
                    </w:rPr>
                    <w:t>2.5</w:t>
                  </w:r>
                  <w:r>
                    <w:rPr>
                      <w:rFonts w:hint="default" w:ascii="Times New Roman" w:hAnsi="Times New Roman" w:eastAsia="宋体" w:cs="Times New Roman"/>
                      <w:b w:val="0"/>
                      <w:bCs/>
                      <w:color w:val="auto"/>
                      <w:sz w:val="21"/>
                      <w:highlight w:val="none"/>
                    </w:rPr>
                    <w:t>、O</w:t>
                  </w:r>
                  <w:r>
                    <w:rPr>
                      <w:rFonts w:hint="default" w:ascii="Times New Roman" w:hAnsi="Times New Roman" w:eastAsia="宋体" w:cs="Times New Roman"/>
                      <w:b w:val="0"/>
                      <w:bCs/>
                      <w:color w:val="auto"/>
                      <w:sz w:val="21"/>
                      <w:highlight w:val="none"/>
                      <w:vertAlign w:val="subscript"/>
                    </w:rPr>
                    <w:t>3</w:t>
                  </w:r>
                  <w:r>
                    <w:rPr>
                      <w:rFonts w:hint="default" w:ascii="Times New Roman" w:hAnsi="Times New Roman" w:eastAsia="宋体" w:cs="Times New Roman"/>
                      <w:b w:val="0"/>
                      <w:bCs/>
                      <w:color w:val="auto"/>
                      <w:sz w:val="21"/>
                      <w:highlight w:val="none"/>
                    </w:rPr>
                    <w:t>、CO六项污染物均满足《环境空气质量标准》（GB3095－20</w:t>
                  </w:r>
                  <w:r>
                    <w:rPr>
                      <w:rFonts w:hint="eastAsia" w:cs="Times New Roman"/>
                      <w:b w:val="0"/>
                      <w:bCs/>
                      <w:color w:val="auto"/>
                      <w:sz w:val="21"/>
                      <w:highlight w:val="none"/>
                      <w:lang w:val="en-US" w:eastAsia="zh-CN"/>
                    </w:rPr>
                    <w:t>26</w:t>
                  </w:r>
                  <w:r>
                    <w:rPr>
                      <w:rFonts w:hint="default" w:ascii="Times New Roman" w:hAnsi="Times New Roman" w:eastAsia="宋体" w:cs="Times New Roman"/>
                      <w:b w:val="0"/>
                      <w:bCs/>
                      <w:color w:val="auto"/>
                      <w:sz w:val="21"/>
                      <w:highlight w:val="none"/>
                    </w:rPr>
                    <w:t>）过渡阶段浓度限值的二级标准，项目所在区域为达标区。经分析，项目产生的大气污染物经采取积极有效的污染控制措施后，能达标排放，且排放量小，对区域环境空气质量的影响很小，不影响区域环境空气质量改善的目标要求。</w:t>
                  </w:r>
                </w:p>
              </w:tc>
              <w:tc>
                <w:tcPr>
                  <w:tcW w:w="531" w:type="pct"/>
                  <w:vAlign w:val="center"/>
                </w:tcPr>
                <w:p w14:paraId="4E5C9C4A">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413A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330" w:type="pct"/>
                  <w:vAlign w:val="center"/>
                </w:tcPr>
                <w:p w14:paraId="10C86C4B">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3</w:t>
                  </w:r>
                </w:p>
              </w:tc>
              <w:tc>
                <w:tcPr>
                  <w:tcW w:w="2049" w:type="pct"/>
                  <w:vAlign w:val="center"/>
                </w:tcPr>
                <w:p w14:paraId="7C60953B">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pacing w:val="-6"/>
                      <w:sz w:val="21"/>
                      <w:highlight w:val="none"/>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2088" w:type="pct"/>
                  <w:vAlign w:val="center"/>
                </w:tcPr>
                <w:p w14:paraId="6D95CC4E">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项目不涉及使用危险化学品，运营期废气达标排放，危险废物妥善处理，固废均得到合理处置。项目建成后对区域土壤环境质量产生影响较小，土壤环境风险较低。</w:t>
                  </w:r>
                </w:p>
              </w:tc>
              <w:tc>
                <w:tcPr>
                  <w:tcW w:w="531" w:type="pct"/>
                  <w:vAlign w:val="center"/>
                </w:tcPr>
                <w:p w14:paraId="25B14050">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6DE3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07A9492A">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三、资源利用上线</w:t>
                  </w:r>
                </w:p>
              </w:tc>
            </w:tr>
            <w:tr w14:paraId="0FF0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47F6B01D">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1</w:t>
                  </w:r>
                </w:p>
              </w:tc>
              <w:tc>
                <w:tcPr>
                  <w:tcW w:w="2049" w:type="pct"/>
                  <w:vAlign w:val="center"/>
                </w:tcPr>
                <w:p w14:paraId="16ECC019">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强化资源能源节约集约利用，持续提升资源能源利用效率，水资源、土地资源、能源消耗等达到或优于省下达的总量和强度控制目标。</w:t>
                  </w:r>
                </w:p>
              </w:tc>
              <w:tc>
                <w:tcPr>
                  <w:tcW w:w="2088" w:type="pct"/>
                  <w:vAlign w:val="center"/>
                </w:tcPr>
                <w:p w14:paraId="72030087">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本项目用水来自</w:t>
                  </w:r>
                  <w:r>
                    <w:rPr>
                      <w:rFonts w:hint="eastAsia" w:hAnsi="Times New Roman" w:eastAsia="宋体" w:cs="Times New Roman"/>
                      <w:b w:val="0"/>
                      <w:bCs/>
                      <w:color w:val="auto"/>
                      <w:sz w:val="21"/>
                      <w:highlight w:val="none"/>
                      <w:lang w:val="en-US" w:eastAsia="zh-CN"/>
                    </w:rPr>
                    <w:t>纳古</w:t>
                  </w:r>
                  <w:r>
                    <w:rPr>
                      <w:rFonts w:hint="default" w:ascii="Times New Roman" w:hAnsi="Times New Roman" w:eastAsia="宋体" w:cs="Times New Roman"/>
                      <w:b w:val="0"/>
                      <w:bCs/>
                      <w:color w:val="auto"/>
                      <w:sz w:val="21"/>
                      <w:highlight w:val="none"/>
                    </w:rPr>
                    <w:t>镇自来水管网，用水主要为办公生活用水和焊管冷却用水不会突破水资源利用上线。本项目不占用基本农田和耕地，符合当地规划要求，符合土地资源利用上线求。</w:t>
                  </w:r>
                </w:p>
              </w:tc>
              <w:tc>
                <w:tcPr>
                  <w:tcW w:w="531" w:type="pct"/>
                  <w:vAlign w:val="center"/>
                </w:tcPr>
                <w:p w14:paraId="4382043C">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38D4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58683135">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四、</w:t>
                  </w:r>
                  <w:r>
                    <w:rPr>
                      <w:rFonts w:hint="eastAsia" w:ascii="Times New Roman" w:hAnsi="Times New Roman" w:eastAsia="宋体" w:cs="Times New Roman"/>
                      <w:b/>
                      <w:bCs w:val="0"/>
                      <w:color w:val="auto"/>
                      <w:sz w:val="21"/>
                      <w:highlight w:val="none"/>
                    </w:rPr>
                    <w:t>玉溪</w:t>
                  </w:r>
                  <w:r>
                    <w:rPr>
                      <w:rFonts w:hint="default" w:ascii="Times New Roman" w:hAnsi="Times New Roman" w:eastAsia="宋体" w:cs="Times New Roman"/>
                      <w:b/>
                      <w:bCs w:val="0"/>
                      <w:color w:val="auto"/>
                      <w:sz w:val="21"/>
                      <w:highlight w:val="none"/>
                    </w:rPr>
                    <w:t>市生态环境分区管控总体要求</w:t>
                  </w:r>
                </w:p>
              </w:tc>
            </w:tr>
            <w:tr w14:paraId="34E0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64A92E3D">
                  <w:pPr>
                    <w:pStyle w:val="31"/>
                    <w:ind w:firstLine="0" w:firstLineChars="0"/>
                    <w:rPr>
                      <w:rFonts w:hint="default" w:ascii="Times New Roman" w:hAnsi="Times New Roman" w:eastAsia="宋体" w:cs="Times New Roman"/>
                      <w:b w:val="0"/>
                      <w:bCs/>
                      <w:color w:val="auto"/>
                      <w:sz w:val="21"/>
                      <w:highlight w:val="none"/>
                    </w:rPr>
                  </w:pPr>
                  <w:r>
                    <w:rPr>
                      <w:color w:val="auto"/>
                    </w:rPr>
                    <w:t>空间布局约束</w:t>
                  </w:r>
                </w:p>
              </w:tc>
              <w:tc>
                <w:tcPr>
                  <w:tcW w:w="2049" w:type="pct"/>
                  <w:vAlign w:val="center"/>
                </w:tcPr>
                <w:p w14:paraId="5D6C7EB4">
                  <w:pPr>
                    <w:pStyle w:val="11"/>
                    <w:spacing w:before="0" w:after="0" w:line="240" w:lineRule="auto"/>
                    <w:ind w:right="0"/>
                    <w:rPr>
                      <w:rFonts w:hint="eastAsia"/>
                      <w:color w:val="auto"/>
                      <w:kern w:val="2"/>
                      <w:sz w:val="21"/>
                      <w:szCs w:val="24"/>
                    </w:rPr>
                  </w:pPr>
                  <w:r>
                    <w:rPr>
                      <w:rFonts w:hint="eastAsia"/>
                      <w:color w:val="auto"/>
                      <w:kern w:val="2"/>
                      <w:sz w:val="21"/>
                      <w:szCs w:val="24"/>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39B8DB40">
                  <w:pPr>
                    <w:pStyle w:val="11"/>
                    <w:spacing w:before="0" w:after="0" w:line="240" w:lineRule="auto"/>
                    <w:ind w:right="0"/>
                    <w:rPr>
                      <w:rFonts w:hint="eastAsia"/>
                      <w:color w:val="auto"/>
                      <w:kern w:val="2"/>
                      <w:sz w:val="21"/>
                      <w:szCs w:val="24"/>
                    </w:rPr>
                  </w:pPr>
                  <w:r>
                    <w:rPr>
                      <w:rFonts w:hint="eastAsia"/>
                      <w:color w:val="auto"/>
                      <w:kern w:val="2"/>
                      <w:sz w:val="21"/>
                      <w:szCs w:val="24"/>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2A1798FC">
                  <w:pPr>
                    <w:pStyle w:val="11"/>
                    <w:spacing w:before="0" w:after="0" w:line="240" w:lineRule="auto"/>
                    <w:ind w:right="0"/>
                    <w:rPr>
                      <w:rFonts w:hint="eastAsia"/>
                      <w:color w:val="auto"/>
                      <w:kern w:val="2"/>
                      <w:sz w:val="21"/>
                      <w:szCs w:val="24"/>
                    </w:rPr>
                  </w:pPr>
                  <w:r>
                    <w:rPr>
                      <w:rFonts w:hint="eastAsia"/>
                      <w:color w:val="auto"/>
                      <w:kern w:val="2"/>
                      <w:sz w:val="21"/>
                      <w:szCs w:val="24"/>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09282A9A">
                  <w:pPr>
                    <w:pStyle w:val="11"/>
                    <w:spacing w:before="0" w:after="0" w:line="240" w:lineRule="auto"/>
                    <w:ind w:right="0"/>
                    <w:rPr>
                      <w:rFonts w:hint="eastAsia"/>
                      <w:color w:val="auto"/>
                      <w:kern w:val="2"/>
                      <w:sz w:val="21"/>
                      <w:szCs w:val="24"/>
                    </w:rPr>
                  </w:pPr>
                  <w:r>
                    <w:rPr>
                      <w:rFonts w:hint="eastAsia"/>
                      <w:color w:val="auto"/>
                      <w:kern w:val="2"/>
                      <w:sz w:val="21"/>
                      <w:szCs w:val="24"/>
                    </w:rPr>
                    <w:t>4.禁止在九大高原湖泊（抚仙湖、星云湖、杞麓湖）流域内新建、改建、扩建污染环境、高耗水、高耗能、破坏生态平衡和自然景观的项目。</w:t>
                  </w:r>
                </w:p>
                <w:p w14:paraId="4FD4C281">
                  <w:pPr>
                    <w:pStyle w:val="11"/>
                    <w:spacing w:before="0" w:after="0" w:line="240" w:lineRule="auto"/>
                    <w:ind w:right="0" w:rightChars="0"/>
                    <w:rPr>
                      <w:rFonts w:hint="default" w:ascii="Times New Roman" w:hAnsi="Times New Roman" w:eastAsia="宋体" w:cs="Times New Roman"/>
                      <w:b w:val="0"/>
                      <w:bCs/>
                      <w:color w:val="auto"/>
                      <w:sz w:val="21"/>
                      <w:highlight w:val="none"/>
                    </w:rPr>
                  </w:pPr>
                  <w:r>
                    <w:rPr>
                      <w:rFonts w:hint="eastAsia"/>
                      <w:color w:val="auto"/>
                      <w:kern w:val="2"/>
                      <w:sz w:val="21"/>
                      <w:szCs w:val="24"/>
                    </w:rPr>
                    <w:t>5.落实云南省碳达峰碳中和相关要求，处理好发展和减排、整体和局部、长远目标和短期目标、政府和市场的关系，坚定不移走生态优先、绿色低碳的高质量发展道路。</w:t>
                  </w:r>
                </w:p>
              </w:tc>
              <w:tc>
                <w:tcPr>
                  <w:tcW w:w="2088" w:type="pct"/>
                  <w:vAlign w:val="center"/>
                </w:tcPr>
                <w:p w14:paraId="6AB45795">
                  <w:pPr>
                    <w:pStyle w:val="31"/>
                    <w:jc w:val="left"/>
                    <w:rPr>
                      <w:color w:val="auto"/>
                    </w:rPr>
                  </w:pPr>
                  <w:r>
                    <w:rPr>
                      <w:rFonts w:hint="eastAsia"/>
                      <w:color w:val="auto"/>
                    </w:rPr>
                    <w:t>1、</w:t>
                  </w:r>
                  <w:r>
                    <w:rPr>
                      <w:color w:val="auto"/>
                      <w:kern w:val="1"/>
                      <w:szCs w:val="21"/>
                    </w:rPr>
                    <w:t>本项目</w:t>
                  </w:r>
                  <w:r>
                    <w:rPr>
                      <w:rFonts w:hint="eastAsia"/>
                      <w:color w:val="auto"/>
                      <w:kern w:val="1"/>
                      <w:szCs w:val="21"/>
                    </w:rPr>
                    <w:t>为</w:t>
                  </w:r>
                  <w:r>
                    <w:rPr>
                      <w:rFonts w:hint="eastAsia" w:cs="宋体"/>
                      <w:color w:val="auto"/>
                      <w:kern w:val="0"/>
                      <w:szCs w:val="21"/>
                    </w:rPr>
                    <w:t>高频</w:t>
                  </w:r>
                  <w:r>
                    <w:rPr>
                      <w:rFonts w:hint="eastAsia"/>
                      <w:color w:val="auto"/>
                      <w:kern w:val="1"/>
                      <w:szCs w:val="21"/>
                    </w:rPr>
                    <w:t>焊管生产项目</w:t>
                  </w:r>
                  <w:r>
                    <w:rPr>
                      <w:color w:val="auto"/>
                      <w:kern w:val="0"/>
                      <w:szCs w:val="21"/>
                      <w:lang w:bidi="ar"/>
                    </w:rPr>
                    <w:t>，根据分析，项目符合《产业结构调整指导目录（2024年本）》</w:t>
                  </w:r>
                  <w:r>
                    <w:rPr>
                      <w:rFonts w:hint="eastAsia"/>
                      <w:color w:val="auto"/>
                      <w:kern w:val="0"/>
                      <w:szCs w:val="21"/>
                      <w:lang w:bidi="ar"/>
                    </w:rPr>
                    <w:t>中行业要求，为允许类项目，不属于</w:t>
                  </w:r>
                  <w:r>
                    <w:rPr>
                      <w:rFonts w:hint="eastAsia"/>
                      <w:color w:val="auto"/>
                    </w:rPr>
                    <w:t>高耗能、高排放、低水平项目，不涉及钢铁、水泥、平板玻璃、电解铝等行业产能置换相关政策</w:t>
                  </w:r>
                  <w:r>
                    <w:rPr>
                      <w:color w:val="auto"/>
                    </w:rPr>
                    <w:t>。</w:t>
                  </w:r>
                </w:p>
                <w:p w14:paraId="171C0F43">
                  <w:pPr>
                    <w:rPr>
                      <w:rFonts w:hint="eastAsia"/>
                      <w:color w:val="auto"/>
                    </w:rPr>
                  </w:pPr>
                  <w:r>
                    <w:rPr>
                      <w:rFonts w:hint="eastAsia"/>
                      <w:color w:val="auto"/>
                    </w:rPr>
                    <w:t>2</w:t>
                  </w:r>
                  <w:r>
                    <w:rPr>
                      <w:rFonts w:hint="eastAsia"/>
                      <w:bCs/>
                      <w:color w:val="auto"/>
                    </w:rPr>
                    <w:t>项目建设符合杞麓湖</w:t>
                  </w:r>
                  <w:r>
                    <w:rPr>
                      <w:rFonts w:hint="eastAsia"/>
                      <w:color w:val="auto"/>
                    </w:rPr>
                    <w:t>“两线三区”</w:t>
                  </w:r>
                  <w:r>
                    <w:rPr>
                      <w:rFonts w:hint="eastAsia"/>
                      <w:bCs/>
                      <w:color w:val="auto"/>
                    </w:rPr>
                    <w:t>管控要求、符合《云南省杞麓湖保护条例》要求</w:t>
                  </w:r>
                  <w:r>
                    <w:rPr>
                      <w:rFonts w:hint="eastAsia"/>
                      <w:color w:val="auto"/>
                    </w:rPr>
                    <w:t>，项目企业无落后和过剩产能，不属于重污染企业。</w:t>
                  </w:r>
                </w:p>
                <w:p w14:paraId="351C22E2">
                  <w:pPr>
                    <w:pStyle w:val="11"/>
                    <w:spacing w:before="0" w:after="0" w:line="240" w:lineRule="auto"/>
                    <w:ind w:right="0"/>
                    <w:rPr>
                      <w:rFonts w:hint="eastAsia"/>
                      <w:color w:val="auto"/>
                      <w:sz w:val="21"/>
                      <w:szCs w:val="21"/>
                    </w:rPr>
                  </w:pPr>
                  <w:r>
                    <w:rPr>
                      <w:rFonts w:hint="eastAsia"/>
                      <w:color w:val="auto"/>
                    </w:rPr>
                    <w:t>3、</w:t>
                  </w:r>
                  <w:r>
                    <w:rPr>
                      <w:rFonts w:hint="eastAsia"/>
                      <w:color w:val="auto"/>
                      <w:sz w:val="21"/>
                      <w:szCs w:val="21"/>
                    </w:rPr>
                    <w:t>本项目不属于钢铁、石化、化工、焦化、建材、有色、制浆造纸行业，不涉及</w:t>
                  </w:r>
                  <w:r>
                    <w:rPr>
                      <w:rFonts w:hint="eastAsia"/>
                      <w:color w:val="auto"/>
                      <w:kern w:val="2"/>
                      <w:sz w:val="21"/>
                      <w:szCs w:val="24"/>
                    </w:rPr>
                    <w:t>国家石化、现代煤化工等产业布局规划的项目，不涉及危险化学品生产项目，不属于“两高”项目</w:t>
                  </w:r>
                  <w:r>
                    <w:rPr>
                      <w:rFonts w:hint="eastAsia"/>
                      <w:color w:val="auto"/>
                      <w:sz w:val="21"/>
                      <w:szCs w:val="21"/>
                    </w:rPr>
                    <w:t>。</w:t>
                  </w:r>
                </w:p>
                <w:p w14:paraId="7EDA3BE9">
                  <w:pPr>
                    <w:pStyle w:val="11"/>
                    <w:spacing w:before="0" w:after="0" w:line="240" w:lineRule="auto"/>
                    <w:ind w:right="0"/>
                    <w:rPr>
                      <w:color w:val="auto"/>
                      <w:sz w:val="21"/>
                      <w:szCs w:val="21"/>
                    </w:rPr>
                  </w:pPr>
                  <w:r>
                    <w:rPr>
                      <w:rFonts w:hint="eastAsia"/>
                      <w:color w:val="auto"/>
                      <w:sz w:val="21"/>
                      <w:szCs w:val="21"/>
                    </w:rPr>
                    <w:t>4、</w:t>
                  </w:r>
                  <w:r>
                    <w:rPr>
                      <w:rFonts w:hint="eastAsia"/>
                      <w:color w:val="auto"/>
                      <w:sz w:val="21"/>
                      <w:szCs w:val="21"/>
                      <w:lang w:val="en-US" w:eastAsia="zh-CN"/>
                    </w:rPr>
                    <w:t>本项目位于玉溪市通海县纳古镇大白龙，位于杞麓湖西北面约4km处，根据2026年1月14日，通海县杞麓湖管理局出具的《通海县杞麓湖管理局关于云南通海佳康型材有限公司年产20万吨焊管生产线建设项目选址意见的函》（详见附件8），根据该意见：“项目位于杞麓湖流域范围内，但不位于杞麓湖湖滨生态红线、湖泊生态黄线范围内，同意项目选址。</w:t>
                  </w:r>
                  <w:r>
                    <w:rPr>
                      <w:rFonts w:hint="eastAsia"/>
                      <w:color w:val="auto"/>
                      <w:sz w:val="21"/>
                      <w:szCs w:val="21"/>
                    </w:rPr>
                    <w:t>运营期污染物质均妥善处置，不属于</w:t>
                  </w:r>
                  <w:r>
                    <w:rPr>
                      <w:rFonts w:hint="eastAsia"/>
                      <w:color w:val="auto"/>
                      <w:kern w:val="2"/>
                      <w:sz w:val="21"/>
                      <w:szCs w:val="24"/>
                    </w:rPr>
                    <w:t>高耗水、高耗能、破坏生态平衡和自然景观的项目。</w:t>
                  </w:r>
                </w:p>
                <w:p w14:paraId="53ACFA38">
                  <w:pPr>
                    <w:pStyle w:val="11"/>
                    <w:spacing w:before="0" w:after="0" w:line="240" w:lineRule="auto"/>
                    <w:ind w:right="0" w:rightChars="0"/>
                    <w:rPr>
                      <w:rFonts w:hint="default" w:ascii="Times New Roman" w:hAnsi="Times New Roman" w:eastAsia="宋体" w:cs="Times New Roman"/>
                      <w:b w:val="0"/>
                      <w:bCs/>
                      <w:color w:val="auto"/>
                      <w:sz w:val="21"/>
                      <w:highlight w:val="none"/>
                    </w:rPr>
                  </w:pPr>
                  <w:r>
                    <w:rPr>
                      <w:rFonts w:hint="eastAsia"/>
                      <w:color w:val="auto"/>
                      <w:sz w:val="21"/>
                      <w:szCs w:val="21"/>
                    </w:rPr>
                    <w:t>5、项目</w:t>
                  </w:r>
                  <w:r>
                    <w:rPr>
                      <w:rFonts w:hint="eastAsia"/>
                      <w:color w:val="auto"/>
                      <w:kern w:val="2"/>
                      <w:sz w:val="21"/>
                      <w:szCs w:val="24"/>
                    </w:rPr>
                    <w:t>落实云南省碳达峰碳中和相关要求，走生态优先、绿色低碳的高质量发展道路。</w:t>
                  </w:r>
                </w:p>
              </w:tc>
              <w:tc>
                <w:tcPr>
                  <w:tcW w:w="531" w:type="pct"/>
                  <w:vAlign w:val="center"/>
                </w:tcPr>
                <w:p w14:paraId="56D85D1D">
                  <w:pPr>
                    <w:pStyle w:val="31"/>
                    <w:ind w:firstLine="0" w:firstLineChars="0"/>
                    <w:rPr>
                      <w:rFonts w:hint="default" w:ascii="Times New Roman" w:hAnsi="Times New Roman" w:eastAsia="宋体" w:cs="Times New Roman"/>
                      <w:b w:val="0"/>
                      <w:bCs/>
                      <w:color w:val="auto"/>
                      <w:sz w:val="21"/>
                      <w:highlight w:val="none"/>
                    </w:rPr>
                  </w:pPr>
                  <w:r>
                    <w:rPr>
                      <w:color w:val="auto"/>
                    </w:rPr>
                    <w:t>符合</w:t>
                  </w:r>
                </w:p>
              </w:tc>
            </w:tr>
            <w:tr w14:paraId="501D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0826981C">
                  <w:pPr>
                    <w:pStyle w:val="31"/>
                    <w:ind w:firstLine="0" w:firstLineChars="0"/>
                    <w:rPr>
                      <w:rFonts w:hint="default" w:ascii="Times New Roman" w:hAnsi="Times New Roman" w:eastAsia="宋体" w:cs="Times New Roman"/>
                      <w:b w:val="0"/>
                      <w:bCs/>
                      <w:color w:val="auto"/>
                      <w:sz w:val="21"/>
                      <w:highlight w:val="none"/>
                    </w:rPr>
                  </w:pPr>
                  <w:r>
                    <w:rPr>
                      <w:color w:val="auto"/>
                      <w:kern w:val="0"/>
                      <w:szCs w:val="21"/>
                      <w:lang w:bidi="ar"/>
                    </w:rPr>
                    <w:t>污染物排放管控</w:t>
                  </w:r>
                </w:p>
              </w:tc>
              <w:tc>
                <w:tcPr>
                  <w:tcW w:w="2049" w:type="pct"/>
                  <w:vAlign w:val="center"/>
                </w:tcPr>
                <w:p w14:paraId="69C23A3F">
                  <w:pPr>
                    <w:widowControl/>
                    <w:spacing w:line="240" w:lineRule="atLeast"/>
                    <w:rPr>
                      <w:color w:val="auto"/>
                      <w:kern w:val="0"/>
                      <w:szCs w:val="21"/>
                      <w:lang w:bidi="ar"/>
                    </w:rPr>
                  </w:pPr>
                  <w:r>
                    <w:rPr>
                      <w:color w:val="auto"/>
                      <w:kern w:val="0"/>
                      <w:szCs w:val="21"/>
                      <w:lang w:bidi="ar"/>
                    </w:rPr>
                    <w:t>1.严格落实强制性清洁生产审核要求，引导重点行业实施清洁生产改造，到2025年底，重点行业企业基本达到国内清洁生产先进水平。</w:t>
                  </w:r>
                </w:p>
                <w:p w14:paraId="72DA32D6">
                  <w:pPr>
                    <w:widowControl/>
                    <w:spacing w:line="240" w:lineRule="atLeast"/>
                    <w:rPr>
                      <w:color w:val="auto"/>
                      <w:kern w:val="0"/>
                      <w:szCs w:val="21"/>
                      <w:lang w:bidi="ar"/>
                    </w:rPr>
                  </w:pPr>
                  <w:r>
                    <w:rPr>
                      <w:color w:val="auto"/>
                      <w:kern w:val="0"/>
                      <w:szCs w:val="21"/>
                      <w:lang w:bidi="ar"/>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2727B48D">
                  <w:pPr>
                    <w:widowControl/>
                    <w:spacing w:line="240" w:lineRule="atLeast"/>
                    <w:rPr>
                      <w:color w:val="auto"/>
                      <w:kern w:val="0"/>
                      <w:szCs w:val="21"/>
                      <w:lang w:bidi="ar"/>
                    </w:rPr>
                  </w:pPr>
                  <w:r>
                    <w:rPr>
                      <w:color w:val="auto"/>
                      <w:kern w:val="0"/>
                      <w:szCs w:val="21"/>
                      <w:lang w:bidi="ar"/>
                    </w:rPr>
                    <w:t>3.严格保护城乡饮用水水源地，整治饮用水水源保护区内的污染源，确保饮水安全。</w:t>
                  </w:r>
                </w:p>
                <w:p w14:paraId="3A51116C">
                  <w:pPr>
                    <w:widowControl/>
                    <w:spacing w:line="240" w:lineRule="atLeast"/>
                    <w:rPr>
                      <w:color w:val="auto"/>
                      <w:kern w:val="0"/>
                      <w:szCs w:val="21"/>
                      <w:lang w:bidi="ar"/>
                    </w:rPr>
                  </w:pPr>
                  <w:r>
                    <w:rPr>
                      <w:color w:val="auto"/>
                      <w:kern w:val="0"/>
                      <w:szCs w:val="21"/>
                      <w:lang w:bidi="ar"/>
                    </w:rPr>
                    <w:t>4.开展细颗粒物和臭氧协同控制、挥发性有机物和氮氧化物协同减排。</w:t>
                  </w:r>
                </w:p>
                <w:p w14:paraId="2140B3DE">
                  <w:pPr>
                    <w:widowControl/>
                    <w:spacing w:line="240" w:lineRule="atLeast"/>
                    <w:rPr>
                      <w:color w:val="auto"/>
                      <w:kern w:val="0"/>
                      <w:szCs w:val="21"/>
                      <w:lang w:bidi="ar"/>
                    </w:rPr>
                  </w:pPr>
                  <w:r>
                    <w:rPr>
                      <w:color w:val="auto"/>
                      <w:kern w:val="0"/>
                      <w:szCs w:val="21"/>
                      <w:lang w:bidi="ar"/>
                    </w:rPr>
                    <w:t>5.</w:t>
                  </w:r>
                  <w:r>
                    <w:rPr>
                      <w:rFonts w:hint="eastAsia"/>
                      <w:color w:val="auto"/>
                      <w:kern w:val="0"/>
                      <w:szCs w:val="21"/>
                      <w:lang w:bidi="ar"/>
                    </w:rPr>
                    <w:t>加大环境污染物减排力度，到</w:t>
                  </w:r>
                  <w:r>
                    <w:rPr>
                      <w:color w:val="auto"/>
                      <w:kern w:val="0"/>
                      <w:szCs w:val="21"/>
                      <w:lang w:bidi="ar"/>
                    </w:rPr>
                    <w:t>2025</w:t>
                  </w:r>
                  <w:r>
                    <w:rPr>
                      <w:rFonts w:hint="eastAsia"/>
                      <w:color w:val="auto"/>
                      <w:kern w:val="0"/>
                      <w:szCs w:val="21"/>
                      <w:lang w:bidi="ar"/>
                    </w:rPr>
                    <w:t>年，实现氮氧化物减排</w:t>
                  </w:r>
                  <w:r>
                    <w:rPr>
                      <w:color w:val="auto"/>
                      <w:kern w:val="0"/>
                      <w:szCs w:val="21"/>
                      <w:lang w:bidi="ar"/>
                    </w:rPr>
                    <w:t>1224</w:t>
                  </w:r>
                  <w:r>
                    <w:rPr>
                      <w:rFonts w:hint="eastAsia"/>
                      <w:color w:val="auto"/>
                      <w:kern w:val="0"/>
                      <w:szCs w:val="21"/>
                      <w:lang w:bidi="ar"/>
                    </w:rPr>
                    <w:t>吨，挥发性有机物减排</w:t>
                  </w:r>
                  <w:r>
                    <w:rPr>
                      <w:color w:val="auto"/>
                      <w:kern w:val="0"/>
                      <w:szCs w:val="21"/>
                      <w:lang w:bidi="ar"/>
                    </w:rPr>
                    <w:t>1393</w:t>
                  </w:r>
                  <w:r>
                    <w:rPr>
                      <w:rFonts w:hint="eastAsia"/>
                      <w:color w:val="auto"/>
                      <w:kern w:val="0"/>
                      <w:szCs w:val="21"/>
                      <w:lang w:bidi="ar"/>
                    </w:rPr>
                    <w:t>吨，化学需氧量减排</w:t>
                  </w:r>
                  <w:r>
                    <w:rPr>
                      <w:color w:val="auto"/>
                      <w:kern w:val="0"/>
                      <w:szCs w:val="21"/>
                      <w:lang w:bidi="ar"/>
                    </w:rPr>
                    <w:t>2461</w:t>
                  </w:r>
                  <w:r>
                    <w:rPr>
                      <w:rFonts w:hint="eastAsia"/>
                      <w:color w:val="auto"/>
                      <w:kern w:val="0"/>
                      <w:szCs w:val="21"/>
                      <w:lang w:bidi="ar"/>
                    </w:rPr>
                    <w:t>吨，氨氮减排</w:t>
                  </w:r>
                  <w:r>
                    <w:rPr>
                      <w:color w:val="auto"/>
                      <w:kern w:val="0"/>
                      <w:szCs w:val="21"/>
                      <w:lang w:bidi="ar"/>
                    </w:rPr>
                    <w:t>230</w:t>
                  </w:r>
                  <w:r>
                    <w:rPr>
                      <w:rFonts w:hint="eastAsia"/>
                      <w:color w:val="auto"/>
                      <w:kern w:val="0"/>
                      <w:szCs w:val="21"/>
                      <w:lang w:bidi="ar"/>
                    </w:rPr>
                    <w:t>吨。</w:t>
                  </w:r>
                </w:p>
                <w:p w14:paraId="0C53BB25">
                  <w:pPr>
                    <w:widowControl/>
                    <w:spacing w:line="240" w:lineRule="atLeast"/>
                    <w:rPr>
                      <w:color w:val="auto"/>
                      <w:kern w:val="0"/>
                      <w:szCs w:val="21"/>
                      <w:lang w:bidi="ar"/>
                    </w:rPr>
                  </w:pPr>
                  <w:r>
                    <w:rPr>
                      <w:color w:val="auto"/>
                      <w:kern w:val="0"/>
                      <w:szCs w:val="21"/>
                      <w:lang w:bidi="ar"/>
                    </w:rPr>
                    <w:t>6.</w:t>
                  </w:r>
                  <w:r>
                    <w:rPr>
                      <w:rFonts w:hint="eastAsia"/>
                      <w:color w:val="auto"/>
                      <w:kern w:val="0"/>
                      <w:szCs w:val="21"/>
                      <w:lang w:bidi="ar"/>
                    </w:rPr>
                    <w:t>严格管控农用地，不得在特定农产品禁止生产区域种植食用农产品等。</w:t>
                  </w:r>
                </w:p>
                <w:p w14:paraId="5D3D1223">
                  <w:pPr>
                    <w:rPr>
                      <w:color w:val="auto"/>
                    </w:rPr>
                  </w:pPr>
                  <w:r>
                    <w:rPr>
                      <w:rFonts w:hint="eastAsia"/>
                      <w:color w:val="auto"/>
                      <w:kern w:val="0"/>
                      <w:szCs w:val="21"/>
                      <w:lang w:bidi="ar"/>
                    </w:rPr>
                    <w:t>7</w:t>
                  </w:r>
                  <w:r>
                    <w:rPr>
                      <w:color w:val="auto"/>
                      <w:kern w:val="0"/>
                      <w:szCs w:val="21"/>
                      <w:lang w:bidi="ar"/>
                    </w:rPr>
                    <w:t>.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r>
                    <w:rPr>
                      <w:color w:val="auto"/>
                    </w:rPr>
                    <w:t>。</w:t>
                  </w:r>
                </w:p>
                <w:p w14:paraId="58DB560E">
                  <w:pPr>
                    <w:rPr>
                      <w:rFonts w:hint="default" w:ascii="Times New Roman" w:hAnsi="Times New Roman" w:eastAsia="宋体" w:cs="Times New Roman"/>
                      <w:b w:val="0"/>
                      <w:bCs/>
                      <w:color w:val="auto"/>
                      <w:sz w:val="21"/>
                      <w:highlight w:val="none"/>
                    </w:rPr>
                  </w:pPr>
                  <w:r>
                    <w:rPr>
                      <w:color w:val="auto"/>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2088" w:type="pct"/>
                  <w:vAlign w:val="center"/>
                </w:tcPr>
                <w:p w14:paraId="3D8E4743">
                  <w:pPr>
                    <w:pStyle w:val="31"/>
                    <w:jc w:val="left"/>
                    <w:rPr>
                      <w:color w:val="auto"/>
                    </w:rPr>
                  </w:pPr>
                  <w:r>
                    <w:rPr>
                      <w:color w:val="auto"/>
                    </w:rPr>
                    <w:t>1、项目</w:t>
                  </w:r>
                  <w:r>
                    <w:rPr>
                      <w:rFonts w:hint="eastAsia"/>
                      <w:color w:val="auto"/>
                    </w:rPr>
                    <w:t>为</w:t>
                  </w:r>
                  <w:r>
                    <w:rPr>
                      <w:rFonts w:hint="eastAsia" w:cs="宋体"/>
                      <w:color w:val="auto"/>
                      <w:kern w:val="0"/>
                      <w:szCs w:val="21"/>
                    </w:rPr>
                    <w:t>高频</w:t>
                  </w:r>
                  <w:r>
                    <w:rPr>
                      <w:rFonts w:hint="eastAsia"/>
                      <w:color w:val="auto"/>
                      <w:kern w:val="1"/>
                      <w:szCs w:val="21"/>
                    </w:rPr>
                    <w:t>焊管</w:t>
                  </w:r>
                  <w:r>
                    <w:rPr>
                      <w:rFonts w:hint="eastAsia"/>
                      <w:color w:val="auto"/>
                    </w:rPr>
                    <w:t>生产</w:t>
                  </w:r>
                  <w:r>
                    <w:rPr>
                      <w:rFonts w:hint="eastAsia"/>
                      <w:color w:val="auto"/>
                      <w:kern w:val="1"/>
                      <w:szCs w:val="21"/>
                    </w:rPr>
                    <w:t>行业，</w:t>
                  </w:r>
                  <w:r>
                    <w:rPr>
                      <w:rFonts w:hint="eastAsia"/>
                      <w:color w:val="auto"/>
                    </w:rPr>
                    <w:t>不属于</w:t>
                  </w:r>
                  <w:r>
                    <w:rPr>
                      <w:color w:val="auto"/>
                      <w:kern w:val="0"/>
                      <w:szCs w:val="21"/>
                      <w:lang w:bidi="ar"/>
                    </w:rPr>
                    <w:t>重点行业</w:t>
                  </w:r>
                  <w:r>
                    <w:rPr>
                      <w:color w:val="auto"/>
                    </w:rPr>
                    <w:t>。</w:t>
                  </w:r>
                </w:p>
                <w:p w14:paraId="0DD8839A">
                  <w:pPr>
                    <w:pStyle w:val="31"/>
                    <w:jc w:val="left"/>
                    <w:rPr>
                      <w:color w:val="auto"/>
                    </w:rPr>
                  </w:pPr>
                  <w:r>
                    <w:rPr>
                      <w:color w:val="auto"/>
                    </w:rPr>
                    <w:t>2、</w:t>
                  </w:r>
                  <w:r>
                    <w:rPr>
                      <w:rFonts w:hint="eastAsia"/>
                      <w:bCs/>
                      <w:color w:val="auto"/>
                    </w:rPr>
                    <w:t>项目建设符合杞麓湖</w:t>
                  </w:r>
                  <w:r>
                    <w:rPr>
                      <w:rFonts w:hint="eastAsia"/>
                      <w:color w:val="auto"/>
                    </w:rPr>
                    <w:t>“两线三区”</w:t>
                  </w:r>
                  <w:r>
                    <w:rPr>
                      <w:rFonts w:hint="eastAsia"/>
                      <w:bCs/>
                      <w:color w:val="auto"/>
                    </w:rPr>
                    <w:t>管控要求、符合《云南省杞麓湖保护条例》要求</w:t>
                  </w:r>
                  <w:r>
                    <w:rPr>
                      <w:color w:val="auto"/>
                    </w:rPr>
                    <w:t>。项目生产废水沉淀回用，</w:t>
                  </w:r>
                  <w:r>
                    <w:rPr>
                      <w:rFonts w:hint="eastAsia"/>
                      <w:color w:val="auto"/>
                    </w:rPr>
                    <w:t>生活污水</w:t>
                  </w:r>
                  <w:r>
                    <w:rPr>
                      <w:color w:val="auto"/>
                    </w:rPr>
                    <w:t>利用罐车运至纳古镇污水处理站处理</w:t>
                  </w:r>
                  <w:r>
                    <w:rPr>
                      <w:rFonts w:hint="eastAsia"/>
                      <w:color w:val="auto"/>
                    </w:rPr>
                    <w:t>。</w:t>
                  </w:r>
                </w:p>
                <w:p w14:paraId="65921FDD">
                  <w:pPr>
                    <w:rPr>
                      <w:rFonts w:hint="eastAsia"/>
                      <w:color w:val="auto"/>
                    </w:rPr>
                  </w:pPr>
                  <w:r>
                    <w:rPr>
                      <w:rFonts w:hint="eastAsia"/>
                      <w:color w:val="auto"/>
                    </w:rPr>
                    <w:t>3、项目区</w:t>
                  </w:r>
                  <w:r>
                    <w:rPr>
                      <w:rFonts w:hint="eastAsia"/>
                      <w:color w:val="auto"/>
                      <w:szCs w:val="21"/>
                    </w:rPr>
                    <w:t>不涉及</w:t>
                  </w:r>
                  <w:r>
                    <w:rPr>
                      <w:color w:val="auto"/>
                      <w:kern w:val="0"/>
                      <w:szCs w:val="21"/>
                      <w:lang w:bidi="ar"/>
                    </w:rPr>
                    <w:t>城乡饮用水水源地</w:t>
                  </w:r>
                  <w:r>
                    <w:rPr>
                      <w:rFonts w:hint="eastAsia"/>
                      <w:color w:val="auto"/>
                    </w:rPr>
                    <w:t>。</w:t>
                  </w:r>
                </w:p>
                <w:p w14:paraId="52BB6B9B">
                  <w:pPr>
                    <w:pStyle w:val="11"/>
                    <w:spacing w:before="0" w:after="0" w:line="240" w:lineRule="auto"/>
                    <w:ind w:right="0"/>
                    <w:rPr>
                      <w:rFonts w:hint="eastAsia"/>
                      <w:color w:val="auto"/>
                      <w:sz w:val="21"/>
                      <w:szCs w:val="21"/>
                    </w:rPr>
                  </w:pPr>
                  <w:r>
                    <w:rPr>
                      <w:rFonts w:hint="eastAsia"/>
                      <w:color w:val="auto"/>
                      <w:sz w:val="21"/>
                      <w:szCs w:val="21"/>
                    </w:rPr>
                    <w:t>4、5、8、</w:t>
                  </w:r>
                  <w:r>
                    <w:rPr>
                      <w:color w:val="auto"/>
                      <w:sz w:val="21"/>
                      <w:szCs w:val="21"/>
                    </w:rPr>
                    <w:t>本项目</w:t>
                  </w:r>
                  <w:r>
                    <w:rPr>
                      <w:bCs/>
                      <w:color w:val="auto"/>
                      <w:sz w:val="21"/>
                    </w:rPr>
                    <w:t>产生的大气污染物</w:t>
                  </w:r>
                  <w:r>
                    <w:rPr>
                      <w:rFonts w:hint="eastAsia"/>
                      <w:bCs/>
                      <w:color w:val="auto"/>
                      <w:sz w:val="21"/>
                    </w:rPr>
                    <w:t>为颗粒物，</w:t>
                  </w:r>
                  <w:r>
                    <w:rPr>
                      <w:bCs/>
                      <w:color w:val="auto"/>
                      <w:sz w:val="21"/>
                    </w:rPr>
                    <w:t>经采取积极有效的污染控制措施后，能达标排放，且排放量小</w:t>
                  </w:r>
                  <w:r>
                    <w:rPr>
                      <w:rFonts w:hint="eastAsia"/>
                      <w:bCs/>
                      <w:color w:val="auto"/>
                      <w:sz w:val="21"/>
                    </w:rPr>
                    <w:t>，</w:t>
                  </w:r>
                  <w:r>
                    <w:rPr>
                      <w:bCs/>
                      <w:color w:val="auto"/>
                      <w:sz w:val="21"/>
                    </w:rPr>
                    <w:t>对区域环境空气质量的影响很小，不影响区域环境空气质量改善的目标要求</w:t>
                  </w:r>
                  <w:r>
                    <w:rPr>
                      <w:rFonts w:hint="eastAsia"/>
                      <w:color w:val="auto"/>
                      <w:spacing w:val="5"/>
                      <w:sz w:val="21"/>
                      <w:szCs w:val="21"/>
                    </w:rPr>
                    <w:t>。</w:t>
                  </w:r>
                </w:p>
                <w:p w14:paraId="4A82EACF">
                  <w:pPr>
                    <w:pStyle w:val="11"/>
                    <w:spacing w:before="0" w:after="0" w:line="240" w:lineRule="auto"/>
                    <w:ind w:right="0"/>
                    <w:rPr>
                      <w:rFonts w:hint="eastAsia"/>
                      <w:color w:val="auto"/>
                      <w:sz w:val="21"/>
                      <w:szCs w:val="21"/>
                    </w:rPr>
                  </w:pPr>
                  <w:r>
                    <w:rPr>
                      <w:rFonts w:hint="eastAsia"/>
                      <w:color w:val="auto"/>
                      <w:sz w:val="21"/>
                      <w:szCs w:val="21"/>
                    </w:rPr>
                    <w:t>6、</w:t>
                  </w:r>
                  <w:r>
                    <w:rPr>
                      <w:rFonts w:hint="eastAsia"/>
                      <w:color w:val="auto"/>
                      <w:sz w:val="21"/>
                      <w:szCs w:val="21"/>
                      <w:lang w:bidi="ar"/>
                    </w:rPr>
                    <w:t>项目不涉及</w:t>
                  </w:r>
                  <w:r>
                    <w:rPr>
                      <w:rFonts w:hint="eastAsia"/>
                      <w:color w:val="auto"/>
                      <w:sz w:val="21"/>
                      <w:szCs w:val="21"/>
                    </w:rPr>
                    <w:t>。</w:t>
                  </w:r>
                </w:p>
                <w:p w14:paraId="1F7766A0">
                  <w:pPr>
                    <w:pStyle w:val="11"/>
                    <w:spacing w:before="0" w:after="0" w:line="240" w:lineRule="auto"/>
                    <w:ind w:right="0"/>
                    <w:rPr>
                      <w:rFonts w:hint="eastAsia"/>
                      <w:color w:val="auto"/>
                      <w:sz w:val="21"/>
                      <w:szCs w:val="21"/>
                    </w:rPr>
                  </w:pPr>
                  <w:r>
                    <w:rPr>
                      <w:rFonts w:hint="eastAsia"/>
                      <w:color w:val="auto"/>
                      <w:sz w:val="21"/>
                      <w:szCs w:val="21"/>
                    </w:rPr>
                    <w:t>7、项目固废100%处置。</w:t>
                  </w:r>
                </w:p>
                <w:p w14:paraId="27027474">
                  <w:pPr>
                    <w:pStyle w:val="11"/>
                    <w:spacing w:before="0" w:after="0" w:line="240" w:lineRule="auto"/>
                    <w:ind w:right="0" w:rightChars="0"/>
                    <w:rPr>
                      <w:rFonts w:hint="default" w:ascii="Times New Roman" w:hAnsi="Times New Roman" w:eastAsia="宋体" w:cs="Times New Roman"/>
                      <w:b w:val="0"/>
                      <w:bCs/>
                      <w:color w:val="auto"/>
                      <w:sz w:val="21"/>
                      <w:highlight w:val="none"/>
                    </w:rPr>
                  </w:pPr>
                  <w:r>
                    <w:rPr>
                      <w:rFonts w:hint="eastAsia"/>
                      <w:color w:val="auto"/>
                      <w:sz w:val="21"/>
                      <w:szCs w:val="21"/>
                    </w:rPr>
                    <w:t>8、本项目</w:t>
                  </w:r>
                  <w:r>
                    <w:rPr>
                      <w:bCs/>
                      <w:color w:val="auto"/>
                      <w:sz w:val="21"/>
                    </w:rPr>
                    <w:t>运行期</w:t>
                  </w:r>
                  <w:r>
                    <w:rPr>
                      <w:rFonts w:hint="eastAsia"/>
                      <w:bCs/>
                      <w:color w:val="auto"/>
                      <w:sz w:val="21"/>
                    </w:rPr>
                    <w:t>生产废水仅为冷却水，循环使用不外排，生活污水经化粪池处理后，</w:t>
                  </w:r>
                  <w:r>
                    <w:rPr>
                      <w:rFonts w:hint="eastAsia"/>
                      <w:color w:val="auto"/>
                      <w:sz w:val="21"/>
                      <w:szCs w:val="21"/>
                    </w:rPr>
                    <w:t>利用罐车拉运至纳古镇污水处理站处理，属于间接排放。项目不涉及直排废水。</w:t>
                  </w:r>
                </w:p>
              </w:tc>
              <w:tc>
                <w:tcPr>
                  <w:tcW w:w="531" w:type="pct"/>
                  <w:vAlign w:val="center"/>
                </w:tcPr>
                <w:p w14:paraId="30D9249D">
                  <w:pPr>
                    <w:pStyle w:val="31"/>
                    <w:ind w:firstLine="0" w:firstLineChars="0"/>
                    <w:rPr>
                      <w:rFonts w:hint="default" w:ascii="Times New Roman" w:hAnsi="Times New Roman" w:eastAsia="宋体" w:cs="Times New Roman"/>
                      <w:b w:val="0"/>
                      <w:bCs/>
                      <w:color w:val="auto"/>
                      <w:sz w:val="21"/>
                      <w:highlight w:val="none"/>
                    </w:rPr>
                  </w:pPr>
                  <w:r>
                    <w:rPr>
                      <w:rFonts w:hint="eastAsia"/>
                      <w:color w:val="auto"/>
                    </w:rPr>
                    <w:t>符合</w:t>
                  </w:r>
                </w:p>
              </w:tc>
            </w:tr>
            <w:tr w14:paraId="3D2D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3AB70386">
                  <w:pPr>
                    <w:pStyle w:val="31"/>
                    <w:ind w:firstLine="0" w:firstLineChars="0"/>
                    <w:rPr>
                      <w:rFonts w:hint="default" w:ascii="Times New Roman" w:hAnsi="Times New Roman" w:eastAsia="宋体" w:cs="Times New Roman"/>
                      <w:b w:val="0"/>
                      <w:bCs/>
                      <w:color w:val="auto"/>
                      <w:sz w:val="21"/>
                      <w:highlight w:val="none"/>
                    </w:rPr>
                  </w:pPr>
                  <w:r>
                    <w:rPr>
                      <w:color w:val="auto"/>
                      <w:szCs w:val="21"/>
                    </w:rPr>
                    <w:t>环境风险防控</w:t>
                  </w:r>
                </w:p>
              </w:tc>
              <w:tc>
                <w:tcPr>
                  <w:tcW w:w="2049" w:type="pct"/>
                  <w:vAlign w:val="center"/>
                </w:tcPr>
                <w:p w14:paraId="75C1EDB1">
                  <w:pPr>
                    <w:widowControl/>
                    <w:spacing w:line="240" w:lineRule="atLeast"/>
                    <w:rPr>
                      <w:color w:val="auto"/>
                      <w:kern w:val="0"/>
                      <w:szCs w:val="21"/>
                      <w:lang w:bidi="ar"/>
                    </w:rPr>
                  </w:pPr>
                  <w:r>
                    <w:rPr>
                      <w:color w:val="auto"/>
                      <w:kern w:val="0"/>
                      <w:szCs w:val="21"/>
                      <w:lang w:bidi="ar"/>
                    </w:rPr>
                    <w:t>1.强化与其他滇中城市的大气、水污染防治联防联控协作机制，加强区域内重污染天气和跨界水体风险应急联动。</w:t>
                  </w:r>
                </w:p>
                <w:p w14:paraId="7F5313A3">
                  <w:pPr>
                    <w:widowControl/>
                    <w:spacing w:line="240" w:lineRule="atLeast"/>
                    <w:rPr>
                      <w:rFonts w:hint="default" w:ascii="Times New Roman" w:hAnsi="Times New Roman" w:eastAsia="宋体" w:cs="Times New Roman"/>
                      <w:b w:val="0"/>
                      <w:bCs/>
                      <w:color w:val="auto"/>
                      <w:sz w:val="21"/>
                      <w:highlight w:val="none"/>
                    </w:rPr>
                  </w:pPr>
                  <w:r>
                    <w:rPr>
                      <w:color w:val="auto"/>
                      <w:kern w:val="0"/>
                      <w:szCs w:val="21"/>
                      <w:lang w:bidi="ar"/>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r>
                    <w:rPr>
                      <w:color w:val="auto"/>
                    </w:rPr>
                    <w:t>。</w:t>
                  </w:r>
                </w:p>
              </w:tc>
              <w:tc>
                <w:tcPr>
                  <w:tcW w:w="2088" w:type="pct"/>
                  <w:vAlign w:val="center"/>
                </w:tcPr>
                <w:p w14:paraId="160F46DC">
                  <w:pPr>
                    <w:rPr>
                      <w:rFonts w:hint="default" w:ascii="Times New Roman" w:hAnsi="Times New Roman" w:eastAsia="宋体" w:cs="Times New Roman"/>
                      <w:b w:val="0"/>
                      <w:bCs/>
                      <w:color w:val="auto"/>
                      <w:sz w:val="21"/>
                      <w:highlight w:val="none"/>
                    </w:rPr>
                  </w:pPr>
                  <w:r>
                    <w:rPr>
                      <w:rFonts w:hint="eastAsia"/>
                      <w:color w:val="auto"/>
                      <w:kern w:val="0"/>
                      <w:szCs w:val="21"/>
                      <w:lang w:bidi="ar"/>
                    </w:rPr>
                    <w:t>项目建成投产后及时修编</w:t>
                  </w:r>
                  <w:r>
                    <w:rPr>
                      <w:color w:val="auto"/>
                      <w:kern w:val="0"/>
                      <w:szCs w:val="21"/>
                      <w:lang w:bidi="ar"/>
                    </w:rPr>
                    <w:t>突发环境事件应急预案</w:t>
                  </w:r>
                  <w:r>
                    <w:rPr>
                      <w:rFonts w:hint="eastAsia"/>
                      <w:color w:val="auto"/>
                      <w:kern w:val="0"/>
                      <w:szCs w:val="21"/>
                      <w:lang w:bidi="ar"/>
                    </w:rPr>
                    <w:t>，并到生态环境部门备案，定期进行应急演练</w:t>
                  </w:r>
                  <w:r>
                    <w:rPr>
                      <w:rFonts w:hint="eastAsia"/>
                      <w:color w:val="auto"/>
                    </w:rPr>
                    <w:t>。</w:t>
                  </w:r>
                </w:p>
              </w:tc>
              <w:tc>
                <w:tcPr>
                  <w:tcW w:w="531" w:type="pct"/>
                  <w:vAlign w:val="center"/>
                </w:tcPr>
                <w:p w14:paraId="2B020557">
                  <w:pPr>
                    <w:pStyle w:val="31"/>
                    <w:ind w:firstLine="0" w:firstLineChars="0"/>
                    <w:rPr>
                      <w:rFonts w:hint="default" w:ascii="Times New Roman" w:hAnsi="Times New Roman" w:eastAsia="宋体" w:cs="Times New Roman"/>
                      <w:b w:val="0"/>
                      <w:bCs/>
                      <w:color w:val="auto"/>
                      <w:sz w:val="21"/>
                      <w:highlight w:val="none"/>
                    </w:rPr>
                  </w:pPr>
                  <w:r>
                    <w:rPr>
                      <w:rFonts w:hint="eastAsia"/>
                      <w:color w:val="auto"/>
                    </w:rPr>
                    <w:t>符合</w:t>
                  </w:r>
                </w:p>
              </w:tc>
            </w:tr>
            <w:tr w14:paraId="6A4E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3BC88F8B">
                  <w:pPr>
                    <w:pStyle w:val="31"/>
                    <w:ind w:firstLine="0" w:firstLineChars="0"/>
                    <w:rPr>
                      <w:rFonts w:hint="default" w:ascii="Times New Roman" w:hAnsi="Times New Roman" w:eastAsia="宋体" w:cs="Times New Roman"/>
                      <w:b w:val="0"/>
                      <w:bCs/>
                      <w:color w:val="auto"/>
                      <w:sz w:val="21"/>
                      <w:highlight w:val="none"/>
                    </w:rPr>
                  </w:pPr>
                  <w:r>
                    <w:rPr>
                      <w:color w:val="auto"/>
                      <w:kern w:val="0"/>
                      <w:szCs w:val="21"/>
                      <w:lang w:bidi="ar"/>
                    </w:rPr>
                    <w:t>资源开发效率</w:t>
                  </w:r>
                </w:p>
              </w:tc>
              <w:tc>
                <w:tcPr>
                  <w:tcW w:w="2049" w:type="pct"/>
                  <w:vAlign w:val="center"/>
                </w:tcPr>
                <w:p w14:paraId="0AC01D7D">
                  <w:pPr>
                    <w:pStyle w:val="31"/>
                    <w:jc w:val="left"/>
                    <w:rPr>
                      <w:color w:val="auto"/>
                    </w:rPr>
                  </w:pPr>
                  <w:r>
                    <w:rPr>
                      <w:color w:val="auto"/>
                    </w:rPr>
                    <w:t>1.降低水、土地、能源、矿产资源消耗强度，强化约束性指标管理。</w:t>
                  </w:r>
                </w:p>
                <w:p w14:paraId="75A5C7A0">
                  <w:pPr>
                    <w:pStyle w:val="31"/>
                    <w:jc w:val="left"/>
                    <w:rPr>
                      <w:color w:val="auto"/>
                    </w:rPr>
                  </w:pPr>
                  <w:r>
                    <w:rPr>
                      <w:color w:val="auto"/>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09F14A84">
                  <w:pPr>
                    <w:pStyle w:val="31"/>
                    <w:jc w:val="left"/>
                    <w:rPr>
                      <w:color w:val="auto"/>
                    </w:rPr>
                  </w:pPr>
                  <w:r>
                    <w:rPr>
                      <w:color w:val="auto"/>
                    </w:rPr>
                    <w:t>3.坚持最严格的耕地保护制度，守住耕地保护红线。坚持节约用地，严格执行耕地占补平衡等制度，提高土地投资强度和单位面积产出水平。</w:t>
                  </w:r>
                </w:p>
                <w:p w14:paraId="5B433F31">
                  <w:pPr>
                    <w:pStyle w:val="31"/>
                    <w:jc w:val="left"/>
                    <w:rPr>
                      <w:color w:val="auto"/>
                    </w:rPr>
                  </w:pPr>
                  <w:r>
                    <w:rPr>
                      <w:color w:val="auto"/>
                    </w:rPr>
                    <w:t>4.全市单位GDP二氧化碳排放累计下降率完成云南省下达的指标；单位GDP能耗持续下降，到2025年，全市单位GDP能耗累计下降率14%。</w:t>
                  </w:r>
                </w:p>
                <w:p w14:paraId="615D8F51">
                  <w:pPr>
                    <w:pStyle w:val="31"/>
                    <w:jc w:val="left"/>
                    <w:rPr>
                      <w:color w:val="auto"/>
                    </w:rPr>
                  </w:pPr>
                  <w:r>
                    <w:rPr>
                      <w:color w:val="auto"/>
                    </w:rPr>
                    <w:t>5.高污染燃料禁燃区按照《高污染燃料目录》及当地有关禁燃区管理规定执行。</w:t>
                  </w:r>
                </w:p>
                <w:p w14:paraId="16888EC3">
                  <w:pPr>
                    <w:pStyle w:val="31"/>
                    <w:ind w:firstLine="0" w:firstLineChars="0"/>
                    <w:jc w:val="left"/>
                    <w:rPr>
                      <w:rFonts w:hint="default" w:ascii="Times New Roman" w:hAnsi="Times New Roman" w:eastAsia="宋体" w:cs="Times New Roman"/>
                      <w:b w:val="0"/>
                      <w:bCs/>
                      <w:color w:val="auto"/>
                      <w:sz w:val="21"/>
                      <w:highlight w:val="none"/>
                    </w:rPr>
                  </w:pPr>
                  <w:r>
                    <w:rPr>
                      <w:color w:val="auto"/>
                    </w:rPr>
                    <w:t>6.实施高效节水灌溉工程，大力推广高效节水灌溉措施，到2025年，农田灌溉水有效利用系数达到0.55。</w:t>
                  </w:r>
                </w:p>
              </w:tc>
              <w:tc>
                <w:tcPr>
                  <w:tcW w:w="2088" w:type="pct"/>
                  <w:vAlign w:val="center"/>
                </w:tcPr>
                <w:p w14:paraId="452B64BF">
                  <w:pPr>
                    <w:jc w:val="left"/>
                    <w:rPr>
                      <w:color w:val="auto"/>
                    </w:rPr>
                  </w:pPr>
                  <w:r>
                    <w:rPr>
                      <w:color w:val="auto"/>
                    </w:rPr>
                    <w:t>1、本项目</w:t>
                  </w:r>
                  <w:r>
                    <w:rPr>
                      <w:rFonts w:hint="eastAsia"/>
                      <w:color w:val="auto"/>
                      <w:szCs w:val="21"/>
                    </w:rPr>
                    <w:t>不涉及新增用地，能源消耗主要为电能和水，能源消耗不大，不涉及矿产资源的使用</w:t>
                  </w:r>
                  <w:r>
                    <w:rPr>
                      <w:color w:val="auto"/>
                    </w:rPr>
                    <w:t>。</w:t>
                  </w:r>
                </w:p>
                <w:p w14:paraId="40427022">
                  <w:pPr>
                    <w:jc w:val="left"/>
                    <w:rPr>
                      <w:color w:val="auto"/>
                    </w:rPr>
                  </w:pPr>
                  <w:r>
                    <w:rPr>
                      <w:rFonts w:hint="eastAsia"/>
                      <w:color w:val="auto"/>
                    </w:rPr>
                    <w:t>2、项目用水量不高，不属于高耗水企业。</w:t>
                  </w:r>
                </w:p>
                <w:p w14:paraId="5F0B348E">
                  <w:pPr>
                    <w:jc w:val="left"/>
                    <w:rPr>
                      <w:rFonts w:hint="eastAsia"/>
                      <w:color w:val="auto"/>
                    </w:rPr>
                  </w:pPr>
                  <w:r>
                    <w:rPr>
                      <w:rFonts w:hint="eastAsia"/>
                      <w:color w:val="auto"/>
                    </w:rPr>
                    <w:t>3、项目</w:t>
                  </w:r>
                  <w:r>
                    <w:rPr>
                      <w:rFonts w:hint="eastAsia"/>
                      <w:color w:val="auto"/>
                      <w:szCs w:val="21"/>
                    </w:rPr>
                    <w:t>不涉及新增占地</w:t>
                  </w:r>
                  <w:r>
                    <w:rPr>
                      <w:rFonts w:hint="eastAsia"/>
                      <w:color w:val="auto"/>
                    </w:rPr>
                    <w:t>，不涉及耕地。</w:t>
                  </w:r>
                </w:p>
                <w:p w14:paraId="0224FD31">
                  <w:pPr>
                    <w:jc w:val="left"/>
                    <w:rPr>
                      <w:rFonts w:hint="eastAsia"/>
                      <w:color w:val="auto"/>
                    </w:rPr>
                  </w:pPr>
                  <w:r>
                    <w:rPr>
                      <w:rFonts w:hint="eastAsia"/>
                      <w:color w:val="auto"/>
                    </w:rPr>
                    <w:t>4、5、项目不涉及二氧化碳排放，不涉及使用高污染燃料。</w:t>
                  </w:r>
                </w:p>
                <w:p w14:paraId="5FDE14AE">
                  <w:pPr>
                    <w:jc w:val="left"/>
                    <w:rPr>
                      <w:rFonts w:hint="default" w:ascii="Times New Roman" w:hAnsi="Times New Roman" w:eastAsia="宋体" w:cs="Times New Roman"/>
                      <w:b w:val="0"/>
                      <w:bCs/>
                      <w:color w:val="auto"/>
                      <w:sz w:val="21"/>
                      <w:highlight w:val="none"/>
                    </w:rPr>
                  </w:pPr>
                  <w:r>
                    <w:rPr>
                      <w:rFonts w:hint="eastAsia"/>
                      <w:color w:val="auto"/>
                    </w:rPr>
                    <w:t>6、项目不涉及</w:t>
                  </w:r>
                  <w:r>
                    <w:rPr>
                      <w:color w:val="auto"/>
                    </w:rPr>
                    <w:t>高效节水灌溉工程</w:t>
                  </w:r>
                  <w:r>
                    <w:rPr>
                      <w:rFonts w:hint="eastAsia"/>
                      <w:color w:val="auto"/>
                    </w:rPr>
                    <w:t>。</w:t>
                  </w:r>
                </w:p>
              </w:tc>
              <w:tc>
                <w:tcPr>
                  <w:tcW w:w="531" w:type="pct"/>
                  <w:vAlign w:val="center"/>
                </w:tcPr>
                <w:p w14:paraId="11BAE59C">
                  <w:pPr>
                    <w:pStyle w:val="31"/>
                    <w:ind w:firstLine="0" w:firstLineChars="0"/>
                    <w:rPr>
                      <w:rFonts w:hint="default" w:ascii="Times New Roman" w:hAnsi="Times New Roman" w:eastAsia="宋体" w:cs="Times New Roman"/>
                      <w:b w:val="0"/>
                      <w:bCs/>
                      <w:color w:val="auto"/>
                      <w:sz w:val="21"/>
                      <w:highlight w:val="none"/>
                    </w:rPr>
                  </w:pPr>
                  <w:r>
                    <w:rPr>
                      <w:rFonts w:hint="eastAsia"/>
                      <w:color w:val="auto"/>
                    </w:rPr>
                    <w:t>符合</w:t>
                  </w:r>
                </w:p>
              </w:tc>
            </w:tr>
            <w:tr w14:paraId="2964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00BC039F">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eastAsia" w:hAnsi="Times New Roman" w:eastAsia="宋体" w:cs="Times New Roman"/>
                      <w:b/>
                      <w:bCs w:val="0"/>
                      <w:color w:val="auto"/>
                      <w:sz w:val="21"/>
                      <w:szCs w:val="21"/>
                      <w:lang w:val="en-US" w:eastAsia="zh-CN"/>
                    </w:rPr>
                    <w:t>五、</w:t>
                  </w:r>
                  <w:r>
                    <w:rPr>
                      <w:rFonts w:hint="default" w:ascii="Times New Roman" w:hAnsi="Times New Roman" w:eastAsia="宋体" w:cs="Times New Roman"/>
                      <w:b/>
                      <w:bCs w:val="0"/>
                      <w:color w:val="auto"/>
                      <w:sz w:val="21"/>
                      <w:szCs w:val="21"/>
                    </w:rPr>
                    <w:t>生态环境准入清单（</w:t>
                  </w:r>
                  <w:r>
                    <w:rPr>
                      <w:rFonts w:hint="default" w:ascii="Times New Roman" w:hAnsi="Times New Roman" w:eastAsia="宋体" w:cs="Times New Roman"/>
                      <w:b/>
                      <w:bCs w:val="0"/>
                      <w:color w:val="auto"/>
                      <w:kern w:val="2"/>
                      <w:sz w:val="21"/>
                      <w:szCs w:val="22"/>
                      <w:highlight w:val="none"/>
                      <w:lang w:val="en-US" w:eastAsia="zh-CN" w:bidi="ar-SA"/>
                    </w:rPr>
                    <w:t>通海县乡镇生活污染重点管控单元</w:t>
                  </w:r>
                  <w:r>
                    <w:rPr>
                      <w:rFonts w:hint="default" w:ascii="Times New Roman" w:hAnsi="Times New Roman" w:eastAsia="宋体" w:cs="Times New Roman"/>
                      <w:b/>
                      <w:bCs w:val="0"/>
                      <w:color w:val="auto"/>
                      <w:sz w:val="21"/>
                      <w:szCs w:val="21"/>
                    </w:rPr>
                    <w:t>）</w:t>
                  </w:r>
                </w:p>
              </w:tc>
            </w:tr>
            <w:tr w14:paraId="3F00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1BAFDAAF">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ind w:firstLine="0" w:firstLineChars="0"/>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空间布局约束</w:t>
                  </w:r>
                </w:p>
              </w:tc>
              <w:tc>
                <w:tcPr>
                  <w:tcW w:w="2049" w:type="pct"/>
                  <w:vAlign w:val="center"/>
                </w:tcPr>
                <w:p w14:paraId="1086E233">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1.河西镇根据《河西历史文化名镇保护规划》进行保护。纳古镇严格执行《云南省杞麓湖保护条例》要求。</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2.优化产业空间布局，对不符合准入要求的既有项目，依法依规实施整改、退出等分类治理方案，促进企业向园区集中，产业向园区集聚，资源集约利用。</w:t>
                  </w:r>
                </w:p>
              </w:tc>
              <w:tc>
                <w:tcPr>
                  <w:tcW w:w="2088" w:type="pct"/>
                  <w:vAlign w:val="center"/>
                </w:tcPr>
                <w:p w14:paraId="7ED82868">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1、项目建设符合《云南省杞麓湖保护条例》要求；</w:t>
                  </w:r>
                </w:p>
                <w:p w14:paraId="50AC9417">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2、项目符合产业准入要求，响应产业空间布局优化导向，通过资源集约利用践行分类治理要求，助力产业高质量发展。</w:t>
                  </w:r>
                </w:p>
              </w:tc>
              <w:tc>
                <w:tcPr>
                  <w:tcW w:w="531" w:type="pct"/>
                  <w:vAlign w:val="center"/>
                </w:tcPr>
                <w:p w14:paraId="373CB354">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r w14:paraId="1011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 w:type="pct"/>
                  <w:vAlign w:val="center"/>
                </w:tcPr>
                <w:p w14:paraId="795745E9">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ind w:firstLine="0" w:firstLineChars="0"/>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污染物排放管控</w:t>
                  </w:r>
                </w:p>
              </w:tc>
              <w:tc>
                <w:tcPr>
                  <w:tcW w:w="2049" w:type="pct"/>
                  <w:vAlign w:val="center"/>
                </w:tcPr>
                <w:p w14:paraId="1E601D9F">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临杞麓湖区域严格落实禁养、限养措施，退出高耗水、耗肥、耗药作物，实施农业高效节水减排工程，重点发展优质水稻、豆类、烤烟、油菜、离地花卉、莲藕等种植，注重生态复绿与休耕，发展休闲观光农业。</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2.向城镇污水集中处理设施排放水污染物，应当符合国家或者地方规定的水污染物排放标准。</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3.加强城镇生活污水收集处理设施建设和提标改造，城镇驻地逐步实现雨污分流。</w:t>
                  </w:r>
                  <w:r>
                    <w:rPr>
                      <w:rFonts w:hint="eastAsia" w:ascii="Times New Roman" w:hAnsi="Times New Roman" w:eastAsia="宋体" w:cs="Times New Roman"/>
                      <w:b w:val="0"/>
                      <w:bCs/>
                      <w:color w:val="auto"/>
                      <w:sz w:val="21"/>
                      <w:highlight w:val="none"/>
                      <w:lang w:val="en-US" w:eastAsia="zh-CN"/>
                    </w:rPr>
                    <w:br w:type="textWrapping"/>
                  </w:r>
                  <w:r>
                    <w:rPr>
                      <w:rFonts w:hint="eastAsia" w:ascii="Times New Roman" w:hAnsi="Times New Roman" w:eastAsia="宋体" w:cs="Times New Roman"/>
                      <w:b w:val="0"/>
                      <w:bCs/>
                      <w:color w:val="auto"/>
                      <w:sz w:val="21"/>
                      <w:highlight w:val="none"/>
                      <w:lang w:val="en-US" w:eastAsia="zh-CN"/>
                    </w:rPr>
                    <w:t>4.大力推进生活垃圾分类回收利用，建立分类投放、收集、运输、处理的生活垃圾收运处理系统。</w:t>
                  </w:r>
                </w:p>
              </w:tc>
              <w:tc>
                <w:tcPr>
                  <w:tcW w:w="2088" w:type="pct"/>
                  <w:vAlign w:val="center"/>
                </w:tcPr>
                <w:p w14:paraId="3AD06B2F">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1、项目不涉及；</w:t>
                  </w:r>
                </w:p>
                <w:p w14:paraId="508C13BC">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2、项目生活污水经化粪池处理后，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b w:val="0"/>
                      <w:bCs/>
                      <w:color w:val="auto"/>
                      <w:sz w:val="21"/>
                      <w:highlight w:val="none"/>
                      <w:lang w:val="en-US" w:eastAsia="zh-CN"/>
                    </w:rPr>
                    <w:t>；</w:t>
                  </w:r>
                </w:p>
                <w:p w14:paraId="488089AA">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eastAsia"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3、项目不涉及；</w:t>
                  </w:r>
                </w:p>
                <w:p w14:paraId="18D7190B">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jc w:val="left"/>
                    <w:textAlignment w:val="auto"/>
                    <w:rPr>
                      <w:rFonts w:hint="default" w:ascii="Times New Roman" w:hAnsi="Times New Roman" w:eastAsia="宋体" w:cs="Times New Roman"/>
                      <w:b w:val="0"/>
                      <w:bCs/>
                      <w:color w:val="auto"/>
                      <w:sz w:val="21"/>
                      <w:highlight w:val="none"/>
                      <w:lang w:val="en-US" w:eastAsia="zh-CN"/>
                    </w:rPr>
                  </w:pPr>
                  <w:r>
                    <w:rPr>
                      <w:rFonts w:hint="eastAsia" w:ascii="Times New Roman" w:hAnsi="Times New Roman" w:eastAsia="宋体" w:cs="Times New Roman"/>
                      <w:b w:val="0"/>
                      <w:bCs/>
                      <w:color w:val="auto"/>
                      <w:sz w:val="21"/>
                      <w:highlight w:val="none"/>
                      <w:lang w:val="en-US" w:eastAsia="zh-CN"/>
                    </w:rPr>
                    <w:t>4、项目生活垃圾委托</w:t>
                  </w:r>
                  <w:r>
                    <w:rPr>
                      <w:rFonts w:hint="eastAsia" w:hAnsi="Times New Roman" w:eastAsia="宋体" w:cs="Times New Roman"/>
                      <w:b w:val="0"/>
                      <w:bCs/>
                      <w:color w:val="auto"/>
                      <w:sz w:val="21"/>
                      <w:highlight w:val="none"/>
                      <w:lang w:val="en-US" w:eastAsia="zh-CN"/>
                    </w:rPr>
                    <w:t>纳古镇</w:t>
                  </w:r>
                  <w:r>
                    <w:rPr>
                      <w:rFonts w:hint="eastAsia" w:ascii="Times New Roman" w:hAnsi="Times New Roman" w:eastAsia="宋体" w:cs="Times New Roman"/>
                      <w:b w:val="0"/>
                      <w:bCs/>
                      <w:color w:val="auto"/>
                      <w:sz w:val="21"/>
                      <w:highlight w:val="none"/>
                      <w:lang w:val="en-US" w:eastAsia="zh-CN"/>
                    </w:rPr>
                    <w:t>环卫部门清运，化粪池</w:t>
                  </w:r>
                  <w:r>
                    <w:rPr>
                      <w:rFonts w:hint="eastAsia" w:hAnsi="Times New Roman" w:eastAsia="宋体" w:cs="Times New Roman"/>
                      <w:b w:val="0"/>
                      <w:bCs/>
                      <w:color w:val="auto"/>
                      <w:sz w:val="21"/>
                      <w:highlight w:val="none"/>
                      <w:lang w:val="en-US" w:eastAsia="zh-CN"/>
                    </w:rPr>
                    <w:t>污泥</w:t>
                  </w:r>
                  <w:r>
                    <w:rPr>
                      <w:rFonts w:hint="eastAsia" w:ascii="Times New Roman" w:hAnsi="Times New Roman" w:eastAsia="宋体" w:cs="Times New Roman"/>
                      <w:b w:val="0"/>
                      <w:bCs/>
                      <w:color w:val="auto"/>
                      <w:sz w:val="21"/>
                      <w:highlight w:val="none"/>
                      <w:lang w:val="en-US" w:eastAsia="zh-CN"/>
                    </w:rPr>
                    <w:t>委托</w:t>
                  </w:r>
                  <w:r>
                    <w:rPr>
                      <w:rFonts w:hint="eastAsia" w:hAnsi="Times New Roman" w:eastAsia="宋体" w:cs="Times New Roman"/>
                      <w:b w:val="0"/>
                      <w:bCs/>
                      <w:color w:val="auto"/>
                      <w:sz w:val="21"/>
                      <w:highlight w:val="none"/>
                      <w:lang w:val="en-US" w:eastAsia="zh-CN"/>
                    </w:rPr>
                    <w:t>环卫部门清掏、处置</w:t>
                  </w:r>
                  <w:r>
                    <w:rPr>
                      <w:rFonts w:hint="eastAsia" w:ascii="Times New Roman" w:hAnsi="Times New Roman" w:eastAsia="宋体" w:cs="Times New Roman"/>
                      <w:b w:val="0"/>
                      <w:bCs/>
                      <w:color w:val="auto"/>
                      <w:sz w:val="21"/>
                      <w:highlight w:val="none"/>
                      <w:lang w:val="en-US" w:eastAsia="zh-CN"/>
                    </w:rPr>
                    <w:t>，属于间接排放；</w:t>
                  </w:r>
                </w:p>
              </w:tc>
              <w:tc>
                <w:tcPr>
                  <w:tcW w:w="531" w:type="pct"/>
                  <w:vAlign w:val="center"/>
                </w:tcPr>
                <w:p w14:paraId="6A0D374E">
                  <w:pPr>
                    <w:pStyle w:val="86"/>
                    <w:keepNext w:val="0"/>
                    <w:keepLines/>
                    <w:pageBreakBefore w:val="0"/>
                    <w:widowControl w:val="0"/>
                    <w:tabs>
                      <w:tab w:val="left" w:pos="3780"/>
                    </w:tabs>
                    <w:kinsoku/>
                    <w:wordWrap w:val="0"/>
                    <w:overflowPunct/>
                    <w:topLinePunct/>
                    <w:autoSpaceDE/>
                    <w:autoSpaceDN/>
                    <w:bidi w:val="0"/>
                    <w:adjustRightInd w:val="0"/>
                    <w:snapToGrid w:val="0"/>
                    <w:spacing w:before="0" w:after="0" w:line="240" w:lineRule="auto"/>
                    <w:textAlignment w:val="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符合</w:t>
                  </w:r>
                </w:p>
              </w:tc>
            </w:tr>
          </w:tbl>
          <w:p w14:paraId="2CC8B40A">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根据分析，本项目符合</w:t>
            </w:r>
            <w:r>
              <w:rPr>
                <w:rFonts w:hint="eastAsia"/>
                <w:b w:val="0"/>
                <w:bCs w:val="0"/>
                <w:color w:val="auto"/>
                <w:kern w:val="0"/>
                <w:sz w:val="24"/>
              </w:rPr>
              <w:t>《玉溪市生态环境分区管控动态更新调整方案（2023年）》（玉市环〔2024〕40号）</w:t>
            </w:r>
            <w:r>
              <w:rPr>
                <w:rFonts w:hint="eastAsia"/>
                <w:b w:val="0"/>
                <w:bCs w:val="0"/>
                <w:color w:val="auto"/>
                <w:kern w:val="0"/>
                <w:sz w:val="24"/>
                <w:lang w:eastAsia="zh-CN"/>
              </w:rPr>
              <w:t>和</w:t>
            </w:r>
            <w:r>
              <w:rPr>
                <w:rFonts w:hint="default" w:ascii="Times New Roman" w:hAnsi="Times New Roman" w:eastAsia="宋体" w:cs="Times New Roman"/>
                <w:color w:val="auto"/>
                <w:sz w:val="24"/>
                <w:szCs w:val="24"/>
                <w:lang w:val="en-US" w:eastAsia="zh-CN"/>
              </w:rPr>
              <w:t>《玉溪市生态环境局关于印发玉溪市生态环境分区管控动态更新调整方案(</w:t>
            </w:r>
            <w:r>
              <w:rPr>
                <w:rFonts w:hint="eastAsia" w:cs="Times New Roman"/>
                <w:color w:val="auto"/>
                <w:sz w:val="24"/>
                <w:szCs w:val="24"/>
                <w:lang w:val="en-US" w:eastAsia="zh-CN"/>
              </w:rPr>
              <w:t>通海县</w:t>
            </w:r>
            <w:r>
              <w:rPr>
                <w:rFonts w:hint="default" w:ascii="Times New Roman" w:hAnsi="Times New Roman" w:eastAsia="宋体" w:cs="Times New Roman"/>
                <w:color w:val="auto"/>
                <w:sz w:val="24"/>
                <w:szCs w:val="24"/>
                <w:lang w:val="en-US" w:eastAsia="zh-CN"/>
              </w:rPr>
              <w:t>)的通知》的要求</w:t>
            </w:r>
            <w:r>
              <w:rPr>
                <w:rFonts w:hint="eastAsia" w:ascii="Times New Roman" w:hAnsi="Times New Roman" w:eastAsia="宋体" w:cs="Times New Roman"/>
                <w:color w:val="auto"/>
                <w:sz w:val="24"/>
                <w:szCs w:val="24"/>
                <w:lang w:val="en-US" w:eastAsia="zh-CN"/>
              </w:rPr>
              <w:t>。</w:t>
            </w:r>
          </w:p>
          <w:p w14:paraId="4E0CF8FE">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textAlignment w:val="auto"/>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eastAsia="zh-CN"/>
              </w:rPr>
              <w:t>（</w:t>
            </w:r>
            <w:r>
              <w:rPr>
                <w:rFonts w:hint="eastAsia" w:cs="宋体"/>
                <w:b/>
                <w:bCs/>
                <w:color w:val="auto"/>
                <w:kern w:val="0"/>
                <w:sz w:val="24"/>
                <w:lang w:val="en-US" w:eastAsia="zh-CN"/>
              </w:rPr>
              <w:t>5</w:t>
            </w:r>
            <w:r>
              <w:rPr>
                <w:rFonts w:hint="eastAsia" w:ascii="Times New Roman" w:hAnsi="Times New Roman" w:eastAsia="宋体" w:cs="宋体"/>
                <w:b/>
                <w:bCs/>
                <w:color w:val="auto"/>
                <w:kern w:val="0"/>
                <w:sz w:val="24"/>
                <w:lang w:eastAsia="zh-CN"/>
              </w:rPr>
              <w:t>）与《推动长江经济带发展领导小组办公室关于印发&lt;长江经济带发展负面清单指南（试行，2022年版）&gt;的通知》的相符性分析</w:t>
            </w:r>
          </w:p>
          <w:p w14:paraId="5E3C2CEC">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根据《推动长江经济带发展领导小组办公室关于印发&lt;长江经济带发展负面清单指南(试行，2022年版)&gt;的通知》（长江办〔2022〕7号），项目与长江办〔2022〕7号的符合性见</w:t>
            </w:r>
            <w:r>
              <w:rPr>
                <w:rFonts w:hint="eastAsia" w:ascii="Times New Roman" w:hAnsi="Times New Roman" w:eastAsia="宋体" w:cs="宋体"/>
                <w:color w:val="auto"/>
                <w:kern w:val="0"/>
                <w:sz w:val="24"/>
                <w:lang w:val="en-US" w:eastAsia="zh-CN"/>
              </w:rPr>
              <w:t>下表</w:t>
            </w:r>
            <w:r>
              <w:rPr>
                <w:rFonts w:hint="eastAsia" w:ascii="Times New Roman" w:hAnsi="Times New Roman" w:eastAsia="宋体" w:cs="宋体"/>
                <w:color w:val="auto"/>
                <w:kern w:val="0"/>
                <w:sz w:val="24"/>
                <w:lang w:eastAsia="zh-CN"/>
              </w:rPr>
              <w:t>：</w:t>
            </w:r>
          </w:p>
          <w:p w14:paraId="03008A8E">
            <w:pPr>
              <w:autoSpaceDE w:val="0"/>
              <w:autoSpaceDN w:val="0"/>
              <w:adjustRightInd w:val="0"/>
              <w:snapToGrid w:val="0"/>
              <w:spacing w:line="360" w:lineRule="auto"/>
              <w:jc w:val="center"/>
              <w:rPr>
                <w:rFonts w:hint="eastAsia" w:ascii="Times New Roman" w:hAnsi="Times New Roman" w:eastAsia="宋体" w:cs="宋体"/>
                <w:b/>
                <w:bCs/>
                <w:color w:val="auto"/>
                <w:kern w:val="0"/>
                <w:sz w:val="24"/>
              </w:rPr>
            </w:pPr>
            <w:r>
              <w:rPr>
                <w:rFonts w:hint="eastAsia" w:ascii="Times New Roman" w:hAnsi="Times New Roman" w:eastAsia="宋体" w:cs="宋体"/>
                <w:b/>
                <w:bCs/>
                <w:color w:val="auto"/>
                <w:kern w:val="0"/>
                <w:sz w:val="20"/>
                <w:szCs w:val="20"/>
              </w:rPr>
              <w:t>表1-</w:t>
            </w:r>
            <w:r>
              <w:rPr>
                <w:rFonts w:hint="eastAsia" w:cs="宋体"/>
                <w:b/>
                <w:bCs/>
                <w:color w:val="auto"/>
                <w:kern w:val="0"/>
                <w:sz w:val="20"/>
                <w:szCs w:val="20"/>
                <w:lang w:val="en-US" w:eastAsia="zh-CN"/>
              </w:rPr>
              <w:t>5</w:t>
            </w:r>
            <w:r>
              <w:rPr>
                <w:rFonts w:hint="eastAsia" w:ascii="Times New Roman" w:hAnsi="Times New Roman" w:eastAsia="宋体" w:cs="宋体"/>
                <w:b/>
                <w:bCs/>
                <w:color w:val="auto"/>
                <w:kern w:val="0"/>
                <w:sz w:val="20"/>
                <w:szCs w:val="20"/>
                <w:lang w:val="en-US" w:eastAsia="zh-CN"/>
              </w:rPr>
              <w:t xml:space="preserve"> </w:t>
            </w:r>
            <w:r>
              <w:rPr>
                <w:rFonts w:hint="eastAsia" w:ascii="Times New Roman" w:hAnsi="Times New Roman" w:eastAsia="宋体" w:cs="宋体"/>
                <w:b/>
                <w:bCs/>
                <w:color w:val="auto"/>
                <w:kern w:val="0"/>
                <w:sz w:val="20"/>
                <w:szCs w:val="20"/>
              </w:rPr>
              <w:t>项目与长江经济带发展负面清单指南（试行，2022年版）的符合性分析</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9"/>
              <w:gridCol w:w="2311"/>
              <w:gridCol w:w="965"/>
            </w:tblGrid>
            <w:tr w14:paraId="3A02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03" w:type="pct"/>
                  <w:shd w:val="clear" w:color="auto" w:fill="D7D7D7" w:themeFill="background1" w:themeFillShade="D8"/>
                  <w:noWrap w:val="0"/>
                  <w:vAlign w:val="center"/>
                </w:tcPr>
                <w:p w14:paraId="0BC3F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rPr>
                    <w:t>长江办</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2022</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rPr>
                    <w:t>号的</w:t>
                  </w:r>
                  <w:r>
                    <w:rPr>
                      <w:rFonts w:hint="eastAsia" w:ascii="Times New Roman" w:hAnsi="Times New Roman" w:eastAsia="宋体" w:cs="Times New Roman"/>
                      <w:b w:val="0"/>
                      <w:bCs w:val="0"/>
                      <w:color w:val="auto"/>
                      <w:sz w:val="21"/>
                      <w:szCs w:val="21"/>
                      <w:highlight w:val="none"/>
                      <w:lang w:val="en-US" w:eastAsia="zh-CN"/>
                    </w:rPr>
                    <w:t>相关要求</w:t>
                  </w:r>
                </w:p>
              </w:tc>
              <w:tc>
                <w:tcPr>
                  <w:tcW w:w="1619" w:type="pct"/>
                  <w:shd w:val="clear" w:color="auto" w:fill="D7D7D7" w:themeFill="background1" w:themeFillShade="D8"/>
                  <w:noWrap w:val="0"/>
                  <w:vAlign w:val="center"/>
                </w:tcPr>
                <w:p w14:paraId="6BF0C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项目情况</w:t>
                  </w:r>
                </w:p>
              </w:tc>
              <w:tc>
                <w:tcPr>
                  <w:tcW w:w="676" w:type="pct"/>
                  <w:shd w:val="clear" w:color="auto" w:fill="D7D7D7" w:themeFill="background1" w:themeFillShade="D8"/>
                  <w:noWrap w:val="0"/>
                  <w:vAlign w:val="center"/>
                </w:tcPr>
                <w:p w14:paraId="62ED8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符合性</w:t>
                  </w:r>
                </w:p>
              </w:tc>
            </w:tr>
            <w:tr w14:paraId="0CBD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2703" w:type="pct"/>
                  <w:noWrap w:val="0"/>
                  <w:vAlign w:val="center"/>
                </w:tcPr>
                <w:p w14:paraId="220D8165">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1、禁止建设不符合全国和省级港口布局规划以及港口总体规划的码头项目，禁止建设不符合《长江干线过江通道布局规划》的过长江通道项目</w:t>
                  </w:r>
                  <w:r>
                    <w:rPr>
                      <w:rFonts w:hint="default" w:ascii="Times New Roman" w:hAnsi="Times New Roman" w:eastAsia="宋体" w:cs="Times New Roman"/>
                      <w:i w:val="0"/>
                      <w:iCs w:val="0"/>
                      <w:caps w:val="0"/>
                      <w:color w:val="auto"/>
                      <w:spacing w:val="0"/>
                      <w:sz w:val="21"/>
                      <w:szCs w:val="21"/>
                      <w:shd w:val="clear" w:color="080000" w:fill="FFFFFF"/>
                      <w:lang w:val="en-US" w:eastAsia="zh-CN"/>
                    </w:rPr>
                    <w:t>。</w:t>
                  </w:r>
                </w:p>
              </w:tc>
              <w:tc>
                <w:tcPr>
                  <w:tcW w:w="1619" w:type="pct"/>
                  <w:noWrap w:val="0"/>
                  <w:vAlign w:val="center"/>
                </w:tcPr>
                <w:p w14:paraId="1324A0EC">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ascii="Times New Roman" w:hAnsi="Times New Roman"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，不涉及码头项目及过长江通道项目。</w:t>
                  </w:r>
                </w:p>
              </w:tc>
              <w:tc>
                <w:tcPr>
                  <w:tcW w:w="676" w:type="pct"/>
                  <w:noWrap w:val="0"/>
                  <w:vAlign w:val="center"/>
                </w:tcPr>
                <w:p w14:paraId="40698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221F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2703" w:type="pct"/>
                  <w:noWrap w:val="0"/>
                  <w:vAlign w:val="center"/>
                </w:tcPr>
                <w:p w14:paraId="48776048">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2、</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619" w:type="pct"/>
                  <w:noWrap w:val="0"/>
                  <w:vAlign w:val="center"/>
                </w:tcPr>
                <w:p w14:paraId="12EA9B4E">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本项目位于通海县纳古镇大白龙，</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建设，本项</w:t>
                  </w:r>
                  <w:r>
                    <w:rPr>
                      <w:rFonts w:hint="eastAsia" w:ascii="Times New Roman" w:hAnsi="Times New Roman" w:eastAsia="宋体" w:cs="Times New Roman"/>
                      <w:i w:val="0"/>
                      <w:iCs w:val="0"/>
                      <w:caps w:val="0"/>
                      <w:color w:val="auto"/>
                      <w:spacing w:val="0"/>
                      <w:sz w:val="21"/>
                      <w:szCs w:val="21"/>
                      <w:shd w:val="clear" w:color="080000" w:fill="FFFFFF"/>
                      <w:lang w:val="en-US" w:eastAsia="zh-CN"/>
                    </w:rPr>
                    <w:t>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项目周边不涉及自然保护区、风景名胜区。</w:t>
                  </w:r>
                </w:p>
              </w:tc>
              <w:tc>
                <w:tcPr>
                  <w:tcW w:w="676" w:type="pct"/>
                  <w:noWrap w:val="0"/>
                  <w:vAlign w:val="center"/>
                </w:tcPr>
                <w:p w14:paraId="127F39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B94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jc w:val="center"/>
              </w:trPr>
              <w:tc>
                <w:tcPr>
                  <w:tcW w:w="2703" w:type="pct"/>
                  <w:noWrap w:val="0"/>
                  <w:vAlign w:val="center"/>
                </w:tcPr>
                <w:p w14:paraId="486F4F00">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3、</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9" w:type="pct"/>
                  <w:noWrap w:val="0"/>
                  <w:vAlign w:val="center"/>
                </w:tcPr>
                <w:p w14:paraId="6B1DE345">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w:t>
                  </w:r>
                  <w:r>
                    <w:rPr>
                      <w:rFonts w:hint="eastAsia" w:ascii="Times New Roman" w:hAnsi="Times New Roman" w:eastAsia="宋体" w:cs="Times New Roman"/>
                      <w:i w:val="0"/>
                      <w:iCs w:val="0"/>
                      <w:caps w:val="0"/>
                      <w:color w:val="auto"/>
                      <w:spacing w:val="0"/>
                      <w:sz w:val="21"/>
                      <w:szCs w:val="21"/>
                      <w:shd w:val="clear" w:color="080000" w:fill="FFFFFF"/>
                      <w:lang w:val="en-US" w:eastAsia="zh-CN"/>
                    </w:rPr>
                    <w:t>通海县纳古镇大白龙，利用已建厂房建设，本项目属于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项目周边不涉及饮用水源保护区。</w:t>
                  </w:r>
                </w:p>
              </w:tc>
              <w:tc>
                <w:tcPr>
                  <w:tcW w:w="676" w:type="pct"/>
                  <w:noWrap w:val="0"/>
                  <w:vAlign w:val="center"/>
                </w:tcPr>
                <w:p w14:paraId="68C2FB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C38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4C4E0709">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4、</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9" w:type="pct"/>
                  <w:noWrap w:val="0"/>
                  <w:vAlign w:val="center"/>
                </w:tcPr>
                <w:p w14:paraId="77858542">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ascii="Times New Roman" w:hAnsi="Times New Roman"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，项目周边不涉及</w:t>
                  </w:r>
                  <w:r>
                    <w:rPr>
                      <w:rFonts w:hint="default" w:ascii="Times New Roman" w:hAnsi="Times New Roman" w:eastAsia="宋体" w:cs="Times New Roman"/>
                      <w:i w:val="0"/>
                      <w:iCs w:val="0"/>
                      <w:caps w:val="0"/>
                      <w:color w:val="auto"/>
                      <w:spacing w:val="0"/>
                      <w:sz w:val="21"/>
                      <w:szCs w:val="21"/>
                      <w:shd w:val="clear" w:color="080000" w:fill="FFFFFF"/>
                      <w:lang w:val="en-US" w:eastAsia="zh-CN"/>
                    </w:rPr>
                    <w:t>水产种质资源保护区</w:t>
                  </w:r>
                  <w:r>
                    <w:rPr>
                      <w:rFonts w:hint="eastAsia" w:ascii="Times New Roman" w:hAnsi="Times New Roman" w:eastAsia="宋体" w:cs="Times New Roman"/>
                      <w:i w:val="0"/>
                      <w:iCs w:val="0"/>
                      <w:caps w:val="0"/>
                      <w:color w:val="auto"/>
                      <w:spacing w:val="0"/>
                      <w:sz w:val="21"/>
                      <w:szCs w:val="21"/>
                      <w:shd w:val="clear" w:color="080000" w:fill="FFFFFF"/>
                      <w:lang w:val="en-US" w:eastAsia="zh-CN"/>
                    </w:rPr>
                    <w:t>及</w:t>
                  </w:r>
                  <w:r>
                    <w:rPr>
                      <w:rFonts w:hint="default" w:ascii="Times New Roman" w:hAnsi="Times New Roman" w:eastAsia="宋体" w:cs="Times New Roman"/>
                      <w:i w:val="0"/>
                      <w:iCs w:val="0"/>
                      <w:caps w:val="0"/>
                      <w:color w:val="auto"/>
                      <w:spacing w:val="0"/>
                      <w:sz w:val="21"/>
                      <w:szCs w:val="21"/>
                      <w:shd w:val="clear" w:color="080000" w:fill="FFFFFF"/>
                      <w:lang w:val="en-US" w:eastAsia="zh-CN"/>
                    </w:rPr>
                    <w:t>国家湿地公园</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p>
              </w:tc>
              <w:tc>
                <w:tcPr>
                  <w:tcW w:w="676" w:type="pct"/>
                  <w:noWrap w:val="0"/>
                  <w:vAlign w:val="center"/>
                </w:tcPr>
                <w:p w14:paraId="191CE2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0DB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2EF5B85F">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5、</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9" w:type="pct"/>
                  <w:noWrap w:val="0"/>
                  <w:vAlign w:val="center"/>
                </w:tcPr>
                <w:p w14:paraId="26917893">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ascii="Times New Roman" w:hAnsi="Times New Roman"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，距离项目最近的地表水体为</w:t>
                  </w:r>
                  <w:r>
                    <w:rPr>
                      <w:rFonts w:hint="eastAsia" w:ascii="Times New Roman" w:hAnsi="Times New Roman" w:eastAsia="宋体" w:cs="Times New Roman"/>
                      <w:b w:val="0"/>
                      <w:bCs/>
                      <w:color w:val="auto"/>
                      <w:kern w:val="2"/>
                      <w:sz w:val="21"/>
                      <w:szCs w:val="24"/>
                      <w:highlight w:val="none"/>
                      <w:lang w:val="en-US" w:eastAsia="zh-CN" w:bidi="ar-SA"/>
                    </w:rPr>
                    <w:t>东南侧800m的米冲水库，米冲水库主要水功能为农灌用水，径流从通海县纳古镇北部自东北向西南流下，经六街大沟最终汇入杞麓湖，项目区域</w:t>
                  </w:r>
                  <w:r>
                    <w:rPr>
                      <w:rFonts w:hint="default" w:ascii="Times New Roman" w:hAnsi="Times New Roman" w:eastAsia="宋体" w:cs="Times New Roman"/>
                      <w:b w:val="0"/>
                      <w:bCs/>
                      <w:color w:val="auto"/>
                      <w:kern w:val="2"/>
                      <w:sz w:val="21"/>
                      <w:szCs w:val="24"/>
                      <w:highlight w:val="none"/>
                      <w:lang w:val="en-US" w:eastAsia="zh-CN" w:bidi="ar-SA"/>
                    </w:rPr>
                    <w:t>属于杞麓湖</w:t>
                  </w:r>
                  <w:r>
                    <w:rPr>
                      <w:rFonts w:hint="eastAsia" w:ascii="Times New Roman" w:hAnsi="Times New Roman" w:eastAsia="宋体" w:cs="Times New Roman"/>
                      <w:b w:val="0"/>
                      <w:bCs/>
                      <w:color w:val="auto"/>
                      <w:kern w:val="2"/>
                      <w:sz w:val="21"/>
                      <w:szCs w:val="24"/>
                      <w:highlight w:val="none"/>
                      <w:lang w:val="en-US" w:eastAsia="zh-CN" w:bidi="ar-SA"/>
                    </w:rPr>
                    <w:t>汇水范围</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r>
                    <w:rPr>
                      <w:rFonts w:hint="eastAsia" w:ascii="Times New Roman" w:hAnsi="Times New Roman" w:cs="Times New Roman"/>
                      <w:i w:val="0"/>
                      <w:iCs w:val="0"/>
                      <w:caps w:val="0"/>
                      <w:color w:val="auto"/>
                      <w:spacing w:val="0"/>
                      <w:sz w:val="21"/>
                      <w:szCs w:val="21"/>
                      <w:shd w:val="clear" w:color="080000" w:fill="FFFFFF"/>
                      <w:lang w:val="en-US" w:eastAsia="zh-CN"/>
                    </w:rPr>
                    <w:t>杞麓湖</w:t>
                  </w:r>
                  <w:r>
                    <w:rPr>
                      <w:rFonts w:hint="eastAsia" w:ascii="Times New Roman" w:hAnsi="Times New Roman" w:eastAsia="宋体" w:cs="Times New Roman"/>
                      <w:i w:val="0"/>
                      <w:iCs w:val="0"/>
                      <w:caps w:val="0"/>
                      <w:color w:val="auto"/>
                      <w:spacing w:val="0"/>
                      <w:sz w:val="21"/>
                      <w:szCs w:val="21"/>
                      <w:shd w:val="clear" w:color="080000" w:fill="FFFFFF"/>
                      <w:lang w:val="en-US" w:eastAsia="zh-CN"/>
                    </w:rPr>
                    <w:t>属于珠江流域，西江水系，项目不占用</w:t>
                  </w:r>
                  <w:r>
                    <w:rPr>
                      <w:rFonts w:hint="default" w:ascii="Times New Roman" w:hAnsi="Times New Roman" w:eastAsia="宋体" w:cs="Times New Roman"/>
                      <w:i w:val="0"/>
                      <w:iCs w:val="0"/>
                      <w:caps w:val="0"/>
                      <w:color w:val="auto"/>
                      <w:spacing w:val="0"/>
                      <w:sz w:val="21"/>
                      <w:szCs w:val="21"/>
                      <w:shd w:val="clear" w:color="080000" w:fill="FFFFFF"/>
                      <w:lang w:val="en-US" w:eastAsia="zh-CN"/>
                    </w:rPr>
                    <w:t>长江流域河湖岸线</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p>
              </w:tc>
              <w:tc>
                <w:tcPr>
                  <w:tcW w:w="676" w:type="pct"/>
                  <w:noWrap w:val="0"/>
                  <w:vAlign w:val="center"/>
                </w:tcPr>
                <w:p w14:paraId="71E03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6C7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1FDD26F2">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6、</w:t>
                  </w:r>
                  <w:r>
                    <w:rPr>
                      <w:rFonts w:hint="default" w:ascii="Times New Roman" w:hAnsi="Times New Roman" w:eastAsia="宋体" w:cs="宋体"/>
                      <w:color w:val="auto"/>
                      <w:kern w:val="0"/>
                      <w:sz w:val="21"/>
                      <w:szCs w:val="21"/>
                      <w:vertAlign w:val="baseline"/>
                      <w:lang w:val="en-US" w:eastAsia="zh-CN"/>
                    </w:rPr>
                    <w:t>禁止未经许可在长江干支流及湖泊新设、改设或扩大排污口。</w:t>
                  </w:r>
                </w:p>
              </w:tc>
              <w:tc>
                <w:tcPr>
                  <w:tcW w:w="1619" w:type="pct"/>
                  <w:noWrap w:val="0"/>
                  <w:vAlign w:val="center"/>
                </w:tcPr>
                <w:p w14:paraId="2C0C8B21">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宋体"/>
                      <w:color w:val="auto"/>
                      <w:kern w:val="0"/>
                      <w:sz w:val="21"/>
                      <w:szCs w:val="21"/>
                      <w:vertAlign w:val="baseline"/>
                      <w:lang w:val="en-US" w:eastAsia="zh-CN"/>
                    </w:rPr>
                  </w:pPr>
                  <w:r>
                    <w:rPr>
                      <w:rFonts w:hint="eastAsia" w:ascii="Times New Roman" w:hAnsi="Times New Roman" w:eastAsia="宋体" w:cs="宋体"/>
                      <w:color w:val="auto"/>
                      <w:kern w:val="0"/>
                      <w:sz w:val="21"/>
                      <w:szCs w:val="21"/>
                      <w:vertAlign w:val="baseline"/>
                      <w:lang w:val="en-US" w:eastAsia="zh-CN"/>
                    </w:rPr>
                    <w:t>项目</w:t>
                  </w:r>
                  <w:r>
                    <w:rPr>
                      <w:rFonts w:hint="eastAsia" w:ascii="Times New Roman" w:hAnsi="Times New Roman" w:eastAsia="宋体" w:cs="宋体"/>
                      <w:color w:val="auto"/>
                      <w:kern w:val="0"/>
                      <w:sz w:val="21"/>
                      <w:szCs w:val="21"/>
                      <w:vertAlign w:val="baseline"/>
                      <w:lang w:eastAsia="zh-CN"/>
                    </w:rPr>
                    <w:t>生产废水处理后循环使用，不外排；生活污水经化粪池处理后，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宋体"/>
                      <w:color w:val="auto"/>
                      <w:kern w:val="0"/>
                      <w:sz w:val="21"/>
                      <w:szCs w:val="21"/>
                      <w:vertAlign w:val="baseline"/>
                      <w:lang w:val="en-US" w:eastAsia="zh-CN"/>
                    </w:rPr>
                    <w:t>。不在</w:t>
                  </w:r>
                  <w:r>
                    <w:rPr>
                      <w:rFonts w:hint="default" w:ascii="Times New Roman" w:hAnsi="Times New Roman" w:eastAsia="宋体" w:cs="宋体"/>
                      <w:color w:val="auto"/>
                      <w:kern w:val="0"/>
                      <w:sz w:val="21"/>
                      <w:szCs w:val="21"/>
                      <w:vertAlign w:val="baseline"/>
                      <w:lang w:eastAsia="zh-CN"/>
                    </w:rPr>
                    <w:t>长江干支流及湖泊</w:t>
                  </w:r>
                  <w:r>
                    <w:rPr>
                      <w:rFonts w:hint="eastAsia" w:ascii="Times New Roman" w:hAnsi="Times New Roman" w:eastAsia="宋体" w:cs="宋体"/>
                      <w:color w:val="auto"/>
                      <w:kern w:val="0"/>
                      <w:sz w:val="21"/>
                      <w:szCs w:val="21"/>
                      <w:vertAlign w:val="baseline"/>
                      <w:lang w:val="en-US" w:eastAsia="zh-CN"/>
                    </w:rPr>
                    <w:t>设置排污口。</w:t>
                  </w:r>
                </w:p>
              </w:tc>
              <w:tc>
                <w:tcPr>
                  <w:tcW w:w="676" w:type="pct"/>
                  <w:noWrap w:val="0"/>
                  <w:vAlign w:val="center"/>
                </w:tcPr>
                <w:p w14:paraId="729615B1">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宋体"/>
                      <w:color w:val="auto"/>
                      <w:kern w:val="0"/>
                      <w:sz w:val="21"/>
                      <w:szCs w:val="21"/>
                      <w:vertAlign w:val="baseline"/>
                      <w:lang w:eastAsia="zh-CN"/>
                    </w:rPr>
                  </w:pPr>
                  <w:r>
                    <w:rPr>
                      <w:rFonts w:hint="eastAsia" w:ascii="Times New Roman" w:hAnsi="Times New Roman" w:eastAsia="宋体" w:cs="宋体"/>
                      <w:color w:val="auto"/>
                      <w:kern w:val="0"/>
                      <w:sz w:val="21"/>
                      <w:szCs w:val="21"/>
                      <w:vertAlign w:val="baseline"/>
                      <w:lang w:val="en-US" w:eastAsia="zh-CN"/>
                    </w:rPr>
                    <w:t>符合</w:t>
                  </w:r>
                </w:p>
              </w:tc>
            </w:tr>
            <w:tr w14:paraId="2AA9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2703" w:type="pct"/>
                  <w:noWrap w:val="0"/>
                  <w:vAlign w:val="center"/>
                </w:tcPr>
                <w:p w14:paraId="430E58B3">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7、禁止在“一江一口两湖七河”和332个水生生物保护区开展生产性捕捞。</w:t>
                  </w:r>
                </w:p>
              </w:tc>
              <w:tc>
                <w:tcPr>
                  <w:tcW w:w="1619" w:type="pct"/>
                  <w:noWrap w:val="0"/>
                  <w:vAlign w:val="center"/>
                </w:tcPr>
                <w:p w14:paraId="05C6B989">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，不涉及“一江一口两湖七河”和332个水生生物保护区开展生产性捕捞。</w:t>
                  </w:r>
                </w:p>
              </w:tc>
              <w:tc>
                <w:tcPr>
                  <w:tcW w:w="676" w:type="pct"/>
                  <w:noWrap w:val="0"/>
                  <w:vAlign w:val="center"/>
                </w:tcPr>
                <w:p w14:paraId="6BB73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7ACC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241F840D">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8、</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禁止在长江</w:t>
                  </w:r>
                  <w:r>
                    <w:rPr>
                      <w:rFonts w:hint="eastAsia" w:ascii="Times New Roman" w:hAnsi="Times New Roman" w:eastAsia="宋体" w:cs="Times New Roman"/>
                      <w:i w:val="0"/>
                      <w:iCs w:val="0"/>
                      <w:caps w:val="0"/>
                      <w:color w:val="auto"/>
                      <w:spacing w:val="0"/>
                      <w:sz w:val="21"/>
                      <w:szCs w:val="21"/>
                      <w:shd w:val="clear" w:color="080000" w:fill="FFFFFF"/>
                      <w:lang w:val="en-US" w:eastAsia="zh-CN"/>
                    </w:rPr>
                    <w:t>干</w:t>
                  </w:r>
                  <w:r>
                    <w:rPr>
                      <w:rFonts w:hint="default" w:ascii="Times New Roman" w:hAnsi="Times New Roman" w:eastAsia="宋体" w:cs="Times New Roman"/>
                      <w:i w:val="0"/>
                      <w:iCs w:val="0"/>
                      <w:caps w:val="0"/>
                      <w:color w:val="auto"/>
                      <w:spacing w:val="0"/>
                      <w:sz w:val="21"/>
                      <w:szCs w:val="21"/>
                      <w:shd w:val="clear" w:color="080000" w:fill="FFFFFF"/>
                      <w:lang w:val="en-US" w:eastAsia="zh-CN"/>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9" w:type="pct"/>
                  <w:noWrap w:val="0"/>
                  <w:vAlign w:val="center"/>
                </w:tcPr>
                <w:p w14:paraId="0B3017C5">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eastAsia"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，不属于</w:t>
                  </w:r>
                  <w:r>
                    <w:rPr>
                      <w:rFonts w:hint="default" w:ascii="Times New Roman" w:hAnsi="Times New Roman" w:eastAsia="宋体" w:cs="Times New Roman"/>
                      <w:i w:val="0"/>
                      <w:iCs w:val="0"/>
                      <w:caps w:val="0"/>
                      <w:color w:val="auto"/>
                      <w:spacing w:val="0"/>
                      <w:sz w:val="21"/>
                      <w:szCs w:val="21"/>
                      <w:shd w:val="clear" w:color="080000" w:fill="FFFFFF"/>
                      <w:lang w:val="en-US" w:eastAsia="zh-CN"/>
                    </w:rPr>
                    <w:t>尾矿库、冶炼渣库和磷石膏库</w:t>
                  </w: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w:t>
                  </w:r>
                </w:p>
              </w:tc>
              <w:tc>
                <w:tcPr>
                  <w:tcW w:w="676" w:type="pct"/>
                  <w:noWrap w:val="0"/>
                  <w:vAlign w:val="center"/>
                </w:tcPr>
                <w:p w14:paraId="181BD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1886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jc w:val="center"/>
              </w:trPr>
              <w:tc>
                <w:tcPr>
                  <w:tcW w:w="2703" w:type="pct"/>
                  <w:noWrap w:val="0"/>
                  <w:vAlign w:val="center"/>
                </w:tcPr>
                <w:p w14:paraId="36C21DC4">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9、</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禁止在合规园区外新建、扩建钢铁、石化、化工、焦化、建材、有色、制浆造纸等高污染项目。</w:t>
                  </w:r>
                </w:p>
              </w:tc>
              <w:tc>
                <w:tcPr>
                  <w:tcW w:w="1619" w:type="pct"/>
                  <w:noWrap w:val="0"/>
                  <w:vAlign w:val="center"/>
                </w:tcPr>
                <w:p w14:paraId="00B9EDAE">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，不属于</w:t>
                  </w:r>
                  <w:r>
                    <w:rPr>
                      <w:rFonts w:hint="default" w:ascii="Times New Roman" w:hAnsi="Times New Roman" w:eastAsia="宋体" w:cs="Times New Roman"/>
                      <w:i w:val="0"/>
                      <w:iCs w:val="0"/>
                      <w:caps w:val="0"/>
                      <w:color w:val="auto"/>
                      <w:spacing w:val="0"/>
                      <w:sz w:val="21"/>
                      <w:szCs w:val="21"/>
                      <w:shd w:val="clear" w:color="080000" w:fill="FFFFFF"/>
                      <w:lang w:val="en-US" w:eastAsia="zh-CN"/>
                    </w:rPr>
                    <w:t>钢铁、石化、化工、焦化、建材、有色、制浆造纸等高污染项目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r>
                    <w:rPr>
                      <w:rFonts w:hint="eastAsia" w:ascii="Times New Roman" w:hAnsi="Times New Roman" w:eastAsia="宋体" w:cs="宋体"/>
                      <w:color w:val="auto"/>
                      <w:kern w:val="0"/>
                      <w:sz w:val="21"/>
                      <w:szCs w:val="21"/>
                      <w:vertAlign w:val="baseline"/>
                      <w:lang w:eastAsia="zh-CN"/>
                    </w:rPr>
                    <w:t>本项目位于通海县</w:t>
                  </w:r>
                  <w:r>
                    <w:rPr>
                      <w:rFonts w:hint="eastAsia" w:ascii="Times New Roman" w:hAnsi="Times New Roman"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olor w:val="auto"/>
                      <w:sz w:val="21"/>
                      <w:szCs w:val="21"/>
                      <w:lang w:val="en-US" w:eastAsia="zh-CN"/>
                    </w:rPr>
                    <w:t>。</w:t>
                  </w:r>
                </w:p>
              </w:tc>
              <w:tc>
                <w:tcPr>
                  <w:tcW w:w="676" w:type="pct"/>
                  <w:noWrap w:val="0"/>
                  <w:vAlign w:val="center"/>
                </w:tcPr>
                <w:p w14:paraId="0A0B3E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970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421F7399">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10</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.禁止新建、扩建不符合国家石化、现代煤化工等产业布局规划的项目。</w:t>
                  </w:r>
                </w:p>
              </w:tc>
              <w:tc>
                <w:tcPr>
                  <w:tcW w:w="1619" w:type="pct"/>
                  <w:noWrap w:val="0"/>
                  <w:vAlign w:val="center"/>
                </w:tcPr>
                <w:p w14:paraId="2BD5AD3C">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，不涉及。</w:t>
                  </w:r>
                </w:p>
              </w:tc>
              <w:tc>
                <w:tcPr>
                  <w:tcW w:w="676" w:type="pct"/>
                  <w:noWrap w:val="0"/>
                  <w:vAlign w:val="center"/>
                </w:tcPr>
                <w:p w14:paraId="717DCD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12DC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7D158B02">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11、</w:t>
                  </w:r>
                  <w:r>
                    <w:rPr>
                      <w:rFonts w:hint="default" w:ascii="Times New Roman" w:hAnsi="Times New Roman" w:eastAsia="宋体" w:cs="Times New Roman"/>
                      <w:i w:val="0"/>
                      <w:iCs w:val="0"/>
                      <w:caps w:val="0"/>
                      <w:color w:val="auto"/>
                      <w:spacing w:val="0"/>
                      <w:sz w:val="21"/>
                      <w:szCs w:val="21"/>
                      <w:shd w:val="clear" w:color="080000" w:fill="FFFFFF"/>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619" w:type="pct"/>
                  <w:noWrap w:val="0"/>
                  <w:vAlign w:val="center"/>
                </w:tcPr>
                <w:p w14:paraId="5ED414BA">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，属于允许类项目，不属于高耗能、高排放项目。</w:t>
                  </w:r>
                </w:p>
              </w:tc>
              <w:tc>
                <w:tcPr>
                  <w:tcW w:w="676" w:type="pct"/>
                  <w:noWrap w:val="0"/>
                  <w:vAlign w:val="center"/>
                </w:tcPr>
                <w:p w14:paraId="3B96C1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00AB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3" w:type="pct"/>
                  <w:noWrap w:val="0"/>
                  <w:vAlign w:val="center"/>
                </w:tcPr>
                <w:p w14:paraId="170027D3">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12、法律法规及相关政策文件有更加严格规定的从其规定。</w:t>
                  </w:r>
                </w:p>
              </w:tc>
              <w:tc>
                <w:tcPr>
                  <w:tcW w:w="1619" w:type="pct"/>
                  <w:noWrap w:val="0"/>
                  <w:vAlign w:val="center"/>
                </w:tcPr>
                <w:p w14:paraId="6E3C410B">
                  <w:pPr>
                    <w:pStyle w:val="19"/>
                    <w:keepNext w:val="0"/>
                    <w:keepLines w:val="0"/>
                    <w:pageBreakBefore w:val="0"/>
                    <w:widowControl/>
                    <w:pBdr>
                      <w:top w:val="none" w:color="auto" w:sz="0" w:space="0"/>
                      <w:left w:val="none" w:color="auto" w:sz="0" w:space="0"/>
                      <w:bottom w:val="none" w:color="auto" w:sz="0" w:space="0"/>
                      <w:right w:val="none" w:color="auto" w:sz="0" w:space="0"/>
                    </w:pBdr>
                    <w:shd w:val="clear" w:color="060000" w:fill="auto"/>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Times New Roman" w:hAnsi="Times New Roman" w:eastAsia="宋体" w:cs="Times New Roman"/>
                      <w:i w:val="0"/>
                      <w:iCs w:val="0"/>
                      <w:caps w:val="0"/>
                      <w:color w:val="auto"/>
                      <w:spacing w:val="0"/>
                      <w:sz w:val="21"/>
                      <w:szCs w:val="21"/>
                      <w:shd w:val="clear" w:color="080000" w:fill="FFFFFF"/>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如有法律法规及相关政策文件有更加严格规定时，本项目从其规定。</w:t>
                  </w:r>
                </w:p>
              </w:tc>
              <w:tc>
                <w:tcPr>
                  <w:tcW w:w="676" w:type="pct"/>
                  <w:noWrap w:val="0"/>
                  <w:vAlign w:val="center"/>
                </w:tcPr>
                <w:p w14:paraId="0A53D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2911BFA9">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w:t>
            </w:r>
            <w:r>
              <w:rPr>
                <w:rFonts w:hint="eastAsia" w:ascii="Times New Roman" w:hAnsi="Times New Roman" w:eastAsia="宋体" w:cs="宋体"/>
                <w:color w:val="auto"/>
                <w:kern w:val="0"/>
                <w:sz w:val="24"/>
                <w:lang w:val="en-US" w:eastAsia="zh-CN"/>
              </w:rPr>
              <w:t>上表分析</w:t>
            </w:r>
            <w:r>
              <w:rPr>
                <w:rFonts w:hint="eastAsia" w:ascii="Times New Roman" w:hAnsi="Times New Roman" w:eastAsia="宋体" w:cs="宋体"/>
                <w:color w:val="auto"/>
                <w:kern w:val="0"/>
                <w:sz w:val="24"/>
              </w:rPr>
              <w:t>，项目符合《推动长江经济带发展领导小组办公室关于印发&lt;长江经济带发展负面清单指南(试行，2022年版)&gt;的通知》（长江办〔2022〕7号）的相关要求。</w:t>
            </w:r>
          </w:p>
          <w:p w14:paraId="284EFDE6">
            <w:pPr>
              <w:autoSpaceDE w:val="0"/>
              <w:autoSpaceDN w:val="0"/>
              <w:adjustRightInd w:val="0"/>
              <w:snapToGrid w:val="0"/>
              <w:spacing w:line="360" w:lineRule="auto"/>
              <w:jc w:val="both"/>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4"/>
                <w:lang w:val="en-US" w:eastAsia="zh-CN"/>
              </w:rPr>
              <w:t>（</w:t>
            </w:r>
            <w:r>
              <w:rPr>
                <w:rFonts w:hint="eastAsia" w:cs="宋体"/>
                <w:b/>
                <w:bCs/>
                <w:color w:val="auto"/>
                <w:kern w:val="0"/>
                <w:sz w:val="24"/>
                <w:lang w:val="en-US" w:eastAsia="zh-CN"/>
              </w:rPr>
              <w:t>6</w:t>
            </w:r>
            <w:r>
              <w:rPr>
                <w:rFonts w:hint="eastAsia" w:ascii="Times New Roman" w:hAnsi="Times New Roman" w:eastAsia="宋体" w:cs="宋体"/>
                <w:b/>
                <w:bCs/>
                <w:color w:val="auto"/>
                <w:kern w:val="0"/>
                <w:sz w:val="24"/>
                <w:lang w:val="en-US" w:eastAsia="zh-CN"/>
              </w:rPr>
              <w:t>）</w:t>
            </w:r>
            <w:r>
              <w:rPr>
                <w:rFonts w:hint="eastAsia" w:ascii="Times New Roman" w:hAnsi="Times New Roman" w:eastAsia="宋体" w:cs="宋体"/>
                <w:b/>
                <w:bCs/>
                <w:color w:val="auto"/>
                <w:kern w:val="0"/>
                <w:sz w:val="24"/>
                <w:lang w:eastAsia="zh-CN"/>
              </w:rPr>
              <w:t>与《云南省推动长江经济带发展领导小组办公室关于印发</w:t>
            </w:r>
            <w:r>
              <w:rPr>
                <w:rFonts w:hint="eastAsia" w:ascii="Times New Roman" w:hAnsi="Times New Roman" w:eastAsia="宋体" w:cs="宋体"/>
                <w:b/>
                <w:bCs/>
                <w:color w:val="auto"/>
                <w:kern w:val="0"/>
                <w:sz w:val="24"/>
                <w:lang w:val="en-US" w:eastAsia="zh-CN"/>
              </w:rPr>
              <w:t>&lt;</w:t>
            </w:r>
            <w:r>
              <w:rPr>
                <w:rFonts w:hint="eastAsia" w:ascii="Times New Roman" w:hAnsi="Times New Roman" w:eastAsia="宋体" w:cs="宋体"/>
                <w:b/>
                <w:bCs/>
                <w:color w:val="auto"/>
                <w:kern w:val="0"/>
                <w:sz w:val="24"/>
                <w:lang w:eastAsia="zh-CN"/>
              </w:rPr>
              <w:t>云南省长江经济带发展负面 清单指南实施细则（试行，2022</w:t>
            </w:r>
            <w:r>
              <w:rPr>
                <w:rFonts w:hint="eastAsia" w:cs="宋体"/>
                <w:b/>
                <w:bCs/>
                <w:color w:val="auto"/>
                <w:kern w:val="0"/>
                <w:sz w:val="24"/>
                <w:lang w:val="en-US" w:eastAsia="zh-CN"/>
              </w:rPr>
              <w:t xml:space="preserve"> </w:t>
            </w:r>
            <w:r>
              <w:rPr>
                <w:rFonts w:hint="eastAsia" w:ascii="Times New Roman" w:hAnsi="Times New Roman" w:eastAsia="宋体" w:cs="宋体"/>
                <w:b/>
                <w:bCs/>
                <w:color w:val="auto"/>
                <w:kern w:val="0"/>
                <w:sz w:val="24"/>
                <w:lang w:eastAsia="zh-CN"/>
              </w:rPr>
              <w:t>年版）</w:t>
            </w:r>
            <w:r>
              <w:rPr>
                <w:rFonts w:hint="eastAsia" w:ascii="Times New Roman" w:hAnsi="Times New Roman" w:eastAsia="宋体" w:cs="宋体"/>
                <w:b/>
                <w:bCs/>
                <w:color w:val="auto"/>
                <w:kern w:val="0"/>
                <w:sz w:val="24"/>
                <w:lang w:val="en-US" w:eastAsia="zh-CN"/>
              </w:rPr>
              <w:t>&gt;</w:t>
            </w:r>
            <w:r>
              <w:rPr>
                <w:rFonts w:hint="eastAsia" w:ascii="Times New Roman" w:hAnsi="Times New Roman" w:eastAsia="宋体" w:cs="宋体"/>
                <w:b/>
                <w:bCs/>
                <w:color w:val="auto"/>
                <w:kern w:val="0"/>
                <w:sz w:val="24"/>
                <w:lang w:eastAsia="zh-CN"/>
              </w:rPr>
              <w:t>的通知》的相符性分析</w:t>
            </w:r>
          </w:p>
          <w:p w14:paraId="747579CA">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根据《云南省推动长江经济带发展领导小组办公室关于印发</w:t>
            </w:r>
            <w:r>
              <w:rPr>
                <w:rFonts w:hint="eastAsia" w:ascii="Times New Roman" w:hAnsi="Times New Roman" w:eastAsia="宋体" w:cs="宋体"/>
                <w:color w:val="auto"/>
                <w:kern w:val="0"/>
                <w:sz w:val="24"/>
                <w:lang w:val="en-US" w:eastAsia="zh-CN"/>
              </w:rPr>
              <w:t>&lt;</w:t>
            </w:r>
            <w:r>
              <w:rPr>
                <w:rFonts w:hint="eastAsia" w:ascii="Times New Roman" w:hAnsi="Times New Roman" w:eastAsia="宋体" w:cs="宋体"/>
                <w:color w:val="auto"/>
                <w:kern w:val="0"/>
                <w:sz w:val="24"/>
                <w:lang w:eastAsia="zh-CN"/>
              </w:rPr>
              <w:t>云南省长江经济带发展负面清单指南实施细则（试行，2022年版）</w:t>
            </w:r>
            <w:r>
              <w:rPr>
                <w:rFonts w:hint="eastAsia" w:ascii="Times New Roman" w:hAnsi="Times New Roman" w:eastAsia="宋体" w:cs="宋体"/>
                <w:color w:val="auto"/>
                <w:kern w:val="0"/>
                <w:sz w:val="24"/>
                <w:lang w:val="en-US" w:eastAsia="zh-CN"/>
              </w:rPr>
              <w:t>&gt;</w:t>
            </w:r>
            <w:r>
              <w:rPr>
                <w:rFonts w:hint="eastAsia" w:ascii="Times New Roman" w:hAnsi="Times New Roman" w:eastAsia="宋体" w:cs="宋体"/>
                <w:color w:val="auto"/>
                <w:kern w:val="0"/>
                <w:sz w:val="24"/>
                <w:lang w:eastAsia="zh-CN"/>
              </w:rPr>
              <w:t>的通知》（云发改基础〔2022〕894号），项目与云发改基础〔2022〕894号的符合性见</w:t>
            </w:r>
            <w:r>
              <w:rPr>
                <w:rFonts w:hint="eastAsia" w:ascii="Times New Roman" w:hAnsi="Times New Roman" w:eastAsia="宋体" w:cs="宋体"/>
                <w:color w:val="auto"/>
                <w:kern w:val="0"/>
                <w:sz w:val="24"/>
                <w:lang w:val="en-US" w:eastAsia="zh-CN"/>
              </w:rPr>
              <w:t>下表。</w:t>
            </w:r>
          </w:p>
          <w:p w14:paraId="568E7F59">
            <w:pPr>
              <w:autoSpaceDE w:val="0"/>
              <w:autoSpaceDN w:val="0"/>
              <w:adjustRightInd w:val="0"/>
              <w:snapToGrid w:val="0"/>
              <w:spacing w:line="360" w:lineRule="auto"/>
              <w:jc w:val="center"/>
              <w:rPr>
                <w:rFonts w:hint="eastAsia" w:ascii="Times New Roman" w:hAnsi="Times New Roman" w:eastAsia="宋体" w:cs="宋体"/>
                <w:b/>
                <w:bCs/>
                <w:color w:val="auto"/>
                <w:kern w:val="0"/>
                <w:sz w:val="24"/>
                <w:lang w:eastAsia="zh-CN"/>
              </w:rPr>
            </w:pPr>
            <w:r>
              <w:rPr>
                <w:rFonts w:hint="eastAsia" w:ascii="Times New Roman" w:hAnsi="Times New Roman" w:eastAsia="宋体" w:cs="宋体"/>
                <w:b/>
                <w:bCs/>
                <w:color w:val="auto"/>
                <w:kern w:val="0"/>
                <w:sz w:val="21"/>
                <w:szCs w:val="21"/>
                <w:lang w:eastAsia="zh-CN"/>
              </w:rPr>
              <w:t>表1-</w:t>
            </w:r>
            <w:r>
              <w:rPr>
                <w:rFonts w:hint="eastAsia" w:cs="宋体"/>
                <w:b/>
                <w:bCs/>
                <w:color w:val="auto"/>
                <w:kern w:val="0"/>
                <w:sz w:val="21"/>
                <w:szCs w:val="21"/>
                <w:lang w:val="en-US" w:eastAsia="zh-CN"/>
              </w:rPr>
              <w:t>6</w:t>
            </w:r>
            <w:r>
              <w:rPr>
                <w:rFonts w:hint="eastAsia" w:ascii="Times New Roman" w:hAnsi="Times New Roman" w:eastAsia="宋体" w:cs="宋体"/>
                <w:b/>
                <w:bCs/>
                <w:color w:val="auto"/>
                <w:kern w:val="0"/>
                <w:sz w:val="21"/>
                <w:szCs w:val="21"/>
                <w:lang w:eastAsia="zh-CN"/>
              </w:rPr>
              <w:t xml:space="preserve"> 项目与（云发改基础〔2022〕894号）的符合性分析</w:t>
            </w:r>
          </w:p>
          <w:tbl>
            <w:tblPr>
              <w:tblStyle w:val="2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0"/>
              <w:gridCol w:w="2220"/>
              <w:gridCol w:w="925"/>
            </w:tblGrid>
            <w:tr w14:paraId="261E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20" w:type="dxa"/>
                  <w:shd w:val="clear" w:color="auto" w:fill="D7D7D7" w:themeFill="background1" w:themeFillShade="D8"/>
                  <w:noWrap w:val="0"/>
                  <w:vAlign w:val="center"/>
                </w:tcPr>
                <w:p w14:paraId="192C1D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云发改基础〔2022〕894号</w:t>
                  </w:r>
                  <w:r>
                    <w:rPr>
                      <w:rFonts w:hint="default" w:ascii="Times New Roman" w:hAnsi="Times New Roman" w:eastAsia="宋体" w:cs="Times New Roman"/>
                      <w:b w:val="0"/>
                      <w:bCs w:val="0"/>
                      <w:color w:val="auto"/>
                      <w:sz w:val="21"/>
                      <w:szCs w:val="21"/>
                      <w:highlight w:val="none"/>
                    </w:rPr>
                    <w:t>的</w:t>
                  </w:r>
                  <w:r>
                    <w:rPr>
                      <w:rFonts w:hint="eastAsia" w:ascii="Times New Roman" w:hAnsi="Times New Roman" w:eastAsia="宋体" w:cs="Times New Roman"/>
                      <w:b w:val="0"/>
                      <w:bCs w:val="0"/>
                      <w:color w:val="auto"/>
                      <w:sz w:val="21"/>
                      <w:szCs w:val="21"/>
                      <w:highlight w:val="none"/>
                      <w:lang w:val="en-US" w:eastAsia="zh-CN"/>
                    </w:rPr>
                    <w:t>相关要求</w:t>
                  </w:r>
                </w:p>
              </w:tc>
              <w:tc>
                <w:tcPr>
                  <w:tcW w:w="2220" w:type="dxa"/>
                  <w:shd w:val="clear" w:color="auto" w:fill="D7D7D7" w:themeFill="background1" w:themeFillShade="D8"/>
                  <w:noWrap w:val="0"/>
                  <w:vAlign w:val="center"/>
                </w:tcPr>
                <w:p w14:paraId="1BCD69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项目情况</w:t>
                  </w:r>
                </w:p>
              </w:tc>
              <w:tc>
                <w:tcPr>
                  <w:tcW w:w="925" w:type="dxa"/>
                  <w:shd w:val="clear" w:color="auto" w:fill="D7D7D7" w:themeFill="background1" w:themeFillShade="D8"/>
                  <w:noWrap w:val="0"/>
                  <w:vAlign w:val="center"/>
                </w:tcPr>
                <w:p w14:paraId="31A38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符合性</w:t>
                  </w:r>
                </w:p>
              </w:tc>
            </w:tr>
            <w:tr w14:paraId="2CD5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3920" w:type="dxa"/>
                  <w:noWrap w:val="0"/>
                  <w:vAlign w:val="center"/>
                </w:tcPr>
                <w:p w14:paraId="6062FD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第一条 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220" w:type="dxa"/>
                  <w:noWrap w:val="0"/>
                  <w:vAlign w:val="center"/>
                </w:tcPr>
                <w:p w14:paraId="320E79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，不涉及码头项目。</w:t>
                  </w:r>
                </w:p>
              </w:tc>
              <w:tc>
                <w:tcPr>
                  <w:tcW w:w="925" w:type="dxa"/>
                  <w:noWrap w:val="0"/>
                  <w:vAlign w:val="center"/>
                </w:tcPr>
                <w:p w14:paraId="7EB49C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4A1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3920" w:type="dxa"/>
                  <w:noWrap w:val="0"/>
                  <w:vAlign w:val="center"/>
                </w:tcPr>
                <w:p w14:paraId="424481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第二条 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220" w:type="dxa"/>
                  <w:noWrap w:val="0"/>
                  <w:vAlign w:val="center"/>
                </w:tcPr>
                <w:p w14:paraId="034A5FD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自然保护区</w:t>
                  </w:r>
                  <w:r>
                    <w:rPr>
                      <w:rFonts w:hint="eastAsia" w:ascii="Times New Roman" w:hAnsi="Times New Roman" w:eastAsia="宋体" w:cs="宋体"/>
                      <w:color w:val="auto"/>
                      <w:kern w:val="0"/>
                      <w:sz w:val="21"/>
                      <w:szCs w:val="21"/>
                      <w:lang w:val="en-US" w:eastAsia="zh-CN"/>
                    </w:rPr>
                    <w:t>。</w:t>
                  </w:r>
                </w:p>
              </w:tc>
              <w:tc>
                <w:tcPr>
                  <w:tcW w:w="925" w:type="dxa"/>
                  <w:noWrap w:val="0"/>
                  <w:vAlign w:val="center"/>
                </w:tcPr>
                <w:p w14:paraId="0D2285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E41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3920" w:type="dxa"/>
                  <w:noWrap w:val="0"/>
                  <w:vAlign w:val="center"/>
                </w:tcPr>
                <w:p w14:paraId="470422C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第三条 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20" w:type="dxa"/>
                  <w:noWrap w:val="0"/>
                  <w:vAlign w:val="center"/>
                </w:tcPr>
                <w:p w14:paraId="2BE623E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风景名胜区</w:t>
                  </w:r>
                  <w:r>
                    <w:rPr>
                      <w:rFonts w:hint="eastAsia" w:ascii="Times New Roman" w:hAnsi="Times New Roman" w:eastAsia="宋体" w:cs="宋体"/>
                      <w:color w:val="auto"/>
                      <w:kern w:val="0"/>
                      <w:sz w:val="21"/>
                      <w:szCs w:val="21"/>
                      <w:lang w:val="en-US" w:eastAsia="zh-CN"/>
                    </w:rPr>
                    <w:t>。</w:t>
                  </w:r>
                </w:p>
              </w:tc>
              <w:tc>
                <w:tcPr>
                  <w:tcW w:w="925" w:type="dxa"/>
                  <w:noWrap w:val="0"/>
                  <w:vAlign w:val="center"/>
                </w:tcPr>
                <w:p w14:paraId="47769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E80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20" w:type="dxa"/>
                  <w:noWrap w:val="0"/>
                  <w:vAlign w:val="center"/>
                </w:tcPr>
                <w:p w14:paraId="4D582B4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spacing w:val="0"/>
                      <w:kern w:val="0"/>
                      <w:sz w:val="21"/>
                      <w:szCs w:val="21"/>
                      <w:lang w:val="en-US" w:eastAsia="zh-CN"/>
                    </w:rPr>
                    <w:t>第四条 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220" w:type="dxa"/>
                  <w:noWrap w:val="0"/>
                  <w:vAlign w:val="center"/>
                </w:tcPr>
                <w:p w14:paraId="4A642C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饮用水水源</w:t>
                  </w:r>
                  <w:r>
                    <w:rPr>
                      <w:rFonts w:hint="eastAsia" w:ascii="Times New Roman" w:hAnsi="Times New Roman" w:eastAsia="宋体" w:cs="宋体"/>
                      <w:color w:val="auto"/>
                      <w:kern w:val="0"/>
                      <w:sz w:val="21"/>
                      <w:szCs w:val="21"/>
                      <w:lang w:val="en-US" w:eastAsia="zh-CN"/>
                    </w:rPr>
                    <w:t>保护区。</w:t>
                  </w:r>
                </w:p>
              </w:tc>
              <w:tc>
                <w:tcPr>
                  <w:tcW w:w="925" w:type="dxa"/>
                  <w:noWrap w:val="0"/>
                  <w:vAlign w:val="center"/>
                </w:tcPr>
                <w:p w14:paraId="58960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3B5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3920" w:type="dxa"/>
                  <w:noWrap w:val="0"/>
                  <w:vAlign w:val="center"/>
                </w:tcPr>
                <w:p w14:paraId="575DB9D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第五条 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220" w:type="dxa"/>
                  <w:noWrap w:val="0"/>
                  <w:vAlign w:val="center"/>
                </w:tcPr>
                <w:p w14:paraId="75A6D1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宋体"/>
                      <w:color w:val="auto"/>
                      <w:kern w:val="0"/>
                      <w:sz w:val="21"/>
                      <w:szCs w:val="21"/>
                      <w:lang w:val="en-US" w:eastAsia="zh-CN"/>
                    </w:rPr>
                    <w:t>，项目周边不涉及</w:t>
                  </w:r>
                  <w:r>
                    <w:rPr>
                      <w:rFonts w:hint="default" w:ascii="Times New Roman" w:hAnsi="Times New Roman" w:eastAsia="宋体" w:cs="宋体"/>
                      <w:color w:val="auto"/>
                      <w:kern w:val="0"/>
                      <w:sz w:val="21"/>
                      <w:szCs w:val="21"/>
                      <w:lang w:val="en-US" w:eastAsia="zh-CN"/>
                    </w:rPr>
                    <w:t>水产种质资源保护区</w:t>
                  </w:r>
                  <w:r>
                    <w:rPr>
                      <w:rFonts w:hint="eastAsia" w:ascii="Times New Roman" w:hAnsi="Times New Roman" w:eastAsia="宋体" w:cs="宋体"/>
                      <w:color w:val="auto"/>
                      <w:kern w:val="0"/>
                      <w:sz w:val="21"/>
                      <w:szCs w:val="21"/>
                      <w:lang w:val="en-US" w:eastAsia="zh-CN"/>
                    </w:rPr>
                    <w:t>即国家湿地公园。</w:t>
                  </w:r>
                </w:p>
              </w:tc>
              <w:tc>
                <w:tcPr>
                  <w:tcW w:w="925" w:type="dxa"/>
                  <w:noWrap w:val="0"/>
                  <w:vAlign w:val="center"/>
                </w:tcPr>
                <w:p w14:paraId="0A08B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7705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6" w:hRule="atLeast"/>
                <w:jc w:val="center"/>
              </w:trPr>
              <w:tc>
                <w:tcPr>
                  <w:tcW w:w="3920" w:type="dxa"/>
                  <w:noWrap w:val="0"/>
                  <w:vAlign w:val="center"/>
                </w:tcPr>
                <w:p w14:paraId="4B3740A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第六条 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20" w:type="dxa"/>
                  <w:noWrap w:val="0"/>
                  <w:vAlign w:val="center"/>
                </w:tcPr>
                <w:p w14:paraId="00770E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spacing w:val="-6"/>
                      <w:kern w:val="0"/>
                      <w:sz w:val="21"/>
                      <w:szCs w:val="21"/>
                      <w:vertAlign w:val="baseline"/>
                      <w:lang w:eastAsia="zh-CN"/>
                    </w:rPr>
                    <w:t>本项目位于通海县</w:t>
                  </w:r>
                  <w:r>
                    <w:rPr>
                      <w:rFonts w:hint="eastAsia" w:cs="宋体"/>
                      <w:color w:val="auto"/>
                      <w:spacing w:val="-6"/>
                      <w:kern w:val="0"/>
                      <w:sz w:val="21"/>
                      <w:szCs w:val="21"/>
                      <w:vertAlign w:val="baseline"/>
                      <w:lang w:eastAsia="zh-CN"/>
                    </w:rPr>
                    <w:t>纳古镇大白龙</w:t>
                  </w:r>
                  <w:r>
                    <w:rPr>
                      <w:rFonts w:hint="eastAsia" w:ascii="Times New Roman" w:hAnsi="Times New Roman" w:eastAsia="宋体" w:cs="宋体"/>
                      <w:color w:val="auto"/>
                      <w:spacing w:val="-6"/>
                      <w:kern w:val="0"/>
                      <w:sz w:val="21"/>
                      <w:szCs w:val="21"/>
                      <w:vertAlign w:val="baseline"/>
                      <w:lang w:eastAsia="zh-CN"/>
                    </w:rPr>
                    <w:t>，</w:t>
                  </w:r>
                  <w:r>
                    <w:rPr>
                      <w:rFonts w:hint="eastAsia" w:ascii="Times New Roman" w:hAnsi="Times New Roman" w:eastAsia="宋体" w:cs="宋体"/>
                      <w:color w:val="auto"/>
                      <w:spacing w:val="-6"/>
                      <w:kern w:val="0"/>
                      <w:sz w:val="21"/>
                      <w:szCs w:val="21"/>
                      <w:vertAlign w:val="baseline"/>
                      <w:lang w:val="en-US" w:eastAsia="zh-CN"/>
                    </w:rPr>
                    <w:t>利用</w:t>
                  </w:r>
                  <w:r>
                    <w:rPr>
                      <w:rFonts w:hint="eastAsia" w:ascii="Times New Roman" w:hAnsi="Times New Roman" w:eastAsia="宋体" w:cs="宋体"/>
                      <w:color w:val="auto"/>
                      <w:spacing w:val="-6"/>
                      <w:kern w:val="0"/>
                      <w:sz w:val="21"/>
                      <w:szCs w:val="21"/>
                      <w:vertAlign w:val="baseline"/>
                      <w:lang w:eastAsia="zh-CN"/>
                    </w:rPr>
                    <w:t>已建厂房</w:t>
                  </w:r>
                  <w:r>
                    <w:rPr>
                      <w:rFonts w:hint="eastAsia" w:ascii="Times New Roman" w:hAnsi="Times New Roman" w:eastAsia="宋体" w:cs="宋体"/>
                      <w:color w:val="auto"/>
                      <w:spacing w:val="-6"/>
                      <w:kern w:val="0"/>
                      <w:sz w:val="21"/>
                      <w:szCs w:val="21"/>
                      <w:vertAlign w:val="baseline"/>
                      <w:lang w:val="en-US" w:eastAsia="zh-CN"/>
                    </w:rPr>
                    <w:t>建设</w:t>
                  </w:r>
                  <w:r>
                    <w:rPr>
                      <w:rFonts w:hint="eastAsia" w:ascii="Times New Roman" w:hAnsi="Times New Roman" w:eastAsia="宋体" w:cs="Times New Roman"/>
                      <w:i w:val="0"/>
                      <w:iCs w:val="0"/>
                      <w:caps w:val="0"/>
                      <w:color w:val="auto"/>
                      <w:spacing w:val="-6"/>
                      <w:sz w:val="21"/>
                      <w:szCs w:val="21"/>
                      <w:shd w:val="clear" w:color="080000" w:fill="FFFFFF"/>
                      <w:lang w:val="en-US" w:eastAsia="zh-CN"/>
                    </w:rPr>
                    <w:t>，本项目属于</w:t>
                  </w:r>
                  <w:r>
                    <w:rPr>
                      <w:rFonts w:hint="eastAsia" w:ascii="Times New Roman" w:hAnsi="Times New Roman" w:eastAsia="宋体" w:cs="宋体"/>
                      <w:color w:val="auto"/>
                      <w:spacing w:val="-6"/>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6"/>
                      <w:sz w:val="21"/>
                      <w:szCs w:val="21"/>
                      <w:shd w:val="clear" w:color="080000" w:fill="FFFFFF"/>
                      <w:lang w:val="en-US" w:eastAsia="zh-CN"/>
                    </w:rPr>
                    <w:t>，距离项目最近的地表水体为</w:t>
                  </w:r>
                  <w:r>
                    <w:rPr>
                      <w:rFonts w:hint="eastAsia" w:ascii="Times New Roman" w:hAnsi="Times New Roman" w:eastAsia="宋体" w:cs="Times New Roman"/>
                      <w:b w:val="0"/>
                      <w:bCs/>
                      <w:color w:val="auto"/>
                      <w:kern w:val="2"/>
                      <w:sz w:val="21"/>
                      <w:szCs w:val="24"/>
                      <w:highlight w:val="none"/>
                      <w:lang w:val="en-US" w:eastAsia="zh-CN" w:bidi="ar-SA"/>
                    </w:rPr>
                    <w:t>东南侧800m的米冲水库，米冲水库主要水功能为农灌用水，径流从通海县纳古镇北部自东北向西南流下，经六街大沟最终汇入杞麓湖，项目区域</w:t>
                  </w:r>
                  <w:r>
                    <w:rPr>
                      <w:rFonts w:hint="default" w:ascii="Times New Roman" w:hAnsi="Times New Roman" w:eastAsia="宋体" w:cs="Times New Roman"/>
                      <w:b w:val="0"/>
                      <w:bCs/>
                      <w:color w:val="auto"/>
                      <w:kern w:val="2"/>
                      <w:sz w:val="21"/>
                      <w:szCs w:val="24"/>
                      <w:highlight w:val="none"/>
                      <w:lang w:val="en-US" w:eastAsia="zh-CN" w:bidi="ar-SA"/>
                    </w:rPr>
                    <w:t>属于杞麓湖</w:t>
                  </w:r>
                  <w:r>
                    <w:rPr>
                      <w:rFonts w:hint="eastAsia" w:ascii="Times New Roman" w:hAnsi="Times New Roman" w:eastAsia="宋体" w:cs="Times New Roman"/>
                      <w:b w:val="0"/>
                      <w:bCs/>
                      <w:color w:val="auto"/>
                      <w:kern w:val="2"/>
                      <w:sz w:val="21"/>
                      <w:szCs w:val="24"/>
                      <w:highlight w:val="none"/>
                      <w:lang w:val="en-US" w:eastAsia="zh-CN" w:bidi="ar-SA"/>
                    </w:rPr>
                    <w:t>汇水范围</w:t>
                  </w:r>
                  <w:r>
                    <w:rPr>
                      <w:rFonts w:hint="eastAsia" w:ascii="Times New Roman" w:hAnsi="Times New Roman" w:eastAsia="宋体" w:cs="Times New Roman"/>
                      <w:i w:val="0"/>
                      <w:iCs w:val="0"/>
                      <w:caps w:val="0"/>
                      <w:color w:val="auto"/>
                      <w:spacing w:val="-6"/>
                      <w:sz w:val="21"/>
                      <w:szCs w:val="21"/>
                      <w:shd w:val="clear" w:color="080000" w:fill="FFFFFF"/>
                      <w:lang w:val="en-US" w:eastAsia="zh-CN"/>
                    </w:rPr>
                    <w:t>，</w:t>
                  </w:r>
                  <w:r>
                    <w:rPr>
                      <w:rFonts w:hint="eastAsia" w:cs="Times New Roman"/>
                      <w:i w:val="0"/>
                      <w:iCs w:val="0"/>
                      <w:caps w:val="0"/>
                      <w:color w:val="auto"/>
                      <w:spacing w:val="-6"/>
                      <w:sz w:val="21"/>
                      <w:szCs w:val="21"/>
                      <w:shd w:val="clear" w:color="080000" w:fill="FFFFFF"/>
                      <w:lang w:val="en-US" w:eastAsia="zh-CN"/>
                    </w:rPr>
                    <w:t>杞麓湖</w:t>
                  </w:r>
                  <w:r>
                    <w:rPr>
                      <w:rFonts w:hint="eastAsia" w:ascii="Times New Roman" w:hAnsi="Times New Roman" w:eastAsia="宋体" w:cs="Times New Roman"/>
                      <w:i w:val="0"/>
                      <w:iCs w:val="0"/>
                      <w:caps w:val="0"/>
                      <w:color w:val="auto"/>
                      <w:spacing w:val="-6"/>
                      <w:sz w:val="21"/>
                      <w:szCs w:val="21"/>
                      <w:shd w:val="clear" w:color="080000" w:fill="FFFFFF"/>
                      <w:lang w:val="en-US" w:eastAsia="zh-CN"/>
                    </w:rPr>
                    <w:t>属于珠江流域，西江水系</w:t>
                  </w:r>
                  <w:r>
                    <w:rPr>
                      <w:rFonts w:hint="eastAsia" w:ascii="Times New Roman" w:hAnsi="Times New Roman" w:eastAsia="宋体" w:cs="宋体"/>
                      <w:color w:val="auto"/>
                      <w:spacing w:val="-6"/>
                      <w:kern w:val="0"/>
                      <w:sz w:val="21"/>
                      <w:szCs w:val="21"/>
                      <w:lang w:val="en-US" w:eastAsia="zh-CN"/>
                    </w:rPr>
                    <w:t>，项目不占用</w:t>
                  </w:r>
                  <w:r>
                    <w:rPr>
                      <w:rFonts w:hint="default" w:ascii="Times New Roman" w:hAnsi="Times New Roman" w:eastAsia="宋体" w:cs="宋体"/>
                      <w:color w:val="auto"/>
                      <w:spacing w:val="-6"/>
                      <w:kern w:val="0"/>
                      <w:sz w:val="21"/>
                      <w:szCs w:val="21"/>
                      <w:lang w:val="en-US" w:eastAsia="zh-CN"/>
                    </w:rPr>
                    <w:t>长江流域河湖岸线</w:t>
                  </w:r>
                  <w:r>
                    <w:rPr>
                      <w:rFonts w:hint="eastAsia" w:ascii="Times New Roman" w:hAnsi="Times New Roman" w:eastAsia="宋体" w:cs="宋体"/>
                      <w:color w:val="auto"/>
                      <w:spacing w:val="-6"/>
                      <w:kern w:val="0"/>
                      <w:sz w:val="21"/>
                      <w:szCs w:val="21"/>
                      <w:lang w:val="en-US" w:eastAsia="zh-CN"/>
                    </w:rPr>
                    <w:t>。</w:t>
                  </w:r>
                </w:p>
              </w:tc>
              <w:tc>
                <w:tcPr>
                  <w:tcW w:w="925" w:type="dxa"/>
                  <w:noWrap w:val="0"/>
                  <w:vAlign w:val="center"/>
                </w:tcPr>
                <w:p w14:paraId="76CDE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6D70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3920" w:type="dxa"/>
                  <w:noWrap w:val="0"/>
                  <w:vAlign w:val="center"/>
                </w:tcPr>
                <w:p w14:paraId="4ADB81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第七条 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220" w:type="dxa"/>
                  <w:noWrap w:val="0"/>
                  <w:vAlign w:val="center"/>
                </w:tcPr>
                <w:p w14:paraId="4F29BAE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val="en-US" w:eastAsia="zh-CN"/>
                    </w:rPr>
                    <w:t>项目</w:t>
                  </w:r>
                  <w:r>
                    <w:rPr>
                      <w:rFonts w:hint="eastAsia" w:ascii="Times New Roman" w:hAnsi="Times New Roman" w:eastAsia="宋体" w:cs="宋体"/>
                      <w:color w:val="auto"/>
                      <w:kern w:val="0"/>
                      <w:sz w:val="21"/>
                      <w:szCs w:val="21"/>
                      <w:vertAlign w:val="baseline"/>
                      <w:lang w:eastAsia="zh-CN"/>
                    </w:rPr>
                    <w:t>生产废水处理后循环使用，不外排；生活污水经化粪池处理后，</w:t>
                  </w:r>
                  <w:r>
                    <w:rPr>
                      <w:rFonts w:hint="eastAsia" w:eastAsia="宋体" w:cs="Times New Roman"/>
                      <w:color w:val="auto"/>
                      <w:sz w:val="21"/>
                      <w:szCs w:val="21"/>
                      <w:lang w:val="en-US" w:eastAsia="zh-CN"/>
                    </w:rPr>
                    <w:t>利用罐车拉运至纳古镇污水处理站处理，属于间接排放</w:t>
                  </w:r>
                  <w:r>
                    <w:rPr>
                      <w:rFonts w:hint="eastAsia"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rPr>
                    <w:t>长江干支流及湖泊</w:t>
                  </w:r>
                  <w:r>
                    <w:rPr>
                      <w:rFonts w:hint="eastAsia" w:ascii="Times New Roman" w:hAnsi="Times New Roman" w:eastAsia="宋体" w:cs="Times New Roman"/>
                      <w:color w:val="auto"/>
                      <w:sz w:val="21"/>
                      <w:szCs w:val="21"/>
                      <w:lang w:val="en-US" w:eastAsia="zh-CN"/>
                    </w:rPr>
                    <w:t>设置排污口</w:t>
                  </w:r>
                  <w:r>
                    <w:rPr>
                      <w:rFonts w:hint="eastAsia" w:ascii="Times New Roman" w:hAnsi="Times New Roman" w:eastAsia="宋体" w:cs="宋体"/>
                      <w:color w:val="auto"/>
                      <w:kern w:val="0"/>
                      <w:sz w:val="21"/>
                      <w:szCs w:val="21"/>
                      <w:lang w:val="en-US" w:eastAsia="zh-CN"/>
                    </w:rPr>
                    <w:t>。</w:t>
                  </w:r>
                </w:p>
              </w:tc>
              <w:tc>
                <w:tcPr>
                  <w:tcW w:w="925" w:type="dxa"/>
                  <w:noWrap w:val="0"/>
                  <w:vAlign w:val="center"/>
                </w:tcPr>
                <w:p w14:paraId="042B3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2EAC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jc w:val="center"/>
              </w:trPr>
              <w:tc>
                <w:tcPr>
                  <w:tcW w:w="3920" w:type="dxa"/>
                  <w:noWrap w:val="0"/>
                  <w:vAlign w:val="center"/>
                </w:tcPr>
                <w:p w14:paraId="0DF7426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第八条 禁止在金沙江干流、长江一级支流、水生生物保护区和长江流域禁捕水域开展天然渔业资源生产性捕捞。</w:t>
                  </w:r>
                </w:p>
              </w:tc>
              <w:tc>
                <w:tcPr>
                  <w:tcW w:w="2220" w:type="dxa"/>
                  <w:noWrap w:val="0"/>
                  <w:vAlign w:val="center"/>
                </w:tcPr>
                <w:p w14:paraId="5A0E9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，不涉及</w:t>
                  </w:r>
                  <w:r>
                    <w:rPr>
                      <w:rFonts w:hint="default" w:ascii="Times New Roman" w:hAnsi="Times New Roman" w:eastAsia="宋体" w:cs="宋体"/>
                      <w:color w:val="auto"/>
                      <w:kern w:val="0"/>
                      <w:sz w:val="21"/>
                      <w:szCs w:val="21"/>
                      <w:lang w:val="en-US" w:eastAsia="zh-CN"/>
                    </w:rPr>
                    <w:t>金沙江干流、长江一级支流、水生生物保护区和长江流域禁捕水域开展天然渔业资源生产性捕捞</w:t>
                  </w:r>
                  <w:r>
                    <w:rPr>
                      <w:rFonts w:hint="eastAsia" w:ascii="Times New Roman" w:hAnsi="Times New Roman" w:eastAsia="宋体" w:cs="宋体"/>
                      <w:color w:val="auto"/>
                      <w:kern w:val="0"/>
                      <w:sz w:val="21"/>
                      <w:szCs w:val="21"/>
                      <w:lang w:val="en-US" w:eastAsia="zh-CN"/>
                    </w:rPr>
                    <w:t>。</w:t>
                  </w:r>
                </w:p>
              </w:tc>
              <w:tc>
                <w:tcPr>
                  <w:tcW w:w="925" w:type="dxa"/>
                  <w:noWrap w:val="0"/>
                  <w:vAlign w:val="center"/>
                </w:tcPr>
                <w:p w14:paraId="1EF7FE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6A8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3920" w:type="dxa"/>
                  <w:noWrap w:val="0"/>
                  <w:vAlign w:val="center"/>
                </w:tcPr>
                <w:p w14:paraId="4E1E621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第九条 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220" w:type="dxa"/>
                  <w:noWrap w:val="0"/>
                  <w:vAlign w:val="center"/>
                </w:tcPr>
                <w:p w14:paraId="1D357A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21"/>
                      <w:szCs w:val="21"/>
                      <w:lang w:val="en-US" w:eastAsia="zh-CN"/>
                    </w:rPr>
                  </w:pP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，不属于</w:t>
                  </w:r>
                  <w:r>
                    <w:rPr>
                      <w:rFonts w:hint="default" w:ascii="Times New Roman" w:hAnsi="Times New Roman" w:eastAsia="宋体" w:cs="宋体"/>
                      <w:color w:val="auto"/>
                      <w:kern w:val="0"/>
                      <w:sz w:val="21"/>
                      <w:szCs w:val="21"/>
                      <w:lang w:val="en-US" w:eastAsia="zh-CN"/>
                    </w:rPr>
                    <w:t>尾矿库、冶炼渣库和磷石膏库</w:t>
                  </w:r>
                  <w:r>
                    <w:rPr>
                      <w:rFonts w:hint="eastAsia" w:ascii="Times New Roman" w:hAnsi="Times New Roman" w:eastAsia="宋体" w:cs="宋体"/>
                      <w:color w:val="auto"/>
                      <w:kern w:val="0"/>
                      <w:sz w:val="21"/>
                      <w:szCs w:val="21"/>
                      <w:lang w:val="en-US" w:eastAsia="zh-CN"/>
                    </w:rPr>
                    <w:t>项目。</w:t>
                  </w:r>
                </w:p>
              </w:tc>
              <w:tc>
                <w:tcPr>
                  <w:tcW w:w="925" w:type="dxa"/>
                  <w:noWrap w:val="0"/>
                  <w:vAlign w:val="center"/>
                </w:tcPr>
                <w:p w14:paraId="7E02E5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736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3920" w:type="dxa"/>
                  <w:noWrap w:val="0"/>
                  <w:vAlign w:val="center"/>
                </w:tcPr>
                <w:p w14:paraId="6BB3F2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 xml:space="preserve">第十条 禁止在合规园区外新建、扩建钢铁、石化、化工、焦化、建材、有色、制浆造纸行业中的高污染项目。 </w:t>
                  </w:r>
                </w:p>
              </w:tc>
              <w:tc>
                <w:tcPr>
                  <w:tcW w:w="2220" w:type="dxa"/>
                  <w:noWrap w:val="0"/>
                  <w:vAlign w:val="center"/>
                </w:tcPr>
                <w:p w14:paraId="4DAA6EE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，不属于</w:t>
                  </w:r>
                  <w:r>
                    <w:rPr>
                      <w:rFonts w:hint="default" w:ascii="Times New Roman" w:hAnsi="Times New Roman" w:eastAsia="宋体" w:cs="Times New Roman"/>
                      <w:i w:val="0"/>
                      <w:iCs w:val="0"/>
                      <w:caps w:val="0"/>
                      <w:color w:val="auto"/>
                      <w:spacing w:val="0"/>
                      <w:sz w:val="21"/>
                      <w:szCs w:val="21"/>
                      <w:shd w:val="clear" w:color="080000" w:fill="FFFFFF"/>
                      <w:lang w:val="en-US" w:eastAsia="zh-CN"/>
                    </w:rPr>
                    <w:t>钢铁、石化、化工、焦化、建材、有色、制浆造纸等高污染项目</w:t>
                  </w:r>
                  <w:r>
                    <w:rPr>
                      <w:rFonts w:hint="eastAsia" w:ascii="Times New Roman" w:hAnsi="Times New Roman" w:eastAsia="宋体" w:cs="Times New Roman"/>
                      <w:i w:val="0"/>
                      <w:iCs w:val="0"/>
                      <w:caps w:val="0"/>
                      <w:color w:val="auto"/>
                      <w:spacing w:val="0"/>
                      <w:sz w:val="21"/>
                      <w:szCs w:val="21"/>
                      <w:shd w:val="clear" w:color="080000" w:fill="FFFFFF"/>
                      <w:lang w:val="en-US" w:eastAsia="zh-CN"/>
                    </w:rPr>
                    <w:t>。</w:t>
                  </w:r>
                  <w:r>
                    <w:rPr>
                      <w:rFonts w:hint="eastAsia" w:ascii="Times New Roman" w:hAnsi="Times New Roman" w:eastAsia="宋体" w:cs="宋体"/>
                      <w:color w:val="auto"/>
                      <w:kern w:val="0"/>
                      <w:sz w:val="21"/>
                      <w:szCs w:val="21"/>
                      <w:vertAlign w:val="baseline"/>
                      <w:lang w:eastAsia="zh-CN"/>
                    </w:rPr>
                    <w:t>本项目位于通海县</w:t>
                  </w:r>
                  <w:r>
                    <w:rPr>
                      <w:rFonts w:hint="eastAsia" w:cs="宋体"/>
                      <w:color w:val="auto"/>
                      <w:kern w:val="0"/>
                      <w:sz w:val="21"/>
                      <w:szCs w:val="21"/>
                      <w:vertAlign w:val="baseline"/>
                      <w:lang w:eastAsia="zh-CN"/>
                    </w:rPr>
                    <w:t>纳古镇大白龙</w:t>
                  </w:r>
                  <w:r>
                    <w:rPr>
                      <w:rFonts w:hint="eastAsia" w:ascii="Times New Roman" w:hAnsi="Times New Roman" w:eastAsia="宋体" w:cs="宋体"/>
                      <w:color w:val="auto"/>
                      <w:kern w:val="0"/>
                      <w:sz w:val="21"/>
                      <w:szCs w:val="21"/>
                      <w:vertAlign w:val="baseline"/>
                      <w:lang w:eastAsia="zh-CN"/>
                    </w:rPr>
                    <w:t>，</w:t>
                  </w:r>
                  <w:r>
                    <w:rPr>
                      <w:rFonts w:hint="eastAsia" w:ascii="Times New Roman" w:hAnsi="Times New Roman" w:eastAsia="宋体" w:cs="宋体"/>
                      <w:color w:val="auto"/>
                      <w:kern w:val="0"/>
                      <w:sz w:val="21"/>
                      <w:szCs w:val="21"/>
                      <w:vertAlign w:val="baseline"/>
                      <w:lang w:val="en-US" w:eastAsia="zh-CN"/>
                    </w:rPr>
                    <w:t>利用</w:t>
                  </w:r>
                  <w:r>
                    <w:rPr>
                      <w:rFonts w:hint="eastAsia" w:ascii="Times New Roman" w:hAnsi="Times New Roman" w:eastAsia="宋体" w:cs="宋体"/>
                      <w:color w:val="auto"/>
                      <w:kern w:val="0"/>
                      <w:sz w:val="21"/>
                      <w:szCs w:val="21"/>
                      <w:vertAlign w:val="baseline"/>
                      <w:lang w:eastAsia="zh-CN"/>
                    </w:rPr>
                    <w:t>已建厂房</w:t>
                  </w:r>
                  <w:r>
                    <w:rPr>
                      <w:rFonts w:hint="eastAsia" w:ascii="Times New Roman" w:hAnsi="Times New Roman" w:eastAsia="宋体" w:cs="宋体"/>
                      <w:color w:val="auto"/>
                      <w:kern w:val="0"/>
                      <w:sz w:val="21"/>
                      <w:szCs w:val="21"/>
                      <w:vertAlign w:val="baseline"/>
                      <w:lang w:val="en-US" w:eastAsia="zh-CN"/>
                    </w:rPr>
                    <w:t>建设</w:t>
                  </w:r>
                  <w:r>
                    <w:rPr>
                      <w:rFonts w:hint="eastAsia" w:ascii="Times New Roman" w:hAnsi="Times New Roman" w:eastAsia="宋体"/>
                      <w:color w:val="auto"/>
                      <w:sz w:val="21"/>
                      <w:szCs w:val="21"/>
                      <w:lang w:val="en-US" w:eastAsia="zh-CN"/>
                    </w:rPr>
                    <w:t>。</w:t>
                  </w:r>
                </w:p>
              </w:tc>
              <w:tc>
                <w:tcPr>
                  <w:tcW w:w="925" w:type="dxa"/>
                  <w:noWrap w:val="0"/>
                  <w:vAlign w:val="center"/>
                </w:tcPr>
                <w:p w14:paraId="54855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203F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3920" w:type="dxa"/>
                  <w:noWrap w:val="0"/>
                  <w:vAlign w:val="center"/>
                </w:tcPr>
                <w:p w14:paraId="13A32D8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第十一条 禁止新建、扩建不符合国家石化、现代煤化工等产业布局规划的项目。禁止列入《云南省城镇人口密集区危险化学品生产企业搬迁改造名单》的搬迁改造企业在原址新建、扩建危险化学品生产项目。</w:t>
                  </w:r>
                </w:p>
              </w:tc>
              <w:tc>
                <w:tcPr>
                  <w:tcW w:w="2220" w:type="dxa"/>
                  <w:noWrap w:val="0"/>
                  <w:vAlign w:val="center"/>
                </w:tcPr>
                <w:p w14:paraId="5F6696E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，不涉及。</w:t>
                  </w:r>
                </w:p>
              </w:tc>
              <w:tc>
                <w:tcPr>
                  <w:tcW w:w="925" w:type="dxa"/>
                  <w:noWrap w:val="0"/>
                  <w:vAlign w:val="center"/>
                </w:tcPr>
                <w:p w14:paraId="535F6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14:paraId="5788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8" w:hRule="atLeast"/>
                <w:jc w:val="center"/>
              </w:trPr>
              <w:tc>
                <w:tcPr>
                  <w:tcW w:w="3920" w:type="dxa"/>
                  <w:noWrap w:val="0"/>
                  <w:vAlign w:val="center"/>
                </w:tcPr>
                <w:p w14:paraId="1269CD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default" w:ascii="Times New Roman" w:hAnsi="Times New Roman" w:eastAsia="宋体" w:cs="宋体"/>
                      <w:color w:val="auto"/>
                      <w:kern w:val="0"/>
                      <w:sz w:val="21"/>
                      <w:szCs w:val="21"/>
                      <w:lang w:val="en-US" w:eastAsia="zh-CN"/>
                    </w:rPr>
                    <w:t>第十二条 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220" w:type="dxa"/>
                  <w:noWrap w:val="0"/>
                  <w:vAlign w:val="center"/>
                </w:tcPr>
                <w:p w14:paraId="690907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宋体"/>
                      <w:color w:val="auto"/>
                      <w:kern w:val="0"/>
                      <w:sz w:val="21"/>
                      <w:szCs w:val="21"/>
                      <w:lang w:val="en-US" w:eastAsia="zh-CN"/>
                    </w:rPr>
                  </w:pPr>
                  <w:r>
                    <w:rPr>
                      <w:rFonts w:hint="eastAsia" w:ascii="Times New Roman" w:hAnsi="Times New Roman" w:eastAsia="宋体" w:cs="Times New Roman"/>
                      <w:i w:val="0"/>
                      <w:iCs w:val="0"/>
                      <w:caps w:val="0"/>
                      <w:color w:val="auto"/>
                      <w:spacing w:val="0"/>
                      <w:sz w:val="21"/>
                      <w:szCs w:val="21"/>
                      <w:shd w:val="clear" w:color="080000" w:fill="FFFFFF"/>
                      <w:lang w:val="en-US" w:eastAsia="zh-CN"/>
                    </w:rPr>
                    <w:t>本项目属于</w:t>
                  </w:r>
                  <w:r>
                    <w:rPr>
                      <w:rFonts w:hint="eastAsia" w:ascii="Times New Roman" w:hAnsi="Times New Roman" w:eastAsia="宋体" w:cs="宋体"/>
                      <w:color w:val="auto"/>
                      <w:kern w:val="0"/>
                      <w:sz w:val="21"/>
                      <w:szCs w:val="21"/>
                      <w:vertAlign w:val="baseline"/>
                      <w:lang w:val="en-US" w:eastAsia="zh-CN"/>
                    </w:rPr>
                    <w:t>高频直缝焊管生产项目</w:t>
                  </w:r>
                  <w:r>
                    <w:rPr>
                      <w:rFonts w:hint="eastAsia" w:ascii="Times New Roman" w:hAnsi="Times New Roman" w:eastAsia="宋体" w:cs="宋体"/>
                      <w:color w:val="auto"/>
                      <w:kern w:val="0"/>
                      <w:sz w:val="21"/>
                      <w:szCs w:val="21"/>
                      <w:lang w:val="en-US" w:eastAsia="zh-CN"/>
                    </w:rPr>
                    <w:t>，不属于高耗能、高排放项目，不属于</w:t>
                  </w:r>
                  <w:r>
                    <w:rPr>
                      <w:rFonts w:hint="default" w:ascii="Times New Roman" w:hAnsi="Times New Roman" w:eastAsia="宋体" w:cs="宋体"/>
                      <w:color w:val="auto"/>
                      <w:kern w:val="0"/>
                      <w:sz w:val="21"/>
                      <w:szCs w:val="21"/>
                      <w:lang w:val="en-US" w:eastAsia="zh-CN"/>
                    </w:rPr>
                    <w:t>法律法规和相关政策明令禁止的落后产能项目</w:t>
                  </w:r>
                  <w:r>
                    <w:rPr>
                      <w:rFonts w:hint="eastAsia" w:ascii="Times New Roman" w:hAnsi="Times New Roman" w:eastAsia="宋体" w:cs="宋体"/>
                      <w:color w:val="auto"/>
                      <w:kern w:val="0"/>
                      <w:sz w:val="21"/>
                      <w:szCs w:val="21"/>
                      <w:lang w:val="en-US" w:eastAsia="zh-CN"/>
                    </w:rPr>
                    <w:t>，不属于</w:t>
                  </w:r>
                  <w:r>
                    <w:rPr>
                      <w:rFonts w:hint="default" w:ascii="Times New Roman" w:hAnsi="Times New Roman" w:eastAsia="宋体" w:cs="宋体"/>
                      <w:color w:val="auto"/>
                      <w:kern w:val="0"/>
                      <w:sz w:val="21"/>
                      <w:szCs w:val="21"/>
                      <w:lang w:val="en-US" w:eastAsia="zh-CN"/>
                    </w:rPr>
                    <w:t>国家产能置换要求的过剩产能行业的项目</w:t>
                  </w:r>
                  <w:r>
                    <w:rPr>
                      <w:rFonts w:hint="eastAsia" w:ascii="Times New Roman" w:hAnsi="Times New Roman" w:eastAsia="宋体" w:cs="宋体"/>
                      <w:color w:val="auto"/>
                      <w:kern w:val="0"/>
                      <w:sz w:val="21"/>
                      <w:szCs w:val="21"/>
                      <w:lang w:val="en-US" w:eastAsia="zh-CN"/>
                    </w:rPr>
                    <w:t>，不涉及</w:t>
                  </w:r>
                  <w:r>
                    <w:rPr>
                      <w:rFonts w:hint="default" w:ascii="Times New Roman" w:hAnsi="Times New Roman" w:eastAsia="宋体" w:cs="宋体"/>
                      <w:color w:val="auto"/>
                      <w:kern w:val="0"/>
                      <w:sz w:val="21"/>
                      <w:szCs w:val="21"/>
                      <w:lang w:val="en-US" w:eastAsia="zh-CN"/>
                    </w:rPr>
                    <w:t>高毒高残留以及对环境影响大的农药原药生产装置，严控尿素、磷铵、电石、焦炭、黄磷、烧碱、纯碱、聚氯乙烯等行业</w:t>
                  </w:r>
                  <w:r>
                    <w:rPr>
                      <w:rFonts w:hint="eastAsia" w:ascii="Times New Roman" w:hAnsi="Times New Roman" w:eastAsia="宋体" w:cs="宋体"/>
                      <w:color w:val="auto"/>
                      <w:kern w:val="0"/>
                      <w:sz w:val="21"/>
                      <w:szCs w:val="21"/>
                      <w:lang w:val="en-US" w:eastAsia="zh-CN"/>
                    </w:rPr>
                    <w:t>。</w:t>
                  </w:r>
                </w:p>
              </w:tc>
              <w:tc>
                <w:tcPr>
                  <w:tcW w:w="925" w:type="dxa"/>
                  <w:noWrap w:val="0"/>
                  <w:vAlign w:val="center"/>
                </w:tcPr>
                <w:p w14:paraId="315E7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3E0CEE91">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根据</w:t>
            </w:r>
            <w:r>
              <w:rPr>
                <w:rFonts w:hint="eastAsia" w:ascii="Times New Roman" w:hAnsi="Times New Roman" w:eastAsia="宋体" w:cs="宋体"/>
                <w:color w:val="auto"/>
                <w:kern w:val="0"/>
                <w:sz w:val="24"/>
                <w:lang w:val="en-US" w:eastAsia="zh-CN"/>
              </w:rPr>
              <w:t>上表分析</w:t>
            </w:r>
            <w:r>
              <w:rPr>
                <w:rFonts w:hint="eastAsia" w:ascii="Times New Roman" w:hAnsi="Times New Roman" w:eastAsia="宋体" w:cs="宋体"/>
                <w:color w:val="auto"/>
                <w:kern w:val="0"/>
                <w:sz w:val="24"/>
                <w:lang w:eastAsia="zh-CN"/>
              </w:rPr>
              <w:t>，项目符合《云南省推动长江经济带发展领导小组办公室关于印发</w:t>
            </w:r>
            <w:r>
              <w:rPr>
                <w:rFonts w:hint="eastAsia" w:ascii="Times New Roman" w:hAnsi="Times New Roman" w:eastAsia="宋体" w:cs="宋体"/>
                <w:color w:val="auto"/>
                <w:kern w:val="0"/>
                <w:sz w:val="24"/>
                <w:lang w:val="en-US" w:eastAsia="zh-CN"/>
              </w:rPr>
              <w:t>&lt;</w:t>
            </w:r>
            <w:r>
              <w:rPr>
                <w:rFonts w:hint="eastAsia" w:ascii="Times New Roman" w:hAnsi="Times New Roman" w:eastAsia="宋体" w:cs="宋体"/>
                <w:color w:val="auto"/>
                <w:kern w:val="0"/>
                <w:sz w:val="24"/>
                <w:lang w:eastAsia="zh-CN"/>
              </w:rPr>
              <w:t>云南省长江经济带发展负面清单指南实施细则（试行，2022年版）</w:t>
            </w:r>
            <w:r>
              <w:rPr>
                <w:rFonts w:hint="eastAsia" w:ascii="Times New Roman" w:hAnsi="Times New Roman" w:eastAsia="宋体" w:cs="宋体"/>
                <w:color w:val="auto"/>
                <w:kern w:val="0"/>
                <w:sz w:val="24"/>
                <w:lang w:val="en-US" w:eastAsia="zh-CN"/>
              </w:rPr>
              <w:t>&gt;</w:t>
            </w:r>
            <w:r>
              <w:rPr>
                <w:rFonts w:hint="eastAsia" w:ascii="Times New Roman" w:hAnsi="Times New Roman" w:eastAsia="宋体" w:cs="宋体"/>
                <w:color w:val="auto"/>
                <w:kern w:val="0"/>
                <w:sz w:val="24"/>
                <w:lang w:eastAsia="zh-CN"/>
              </w:rPr>
              <w:t>的通知》（云发改基础〔2022〕894号）的相关要求。</w:t>
            </w:r>
          </w:p>
          <w:p w14:paraId="1359E9AE">
            <w:pPr>
              <w:pStyle w:val="23"/>
              <w:keepNext w:val="0"/>
              <w:keepLines w:val="0"/>
              <w:pageBreakBefore w:val="0"/>
              <w:widowControl w:val="0"/>
              <w:kinsoku/>
              <w:wordWrap/>
              <w:overflowPunct/>
              <w:topLinePunct/>
              <w:autoSpaceDE/>
              <w:autoSpaceDN/>
              <w:bidi w:val="0"/>
              <w:adjustRightInd w:val="0"/>
              <w:snapToGrid w:val="0"/>
              <w:spacing w:after="0" w:line="360" w:lineRule="auto"/>
              <w:ind w:left="0" w:leftChars="0" w:firstLine="0" w:firstLineChars="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w:t>
            </w:r>
            <w:r>
              <w:rPr>
                <w:rFonts w:hint="eastAsia" w:cs="Times New Roman"/>
                <w:b/>
                <w:bCs w:val="0"/>
                <w:color w:val="auto"/>
                <w:kern w:val="2"/>
                <w:sz w:val="24"/>
                <w:szCs w:val="24"/>
                <w:lang w:val="en-US" w:eastAsia="zh-CN" w:bidi="ar-SA"/>
              </w:rPr>
              <w:t>7</w:t>
            </w:r>
            <w:r>
              <w:rPr>
                <w:rFonts w:hint="eastAsia" w:ascii="Times New Roman" w:hAnsi="Times New Roman" w:eastAsia="宋体" w:cs="Times New Roman"/>
                <w:b/>
                <w:bCs w:val="0"/>
                <w:color w:val="auto"/>
                <w:kern w:val="2"/>
                <w:sz w:val="24"/>
                <w:szCs w:val="24"/>
                <w:lang w:val="en-US" w:eastAsia="zh-CN" w:bidi="ar-SA"/>
              </w:rPr>
              <w:t>）与</w:t>
            </w:r>
            <w:r>
              <w:rPr>
                <w:rFonts w:hint="default" w:ascii="Times New Roman" w:hAnsi="Times New Roman" w:eastAsia="宋体" w:cs="Times New Roman"/>
                <w:b/>
                <w:bCs w:val="0"/>
                <w:color w:val="auto"/>
                <w:kern w:val="2"/>
                <w:sz w:val="24"/>
                <w:szCs w:val="24"/>
                <w:lang w:val="en-US" w:eastAsia="zh-CN" w:bidi="ar-SA"/>
              </w:rPr>
              <w:t>《云南省“十四五”生态建设与环境保护规划》</w:t>
            </w:r>
            <w:r>
              <w:rPr>
                <w:rFonts w:hint="eastAsia" w:ascii="Times New Roman" w:hAnsi="Times New Roman" w:eastAsia="宋体" w:cs="Times New Roman"/>
                <w:b/>
                <w:bCs w:val="0"/>
                <w:color w:val="auto"/>
                <w:kern w:val="2"/>
                <w:sz w:val="24"/>
                <w:szCs w:val="24"/>
                <w:lang w:val="en-US" w:eastAsia="zh-CN" w:bidi="ar-SA"/>
              </w:rPr>
              <w:t>相符性分析</w:t>
            </w:r>
          </w:p>
          <w:p w14:paraId="0766B7DA">
            <w:pPr>
              <w:keepNext w:val="0"/>
              <w:keepLines w:val="0"/>
              <w:pageBreakBefore w:val="0"/>
              <w:widowControl w:val="0"/>
              <w:kinsoku/>
              <w:wordWrap/>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2022年4月8日，云南省生态环境厅印发了《</w:t>
            </w:r>
            <w:r>
              <w:rPr>
                <w:rFonts w:hint="default" w:ascii="Times New Roman" w:hAnsi="Times New Roman" w:eastAsia="宋体" w:cs="Times New Roman"/>
                <w:b w:val="0"/>
                <w:bCs w:val="0"/>
                <w:color w:val="auto"/>
                <w:kern w:val="2"/>
                <w:sz w:val="24"/>
                <w:szCs w:val="24"/>
                <w:lang w:val="en-US" w:eastAsia="zh-CN" w:bidi="ar-SA"/>
              </w:rPr>
              <w:t>云南省“十四五”生态建设与环境保护规划</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（云环发</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2022</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13号）</w:t>
            </w:r>
            <w:r>
              <w:rPr>
                <w:rFonts w:hint="eastAsia" w:ascii="Times New Roman" w:hAnsi="Times New Roman" w:eastAsia="宋体" w:cs="Times New Roman"/>
                <w:b w:val="0"/>
                <w:bCs w:val="0"/>
                <w:color w:val="auto"/>
                <w:kern w:val="2"/>
                <w:sz w:val="24"/>
                <w:szCs w:val="24"/>
                <w:lang w:val="en-US" w:eastAsia="zh-CN" w:bidi="ar-SA"/>
              </w:rPr>
              <w:t>，项目与其符合性分析详见下表。</w:t>
            </w:r>
          </w:p>
          <w:p w14:paraId="74FA4510">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4"/>
                <w:lang w:eastAsia="zh-CN"/>
              </w:rPr>
            </w:pPr>
            <w:r>
              <w:rPr>
                <w:rFonts w:hint="default" w:ascii="Times New Roman" w:hAnsi="Times New Roman" w:eastAsia="宋体" w:cs="宋体"/>
                <w:b/>
                <w:bCs/>
                <w:color w:val="auto"/>
                <w:kern w:val="0"/>
                <w:sz w:val="21"/>
                <w:szCs w:val="21"/>
                <w:lang w:eastAsia="zh-CN"/>
              </w:rPr>
              <w:t>表1-</w:t>
            </w:r>
            <w:r>
              <w:rPr>
                <w:rFonts w:hint="eastAsia" w:cs="宋体"/>
                <w:b/>
                <w:bCs/>
                <w:color w:val="auto"/>
                <w:kern w:val="0"/>
                <w:sz w:val="21"/>
                <w:szCs w:val="21"/>
                <w:lang w:val="en-US" w:eastAsia="zh-CN"/>
              </w:rPr>
              <w:t>7</w:t>
            </w:r>
            <w:r>
              <w:rPr>
                <w:rFonts w:hint="eastAsia" w:ascii="Times New Roman" w:hAnsi="Times New Roman" w:eastAsia="宋体" w:cs="宋体"/>
                <w:b/>
                <w:bCs/>
                <w:color w:val="auto"/>
                <w:kern w:val="0"/>
                <w:sz w:val="21"/>
                <w:szCs w:val="21"/>
                <w:lang w:val="en-US" w:eastAsia="zh-CN"/>
              </w:rPr>
              <w:t xml:space="preserve">   </w:t>
            </w:r>
            <w:r>
              <w:rPr>
                <w:rFonts w:hint="default" w:ascii="Times New Roman" w:hAnsi="Times New Roman" w:eastAsia="宋体" w:cs="宋体"/>
                <w:b/>
                <w:bCs/>
                <w:color w:val="auto"/>
                <w:kern w:val="0"/>
                <w:sz w:val="21"/>
                <w:szCs w:val="21"/>
                <w:lang w:eastAsia="zh-CN"/>
              </w:rPr>
              <w:t>项目与</w:t>
            </w:r>
            <w:r>
              <w:rPr>
                <w:rFonts w:hint="eastAsia" w:ascii="Times New Roman" w:hAnsi="Times New Roman" w:eastAsia="宋体" w:cs="宋体"/>
                <w:b/>
                <w:bCs/>
                <w:color w:val="auto"/>
                <w:kern w:val="0"/>
                <w:sz w:val="21"/>
                <w:szCs w:val="21"/>
                <w:lang w:val="en-US" w:eastAsia="zh-CN"/>
              </w:rPr>
              <w:t>《</w:t>
            </w:r>
            <w:r>
              <w:rPr>
                <w:rFonts w:hint="default" w:ascii="Times New Roman" w:hAnsi="Times New Roman" w:eastAsia="宋体" w:cs="宋体"/>
                <w:b/>
                <w:bCs/>
                <w:color w:val="auto"/>
                <w:kern w:val="0"/>
                <w:sz w:val="21"/>
                <w:szCs w:val="21"/>
                <w:lang w:val="en-US" w:eastAsia="zh-CN"/>
              </w:rPr>
              <w:t>云南省“十四五”生态建设与环境保护规划</w:t>
            </w:r>
            <w:r>
              <w:rPr>
                <w:rFonts w:hint="eastAsia" w:ascii="Times New Roman" w:hAnsi="Times New Roman" w:eastAsia="宋体" w:cs="宋体"/>
                <w:b/>
                <w:bCs/>
                <w:color w:val="auto"/>
                <w:kern w:val="0"/>
                <w:sz w:val="21"/>
                <w:szCs w:val="21"/>
                <w:lang w:val="en-US" w:eastAsia="zh-CN"/>
              </w:rPr>
              <w:t>》</w:t>
            </w:r>
            <w:r>
              <w:rPr>
                <w:rFonts w:hint="default" w:ascii="Times New Roman" w:hAnsi="Times New Roman" w:eastAsia="宋体" w:cs="宋体"/>
                <w:b/>
                <w:bCs/>
                <w:color w:val="auto"/>
                <w:kern w:val="0"/>
                <w:sz w:val="21"/>
                <w:szCs w:val="21"/>
                <w:lang w:eastAsia="zh-CN"/>
              </w:rPr>
              <w:t>相符性对照表</w:t>
            </w:r>
          </w:p>
          <w:tbl>
            <w:tblPr>
              <w:tblStyle w:val="24"/>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3020"/>
              <w:gridCol w:w="2801"/>
              <w:gridCol w:w="661"/>
            </w:tblGrid>
            <w:tr w14:paraId="6C59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428"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0"/>
                  <w:vAlign w:val="center"/>
                </w:tcPr>
                <w:p w14:paraId="457D5F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章节</w:t>
                  </w:r>
                </w:p>
              </w:tc>
              <w:tc>
                <w:tcPr>
                  <w:tcW w:w="2130" w:type="pct"/>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03A56C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要求</w:t>
                  </w:r>
                </w:p>
              </w:tc>
              <w:tc>
                <w:tcPr>
                  <w:tcW w:w="1975" w:type="pct"/>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064F09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val="en-US" w:eastAsia="zh-CN"/>
                    </w:rPr>
                    <w:t>建设</w:t>
                  </w:r>
                  <w:r>
                    <w:rPr>
                      <w:rFonts w:hint="default" w:ascii="Times New Roman" w:hAnsi="Times New Roman" w:eastAsia="宋体" w:cs="Times New Roman"/>
                      <w:color w:val="auto"/>
                    </w:rPr>
                    <w:t>情况</w:t>
                  </w:r>
                </w:p>
              </w:tc>
              <w:tc>
                <w:tcPr>
                  <w:tcW w:w="466" w:type="pct"/>
                  <w:tcBorders>
                    <w:top w:val="single" w:color="auto" w:sz="4" w:space="0"/>
                    <w:left w:val="nil"/>
                    <w:bottom w:val="single" w:color="auto" w:sz="4" w:space="0"/>
                    <w:right w:val="single" w:color="auto" w:sz="4" w:space="0"/>
                  </w:tcBorders>
                  <w:shd w:val="clear" w:color="auto" w:fill="D7D7D7" w:themeFill="background1" w:themeFillShade="D8"/>
                  <w:noWrap w:val="0"/>
                  <w:vAlign w:val="center"/>
                </w:tcPr>
                <w:p w14:paraId="4E3587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符合性</w:t>
                  </w:r>
                </w:p>
              </w:tc>
            </w:tr>
            <w:tr w14:paraId="6470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jc w:val="center"/>
              </w:trPr>
              <w:tc>
                <w:tcPr>
                  <w:tcW w:w="428" w:type="pct"/>
                  <w:tcBorders>
                    <w:top w:val="single" w:color="auto" w:sz="4" w:space="0"/>
                    <w:left w:val="single" w:color="auto" w:sz="4" w:space="0"/>
                    <w:bottom w:val="single" w:color="auto" w:sz="4" w:space="0"/>
                    <w:right w:val="single" w:color="auto" w:sz="4" w:space="0"/>
                  </w:tcBorders>
                  <w:noWrap w:val="0"/>
                  <w:vAlign w:val="center"/>
                </w:tcPr>
                <w:p w14:paraId="0F70FD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优化生态环境空间管控</w:t>
                  </w:r>
                </w:p>
              </w:tc>
              <w:tc>
                <w:tcPr>
                  <w:tcW w:w="2130" w:type="pct"/>
                  <w:tcBorders>
                    <w:top w:val="single" w:color="auto" w:sz="4" w:space="0"/>
                    <w:left w:val="nil"/>
                    <w:bottom w:val="single" w:color="auto" w:sz="4" w:space="0"/>
                    <w:right w:val="single" w:color="auto" w:sz="4" w:space="0"/>
                  </w:tcBorders>
                  <w:noWrap w:val="0"/>
                  <w:vAlign w:val="center"/>
                </w:tcPr>
                <w:p w14:paraId="4D17516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以国土空间规划为基础，</w:t>
                  </w:r>
                  <w:r>
                    <w:rPr>
                      <w:rFonts w:hint="default" w:ascii="Times New Roman" w:hAnsi="Times New Roman" w:eastAsia="宋体" w:cs="Times New Roman"/>
                      <w:color w:val="auto"/>
                      <w:lang w:val="zh-CN"/>
                    </w:rPr>
                    <w:t>严格落实生态保护红线、永久基本农田保护红线和城镇开发边界，减少对自然生态空间的占用。加快推进</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三线一单</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落实落地</w:t>
                  </w:r>
                  <w:r>
                    <w:rPr>
                      <w:rFonts w:hint="default" w:ascii="Times New Roman" w:hAnsi="Times New Roman" w:eastAsia="宋体" w:cs="Times New Roman"/>
                      <w:color w:val="auto"/>
                    </w:rPr>
                    <w:t>，把</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三线一单</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作为区域资源开发、产业布局和结构调整、城镇建设、重大项目选址的重要依据，确保发展不超载、底线不突破。</w:t>
                  </w:r>
                </w:p>
              </w:tc>
              <w:tc>
                <w:tcPr>
                  <w:tcW w:w="1975" w:type="pct"/>
                  <w:tcBorders>
                    <w:top w:val="single" w:color="auto" w:sz="4" w:space="0"/>
                    <w:left w:val="nil"/>
                    <w:bottom w:val="single" w:color="auto" w:sz="4" w:space="0"/>
                    <w:right w:val="single" w:color="auto" w:sz="4" w:space="0"/>
                  </w:tcBorders>
                  <w:noWrap w:val="0"/>
                  <w:vAlign w:val="center"/>
                </w:tcPr>
                <w:p w14:paraId="35DBE95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highlight w:val="none"/>
                    </w:rPr>
                    <w:t>本项目</w:t>
                  </w:r>
                  <w:r>
                    <w:rPr>
                      <w:rFonts w:hint="eastAsia" w:ascii="Times New Roman" w:hAnsi="Times New Roman" w:eastAsia="宋体" w:cs="Times New Roman"/>
                      <w:b w:val="0"/>
                      <w:bCs/>
                      <w:color w:val="auto"/>
                      <w:sz w:val="21"/>
                      <w:highlight w:val="none"/>
                    </w:rPr>
                    <w:t>位于玉溪市通海县</w:t>
                  </w:r>
                  <w:r>
                    <w:rPr>
                      <w:rFonts w:hint="eastAsia" w:cs="Times New Roman"/>
                      <w:b w:val="0"/>
                      <w:bCs/>
                      <w:color w:val="auto"/>
                      <w:sz w:val="21"/>
                      <w:highlight w:val="none"/>
                      <w:lang w:eastAsia="zh-CN"/>
                    </w:rPr>
                    <w:t>纳古镇大白龙</w:t>
                  </w:r>
                  <w:r>
                    <w:rPr>
                      <w:rFonts w:hint="default" w:ascii="Times New Roman" w:hAnsi="Times New Roman" w:eastAsia="宋体" w:cs="Times New Roman"/>
                      <w:b w:val="0"/>
                      <w:bCs/>
                      <w:color w:val="auto"/>
                      <w:sz w:val="21"/>
                      <w:highlight w:val="none"/>
                    </w:rPr>
                    <w:t>，不新增用地</w:t>
                  </w:r>
                  <w:r>
                    <w:rPr>
                      <w:rFonts w:hint="default" w:ascii="Times New Roman" w:hAnsi="Times New Roman" w:eastAsia="宋体" w:cs="Times New Roman"/>
                      <w:color w:val="auto"/>
                      <w:lang w:val="zh-CN"/>
                    </w:rPr>
                    <w:t>，</w:t>
                  </w:r>
                  <w:r>
                    <w:rPr>
                      <w:rFonts w:hint="eastAsia"/>
                      <w:color w:val="auto"/>
                    </w:rPr>
                    <w:t>根据三区三线查询结果可知，</w:t>
                  </w:r>
                  <w:r>
                    <w:rPr>
                      <w:rFonts w:hint="default" w:ascii="Times New Roman" w:hAnsi="Times New Roman" w:eastAsia="宋体" w:cs="Times New Roman"/>
                      <w:color w:val="auto"/>
                      <w:lang w:val="zh-CN"/>
                    </w:rPr>
                    <w:t>不涉及占用通海县生态红线，符合</w:t>
                  </w:r>
                  <w:r>
                    <w:rPr>
                      <w:rFonts w:hint="eastAsia" w:ascii="Times New Roman" w:hAnsi="Times New Roman" w:eastAsia="宋体" w:cs="Times New Roman"/>
                      <w:color w:val="auto"/>
                      <w:lang w:val="en-US" w:eastAsia="zh-CN"/>
                    </w:rPr>
                    <w:t>云南省和玉溪市</w:t>
                  </w:r>
                  <w:r>
                    <w:rPr>
                      <w:rFonts w:hint="default" w:ascii="Times New Roman" w:hAnsi="Times New Roman" w:eastAsia="宋体" w:cs="Times New Roman"/>
                      <w:color w:val="auto"/>
                      <w:lang w:val="zh-CN"/>
                    </w:rPr>
                    <w:t>“</w:t>
                  </w:r>
                  <w:r>
                    <w:rPr>
                      <w:rFonts w:hint="eastAsia" w:cs="Times New Roman"/>
                      <w:color w:val="auto"/>
                      <w:lang w:val="zh-CN"/>
                    </w:rPr>
                    <w:t>分区管控</w:t>
                  </w:r>
                  <w:r>
                    <w:rPr>
                      <w:rFonts w:hint="default" w:ascii="Times New Roman" w:hAnsi="Times New Roman" w:eastAsia="宋体" w:cs="Times New Roman"/>
                      <w:color w:val="auto"/>
                      <w:lang w:val="zh-CN"/>
                    </w:rPr>
                    <w:t>”要求。</w:t>
                  </w:r>
                </w:p>
              </w:tc>
              <w:tc>
                <w:tcPr>
                  <w:tcW w:w="466" w:type="pct"/>
                  <w:tcBorders>
                    <w:top w:val="single" w:color="auto" w:sz="4" w:space="0"/>
                    <w:left w:val="nil"/>
                    <w:bottom w:val="single" w:color="auto" w:sz="4" w:space="0"/>
                    <w:right w:val="single" w:color="auto" w:sz="4" w:space="0"/>
                  </w:tcBorders>
                  <w:noWrap w:val="0"/>
                  <w:vAlign w:val="center"/>
                </w:tcPr>
                <w:p w14:paraId="7199A5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E59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428" w:type="pct"/>
                  <w:vMerge w:val="restart"/>
                  <w:tcBorders>
                    <w:top w:val="single" w:color="auto" w:sz="4" w:space="0"/>
                    <w:left w:val="single" w:color="auto" w:sz="4" w:space="0"/>
                    <w:right w:val="single" w:color="auto" w:sz="4" w:space="0"/>
                  </w:tcBorders>
                  <w:noWrap w:val="0"/>
                  <w:vAlign w:val="center"/>
                </w:tcPr>
                <w:p w14:paraId="29082F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优化产业结构</w:t>
                  </w:r>
                </w:p>
              </w:tc>
              <w:tc>
                <w:tcPr>
                  <w:tcW w:w="2130" w:type="pct"/>
                  <w:tcBorders>
                    <w:top w:val="single" w:color="auto" w:sz="4" w:space="0"/>
                    <w:left w:val="nil"/>
                    <w:bottom w:val="single" w:color="auto" w:sz="4" w:space="0"/>
                    <w:right w:val="single" w:color="auto" w:sz="4" w:space="0"/>
                  </w:tcBorders>
                  <w:noWrap w:val="0"/>
                  <w:vAlign w:val="center"/>
                </w:tcPr>
                <w:p w14:paraId="670323E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推动重点行业加快实施限制类产能装备的升级改造，有序开展超低排放改造。促进各类开发区整合提升，依法依规推动工业企业入园入区发展，提高各类开发区聚集水平，深入推进各类开发区循环化改造。</w:t>
                  </w:r>
                </w:p>
              </w:tc>
              <w:tc>
                <w:tcPr>
                  <w:tcW w:w="1975" w:type="pct"/>
                  <w:tcBorders>
                    <w:top w:val="single" w:color="auto" w:sz="4" w:space="0"/>
                    <w:left w:val="nil"/>
                    <w:bottom w:val="single" w:color="auto" w:sz="4" w:space="0"/>
                    <w:right w:val="single" w:color="auto" w:sz="4" w:space="0"/>
                  </w:tcBorders>
                  <w:noWrap w:val="0"/>
                  <w:vAlign w:val="center"/>
                </w:tcPr>
                <w:p w14:paraId="7026C97C">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zh-CN"/>
                    </w:rPr>
                    <w:t>本项目不生产《产业结构调整指导目录（20</w:t>
                  </w:r>
                  <w:r>
                    <w:rPr>
                      <w:rFonts w:hint="eastAsia" w:ascii="Times New Roman" w:hAnsi="Times New Roman" w:eastAsia="宋体" w:cs="Times New Roman"/>
                      <w:color w:val="auto"/>
                      <w:lang w:val="en-US" w:eastAsia="zh-CN"/>
                    </w:rPr>
                    <w:t>24</w:t>
                  </w:r>
                  <w:r>
                    <w:rPr>
                      <w:rFonts w:hint="default" w:ascii="Times New Roman" w:hAnsi="Times New Roman" w:eastAsia="宋体" w:cs="Times New Roman"/>
                      <w:color w:val="auto"/>
                      <w:lang w:val="zh-CN"/>
                    </w:rPr>
                    <w:t>年本）》的落后产品，不使用淘汰类生产设备</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根据《产业发展与转移指导目录（2018年本）》</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本项目不属于云南引导不再承接的产业。项目</w:t>
                  </w:r>
                  <w:r>
                    <w:rPr>
                      <w:rFonts w:hint="default" w:ascii="Times New Roman" w:hAnsi="Times New Roman" w:eastAsia="宋体" w:cs="Times New Roman"/>
                      <w:b w:val="0"/>
                      <w:bCs/>
                      <w:color w:val="auto"/>
                      <w:sz w:val="21"/>
                      <w:highlight w:val="none"/>
                    </w:rPr>
                    <w:t>本项目</w:t>
                  </w:r>
                  <w:r>
                    <w:rPr>
                      <w:rFonts w:hint="eastAsia" w:ascii="Times New Roman" w:hAnsi="Times New Roman" w:eastAsia="宋体" w:cs="Times New Roman"/>
                      <w:b w:val="0"/>
                      <w:bCs/>
                      <w:color w:val="auto"/>
                      <w:sz w:val="21"/>
                      <w:highlight w:val="none"/>
                    </w:rPr>
                    <w:t>位于玉溪市通海县</w:t>
                  </w:r>
                  <w:r>
                    <w:rPr>
                      <w:rFonts w:hint="eastAsia" w:cs="Times New Roman"/>
                      <w:b w:val="0"/>
                      <w:bCs/>
                      <w:color w:val="auto"/>
                      <w:sz w:val="21"/>
                      <w:highlight w:val="none"/>
                      <w:lang w:eastAsia="zh-CN"/>
                    </w:rPr>
                    <w:t>纳古镇大白龙</w:t>
                  </w:r>
                  <w:r>
                    <w:rPr>
                      <w:rFonts w:hint="default" w:ascii="Times New Roman" w:hAnsi="Times New Roman" w:eastAsia="宋体" w:cs="Times New Roman"/>
                      <w:b w:val="0"/>
                      <w:bCs/>
                      <w:color w:val="auto"/>
                      <w:sz w:val="21"/>
                      <w:highlight w:val="none"/>
                    </w:rPr>
                    <w:t>，不新增用地</w:t>
                  </w:r>
                  <w:r>
                    <w:rPr>
                      <w:rFonts w:hint="default" w:ascii="Times New Roman" w:hAnsi="Times New Roman" w:eastAsia="宋体" w:cs="Times New Roman"/>
                      <w:color w:val="auto"/>
                      <w:lang w:val="zh-CN"/>
                    </w:rPr>
                    <w:t>。</w:t>
                  </w:r>
                </w:p>
              </w:tc>
              <w:tc>
                <w:tcPr>
                  <w:tcW w:w="466" w:type="pct"/>
                  <w:tcBorders>
                    <w:top w:val="single" w:color="auto" w:sz="4" w:space="0"/>
                    <w:left w:val="nil"/>
                    <w:bottom w:val="single" w:color="auto" w:sz="4" w:space="0"/>
                    <w:right w:val="single" w:color="auto" w:sz="4" w:space="0"/>
                  </w:tcBorders>
                  <w:noWrap w:val="0"/>
                  <w:vAlign w:val="center"/>
                </w:tcPr>
                <w:p w14:paraId="2F787F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5CC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9" w:hRule="atLeast"/>
                <w:jc w:val="center"/>
              </w:trPr>
              <w:tc>
                <w:tcPr>
                  <w:tcW w:w="428" w:type="pct"/>
                  <w:vMerge w:val="continue"/>
                  <w:tcBorders>
                    <w:left w:val="single" w:color="auto" w:sz="4" w:space="0"/>
                    <w:right w:val="single" w:color="auto" w:sz="4" w:space="0"/>
                  </w:tcBorders>
                  <w:noWrap w:val="0"/>
                  <w:vAlign w:val="center"/>
                </w:tcPr>
                <w:p w14:paraId="02DBEA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c>
                <w:tcPr>
                  <w:tcW w:w="2130" w:type="pct"/>
                  <w:tcBorders>
                    <w:top w:val="single" w:color="auto" w:sz="4" w:space="0"/>
                    <w:left w:val="nil"/>
                    <w:bottom w:val="single" w:color="auto" w:sz="4" w:space="0"/>
                    <w:right w:val="single" w:color="auto" w:sz="4" w:space="0"/>
                  </w:tcBorders>
                  <w:noWrap w:val="0"/>
                  <w:vAlign w:val="center"/>
                </w:tcPr>
                <w:p w14:paraId="37877BA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spacing w:val="-6"/>
                      <w:sz w:val="21"/>
                      <w:lang w:val="zh-CN"/>
                    </w:rPr>
                    <w:t>推动落后低效和过剩产能淘汰。认真落实产业政策，严格环境影响评价，坚决遏制高耗能高排放项目盲目发展，加快淘汰落后产能，推动产业结构优化升级。严格执行质量、环保、能耗、安全等法规标准，加大钢铁、水泥熟料、烧结砖瓦、电解铝、电解锰等行业落后产能淘汰和过剩产能压减力度。</w:t>
                  </w:r>
                </w:p>
              </w:tc>
              <w:tc>
                <w:tcPr>
                  <w:tcW w:w="1975" w:type="pct"/>
                  <w:tcBorders>
                    <w:top w:val="single" w:color="auto" w:sz="4" w:space="0"/>
                    <w:left w:val="nil"/>
                    <w:bottom w:val="single" w:color="auto" w:sz="4" w:space="0"/>
                    <w:right w:val="single" w:color="auto" w:sz="4" w:space="0"/>
                  </w:tcBorders>
                  <w:noWrap w:val="0"/>
                  <w:vAlign w:val="center"/>
                </w:tcPr>
                <w:p w14:paraId="1E8C215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zh-CN"/>
                    </w:rPr>
                    <w:t>本项目符合《产业结构调整指导目录（20</w:t>
                  </w:r>
                  <w:r>
                    <w:rPr>
                      <w:rFonts w:hint="eastAsia" w:ascii="Times New Roman" w:hAnsi="Times New Roman" w:eastAsia="宋体" w:cs="Times New Roman"/>
                      <w:color w:val="auto"/>
                      <w:lang w:val="en-US" w:eastAsia="zh-CN"/>
                    </w:rPr>
                    <w:t>24</w:t>
                  </w:r>
                  <w:r>
                    <w:rPr>
                      <w:rFonts w:hint="default" w:ascii="Times New Roman" w:hAnsi="Times New Roman" w:eastAsia="宋体" w:cs="Times New Roman"/>
                      <w:color w:val="auto"/>
                      <w:lang w:val="zh-CN"/>
                    </w:rPr>
                    <w:t>年本）》</w:t>
                  </w:r>
                  <w:r>
                    <w:rPr>
                      <w:rFonts w:hint="eastAsia" w:ascii="Times New Roman" w:hAnsi="Times New Roman" w:eastAsia="宋体" w:cs="Times New Roman"/>
                      <w:color w:val="auto"/>
                      <w:lang w:val="en-US" w:eastAsia="zh-CN"/>
                    </w:rPr>
                    <w:t>和</w:t>
                  </w:r>
                  <w:r>
                    <w:rPr>
                      <w:rFonts w:hint="default" w:ascii="Times New Roman" w:hAnsi="Times New Roman" w:eastAsia="宋体" w:cs="Times New Roman"/>
                      <w:color w:val="auto"/>
                      <w:lang w:val="zh-CN"/>
                    </w:rPr>
                    <w:t>《产业发展与转移指导目录（2018年本）》</w:t>
                  </w:r>
                  <w:r>
                    <w:rPr>
                      <w:rFonts w:hint="eastAsia"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不属于</w:t>
                  </w:r>
                  <w:r>
                    <w:rPr>
                      <w:rFonts w:hint="default" w:ascii="Times New Roman" w:hAnsi="Times New Roman" w:eastAsia="宋体" w:cs="Times New Roman"/>
                      <w:color w:val="auto"/>
                      <w:lang w:val="zh-CN"/>
                    </w:rPr>
                    <w:t>淘汰和过剩产能</w:t>
                  </w:r>
                  <w:r>
                    <w:rPr>
                      <w:rFonts w:hint="eastAsia" w:ascii="Times New Roman" w:hAnsi="Times New Roman" w:eastAsia="宋体" w:cs="Times New Roman"/>
                      <w:color w:val="auto"/>
                      <w:lang w:val="zh-CN"/>
                    </w:rPr>
                    <w:t>。</w:t>
                  </w:r>
                </w:p>
              </w:tc>
              <w:tc>
                <w:tcPr>
                  <w:tcW w:w="466" w:type="pct"/>
                  <w:tcBorders>
                    <w:top w:val="single" w:color="auto" w:sz="4" w:space="0"/>
                    <w:left w:val="nil"/>
                    <w:bottom w:val="single" w:color="auto" w:sz="4" w:space="0"/>
                    <w:right w:val="single" w:color="auto" w:sz="4" w:space="0"/>
                  </w:tcBorders>
                  <w:noWrap w:val="0"/>
                  <w:vAlign w:val="center"/>
                </w:tcPr>
                <w:p w14:paraId="5188F5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F83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28" w:type="pct"/>
                  <w:vMerge w:val="continue"/>
                  <w:tcBorders>
                    <w:left w:val="single" w:color="auto" w:sz="4" w:space="0"/>
                    <w:right w:val="single" w:color="auto" w:sz="4" w:space="0"/>
                  </w:tcBorders>
                  <w:noWrap w:val="0"/>
                  <w:vAlign w:val="center"/>
                </w:tcPr>
                <w:p w14:paraId="640E18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c>
                <w:tcPr>
                  <w:tcW w:w="2130" w:type="pct"/>
                  <w:tcBorders>
                    <w:top w:val="single" w:color="auto" w:sz="4" w:space="0"/>
                    <w:left w:val="nil"/>
                    <w:bottom w:val="single" w:color="auto" w:sz="4" w:space="0"/>
                    <w:right w:val="single" w:color="auto" w:sz="4" w:space="0"/>
                  </w:tcBorders>
                  <w:noWrap w:val="0"/>
                  <w:vAlign w:val="center"/>
                </w:tcPr>
                <w:p w14:paraId="1F3D6E7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提升行业资源能源利用效率，严格执行产品能效、水效、能耗限额、碳排放、污染物排放等标准。</w:t>
                  </w:r>
                </w:p>
              </w:tc>
              <w:tc>
                <w:tcPr>
                  <w:tcW w:w="1975" w:type="pct"/>
                  <w:tcBorders>
                    <w:top w:val="single" w:color="auto" w:sz="4" w:space="0"/>
                    <w:left w:val="nil"/>
                    <w:bottom w:val="single" w:color="auto" w:sz="4" w:space="0"/>
                    <w:right w:val="single" w:color="auto" w:sz="4" w:space="0"/>
                  </w:tcBorders>
                  <w:noWrap w:val="0"/>
                  <w:vAlign w:val="center"/>
                </w:tcPr>
                <w:p w14:paraId="47886ED8">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项目运营期冷却水水循环使用，不外排；</w:t>
                  </w:r>
                  <w:r>
                    <w:rPr>
                      <w:rFonts w:hint="default" w:ascii="Times New Roman" w:hAnsi="Times New Roman" w:eastAsia="宋体" w:cs="Times New Roman"/>
                      <w:color w:val="auto"/>
                      <w:lang w:val="zh-CN"/>
                    </w:rPr>
                    <w:t>项目能源消费对</w:t>
                  </w:r>
                  <w:r>
                    <w:rPr>
                      <w:rFonts w:hint="default" w:ascii="Times New Roman" w:hAnsi="Times New Roman" w:eastAsia="宋体" w:cs="Times New Roman"/>
                      <w:color w:val="auto"/>
                      <w:lang w:val="zh-CN" w:eastAsia="zh-CN"/>
                    </w:rPr>
                    <w:t>玉溪市</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十四五</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能源消费增量影响</w:t>
                  </w:r>
                  <w:r>
                    <w:rPr>
                      <w:rFonts w:hint="eastAsia" w:ascii="Times New Roman" w:hAnsi="Times New Roman" w:eastAsia="宋体" w:cs="Times New Roman"/>
                      <w:color w:val="auto"/>
                      <w:lang w:val="en-US" w:eastAsia="zh-CN"/>
                    </w:rPr>
                    <w:t>较小。</w:t>
                  </w:r>
                </w:p>
              </w:tc>
              <w:tc>
                <w:tcPr>
                  <w:tcW w:w="466" w:type="pct"/>
                  <w:tcBorders>
                    <w:top w:val="single" w:color="auto" w:sz="4" w:space="0"/>
                    <w:left w:val="nil"/>
                    <w:bottom w:val="single" w:color="auto" w:sz="4" w:space="0"/>
                    <w:right w:val="single" w:color="auto" w:sz="4" w:space="0"/>
                  </w:tcBorders>
                  <w:noWrap w:val="0"/>
                  <w:vAlign w:val="center"/>
                </w:tcPr>
                <w:p w14:paraId="6868A8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55D3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428" w:type="pct"/>
                  <w:tcBorders>
                    <w:left w:val="single" w:color="auto" w:sz="4" w:space="0"/>
                    <w:right w:val="single" w:color="auto" w:sz="4" w:space="0"/>
                  </w:tcBorders>
                  <w:noWrap w:val="0"/>
                  <w:vAlign w:val="center"/>
                </w:tcPr>
                <w:p w14:paraId="54DB85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控制温室气体排放</w:t>
                  </w:r>
                </w:p>
              </w:tc>
              <w:tc>
                <w:tcPr>
                  <w:tcW w:w="2130" w:type="pct"/>
                  <w:tcBorders>
                    <w:top w:val="single" w:color="auto" w:sz="4" w:space="0"/>
                    <w:left w:val="nil"/>
                    <w:bottom w:val="single" w:color="auto" w:sz="4" w:space="0"/>
                    <w:right w:val="single" w:color="auto" w:sz="4" w:space="0"/>
                  </w:tcBorders>
                  <w:noWrap w:val="0"/>
                  <w:vAlign w:val="center"/>
                </w:tcPr>
                <w:p w14:paraId="4DD220C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控制工业行业二氧化碳排放。推动钢铁、水泥、石化、化工、有色等高耗能行业节能降耗，严格产能置换监管，提升系统电气化水平，强化先进低碳技术研发及应用，推进能效对标活动，提升能源利用效率。</w:t>
                  </w:r>
                </w:p>
              </w:tc>
              <w:tc>
                <w:tcPr>
                  <w:tcW w:w="1975" w:type="pct"/>
                  <w:tcBorders>
                    <w:top w:val="single" w:color="auto" w:sz="4" w:space="0"/>
                    <w:left w:val="nil"/>
                    <w:bottom w:val="single" w:color="auto" w:sz="4" w:space="0"/>
                    <w:right w:val="single" w:color="auto" w:sz="4" w:space="0"/>
                  </w:tcBorders>
                  <w:noWrap w:val="0"/>
                  <w:vAlign w:val="center"/>
                </w:tcPr>
                <w:p w14:paraId="237786E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本项目外购热轧带钢生产</w:t>
                  </w:r>
                  <w:r>
                    <w:rPr>
                      <w:rFonts w:hint="eastAsia" w:ascii="Times New Roman" w:hAnsi="Times New Roman" w:eastAsia="宋体"/>
                      <w:color w:val="auto"/>
                      <w:lang w:eastAsia="zh-CN"/>
                    </w:rPr>
                    <w:t>高频直缝焊管</w:t>
                  </w:r>
                  <w:r>
                    <w:rPr>
                      <w:rFonts w:hint="default"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不属于</w:t>
                  </w:r>
                  <w:r>
                    <w:rPr>
                      <w:rFonts w:hint="default" w:ascii="Times New Roman" w:hAnsi="Times New Roman" w:eastAsia="宋体" w:cs="Times New Roman"/>
                      <w:color w:val="auto"/>
                      <w:lang w:val="zh-CN"/>
                    </w:rPr>
                    <w:t>高耗能</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lang w:val="zh-CN"/>
                    </w:rPr>
                    <w:t>项目使用电作为燃料，属于清洁能源</w:t>
                  </w:r>
                  <w:r>
                    <w:rPr>
                      <w:rFonts w:hint="eastAsia" w:ascii="Times New Roman" w:hAnsi="Times New Roman" w:eastAsia="宋体" w:cs="Times New Roman"/>
                      <w:color w:val="auto"/>
                      <w:lang w:val="en-US" w:eastAsia="zh-CN"/>
                    </w:rPr>
                    <w:t>。</w:t>
                  </w:r>
                </w:p>
              </w:tc>
              <w:tc>
                <w:tcPr>
                  <w:tcW w:w="466" w:type="pct"/>
                  <w:tcBorders>
                    <w:top w:val="single" w:color="auto" w:sz="4" w:space="0"/>
                    <w:left w:val="nil"/>
                    <w:bottom w:val="single" w:color="auto" w:sz="4" w:space="0"/>
                    <w:right w:val="single" w:color="auto" w:sz="4" w:space="0"/>
                  </w:tcBorders>
                  <w:noWrap w:val="0"/>
                  <w:vAlign w:val="center"/>
                </w:tcPr>
                <w:p w14:paraId="483DA9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7D7C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8" w:type="pct"/>
                  <w:tcBorders>
                    <w:left w:val="single" w:color="auto" w:sz="4" w:space="0"/>
                    <w:right w:val="single" w:color="auto" w:sz="4" w:space="0"/>
                  </w:tcBorders>
                  <w:noWrap w:val="0"/>
                  <w:vAlign w:val="center"/>
                </w:tcPr>
                <w:p w14:paraId="1386CE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持续推进污染源治理</w:t>
                  </w:r>
                </w:p>
              </w:tc>
              <w:tc>
                <w:tcPr>
                  <w:tcW w:w="2130" w:type="pct"/>
                  <w:tcBorders>
                    <w:top w:val="single" w:color="auto" w:sz="4" w:space="0"/>
                    <w:left w:val="nil"/>
                    <w:bottom w:val="single" w:color="auto" w:sz="4" w:space="0"/>
                    <w:right w:val="single" w:color="auto" w:sz="4" w:space="0"/>
                  </w:tcBorders>
                  <w:noWrap w:val="0"/>
                  <w:vAlign w:val="center"/>
                </w:tcPr>
                <w:p w14:paraId="05E6F71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实施重点行业NOx等污染物深度治理。全面完成钢铁和燃煤发电企业超低排放改造。严格控制物料储存、输送及生产工艺过程无组织排放，全面提升无组织排放管控水平。</w:t>
                  </w:r>
                </w:p>
              </w:tc>
              <w:tc>
                <w:tcPr>
                  <w:tcW w:w="1975" w:type="pct"/>
                  <w:tcBorders>
                    <w:top w:val="single" w:color="auto" w:sz="4" w:space="0"/>
                    <w:left w:val="nil"/>
                    <w:bottom w:val="single" w:color="auto" w:sz="4" w:space="0"/>
                    <w:right w:val="single" w:color="auto" w:sz="4" w:space="0"/>
                  </w:tcBorders>
                  <w:noWrap w:val="0"/>
                  <w:vAlign w:val="center"/>
                </w:tcPr>
                <w:p w14:paraId="2176DC4D">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项目生产线全部设置在</w:t>
                  </w:r>
                  <w:r>
                    <w:rPr>
                      <w:rFonts w:hint="eastAsia" w:cs="Times New Roman"/>
                      <w:color w:val="auto"/>
                      <w:lang w:val="en-US" w:eastAsia="zh-CN"/>
                    </w:rPr>
                    <w:t>全</w:t>
                  </w:r>
                  <w:r>
                    <w:rPr>
                      <w:rFonts w:hint="eastAsia" w:ascii="Times New Roman" w:hAnsi="Times New Roman" w:eastAsia="宋体" w:cs="Times New Roman"/>
                      <w:color w:val="auto"/>
                      <w:lang w:val="en-US" w:eastAsia="zh-CN"/>
                    </w:rPr>
                    <w:t>封闭的车间内，无组织粉尘可沉降于车间内部，排放的无组织废气满足</w:t>
                  </w:r>
                  <w:r>
                    <w:rPr>
                      <w:rFonts w:hint="default" w:ascii="Times New Roman" w:hAnsi="Times New Roman" w:eastAsia="宋体" w:cs="Times New Roman"/>
                      <w:bCs/>
                      <w:color w:val="auto"/>
                      <w:sz w:val="21"/>
                      <w:szCs w:val="21"/>
                    </w:rPr>
                    <w:t>《大气污染物综合排放标准》（GB16297-1996）</w:t>
                  </w:r>
                  <w:r>
                    <w:rPr>
                      <w:rFonts w:hint="eastAsia" w:ascii="Times New Roman" w:hAnsi="Times New Roman" w:eastAsia="宋体" w:cs="Times New Roman"/>
                      <w:color w:val="auto"/>
                      <w:lang w:val="en-US" w:eastAsia="zh-CN"/>
                    </w:rPr>
                    <w:t>限值要求。</w:t>
                  </w:r>
                </w:p>
              </w:tc>
              <w:tc>
                <w:tcPr>
                  <w:tcW w:w="466" w:type="pct"/>
                  <w:tcBorders>
                    <w:top w:val="single" w:color="auto" w:sz="4" w:space="0"/>
                    <w:left w:val="nil"/>
                    <w:bottom w:val="single" w:color="auto" w:sz="4" w:space="0"/>
                    <w:right w:val="single" w:color="auto" w:sz="4" w:space="0"/>
                  </w:tcBorders>
                  <w:noWrap w:val="0"/>
                  <w:vAlign w:val="center"/>
                </w:tcPr>
                <w:p w14:paraId="31006C3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bl>
          <w:p w14:paraId="66EFE88D">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val="en-US" w:eastAsia="zh-CN"/>
              </w:rPr>
              <w:t>由上表可知</w:t>
            </w:r>
            <w:r>
              <w:rPr>
                <w:rFonts w:hint="eastAsia" w:ascii="Times New Roman" w:hAnsi="Times New Roman" w:eastAsia="宋体" w:cs="宋体"/>
                <w:color w:val="auto"/>
                <w:kern w:val="0"/>
                <w:sz w:val="24"/>
                <w:lang w:eastAsia="zh-CN"/>
              </w:rPr>
              <w:t>，项目</w:t>
            </w:r>
            <w:r>
              <w:rPr>
                <w:rFonts w:hint="eastAsia" w:ascii="Times New Roman" w:hAnsi="Times New Roman" w:eastAsia="宋体" w:cs="宋体"/>
                <w:color w:val="auto"/>
                <w:kern w:val="0"/>
                <w:sz w:val="24"/>
                <w:lang w:val="en-US" w:eastAsia="zh-CN"/>
              </w:rPr>
              <w:t>建设</w:t>
            </w:r>
            <w:r>
              <w:rPr>
                <w:rFonts w:hint="eastAsia" w:ascii="Times New Roman" w:hAnsi="Times New Roman" w:eastAsia="宋体" w:cs="宋体"/>
                <w:color w:val="auto"/>
                <w:kern w:val="0"/>
                <w:sz w:val="24"/>
                <w:lang w:eastAsia="zh-CN"/>
              </w:rPr>
              <w:t>符合</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云南省“十四五”生态建设与环境保护规划</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（云环发</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2022</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13号）</w:t>
            </w:r>
            <w:r>
              <w:rPr>
                <w:rFonts w:hint="eastAsia" w:ascii="Times New Roman" w:hAnsi="Times New Roman" w:eastAsia="宋体" w:cs="宋体"/>
                <w:color w:val="auto"/>
                <w:kern w:val="0"/>
                <w:sz w:val="24"/>
                <w:lang w:eastAsia="zh-CN"/>
              </w:rPr>
              <w:t>要求。</w:t>
            </w:r>
          </w:p>
          <w:p w14:paraId="677379B7">
            <w:pPr>
              <w:pStyle w:val="87"/>
              <w:bidi w:val="0"/>
              <w:ind w:left="0" w:leftChars="0" w:firstLine="0" w:firstLineChars="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w:t>
            </w:r>
            <w:r>
              <w:rPr>
                <w:rFonts w:hint="eastAsia" w:cs="Times New Roman"/>
                <w:b/>
                <w:bCs/>
                <w:color w:val="auto"/>
                <w:lang w:val="en-US" w:eastAsia="zh-CN"/>
              </w:rPr>
              <w:t>8</w:t>
            </w:r>
            <w:r>
              <w:rPr>
                <w:rFonts w:hint="eastAsia" w:ascii="Times New Roman" w:hAnsi="Times New Roman" w:eastAsia="宋体" w:cs="Times New Roman"/>
                <w:b/>
                <w:bCs/>
                <w:color w:val="auto"/>
                <w:lang w:val="en-US" w:eastAsia="zh-CN"/>
              </w:rPr>
              <w:t>）与《云南省空气质量持续改善行动实施方案》符合性分析</w:t>
            </w:r>
          </w:p>
          <w:p w14:paraId="5FA5DC83">
            <w:pPr>
              <w:pStyle w:val="87"/>
              <w:bidi w:val="0"/>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为全面贯彻落实《国务院关于印发〈空气质量持续改善行动计划〉的通知》（国发〔2023〕24号）精神，持续深入打好蓝天保卫战，结合我省实际，202</w:t>
            </w:r>
            <w:r>
              <w:rPr>
                <w:rFonts w:hint="eastAsia" w:ascii="Times New Roman" w:hAnsi="Times New Roman" w:eastAsia="宋体"/>
                <w:b w:val="0"/>
                <w:bCs w:val="0"/>
                <w:color w:val="auto"/>
                <w:lang w:val="en-US" w:eastAsia="zh-CN"/>
              </w:rPr>
              <w:t>4年4月23日云南省人民政府发布了《关于印发</w:t>
            </w:r>
            <w:r>
              <w:rPr>
                <w:rFonts w:hint="eastAsia"/>
                <w:b w:val="0"/>
                <w:bCs w:val="0"/>
                <w:color w:val="auto"/>
                <w:lang w:val="en-US" w:eastAsia="zh-CN"/>
              </w:rPr>
              <w:t>&lt;</w:t>
            </w:r>
            <w:r>
              <w:rPr>
                <w:rFonts w:hint="eastAsia" w:ascii="Times New Roman" w:hAnsi="Times New Roman" w:eastAsia="宋体" w:cs="Times New Roman"/>
                <w:b w:val="0"/>
                <w:bCs w:val="0"/>
                <w:color w:val="auto"/>
                <w:lang w:val="en-US" w:eastAsia="zh-CN"/>
              </w:rPr>
              <w:t>云南省空气质量持续改善行动实施方案</w:t>
            </w:r>
            <w:r>
              <w:rPr>
                <w:rFonts w:hint="eastAsia" w:cs="Times New Roman"/>
                <w:b w:val="0"/>
                <w:bCs w:val="0"/>
                <w:color w:val="auto"/>
                <w:lang w:val="en-US" w:eastAsia="zh-CN"/>
              </w:rPr>
              <w:t>&gt;</w:t>
            </w:r>
            <w:r>
              <w:rPr>
                <w:rFonts w:hint="eastAsia" w:ascii="Times New Roman" w:hAnsi="Times New Roman" w:eastAsia="宋体" w:cs="Times New Roman"/>
                <w:b w:val="0"/>
                <w:bCs w:val="0"/>
                <w:color w:val="auto"/>
                <w:lang w:val="en-US" w:eastAsia="zh-CN"/>
              </w:rPr>
              <w:t>的通知</w:t>
            </w:r>
            <w:r>
              <w:rPr>
                <w:rFonts w:hint="eastAsia" w:ascii="Times New Roman" w:hAnsi="Times New Roman" w:eastAsia="宋体"/>
                <w:b w:val="0"/>
                <w:bCs w:val="0"/>
                <w:color w:val="auto"/>
                <w:lang w:val="en-US" w:eastAsia="zh-CN"/>
              </w:rPr>
              <w:t>》（云政发</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202</w:t>
            </w:r>
            <w:r>
              <w:rPr>
                <w:rFonts w:hint="eastAsia"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1</w:t>
            </w:r>
            <w:r>
              <w:rPr>
                <w:rFonts w:hint="eastAsia"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号</w:t>
            </w:r>
            <w:r>
              <w:rPr>
                <w:rFonts w:hint="eastAsia" w:ascii="Times New Roman" w:hAnsi="Times New Roman" w:eastAsia="宋体"/>
                <w:b w:val="0"/>
                <w:bCs w:val="0"/>
                <w:color w:val="auto"/>
                <w:lang w:val="en-US" w:eastAsia="zh-CN"/>
              </w:rPr>
              <w:t>）</w:t>
            </w:r>
            <w:r>
              <w:rPr>
                <w:rFonts w:hint="eastAsia" w:ascii="Times New Roman" w:hAnsi="Times New Roman" w:eastAsia="宋体" w:cs="Times New Roman"/>
                <w:b w:val="0"/>
                <w:bCs w:val="0"/>
                <w:color w:val="auto"/>
                <w:lang w:val="en-US" w:eastAsia="zh-CN"/>
              </w:rPr>
              <w:t>，项目与其符合性分析详见下表。</w:t>
            </w:r>
          </w:p>
          <w:p w14:paraId="465E250C">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1"/>
                <w:szCs w:val="21"/>
                <w:lang w:val="en-US" w:eastAsia="zh-CN"/>
              </w:rPr>
            </w:pPr>
            <w:r>
              <w:rPr>
                <w:rFonts w:hint="eastAsia"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8</w:t>
            </w:r>
            <w:r>
              <w:rPr>
                <w:rFonts w:hint="eastAsia" w:ascii="Times New Roman" w:hAnsi="Times New Roman" w:eastAsia="宋体" w:cs="宋体"/>
                <w:b/>
                <w:bCs/>
                <w:color w:val="auto"/>
                <w:kern w:val="0"/>
                <w:sz w:val="21"/>
                <w:szCs w:val="21"/>
                <w:lang w:val="en-US" w:eastAsia="zh-CN"/>
              </w:rPr>
              <w:t xml:space="preserve">   </w:t>
            </w:r>
            <w:r>
              <w:rPr>
                <w:rFonts w:hint="default" w:ascii="Times New Roman" w:hAnsi="Times New Roman" w:eastAsia="宋体" w:cs="宋体"/>
                <w:b/>
                <w:bCs/>
                <w:color w:val="auto"/>
                <w:kern w:val="0"/>
                <w:sz w:val="21"/>
                <w:szCs w:val="21"/>
                <w:lang w:val="en-US" w:eastAsia="zh-CN"/>
              </w:rPr>
              <w:t>项目与</w:t>
            </w:r>
            <w:r>
              <w:rPr>
                <w:rFonts w:hint="eastAsia" w:ascii="Times New Roman" w:hAnsi="Times New Roman" w:eastAsia="宋体" w:cs="宋体"/>
                <w:b/>
                <w:bCs/>
                <w:color w:val="auto"/>
                <w:kern w:val="0"/>
                <w:sz w:val="21"/>
                <w:szCs w:val="21"/>
                <w:lang w:val="en-US" w:eastAsia="zh-CN"/>
              </w:rPr>
              <w:t>《云南省空气质量持续改善行动实施方案》</w:t>
            </w:r>
            <w:r>
              <w:rPr>
                <w:rFonts w:hint="default" w:ascii="Times New Roman" w:hAnsi="Times New Roman" w:eastAsia="宋体" w:cs="宋体"/>
                <w:b/>
                <w:bCs/>
                <w:color w:val="auto"/>
                <w:kern w:val="0"/>
                <w:sz w:val="21"/>
                <w:szCs w:val="21"/>
                <w:lang w:val="en-US" w:eastAsia="zh-CN"/>
              </w:rPr>
              <w:t>相符性对照表</w:t>
            </w:r>
          </w:p>
          <w:tbl>
            <w:tblPr>
              <w:tblStyle w:val="25"/>
              <w:tblW w:w="6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3785"/>
              <w:gridCol w:w="1926"/>
              <w:gridCol w:w="658"/>
            </w:tblGrid>
            <w:tr w14:paraId="6464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shd w:val="clear" w:color="auto" w:fill="D7D7D7" w:themeFill="background1" w:themeFillShade="D8"/>
                  <w:noWrap w:val="0"/>
                  <w:vAlign w:val="center"/>
                </w:tcPr>
                <w:p w14:paraId="71302D95">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章节</w:t>
                  </w:r>
                </w:p>
              </w:tc>
              <w:tc>
                <w:tcPr>
                  <w:tcW w:w="3785" w:type="dxa"/>
                  <w:shd w:val="clear" w:color="auto" w:fill="D7D7D7" w:themeFill="background1" w:themeFillShade="D8"/>
                  <w:noWrap w:val="0"/>
                  <w:vAlign w:val="center"/>
                </w:tcPr>
                <w:p w14:paraId="59536AB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要求</w:t>
                  </w:r>
                </w:p>
              </w:tc>
              <w:tc>
                <w:tcPr>
                  <w:tcW w:w="1926" w:type="dxa"/>
                  <w:shd w:val="clear" w:color="auto" w:fill="D7D7D7" w:themeFill="background1" w:themeFillShade="D8"/>
                  <w:noWrap w:val="0"/>
                  <w:vAlign w:val="center"/>
                </w:tcPr>
                <w:p w14:paraId="3213FC17">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项目</w:t>
                  </w:r>
                  <w:r>
                    <w:rPr>
                      <w:rFonts w:hint="eastAsia" w:ascii="Times New Roman" w:hAnsi="Times New Roman" w:eastAsia="宋体" w:cs="Times New Roman"/>
                      <w:color w:val="auto"/>
                      <w:lang w:val="en-US" w:eastAsia="zh-CN"/>
                    </w:rPr>
                    <w:t>建设</w:t>
                  </w:r>
                  <w:r>
                    <w:rPr>
                      <w:rFonts w:hint="default" w:ascii="Times New Roman" w:hAnsi="Times New Roman" w:eastAsia="宋体" w:cs="Times New Roman"/>
                      <w:color w:val="auto"/>
                    </w:rPr>
                    <w:t>情况</w:t>
                  </w:r>
                </w:p>
              </w:tc>
              <w:tc>
                <w:tcPr>
                  <w:tcW w:w="658" w:type="dxa"/>
                  <w:shd w:val="clear" w:color="auto" w:fill="D7D7D7" w:themeFill="background1" w:themeFillShade="D8"/>
                  <w:noWrap w:val="0"/>
                  <w:vAlign w:val="center"/>
                </w:tcPr>
                <w:p w14:paraId="05A9A010">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符合性</w:t>
                  </w:r>
                </w:p>
              </w:tc>
            </w:tr>
            <w:tr w14:paraId="2870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noWrap w:val="0"/>
                  <w:vAlign w:val="center"/>
                </w:tcPr>
                <w:p w14:paraId="43276DEE">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zh-CN" w:eastAsia="zh-CN" w:bidi="ar-SA"/>
                    </w:rPr>
                    <w:t>优化产业结构</w:t>
                  </w:r>
                </w:p>
              </w:tc>
              <w:tc>
                <w:tcPr>
                  <w:tcW w:w="3785" w:type="dxa"/>
                  <w:noWrap w:val="0"/>
                  <w:vAlign w:val="center"/>
                </w:tcPr>
                <w:p w14:paraId="508482CD">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zh-CN" w:eastAsia="zh-CN" w:bidi="ar-SA"/>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p w14:paraId="3070EB3D">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zh-CN" w:eastAsia="zh-CN" w:bidi="ar-SA"/>
                    </w:rPr>
                    <w:t>推动落后产能退出。推动能耗、环保、质量、安全、技术达不到标准和生产不合格产品或淘汰类产能依法依规关停退出。不予审批限制类新建项目，按照国家要求对属于限制类的现有生产能力进行升级改造。</w:t>
                  </w:r>
                </w:p>
                <w:p w14:paraId="279CB90A">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zh-CN" w:eastAsia="zh-CN" w:bidi="ar-SA"/>
                    </w:rPr>
                    <w:t>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p w14:paraId="1C2FAEB6">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zh-CN" w:eastAsia="zh-CN" w:bidi="ar-SA"/>
                    </w:rPr>
                    <w:t>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1926" w:type="dxa"/>
                  <w:noWrap w:val="0"/>
                  <w:vAlign w:val="top"/>
                </w:tcPr>
                <w:p w14:paraId="030579B5">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1、本项目</w:t>
                  </w:r>
                  <w:r>
                    <w:rPr>
                      <w:rFonts w:hint="eastAsia" w:ascii="Times New Roman" w:hAnsi="Times New Roman" w:eastAsia="宋体" w:cs="Times New Roman"/>
                      <w:color w:val="auto"/>
                      <w:sz w:val="21"/>
                      <w:szCs w:val="21"/>
                      <w:lang w:val="en-US" w:eastAsia="zh-CN"/>
                    </w:rPr>
                    <w:t>外购热轧带钢生产高频直缝焊管，</w:t>
                  </w:r>
                  <w:r>
                    <w:rPr>
                      <w:rFonts w:hint="eastAsia" w:ascii="Times New Roman" w:hAnsi="Times New Roman" w:eastAsia="宋体" w:cs="Times New Roman"/>
                      <w:color w:val="auto"/>
                      <w:kern w:val="2"/>
                      <w:sz w:val="21"/>
                      <w:szCs w:val="24"/>
                      <w:lang w:val="en-US" w:eastAsia="zh-CN" w:bidi="ar-SA"/>
                    </w:rPr>
                    <w:t>不属于两高项目。项目建设符合</w:t>
                  </w:r>
                  <w:r>
                    <w:rPr>
                      <w:rFonts w:hint="eastAsia" w:ascii="Times New Roman" w:hAnsi="Times New Roman" w:eastAsia="宋体" w:cs="Times New Roman"/>
                      <w:color w:val="auto"/>
                      <w:kern w:val="2"/>
                      <w:sz w:val="21"/>
                      <w:szCs w:val="24"/>
                      <w:lang w:val="zh-CN" w:eastAsia="zh-CN" w:bidi="ar-SA"/>
                    </w:rPr>
                    <w:t>产业规划、产业政策、生态环境分区管控方案、规划环评</w:t>
                  </w:r>
                  <w:r>
                    <w:rPr>
                      <w:rFonts w:hint="eastAsia" w:ascii="Times New Roman" w:hAnsi="Times New Roman" w:eastAsia="宋体" w:cs="Times New Roman"/>
                      <w:color w:val="auto"/>
                      <w:kern w:val="2"/>
                      <w:sz w:val="21"/>
                      <w:szCs w:val="24"/>
                      <w:lang w:val="en-US" w:eastAsia="zh-CN" w:bidi="ar-SA"/>
                    </w:rPr>
                    <w:t>等相关要求。项目不涉及</w:t>
                  </w:r>
                  <w:r>
                    <w:rPr>
                      <w:rFonts w:hint="eastAsia" w:ascii="Times New Roman" w:hAnsi="Times New Roman" w:eastAsia="宋体" w:cs="Times New Roman"/>
                      <w:color w:val="auto"/>
                      <w:kern w:val="2"/>
                      <w:sz w:val="21"/>
                      <w:szCs w:val="24"/>
                      <w:lang w:val="zh-CN" w:eastAsia="zh-CN" w:bidi="ar-SA"/>
                    </w:rPr>
                    <w:t>钢铁产业转型升级、独立焦化、烧结、球团和热轧企业及工序。</w:t>
                  </w:r>
                </w:p>
                <w:p w14:paraId="02FEA314">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default" w:ascii="Times New Roman" w:hAnsi="Times New Roman" w:eastAsia="宋体" w:cs="Times New Roman"/>
                      <w:color w:val="auto"/>
                      <w:kern w:val="2"/>
                      <w:sz w:val="21"/>
                      <w:szCs w:val="24"/>
                      <w:lang w:val="zh-CN" w:eastAsia="zh-CN" w:bidi="ar-SA"/>
                    </w:rPr>
                    <w:t>本项目</w:t>
                  </w:r>
                  <w:r>
                    <w:rPr>
                      <w:rFonts w:hint="eastAsia" w:ascii="Times New Roman" w:hAnsi="Times New Roman" w:eastAsia="宋体" w:cs="Times New Roman"/>
                      <w:color w:val="auto"/>
                      <w:kern w:val="2"/>
                      <w:sz w:val="21"/>
                      <w:szCs w:val="24"/>
                      <w:lang w:val="en-US" w:eastAsia="zh-CN" w:bidi="ar-SA"/>
                    </w:rPr>
                    <w:t>外购热轧带钢生产</w:t>
                  </w:r>
                  <w:r>
                    <w:rPr>
                      <w:rFonts w:hint="eastAsia" w:ascii="Times New Roman" w:hAnsi="Times New Roman" w:eastAsia="宋体" w:cs="Times New Roman"/>
                      <w:color w:val="auto"/>
                      <w:sz w:val="21"/>
                      <w:szCs w:val="21"/>
                      <w:lang w:val="en-US" w:eastAsia="zh-CN"/>
                    </w:rPr>
                    <w:t>高频直缝焊管</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zh-CN" w:eastAsia="zh-CN" w:bidi="ar-SA"/>
                    </w:rPr>
                    <w:t>属于</w:t>
                  </w:r>
                  <w:r>
                    <w:rPr>
                      <w:rFonts w:hint="eastAsia" w:ascii="Times New Roman" w:hAnsi="Times New Roman" w:eastAsia="宋体" w:cs="Times New Roman"/>
                      <w:color w:val="auto"/>
                      <w:kern w:val="2"/>
                      <w:sz w:val="21"/>
                      <w:szCs w:val="24"/>
                      <w:lang w:val="en-US" w:eastAsia="zh-CN" w:bidi="ar-SA"/>
                    </w:rPr>
                    <w:t>C3130钢压延加工</w:t>
                  </w:r>
                  <w:r>
                    <w:rPr>
                      <w:rFonts w:hint="default" w:ascii="Times New Roman" w:hAnsi="Times New Roman" w:eastAsia="宋体" w:cs="Times New Roman"/>
                      <w:color w:val="auto"/>
                      <w:kern w:val="2"/>
                      <w:sz w:val="21"/>
                      <w:szCs w:val="24"/>
                      <w:lang w:val="zh-CN" w:eastAsia="zh-CN" w:bidi="ar-SA"/>
                    </w:rPr>
                    <w:t>，本项目不生产落后产品，不使用淘汰类生产设备。经对照《产业结构调整指导目录（2024年本）》分析，本项目不属于鼓励类、限制类，不使用落后生产工艺装备，不生产落后产品</w:t>
                  </w:r>
                  <w:r>
                    <w:rPr>
                      <w:rFonts w:hint="eastAsia" w:ascii="Times New Roman" w:hAnsi="Times New Roman" w:eastAsia="宋体" w:cs="Times New Roman"/>
                      <w:color w:val="auto"/>
                      <w:kern w:val="2"/>
                      <w:sz w:val="21"/>
                      <w:szCs w:val="24"/>
                      <w:lang w:val="zh-CN" w:eastAsia="zh-CN" w:bidi="ar-SA"/>
                    </w:rPr>
                    <w:t>，</w:t>
                  </w:r>
                  <w:r>
                    <w:rPr>
                      <w:rFonts w:hint="eastAsia" w:ascii="Times New Roman" w:hAnsi="Times New Roman" w:eastAsia="宋体" w:cs="Times New Roman"/>
                      <w:color w:val="auto"/>
                      <w:kern w:val="2"/>
                      <w:sz w:val="21"/>
                      <w:szCs w:val="24"/>
                      <w:lang w:val="en-US" w:eastAsia="zh-CN" w:bidi="ar-SA"/>
                    </w:rPr>
                    <w:t>视</w:t>
                  </w:r>
                  <w:r>
                    <w:rPr>
                      <w:rFonts w:hint="default" w:ascii="Times New Roman" w:hAnsi="Times New Roman" w:eastAsia="宋体" w:cs="Times New Roman"/>
                      <w:color w:val="auto"/>
                      <w:kern w:val="2"/>
                      <w:sz w:val="21"/>
                      <w:szCs w:val="24"/>
                      <w:lang w:val="zh-CN" w:eastAsia="zh-CN" w:bidi="ar-SA"/>
                    </w:rPr>
                    <w:t>为</w:t>
                  </w:r>
                  <w:r>
                    <w:rPr>
                      <w:rFonts w:hint="eastAsia" w:cs="Times New Roman"/>
                      <w:color w:val="auto"/>
                      <w:spacing w:val="-11"/>
                      <w:kern w:val="2"/>
                      <w:sz w:val="21"/>
                      <w:szCs w:val="24"/>
                      <w:lang w:val="en-US" w:eastAsia="zh-CN" w:bidi="ar-SA"/>
                    </w:rPr>
                    <w:t>“</w:t>
                  </w:r>
                  <w:r>
                    <w:rPr>
                      <w:rFonts w:hint="default" w:ascii="Times New Roman" w:hAnsi="Times New Roman" w:eastAsia="宋体" w:cs="Times New Roman"/>
                      <w:color w:val="auto"/>
                      <w:spacing w:val="-11"/>
                      <w:kern w:val="2"/>
                      <w:sz w:val="21"/>
                      <w:szCs w:val="24"/>
                      <w:lang w:val="zh-CN" w:eastAsia="zh-CN" w:bidi="ar-SA"/>
                    </w:rPr>
                    <w:t>允许类</w:t>
                  </w:r>
                  <w:r>
                    <w:rPr>
                      <w:rFonts w:hint="eastAsia" w:cs="Times New Roman"/>
                      <w:color w:val="auto"/>
                      <w:spacing w:val="-11"/>
                      <w:kern w:val="2"/>
                      <w:sz w:val="21"/>
                      <w:szCs w:val="24"/>
                      <w:lang w:val="zh-CN" w:eastAsia="zh-CN" w:bidi="ar-SA"/>
                    </w:rPr>
                    <w:t>”</w:t>
                  </w:r>
                  <w:r>
                    <w:rPr>
                      <w:rFonts w:hint="default" w:ascii="Times New Roman" w:hAnsi="Times New Roman" w:eastAsia="宋体" w:cs="Times New Roman"/>
                      <w:color w:val="auto"/>
                      <w:kern w:val="2"/>
                      <w:sz w:val="21"/>
                      <w:szCs w:val="24"/>
                      <w:lang w:val="zh-CN" w:eastAsia="zh-CN" w:bidi="ar-SA"/>
                    </w:rPr>
                    <w:t>。根据《产业发展与转移指导目录（2018年本）》</w:t>
                  </w:r>
                  <w:r>
                    <w:rPr>
                      <w:rFonts w:hint="eastAsia" w:ascii="Times New Roman" w:hAnsi="Times New Roman" w:eastAsia="宋体" w:cs="Times New Roman"/>
                      <w:color w:val="auto"/>
                      <w:kern w:val="2"/>
                      <w:sz w:val="21"/>
                      <w:szCs w:val="24"/>
                      <w:lang w:val="zh-CN" w:eastAsia="zh-CN" w:bidi="ar-SA"/>
                    </w:rPr>
                    <w:t>，</w:t>
                  </w:r>
                  <w:r>
                    <w:rPr>
                      <w:rFonts w:hint="default" w:ascii="Times New Roman" w:hAnsi="Times New Roman" w:eastAsia="宋体" w:cs="Times New Roman"/>
                      <w:color w:val="auto"/>
                      <w:kern w:val="2"/>
                      <w:sz w:val="21"/>
                      <w:szCs w:val="24"/>
                      <w:lang w:val="zh-CN" w:eastAsia="zh-CN" w:bidi="ar-SA"/>
                    </w:rPr>
                    <w:t>本项目不属于云南引导不再承接的产业</w:t>
                  </w:r>
                  <w:r>
                    <w:rPr>
                      <w:rFonts w:hint="eastAsia" w:ascii="Times New Roman" w:hAnsi="Times New Roman" w:eastAsia="宋体" w:cs="Times New Roman"/>
                      <w:color w:val="auto"/>
                      <w:kern w:val="2"/>
                      <w:sz w:val="21"/>
                      <w:szCs w:val="24"/>
                      <w:lang w:val="zh-CN" w:eastAsia="zh-CN" w:bidi="ar-SA"/>
                    </w:rPr>
                    <w:t>。</w:t>
                  </w:r>
                </w:p>
                <w:p w14:paraId="2D50C98D">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3、项目不涉及</w:t>
                  </w:r>
                  <w:r>
                    <w:rPr>
                      <w:rFonts w:hint="eastAsia" w:ascii="Times New Roman" w:hAnsi="Times New Roman" w:eastAsia="宋体" w:cs="Times New Roman"/>
                      <w:color w:val="auto"/>
                      <w:kern w:val="2"/>
                      <w:sz w:val="21"/>
                      <w:szCs w:val="24"/>
                      <w:lang w:val="zh-CN" w:eastAsia="zh-CN" w:bidi="ar-SA"/>
                    </w:rPr>
                    <w:t>含VOCs原辅材料和产品；</w:t>
                  </w:r>
                  <w:r>
                    <w:rPr>
                      <w:rFonts w:hint="eastAsia" w:ascii="Times New Roman" w:hAnsi="Times New Roman" w:eastAsia="宋体" w:cs="Times New Roman"/>
                      <w:color w:val="auto"/>
                      <w:kern w:val="2"/>
                      <w:sz w:val="21"/>
                      <w:szCs w:val="24"/>
                      <w:lang w:val="en-US" w:eastAsia="zh-CN" w:bidi="ar-SA"/>
                    </w:rPr>
                    <w:t>不</w:t>
                  </w:r>
                  <w:r>
                    <w:rPr>
                      <w:rFonts w:hint="eastAsia" w:ascii="Times New Roman" w:hAnsi="Times New Roman" w:eastAsia="宋体" w:cs="Times New Roman"/>
                      <w:color w:val="auto"/>
                      <w:kern w:val="2"/>
                      <w:sz w:val="21"/>
                      <w:szCs w:val="24"/>
                      <w:lang w:val="zh-CN" w:eastAsia="zh-CN" w:bidi="ar-SA"/>
                    </w:rPr>
                    <w:t>生产和使用高VOCs含量涂料、油墨、胶粘剂、清洗剂等；</w:t>
                  </w:r>
                </w:p>
                <w:p w14:paraId="2838579D">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4、项目不涉及。</w:t>
                  </w:r>
                </w:p>
              </w:tc>
              <w:tc>
                <w:tcPr>
                  <w:tcW w:w="658" w:type="dxa"/>
                  <w:noWrap w:val="0"/>
                  <w:vAlign w:val="center"/>
                </w:tcPr>
                <w:p w14:paraId="30B428B6">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14:paraId="0D6B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noWrap w:val="0"/>
                  <w:vAlign w:val="center"/>
                </w:tcPr>
                <w:p w14:paraId="0B21E59C">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优化能源结构</w:t>
                  </w:r>
                </w:p>
              </w:tc>
              <w:tc>
                <w:tcPr>
                  <w:tcW w:w="3785" w:type="dxa"/>
                  <w:noWrap w:val="0"/>
                  <w:vAlign w:val="top"/>
                </w:tcPr>
                <w:p w14:paraId="28E09F22">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zh-CN" w:eastAsia="zh-CN" w:bidi="ar-SA"/>
                    </w:rPr>
                    <w:t>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p w14:paraId="0CE75A64">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zh-CN" w:eastAsia="zh-CN" w:bidi="ar-SA"/>
                    </w:rPr>
                    <w:t>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p w14:paraId="4AAD9B48">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zh-CN" w:eastAsia="zh-CN" w:bidi="ar-SA"/>
                    </w:rPr>
                    <w:t>推动工业炉窑清洁能源替代。有序推进以电代煤，积极稳妥推进以气代煤。对以煤、石油焦、渣油、重油等为燃料的工业炉窑，加快使用工业余热、电能、天然气等清洁能源进行替代。</w:t>
                  </w:r>
                </w:p>
              </w:tc>
              <w:tc>
                <w:tcPr>
                  <w:tcW w:w="1926" w:type="dxa"/>
                  <w:noWrap w:val="0"/>
                  <w:vAlign w:val="top"/>
                </w:tcPr>
                <w:p w14:paraId="0374512D">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1、项目运营期使用清洁能源电能，不使用煤炭；</w:t>
                  </w:r>
                </w:p>
                <w:p w14:paraId="30C7660C">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2、项目不涉及</w:t>
                  </w:r>
                  <w:r>
                    <w:rPr>
                      <w:rFonts w:hint="eastAsia" w:ascii="Times New Roman" w:hAnsi="Times New Roman" w:eastAsia="宋体" w:cs="Times New Roman"/>
                      <w:color w:val="auto"/>
                      <w:kern w:val="2"/>
                      <w:sz w:val="21"/>
                      <w:szCs w:val="24"/>
                      <w:lang w:val="zh-CN" w:eastAsia="zh-CN" w:bidi="ar-SA"/>
                    </w:rPr>
                    <w:t>燃煤锅炉；</w:t>
                  </w:r>
                </w:p>
                <w:p w14:paraId="20F89EBF">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3、项目不涉及</w:t>
                  </w:r>
                  <w:r>
                    <w:rPr>
                      <w:rFonts w:hint="eastAsia" w:ascii="Times New Roman" w:hAnsi="Times New Roman" w:eastAsia="宋体" w:cs="Times New Roman"/>
                      <w:color w:val="auto"/>
                      <w:kern w:val="2"/>
                      <w:sz w:val="21"/>
                      <w:szCs w:val="24"/>
                      <w:lang w:val="zh-CN" w:eastAsia="zh-CN" w:bidi="ar-SA"/>
                    </w:rPr>
                    <w:t>煤、石油焦、渣油、重油等为燃料的工业炉窑。</w:t>
                  </w:r>
                </w:p>
              </w:tc>
              <w:tc>
                <w:tcPr>
                  <w:tcW w:w="658" w:type="dxa"/>
                  <w:noWrap w:val="0"/>
                  <w:vAlign w:val="center"/>
                </w:tcPr>
                <w:p w14:paraId="2DBAFDD2">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14:paraId="3A0E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9" w:type="dxa"/>
                  <w:noWrap w:val="0"/>
                  <w:vAlign w:val="center"/>
                </w:tcPr>
                <w:p w14:paraId="20291F39">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强化多污染物减排</w:t>
                  </w:r>
                </w:p>
              </w:tc>
              <w:tc>
                <w:tcPr>
                  <w:tcW w:w="3785" w:type="dxa"/>
                  <w:noWrap w:val="0"/>
                  <w:vAlign w:val="top"/>
                </w:tcPr>
                <w:p w14:paraId="112DEFD7">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zh-CN" w:eastAsia="zh-CN" w:bidi="ar-SA"/>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p w14:paraId="251D6BD5">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zh-CN" w:eastAsia="zh-CN" w:bidi="ar-SA"/>
                    </w:rPr>
                    <w:t>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p w14:paraId="47EEFE9A">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zh-CN" w:eastAsia="zh-CN" w:bidi="ar-SA"/>
                    </w:rPr>
                    <w:t>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p w14:paraId="1AC448E3">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zh-CN" w:eastAsia="zh-CN" w:bidi="ar-SA"/>
                    </w:rPr>
                    <w:t>推进大气氨污染防控。推广低蛋白日粮技术，在适宜地区推广氮肥机械深施。开展畜禽养殖标准化示范创建，鼓励生猪、鸡等圈舍及粪污输送、存储、处理设施封闭管理。加强氮肥、纯碱等行业大气氨排放治理，强化工业源烟气氨逃逸防控。</w:t>
                  </w:r>
                </w:p>
              </w:tc>
              <w:tc>
                <w:tcPr>
                  <w:tcW w:w="1926" w:type="dxa"/>
                  <w:noWrap w:val="0"/>
                  <w:vAlign w:val="top"/>
                </w:tcPr>
                <w:p w14:paraId="67D1E8F7">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1、项目运营期废气污染为颗粒物，不涉及</w:t>
                  </w:r>
                  <w:r>
                    <w:rPr>
                      <w:rFonts w:hint="eastAsia" w:ascii="Times New Roman" w:hAnsi="Times New Roman" w:eastAsia="宋体" w:cs="Times New Roman"/>
                      <w:color w:val="auto"/>
                      <w:kern w:val="2"/>
                      <w:sz w:val="21"/>
                      <w:szCs w:val="24"/>
                      <w:lang w:val="zh-CN" w:eastAsia="zh-CN" w:bidi="ar-SA"/>
                    </w:rPr>
                    <w:t>含VOCs有机</w:t>
                  </w:r>
                  <w:r>
                    <w:rPr>
                      <w:rFonts w:hint="eastAsia" w:ascii="Times New Roman" w:hAnsi="Times New Roman" w:eastAsia="宋体" w:cs="Times New Roman"/>
                      <w:color w:val="auto"/>
                      <w:kern w:val="2"/>
                      <w:sz w:val="21"/>
                      <w:szCs w:val="24"/>
                      <w:lang w:val="en-US" w:eastAsia="zh-CN" w:bidi="ar-SA"/>
                    </w:rPr>
                    <w:t>废气、</w:t>
                  </w:r>
                  <w:r>
                    <w:rPr>
                      <w:rFonts w:hint="eastAsia" w:ascii="Times New Roman" w:hAnsi="Times New Roman" w:eastAsia="宋体" w:cs="Times New Roman"/>
                      <w:color w:val="auto"/>
                      <w:kern w:val="2"/>
                      <w:sz w:val="21"/>
                      <w:szCs w:val="24"/>
                      <w:lang w:val="zh-CN" w:eastAsia="zh-CN" w:bidi="ar-SA"/>
                    </w:rPr>
                    <w:t>废水。</w:t>
                  </w:r>
                </w:p>
                <w:p w14:paraId="53B12517">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eastAsia="宋体" w:cs="Times New Roman"/>
                      <w:color w:val="auto"/>
                      <w:kern w:val="2"/>
                      <w:sz w:val="21"/>
                      <w:szCs w:val="24"/>
                      <w:lang w:val="en-US" w:eastAsia="zh-CN" w:bidi="ar-SA"/>
                    </w:rPr>
                    <w:t>2、项目不涉及</w:t>
                  </w:r>
                  <w:r>
                    <w:rPr>
                      <w:rFonts w:hint="eastAsia" w:ascii="Times New Roman" w:hAnsi="Times New Roman" w:eastAsia="宋体" w:cs="Times New Roman"/>
                      <w:color w:val="auto"/>
                      <w:kern w:val="2"/>
                      <w:sz w:val="21"/>
                      <w:szCs w:val="24"/>
                      <w:lang w:val="zh-CN" w:eastAsia="zh-CN" w:bidi="ar-SA"/>
                    </w:rPr>
                    <w:t>燃煤锅炉；</w:t>
                  </w:r>
                  <w:r>
                    <w:rPr>
                      <w:rFonts w:hint="eastAsia" w:ascii="Times New Roman" w:hAnsi="Times New Roman" w:eastAsia="宋体" w:cs="Times New Roman"/>
                      <w:color w:val="auto"/>
                      <w:kern w:val="2"/>
                      <w:sz w:val="21"/>
                      <w:szCs w:val="24"/>
                      <w:lang w:val="en-US" w:eastAsia="zh-CN" w:bidi="ar-SA"/>
                    </w:rPr>
                    <w:t>不涉及</w:t>
                  </w:r>
                  <w:r>
                    <w:rPr>
                      <w:rFonts w:hint="eastAsia" w:ascii="Times New Roman" w:hAnsi="Times New Roman" w:eastAsia="宋体" w:cs="Times New Roman"/>
                      <w:color w:val="auto"/>
                      <w:kern w:val="2"/>
                      <w:sz w:val="21"/>
                      <w:szCs w:val="24"/>
                      <w:lang w:val="zh-CN" w:eastAsia="zh-CN" w:bidi="ar-SA"/>
                    </w:rPr>
                    <w:t>超低排放改造。</w:t>
                  </w:r>
                  <w:r>
                    <w:rPr>
                      <w:rFonts w:hint="eastAsia" w:ascii="Times New Roman" w:hAnsi="Times New Roman" w:eastAsia="宋体"/>
                      <w:color w:val="auto"/>
                      <w:sz w:val="21"/>
                      <w:szCs w:val="21"/>
                    </w:rPr>
                    <w:t>生产过程中产生的粉尘通过</w:t>
                  </w:r>
                  <w:r>
                    <w:rPr>
                      <w:rFonts w:hint="eastAsia" w:ascii="Times New Roman" w:hAnsi="Times New Roman" w:eastAsia="宋体" w:cs="宋体"/>
                      <w:color w:val="auto"/>
                      <w:sz w:val="21"/>
                      <w:szCs w:val="21"/>
                    </w:rPr>
                    <w:t>集气罩+</w:t>
                  </w:r>
                  <w:r>
                    <w:rPr>
                      <w:rFonts w:hint="eastAsia" w:cs="宋体"/>
                      <w:color w:val="auto"/>
                      <w:sz w:val="21"/>
                      <w:szCs w:val="21"/>
                      <w:lang w:val="en-US" w:eastAsia="zh-CN"/>
                    </w:rPr>
                    <w:t>烟尘净化</w:t>
                  </w:r>
                  <w:r>
                    <w:rPr>
                      <w:rFonts w:hint="eastAsia" w:ascii="Times New Roman" w:hAnsi="Times New Roman" w:eastAsia="宋体" w:cs="宋体"/>
                      <w:color w:val="auto"/>
                      <w:sz w:val="21"/>
                      <w:szCs w:val="21"/>
                      <w:lang w:val="en-US" w:eastAsia="zh-CN"/>
                    </w:rPr>
                    <w:t>除尘器</w:t>
                  </w:r>
                  <w:r>
                    <w:rPr>
                      <w:rFonts w:hint="eastAsia" w:ascii="Times New Roman" w:hAnsi="Times New Roman" w:eastAsia="宋体" w:cs="宋体"/>
                      <w:color w:val="auto"/>
                      <w:sz w:val="21"/>
                      <w:szCs w:val="21"/>
                    </w:rPr>
                    <w:t>处理后</w:t>
                  </w:r>
                  <w:r>
                    <w:rPr>
                      <w:rFonts w:hint="eastAsia" w:cs="宋体"/>
                      <w:color w:val="auto"/>
                      <w:sz w:val="21"/>
                      <w:szCs w:val="21"/>
                      <w:lang w:val="en-US" w:eastAsia="zh-CN"/>
                    </w:rPr>
                    <w:t>无组织排放到厂房内</w:t>
                  </w:r>
                  <w:r>
                    <w:rPr>
                      <w:rFonts w:hint="eastAsia" w:ascii="Times New Roman" w:hAnsi="Times New Roman" w:eastAsia="宋体" w:cs="宋体"/>
                      <w:color w:val="auto"/>
                      <w:sz w:val="21"/>
                      <w:szCs w:val="21"/>
                      <w:lang w:eastAsia="zh-CN"/>
                    </w:rPr>
                    <w:t>，</w:t>
                  </w:r>
                  <w:r>
                    <w:rPr>
                      <w:rFonts w:hint="eastAsia" w:ascii="Times New Roman" w:hAnsi="Times New Roman" w:eastAsia="宋体" w:cs="宋体"/>
                      <w:color w:val="auto"/>
                      <w:sz w:val="21"/>
                      <w:szCs w:val="21"/>
                      <w:lang w:val="en-US" w:eastAsia="zh-CN"/>
                    </w:rPr>
                    <w:t>无</w:t>
                  </w:r>
                  <w:r>
                    <w:rPr>
                      <w:rFonts w:hint="eastAsia" w:ascii="Times New Roman" w:hAnsi="Times New Roman" w:eastAsia="宋体" w:cs="Times New Roman"/>
                      <w:color w:val="auto"/>
                      <w:kern w:val="2"/>
                      <w:sz w:val="21"/>
                      <w:szCs w:val="24"/>
                      <w:lang w:val="zh-CN" w:eastAsia="zh-CN" w:bidi="ar-SA"/>
                    </w:rPr>
                    <w:t>烟气和含VOCs废气旁路。</w:t>
                  </w:r>
                </w:p>
                <w:p w14:paraId="5B03E8F0">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3、本项目不设食堂，运营期不涉及</w:t>
                  </w:r>
                  <w:r>
                    <w:rPr>
                      <w:rFonts w:hint="eastAsia" w:ascii="Times New Roman" w:hAnsi="Times New Roman" w:eastAsia="宋体" w:cs="Times New Roman"/>
                      <w:color w:val="auto"/>
                      <w:kern w:val="2"/>
                      <w:sz w:val="21"/>
                      <w:szCs w:val="24"/>
                      <w:lang w:val="zh-CN" w:eastAsia="zh-CN" w:bidi="ar-SA"/>
                    </w:rPr>
                    <w:t>餐饮油烟和恶臭异味</w:t>
                  </w:r>
                  <w:r>
                    <w:rPr>
                      <w:rFonts w:hint="eastAsia" w:ascii="Times New Roman" w:hAnsi="Times New Roman" w:eastAsia="宋体" w:cs="Times New Roman"/>
                      <w:color w:val="auto"/>
                      <w:kern w:val="2"/>
                      <w:sz w:val="21"/>
                      <w:szCs w:val="24"/>
                      <w:lang w:val="en-US" w:eastAsia="zh-CN" w:bidi="ar-SA"/>
                    </w:rPr>
                    <w:t>排放；</w:t>
                  </w:r>
                </w:p>
                <w:p w14:paraId="6B8DE848">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4、本项目运营期不涉及氨排放，不涉及</w:t>
                  </w:r>
                  <w:r>
                    <w:rPr>
                      <w:rFonts w:hint="eastAsia" w:ascii="Times New Roman" w:hAnsi="Times New Roman" w:eastAsia="宋体" w:cs="Times New Roman"/>
                      <w:color w:val="auto"/>
                      <w:kern w:val="2"/>
                      <w:sz w:val="21"/>
                      <w:szCs w:val="24"/>
                      <w:lang w:val="zh-CN" w:eastAsia="zh-CN" w:bidi="ar-SA"/>
                    </w:rPr>
                    <w:t>畜禽养殖、氮肥、纯碱等行业。</w:t>
                  </w:r>
                </w:p>
              </w:tc>
              <w:tc>
                <w:tcPr>
                  <w:tcW w:w="658" w:type="dxa"/>
                  <w:noWrap w:val="0"/>
                  <w:vAlign w:val="center"/>
                </w:tcPr>
                <w:p w14:paraId="042E0994">
                  <w:pPr>
                    <w:pStyle w:val="87"/>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bl>
          <w:p w14:paraId="0A725CD9">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由上表可知，项目建设符合《云南省空气质量持续改善行动实施方案》相关要求。</w:t>
            </w:r>
          </w:p>
          <w:p w14:paraId="4FB584C1">
            <w:pPr>
              <w:adjustRightInd w:val="0"/>
              <w:snapToGrid w:val="0"/>
              <w:spacing w:line="360" w:lineRule="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9</w:t>
            </w:r>
            <w:r>
              <w:rPr>
                <w:rFonts w:hint="eastAsia" w:ascii="Times New Roman" w:hAnsi="Times New Roman" w:eastAsia="宋体" w:cs="Times New Roman"/>
                <w:b/>
                <w:bCs/>
                <w:color w:val="auto"/>
                <w:sz w:val="24"/>
                <w:lang w:val="en-US" w:eastAsia="zh-CN"/>
              </w:rPr>
              <w:t>）与《云南省生态环境保护条例》符合性分析</w:t>
            </w:r>
          </w:p>
          <w:p w14:paraId="3BE1058C">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2024年9月26日云南省第十四届人民代表大会常务委员会第十二次会议通过了《云南省大气污染防治条例》，自2024年11月1日执行。摘选部分与本项目相关内容，与其符合性分析见下表所示</w:t>
            </w:r>
            <w:r>
              <w:rPr>
                <w:rFonts w:hint="eastAsia" w:cs="Times New Roman"/>
                <w:color w:val="auto"/>
                <w:sz w:val="24"/>
                <w:lang w:val="en-US" w:eastAsia="zh-CN"/>
              </w:rPr>
              <w:t>。</w:t>
            </w:r>
          </w:p>
          <w:p w14:paraId="523687E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Times New Roman" w:eastAsia="宋体" w:cs="Times New Roman"/>
                <w:b/>
                <w:bCs/>
                <w:color w:val="auto"/>
                <w:kern w:val="2"/>
                <w:sz w:val="21"/>
                <w:szCs w:val="21"/>
                <w:lang w:val="en-US" w:eastAsia="zh-CN" w:bidi="ar-SA"/>
              </w:rPr>
            </w:pPr>
          </w:p>
          <w:p w14:paraId="19C765A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9</w:t>
            </w:r>
            <w:r>
              <w:rPr>
                <w:rFonts w:hint="eastAsia" w:ascii="Times New Roman" w:hAnsi="Times New Roman" w:eastAsia="宋体" w:cs="Times New Roman"/>
                <w:b/>
                <w:bCs/>
                <w:color w:val="auto"/>
                <w:kern w:val="2"/>
                <w:sz w:val="21"/>
                <w:szCs w:val="21"/>
                <w:lang w:val="en-US" w:eastAsia="zh-CN" w:bidi="ar-SA"/>
              </w:rPr>
              <w:t xml:space="preserve">  本项目与《云南省生态环境保护条例》符合性分析（摘抄）</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3272"/>
              <w:gridCol w:w="2553"/>
              <w:gridCol w:w="755"/>
            </w:tblGrid>
            <w:tr w14:paraId="4EB4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jc w:val="center"/>
              </w:trPr>
              <w:tc>
                <w:tcPr>
                  <w:tcW w:w="501" w:type="dxa"/>
                  <w:shd w:val="clear" w:color="auto" w:fill="D7D7D7" w:themeFill="background1" w:themeFillShade="D8"/>
                  <w:noWrap w:val="0"/>
                  <w:vAlign w:val="center"/>
                </w:tcPr>
                <w:p w14:paraId="5F054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序号</w:t>
                  </w:r>
                </w:p>
              </w:tc>
              <w:tc>
                <w:tcPr>
                  <w:tcW w:w="3963" w:type="dxa"/>
                  <w:shd w:val="clear" w:color="auto" w:fill="D7D7D7" w:themeFill="background1" w:themeFillShade="D8"/>
                  <w:noWrap w:val="0"/>
                  <w:vAlign w:val="center"/>
                </w:tcPr>
                <w:p w14:paraId="40F34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条例规定</w:t>
                  </w:r>
                </w:p>
              </w:tc>
              <w:tc>
                <w:tcPr>
                  <w:tcW w:w="2713" w:type="dxa"/>
                  <w:shd w:val="clear" w:color="auto" w:fill="D7D7D7" w:themeFill="background1" w:themeFillShade="D8"/>
                  <w:noWrap w:val="0"/>
                  <w:vAlign w:val="center"/>
                </w:tcPr>
                <w:p w14:paraId="5839D7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本项目情况</w:t>
                  </w:r>
                </w:p>
              </w:tc>
              <w:tc>
                <w:tcPr>
                  <w:tcW w:w="841" w:type="dxa"/>
                  <w:shd w:val="clear" w:color="auto" w:fill="D7D7D7" w:themeFill="background1" w:themeFillShade="D8"/>
                  <w:noWrap w:val="0"/>
                  <w:vAlign w:val="center"/>
                </w:tcPr>
                <w:p w14:paraId="1E4DCA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符合性</w:t>
                  </w:r>
                </w:p>
              </w:tc>
            </w:tr>
            <w:tr w14:paraId="4C6C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01" w:type="dxa"/>
                  <w:noWrap w:val="0"/>
                  <w:vAlign w:val="center"/>
                </w:tcPr>
                <w:p w14:paraId="13FF5D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t>1</w:t>
                  </w:r>
                </w:p>
              </w:tc>
              <w:tc>
                <w:tcPr>
                  <w:tcW w:w="3963" w:type="dxa"/>
                  <w:noWrap w:val="0"/>
                  <w:vAlign w:val="center"/>
                </w:tcPr>
                <w:p w14:paraId="64C81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第三十六条 排放污染物的企业事业单位和其他生产经营者，应当采取措施，防治在生产建设或者其他活动中产生的废气、废水、废渣、医疗废物、粉尘、恶臭气体、放射性物质以及噪声、振动、光辐射、电磁辐射等对生态环境的污染和危害。</w:t>
                  </w:r>
                </w:p>
              </w:tc>
              <w:tc>
                <w:tcPr>
                  <w:tcW w:w="2713" w:type="dxa"/>
                  <w:noWrap w:val="0"/>
                  <w:vAlign w:val="center"/>
                </w:tcPr>
                <w:p w14:paraId="39FBF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color w:val="auto"/>
                      <w:spacing w:val="-6"/>
                      <w:sz w:val="21"/>
                      <w:szCs w:val="21"/>
                      <w:lang w:val="en-US" w:eastAsia="zh-CN"/>
                    </w:rPr>
                    <w:t>项目</w:t>
                  </w:r>
                  <w:r>
                    <w:rPr>
                      <w:rFonts w:hint="eastAsia" w:ascii="Times New Roman" w:hAnsi="Times New Roman" w:eastAsia="宋体"/>
                      <w:color w:val="auto"/>
                      <w:spacing w:val="-6"/>
                      <w:sz w:val="21"/>
                      <w:szCs w:val="21"/>
                    </w:rPr>
                    <w:t>生产过程中产生的粉尘通过</w:t>
                  </w:r>
                  <w:r>
                    <w:rPr>
                      <w:rFonts w:hint="eastAsia" w:ascii="Times New Roman" w:hAnsi="Times New Roman" w:eastAsia="宋体" w:cs="宋体"/>
                      <w:color w:val="auto"/>
                      <w:spacing w:val="-6"/>
                      <w:sz w:val="21"/>
                      <w:szCs w:val="21"/>
                    </w:rPr>
                    <w:t>集气罩+</w:t>
                  </w:r>
                  <w:r>
                    <w:rPr>
                      <w:rFonts w:hint="eastAsia" w:cs="宋体"/>
                      <w:color w:val="auto"/>
                      <w:sz w:val="21"/>
                      <w:szCs w:val="21"/>
                      <w:lang w:val="en-US" w:eastAsia="zh-CN"/>
                    </w:rPr>
                    <w:t>烟尘净化</w:t>
                  </w:r>
                  <w:r>
                    <w:rPr>
                      <w:rFonts w:hint="eastAsia" w:ascii="Times New Roman" w:hAnsi="Times New Roman" w:eastAsia="宋体" w:cs="宋体"/>
                      <w:color w:val="auto"/>
                      <w:sz w:val="21"/>
                      <w:szCs w:val="21"/>
                      <w:lang w:val="en-US" w:eastAsia="zh-CN"/>
                    </w:rPr>
                    <w:t>除尘器</w:t>
                  </w:r>
                  <w:r>
                    <w:rPr>
                      <w:rFonts w:hint="eastAsia" w:ascii="Times New Roman" w:hAnsi="Times New Roman" w:eastAsia="宋体" w:cs="宋体"/>
                      <w:color w:val="auto"/>
                      <w:spacing w:val="-6"/>
                      <w:sz w:val="21"/>
                      <w:szCs w:val="21"/>
                    </w:rPr>
                    <w:t>处理后</w:t>
                  </w:r>
                  <w:r>
                    <w:rPr>
                      <w:rFonts w:hint="eastAsia" w:cs="宋体"/>
                      <w:color w:val="auto"/>
                      <w:spacing w:val="-6"/>
                      <w:sz w:val="21"/>
                      <w:szCs w:val="21"/>
                      <w:lang w:val="en-US" w:eastAsia="zh-CN"/>
                    </w:rPr>
                    <w:t>无组织排放到厂房内</w:t>
                  </w:r>
                  <w:r>
                    <w:rPr>
                      <w:rFonts w:hint="eastAsia" w:ascii="Times New Roman" w:hAnsi="Times New Roman" w:eastAsia="宋体" w:cs="Times New Roman"/>
                      <w:i w:val="0"/>
                      <w:iCs w:val="0"/>
                      <w:caps w:val="0"/>
                      <w:color w:val="auto"/>
                      <w:spacing w:val="-6"/>
                      <w:kern w:val="2"/>
                      <w:sz w:val="21"/>
                      <w:szCs w:val="21"/>
                      <w:shd w:val="clear" w:color="auto" w:fill="FFFFFF"/>
                      <w:lang w:val="en-US" w:eastAsia="zh-CN" w:bidi="ar-SA"/>
                    </w:rPr>
                    <w:t>。</w:t>
                  </w:r>
                  <w:r>
                    <w:rPr>
                      <w:rFonts w:hint="eastAsia" w:ascii="Times New Roman" w:hAnsi="Times New Roman" w:eastAsia="宋体" w:cs="宋体"/>
                      <w:color w:val="auto"/>
                      <w:spacing w:val="-6"/>
                      <w:kern w:val="0"/>
                      <w:sz w:val="21"/>
                      <w:szCs w:val="21"/>
                      <w:vertAlign w:val="baseline"/>
                      <w:lang w:val="en-US" w:eastAsia="zh-CN"/>
                    </w:rPr>
                    <w:t>项目</w:t>
                  </w:r>
                  <w:r>
                    <w:rPr>
                      <w:rFonts w:hint="eastAsia" w:ascii="Times New Roman" w:hAnsi="Times New Roman" w:eastAsia="宋体" w:cs="宋体"/>
                      <w:color w:val="auto"/>
                      <w:spacing w:val="-6"/>
                      <w:kern w:val="0"/>
                      <w:sz w:val="21"/>
                      <w:szCs w:val="21"/>
                      <w:vertAlign w:val="baseline"/>
                      <w:lang w:eastAsia="zh-CN"/>
                    </w:rPr>
                    <w:t>生产废水处理后循环使用，不外排；生活污水经化粪池处理后，</w:t>
                  </w:r>
                  <w:r>
                    <w:rPr>
                      <w:rFonts w:hint="eastAsia" w:eastAsia="宋体" w:cs="Times New Roman"/>
                      <w:color w:val="auto"/>
                      <w:spacing w:val="-6"/>
                      <w:sz w:val="21"/>
                      <w:szCs w:val="21"/>
                      <w:lang w:val="en-US" w:eastAsia="zh-CN"/>
                    </w:rPr>
                    <w:t>利用罐车拉运至纳古镇污水处理站处理，属于间接排放</w:t>
                  </w:r>
                  <w:r>
                    <w:rPr>
                      <w:rFonts w:hint="eastAsia" w:ascii="Times New Roman" w:hAnsi="Times New Roman" w:eastAsia="宋体" w:cs="Times New Roman"/>
                      <w:color w:val="auto"/>
                      <w:spacing w:val="-6"/>
                      <w:sz w:val="21"/>
                      <w:szCs w:val="21"/>
                      <w:lang w:val="en-US" w:eastAsia="zh-CN"/>
                    </w:rPr>
                    <w:t>。</w:t>
                  </w:r>
                </w:p>
              </w:tc>
              <w:tc>
                <w:tcPr>
                  <w:tcW w:w="841" w:type="dxa"/>
                  <w:noWrap w:val="0"/>
                  <w:vAlign w:val="center"/>
                </w:tcPr>
                <w:p w14:paraId="2E534D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4192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01" w:type="dxa"/>
                  <w:noWrap w:val="0"/>
                  <w:vAlign w:val="center"/>
                </w:tcPr>
                <w:p w14:paraId="4F62A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t>2</w:t>
                  </w:r>
                </w:p>
              </w:tc>
              <w:tc>
                <w:tcPr>
                  <w:tcW w:w="3963" w:type="dxa"/>
                  <w:noWrap w:val="0"/>
                  <w:vAlign w:val="center"/>
                </w:tcPr>
                <w:p w14:paraId="394552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第四十五条 产生危险废物的单位，应当按照国家有关规定和环境保护标准要求贮存、利用、处置危险废物，不得擅自倾倒、堆放。从事收集、贮存、利用、处置危险废物经营活动的单位，应当依法申请取得许可证，并执行许可证管理制度的相关规定。</w:t>
                  </w:r>
                </w:p>
              </w:tc>
              <w:tc>
                <w:tcPr>
                  <w:tcW w:w="2713" w:type="dxa"/>
                  <w:noWrap w:val="0"/>
                  <w:vAlign w:val="center"/>
                </w:tcPr>
                <w:p w14:paraId="529D2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本项目产生的危险废物暂存于危废暂存间，定期委托有资质的单位清运处置。</w:t>
                  </w:r>
                </w:p>
              </w:tc>
              <w:tc>
                <w:tcPr>
                  <w:tcW w:w="841" w:type="dxa"/>
                  <w:noWrap w:val="0"/>
                  <w:vAlign w:val="center"/>
                </w:tcPr>
                <w:p w14:paraId="0FB610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7B9F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01" w:type="dxa"/>
                  <w:noWrap w:val="0"/>
                  <w:vAlign w:val="center"/>
                </w:tcPr>
                <w:p w14:paraId="3A528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i w:val="0"/>
                      <w:iCs w:val="0"/>
                      <w:caps w:val="0"/>
                      <w:color w:val="auto"/>
                      <w:spacing w:val="0"/>
                      <w:kern w:val="2"/>
                      <w:sz w:val="21"/>
                      <w:szCs w:val="21"/>
                      <w:shd w:val="clear" w:color="auto" w:fill="FFFFFF"/>
                      <w:lang w:val="en-US" w:eastAsia="zh-CN" w:bidi="ar-SA"/>
                    </w:rPr>
                    <w:t>3</w:t>
                  </w:r>
                </w:p>
              </w:tc>
              <w:tc>
                <w:tcPr>
                  <w:tcW w:w="3963" w:type="dxa"/>
                  <w:noWrap w:val="0"/>
                  <w:vAlign w:val="center"/>
                </w:tcPr>
                <w:p w14:paraId="05A2F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第四十七条 排放噪声的单位和个人应当采取有效措施，使其排放的噪声符合国家规定的排放标准。</w:t>
                  </w:r>
                </w:p>
                <w:p w14:paraId="0578F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在噪声敏感建筑物集中区域，禁止夜间进行产生噪声的建筑施工作业，但抢修、抢险施工作业，因生产工艺要求或者其他特殊需要必须连续施工作业的除外。</w:t>
                  </w:r>
                </w:p>
              </w:tc>
              <w:tc>
                <w:tcPr>
                  <w:tcW w:w="2713" w:type="dxa"/>
                  <w:noWrap w:val="0"/>
                  <w:vAlign w:val="center"/>
                </w:tcPr>
                <w:p w14:paraId="3F3CC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本项目选用</w:t>
                  </w:r>
                  <w:r>
                    <w:rPr>
                      <w:rFonts w:hint="eastAsia"/>
                      <w:bCs/>
                      <w:color w:val="auto"/>
                    </w:rPr>
                    <w:t>低噪声设备、合理布局、基础减震，厂房隔声，安装消声器等</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措施后，厂界噪声可达《工业企业厂界环境噪声排放标准》</w:t>
                  </w:r>
                  <w:r>
                    <w:rPr>
                      <w:rFonts w:hint="eastAsia" w:cs="Times New Roman"/>
                      <w:i w:val="0"/>
                      <w:iCs w:val="0"/>
                      <w:caps w:val="0"/>
                      <w:color w:val="auto"/>
                      <w:spacing w:val="0"/>
                      <w:kern w:val="2"/>
                      <w:sz w:val="21"/>
                      <w:szCs w:val="21"/>
                      <w:shd w:val="clear" w:color="auto" w:fill="FFFFFF"/>
                      <w:lang w:val="en-US" w:eastAsia="zh-CN" w:bidi="ar-SA"/>
                    </w:rPr>
                    <w:t>（</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GB12348-2008</w:t>
                  </w:r>
                  <w:r>
                    <w:rPr>
                      <w:rFonts w:hint="eastAsia" w:cs="Times New Roman"/>
                      <w:i w:val="0"/>
                      <w:iCs w:val="0"/>
                      <w:caps w:val="0"/>
                      <w:color w:val="auto"/>
                      <w:spacing w:val="0"/>
                      <w:kern w:val="2"/>
                      <w:sz w:val="21"/>
                      <w:szCs w:val="21"/>
                      <w:shd w:val="clear" w:color="auto" w:fill="FFFFFF"/>
                      <w:lang w:val="en-US" w:eastAsia="zh-CN" w:bidi="ar-SA"/>
                    </w:rPr>
                    <w:t>）</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2类标准，噪声对区域声环境影响不大。项目50m范围内无声环境保护目标，夜间不进行施工。</w:t>
                  </w:r>
                </w:p>
              </w:tc>
              <w:tc>
                <w:tcPr>
                  <w:tcW w:w="841" w:type="dxa"/>
                  <w:noWrap w:val="0"/>
                  <w:vAlign w:val="center"/>
                </w:tcPr>
                <w:p w14:paraId="5598D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14:paraId="7B3FC19E">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10</w:t>
            </w:r>
            <w:r>
              <w:rPr>
                <w:rFonts w:hint="eastAsia" w:ascii="Times New Roman" w:hAnsi="Times New Roman" w:eastAsia="宋体" w:cs="Times New Roman"/>
                <w:b/>
                <w:bCs/>
                <w:color w:val="auto"/>
                <w:sz w:val="24"/>
                <w:lang w:val="en-US" w:eastAsia="zh-CN"/>
              </w:rPr>
              <w:t>）与《中华人民共和国水污染防治法》的符合性分析</w:t>
            </w:r>
          </w:p>
          <w:p w14:paraId="1E63E3C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中华人民共和国水污染防治法》第三条规定：“水污染防治应当坚持预防为主、防治结合、综合治理的原则，优先保护饮用水水源，严格控制工业污染、城镇生活污染，防治农业面源污染，积极推进生态治理工程建设，预防、控制和减少水环境污染和生态破坏”</w:t>
            </w:r>
            <w:r>
              <w:rPr>
                <w:rFonts w:hint="eastAsia" w:cs="Times New Roman"/>
                <w:color w:val="auto"/>
                <w:sz w:val="24"/>
                <w:lang w:val="en-US" w:eastAsia="zh-CN"/>
              </w:rPr>
              <w:t>。</w:t>
            </w:r>
          </w:p>
          <w:p w14:paraId="0518D815">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第四条规定：“县级以上人民政府应当将水环境保护工作纳入国民经济和社会发展规划。地方各级人民政府对本行政区域的水环境质量负责，应当及时采取措施防治水污染”</w:t>
            </w:r>
            <w:r>
              <w:rPr>
                <w:rFonts w:hint="eastAsia" w:cs="Times New Roman"/>
                <w:color w:val="auto"/>
                <w:sz w:val="24"/>
                <w:lang w:val="en-US" w:eastAsia="zh-CN"/>
              </w:rPr>
              <w:t>。</w:t>
            </w:r>
          </w:p>
          <w:p w14:paraId="44AD9737">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第二十条规定：“国家对重点水污染物排放实施总量控制制度”</w:t>
            </w:r>
            <w:r>
              <w:rPr>
                <w:rFonts w:hint="eastAsia" w:cs="Times New Roman"/>
                <w:color w:val="auto"/>
                <w:sz w:val="24"/>
                <w:lang w:val="en-US" w:eastAsia="zh-CN"/>
              </w:rPr>
              <w:t>。</w:t>
            </w:r>
          </w:p>
          <w:p w14:paraId="43988E15">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第四十九条规定：“城镇污水应当集中处理。县级以上地方人民政府应当通过财政预算和其他渠道筹集资金，统筹安排建设城镇污水集中处理设施及配套管网，提高本行政区域城镇污水的收集率和处理率”</w:t>
            </w:r>
            <w:r>
              <w:rPr>
                <w:rFonts w:hint="eastAsia" w:cs="Times New Roman"/>
                <w:color w:val="auto"/>
                <w:sz w:val="24"/>
                <w:lang w:val="en-US" w:eastAsia="zh-CN"/>
              </w:rPr>
              <w:t>。</w:t>
            </w:r>
          </w:p>
          <w:p w14:paraId="227078CA">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第五十二条规定：“国家支持农村污水、垃圾处理设施的建设，推进农村污水、垃圾集中处理。地方各级人民政府应当统筹规划建设农村污水、垃圾处理设施，并保障其正常运行”</w:t>
            </w:r>
            <w:r>
              <w:rPr>
                <w:rFonts w:hint="eastAsia" w:cs="Times New Roman"/>
                <w:color w:val="auto"/>
                <w:sz w:val="24"/>
                <w:lang w:val="en-US" w:eastAsia="zh-CN"/>
              </w:rPr>
              <w:t>。</w:t>
            </w:r>
          </w:p>
          <w:p w14:paraId="1FCE86A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本项目废水主要是生产废水和生活污水。生产废水处理后循环使用，不外排；生活污水经化粪池处理后，利用罐车拉运至纳古镇污水处理站处理，属于间接排放，对地表水环境影响较小。</w:t>
            </w:r>
          </w:p>
          <w:p w14:paraId="52AC97E8">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因此，本项目与《中华人民共和国水污染防治法》相符。</w:t>
            </w:r>
          </w:p>
          <w:p w14:paraId="3FD71206">
            <w:p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11</w:t>
            </w:r>
            <w:r>
              <w:rPr>
                <w:rFonts w:hint="eastAsia" w:ascii="Times New Roman" w:hAnsi="Times New Roman" w:eastAsia="宋体" w:cs="Times New Roman"/>
                <w:b/>
                <w:bCs/>
                <w:color w:val="auto"/>
                <w:sz w:val="24"/>
                <w:lang w:val="en-US" w:eastAsia="zh-CN"/>
              </w:rPr>
              <w:t>）与《云南省杞麓湖保护条例》（20</w:t>
            </w:r>
            <w:r>
              <w:rPr>
                <w:rFonts w:hint="eastAsia" w:cs="Times New Roman"/>
                <w:b/>
                <w:bCs/>
                <w:color w:val="auto"/>
                <w:sz w:val="24"/>
                <w:lang w:val="en-US" w:eastAsia="zh-CN"/>
              </w:rPr>
              <w:t>24</w:t>
            </w:r>
            <w:r>
              <w:rPr>
                <w:rFonts w:hint="eastAsia" w:ascii="Times New Roman" w:hAnsi="Times New Roman" w:eastAsia="宋体" w:cs="Times New Roman"/>
                <w:b/>
                <w:bCs/>
                <w:color w:val="auto"/>
                <w:sz w:val="24"/>
                <w:lang w:val="en-US" w:eastAsia="zh-CN"/>
              </w:rPr>
              <w:t>年</w:t>
            </w:r>
            <w:r>
              <w:rPr>
                <w:rFonts w:hint="eastAsia" w:cs="Times New Roman"/>
                <w:b/>
                <w:bCs/>
                <w:color w:val="auto"/>
                <w:sz w:val="24"/>
                <w:lang w:val="en-US" w:eastAsia="zh-CN"/>
              </w:rPr>
              <w:t>1</w:t>
            </w:r>
            <w:r>
              <w:rPr>
                <w:rFonts w:hint="eastAsia" w:ascii="Times New Roman" w:hAnsi="Times New Roman" w:eastAsia="宋体" w:cs="Times New Roman"/>
                <w:b/>
                <w:bCs/>
                <w:color w:val="auto"/>
                <w:sz w:val="24"/>
                <w:lang w:val="en-US" w:eastAsia="zh-CN"/>
              </w:rPr>
              <w:t>月</w:t>
            </w:r>
            <w:r>
              <w:rPr>
                <w:rFonts w:hint="eastAsia" w:cs="Times New Roman"/>
                <w:b/>
                <w:bCs/>
                <w:color w:val="auto"/>
                <w:sz w:val="24"/>
                <w:lang w:val="en-US" w:eastAsia="zh-CN"/>
              </w:rPr>
              <w:t>1</w:t>
            </w:r>
            <w:r>
              <w:rPr>
                <w:rFonts w:hint="eastAsia" w:ascii="Times New Roman" w:hAnsi="Times New Roman" w:eastAsia="宋体" w:cs="Times New Roman"/>
                <w:b/>
                <w:bCs/>
                <w:color w:val="auto"/>
                <w:sz w:val="24"/>
                <w:lang w:val="en-US" w:eastAsia="zh-CN"/>
              </w:rPr>
              <w:t>日起施行）符合性分析</w:t>
            </w:r>
          </w:p>
          <w:p w14:paraId="04A43E0A">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《云南省杞麓湖保护条例》已由云南省第十四届人民代表大会常务委员会第五次会议于2023年9月23日审议通过，自2024年1月1日起施行。玉溪市人民政府按照划定的湖滨生态红线和湖泊生态黄线，</w:t>
            </w:r>
            <w:r>
              <w:rPr>
                <w:rFonts w:hint="eastAsia" w:cs="Times New Roman"/>
                <w:color w:val="auto"/>
                <w:sz w:val="24"/>
                <w:lang w:val="en-US" w:eastAsia="zh-CN"/>
              </w:rPr>
              <w:t>杞麓湖</w:t>
            </w:r>
            <w:r>
              <w:rPr>
                <w:rFonts w:hint="eastAsia" w:ascii="Times New Roman" w:hAnsi="Times New Roman" w:eastAsia="宋体" w:cs="Times New Roman"/>
                <w:color w:val="auto"/>
                <w:sz w:val="24"/>
                <w:lang w:val="en-US" w:eastAsia="zh-CN"/>
              </w:rPr>
              <w:t>确定生态保护核心区、生态保护缓冲区和绿色发展区</w:t>
            </w:r>
            <w:r>
              <w:rPr>
                <w:rFonts w:hint="eastAsia" w:cs="Times New Roman"/>
                <w:color w:val="auto"/>
                <w:sz w:val="24"/>
                <w:lang w:val="en-US" w:eastAsia="zh-CN"/>
              </w:rPr>
              <w:t>。</w:t>
            </w:r>
          </w:p>
          <w:p w14:paraId="7986F25D">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本项目位于通海县纳古镇</w:t>
            </w:r>
            <w:r>
              <w:rPr>
                <w:rFonts w:hint="eastAsia" w:cs="Times New Roman"/>
                <w:color w:val="auto"/>
                <w:sz w:val="24"/>
                <w:lang w:val="en-US" w:eastAsia="zh-CN"/>
              </w:rPr>
              <w:t>大白龙</w:t>
            </w:r>
            <w:r>
              <w:rPr>
                <w:rFonts w:hint="eastAsia" w:ascii="Times New Roman" w:hAnsi="Times New Roman" w:eastAsia="宋体" w:cs="Times New Roman"/>
                <w:color w:val="auto"/>
                <w:sz w:val="24"/>
                <w:lang w:val="en-US" w:eastAsia="zh-CN"/>
              </w:rPr>
              <w:t>，位于杞麓湖西北面约</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km处</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sz w:val="24"/>
                <w:lang w:val="en-US" w:eastAsia="zh-CN"/>
              </w:rPr>
              <w:t>属于杞麓湖径流区</w:t>
            </w:r>
            <w:r>
              <w:rPr>
                <w:rFonts w:hint="eastAsia" w:ascii="Times New Roman" w:hAnsi="Times New Roman" w:cs="Times New Roman"/>
                <w:color w:val="auto"/>
                <w:sz w:val="24"/>
                <w:lang w:val="en-US" w:eastAsia="zh-CN"/>
              </w:rPr>
              <w:t>。根据《玉溪市人民政府关于抚仙湖、星云湖、杞麓湖生态保护核心区生态保护缓冲区绿色发展区划定公告》，项目属于杞麓湖</w:t>
            </w:r>
            <w:r>
              <w:rPr>
                <w:rFonts w:hint="eastAsia" w:ascii="Times New Roman" w:hAnsi="Times New Roman" w:eastAsia="宋体" w:cs="Times New Roman"/>
                <w:color w:val="auto"/>
                <w:sz w:val="24"/>
                <w:lang w:val="en-US" w:eastAsia="zh-CN"/>
              </w:rPr>
              <w:t>绿色发展区</w:t>
            </w:r>
            <w:r>
              <w:rPr>
                <w:rFonts w:hint="eastAsia" w:ascii="Times New Roman" w:hAnsi="Times New Roman" w:cs="Times New Roman"/>
                <w:color w:val="auto"/>
                <w:sz w:val="24"/>
                <w:lang w:val="en-US" w:eastAsia="zh-CN"/>
              </w:rPr>
              <w:t>（详见附图</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本项目与《云南省杞麓湖保护条例》规定的</w:t>
            </w:r>
            <w:r>
              <w:rPr>
                <w:rFonts w:hint="eastAsia" w:cs="Times New Roman"/>
                <w:color w:val="auto"/>
                <w:sz w:val="24"/>
                <w:lang w:val="en-US" w:eastAsia="zh-CN"/>
              </w:rPr>
              <w:t>绿色发展区</w:t>
            </w:r>
            <w:r>
              <w:rPr>
                <w:rFonts w:hint="eastAsia" w:ascii="Times New Roman" w:hAnsi="Times New Roman" w:eastAsia="宋体" w:cs="Times New Roman"/>
                <w:color w:val="auto"/>
                <w:sz w:val="24"/>
                <w:lang w:val="en-US" w:eastAsia="zh-CN"/>
              </w:rPr>
              <w:t>禁止行为符合性详见下表。</w:t>
            </w:r>
          </w:p>
          <w:p w14:paraId="56B449C3">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1"/>
                <w:szCs w:val="21"/>
                <w:lang w:val="en-US" w:eastAsia="zh-CN"/>
              </w:rPr>
            </w:pPr>
            <w:r>
              <w:rPr>
                <w:rFonts w:hint="default"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10</w:t>
            </w:r>
            <w:r>
              <w:rPr>
                <w:rFonts w:hint="default" w:ascii="Times New Roman" w:hAnsi="Times New Roman" w:eastAsia="宋体" w:cs="宋体"/>
                <w:b/>
                <w:bCs/>
                <w:color w:val="auto"/>
                <w:kern w:val="0"/>
                <w:sz w:val="21"/>
                <w:szCs w:val="21"/>
                <w:lang w:val="en-US" w:eastAsia="zh-CN"/>
              </w:rPr>
              <w:t>与《云南省杞麓湖保护条例》符合性分析一览表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896"/>
              <w:gridCol w:w="2356"/>
              <w:gridCol w:w="846"/>
            </w:tblGrid>
            <w:tr w14:paraId="442C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8" w:type="dxa"/>
                  <w:gridSpan w:val="2"/>
                  <w:shd w:val="clear" w:color="auto" w:fill="D7D7D7" w:themeFill="background1" w:themeFillShade="D8"/>
                  <w:vAlign w:val="center"/>
                </w:tcPr>
                <w:p w14:paraId="09F014E3">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《云南省杞麓湖保护条例》</w:t>
                  </w:r>
                  <w:r>
                    <w:rPr>
                      <w:rFonts w:hint="eastAsia" w:ascii="Times New Roman" w:hAnsi="Times New Roman" w:eastAsia="宋体"/>
                      <w:color w:val="auto"/>
                      <w:sz w:val="21"/>
                      <w:lang w:val="en-US" w:eastAsia="zh-CN"/>
                    </w:rPr>
                    <w:t>绿色发展区</w:t>
                  </w:r>
                  <w:r>
                    <w:rPr>
                      <w:rFonts w:hint="default" w:ascii="Times New Roman" w:hAnsi="Times New Roman" w:eastAsia="宋体"/>
                      <w:color w:val="auto"/>
                      <w:sz w:val="21"/>
                      <w:lang w:val="en-US" w:eastAsia="zh-CN"/>
                    </w:rPr>
                    <w:t>禁止行为</w:t>
                  </w:r>
                </w:p>
              </w:tc>
              <w:tc>
                <w:tcPr>
                  <w:tcW w:w="2356" w:type="dxa"/>
                  <w:shd w:val="clear" w:color="auto" w:fill="D7D7D7" w:themeFill="background1" w:themeFillShade="D8"/>
                  <w:vAlign w:val="center"/>
                </w:tcPr>
                <w:p w14:paraId="78ED209E">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项目情况</w:t>
                  </w:r>
                </w:p>
              </w:tc>
              <w:tc>
                <w:tcPr>
                  <w:tcW w:w="846" w:type="dxa"/>
                  <w:shd w:val="clear" w:color="auto" w:fill="D7D7D7" w:themeFill="background1" w:themeFillShade="D8"/>
                  <w:vAlign w:val="center"/>
                </w:tcPr>
                <w:p w14:paraId="2E6AF0C4">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符合性</w:t>
                  </w:r>
                </w:p>
              </w:tc>
            </w:tr>
            <w:tr w14:paraId="6B16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652" w:type="dxa"/>
                  <w:vMerge w:val="restart"/>
                  <w:vAlign w:val="center"/>
                </w:tcPr>
                <w:p w14:paraId="00C12582">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rPr>
                    <w:t>第二十五条绿色发展区禁止下列行为</w:t>
                  </w:r>
                </w:p>
              </w:tc>
              <w:tc>
                <w:tcPr>
                  <w:tcW w:w="2896" w:type="dxa"/>
                  <w:vAlign w:val="center"/>
                </w:tcPr>
                <w:p w14:paraId="719C298E">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（一）新建、改建、扩建严重污染环境、破坏生态平衡和自然景观的项目；</w:t>
                  </w:r>
                </w:p>
              </w:tc>
              <w:tc>
                <w:tcPr>
                  <w:tcW w:w="2356" w:type="dxa"/>
                  <w:vAlign w:val="center"/>
                </w:tcPr>
                <w:p w14:paraId="383EB986">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本项目</w:t>
                  </w:r>
                  <w:r>
                    <w:rPr>
                      <w:rFonts w:hint="eastAsia" w:ascii="Times New Roman" w:hAnsi="Times New Roman" w:eastAsia="宋体"/>
                      <w:color w:val="auto"/>
                      <w:sz w:val="21"/>
                      <w:lang w:val="en-US" w:eastAsia="zh-CN"/>
                    </w:rPr>
                    <w:t>为</w:t>
                  </w:r>
                  <w:r>
                    <w:rPr>
                      <w:rFonts w:hint="default" w:ascii="Times New Roman" w:hAnsi="Times New Roman" w:eastAsia="宋体"/>
                      <w:color w:val="auto"/>
                      <w:sz w:val="21"/>
                      <w:lang w:val="en-US" w:eastAsia="zh-CN"/>
                    </w:rPr>
                    <w:t>高频直缝焊管</w:t>
                  </w:r>
                  <w:r>
                    <w:rPr>
                      <w:rFonts w:hint="eastAsia" w:ascii="Times New Roman" w:hAnsi="Times New Roman" w:eastAsia="宋体"/>
                      <w:color w:val="auto"/>
                      <w:sz w:val="21"/>
                      <w:lang w:val="en-US" w:eastAsia="zh-CN"/>
                    </w:rPr>
                    <w:t>生产，不属于严重污染环境、破坏生态平衡和自然景观的项目</w:t>
                  </w:r>
                </w:p>
              </w:tc>
              <w:tc>
                <w:tcPr>
                  <w:tcW w:w="846" w:type="dxa"/>
                  <w:vAlign w:val="center"/>
                </w:tcPr>
                <w:p w14:paraId="60C8F994">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7AC0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52" w:type="dxa"/>
                  <w:vMerge w:val="continue"/>
                  <w:vAlign w:val="center"/>
                </w:tcPr>
                <w:p w14:paraId="2944D1B5">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1741695F">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（二）开山、采石、挖砂、取土、毁林、毁草、挖树根等；</w:t>
                  </w:r>
                </w:p>
              </w:tc>
              <w:tc>
                <w:tcPr>
                  <w:tcW w:w="2356" w:type="dxa"/>
                  <w:vAlign w:val="center"/>
                </w:tcPr>
                <w:p w14:paraId="5BE3A365">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项目利用现有厂房生产，不涉及</w:t>
                  </w:r>
                </w:p>
              </w:tc>
              <w:tc>
                <w:tcPr>
                  <w:tcW w:w="846" w:type="dxa"/>
                  <w:vAlign w:val="center"/>
                </w:tcPr>
                <w:p w14:paraId="64540BA8">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1B2B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14:paraId="295F2A1E">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476A9F9A">
                  <w:pPr>
                    <w:pStyle w:val="31"/>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（三）采矿、选矿；</w:t>
                  </w:r>
                </w:p>
              </w:tc>
              <w:tc>
                <w:tcPr>
                  <w:tcW w:w="2356" w:type="dxa"/>
                  <w:vAlign w:val="center"/>
                </w:tcPr>
                <w:p w14:paraId="60AA4B38">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5B21A28A">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311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652" w:type="dxa"/>
                  <w:vMerge w:val="continue"/>
                  <w:vAlign w:val="center"/>
                </w:tcPr>
                <w:p w14:paraId="57C33EC2">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4BF088C6">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（四）侵占河堤、护岸，损毁或者擅自移动防汛、水文、水利、科研、气象、测量、环境监测、杞麓湖保护相关标牌、环卫等设施；</w:t>
                  </w:r>
                </w:p>
              </w:tc>
              <w:tc>
                <w:tcPr>
                  <w:tcW w:w="2356" w:type="dxa"/>
                  <w:vAlign w:val="center"/>
                </w:tcPr>
                <w:p w14:paraId="4118687B">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0EB619E0">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7B90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75917AD3">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4E79A7DB">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（五）向入湖河道、沟渠、城镇排水管网排放超过国家、地方水污染排放标准或者超过重点水污染物排放总量控制指标的水污染物；</w:t>
                  </w:r>
                </w:p>
              </w:tc>
              <w:tc>
                <w:tcPr>
                  <w:tcW w:w="2356" w:type="dxa"/>
                  <w:vAlign w:val="center"/>
                </w:tcPr>
                <w:p w14:paraId="33A49C97">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项目生产</w:t>
                  </w:r>
                  <w:r>
                    <w:rPr>
                      <w:rFonts w:hint="eastAsia"/>
                      <w:color w:val="auto"/>
                      <w:sz w:val="21"/>
                      <w:lang w:val="en-US" w:eastAsia="zh-CN"/>
                    </w:rPr>
                    <w:t>废水</w:t>
                  </w:r>
                  <w:r>
                    <w:rPr>
                      <w:rFonts w:hint="eastAsia" w:ascii="Times New Roman" w:hAnsi="Times New Roman" w:eastAsia="宋体"/>
                      <w:color w:val="auto"/>
                      <w:sz w:val="21"/>
                      <w:lang w:val="en-US" w:eastAsia="zh-CN"/>
                    </w:rPr>
                    <w:t>沉淀回用，生活</w:t>
                  </w:r>
                  <w:r>
                    <w:rPr>
                      <w:rFonts w:hint="eastAsia"/>
                      <w:color w:val="auto"/>
                      <w:sz w:val="21"/>
                      <w:lang w:val="en-US" w:eastAsia="zh-CN"/>
                    </w:rPr>
                    <w:t>污水</w:t>
                  </w:r>
                  <w:r>
                    <w:rPr>
                      <w:rFonts w:hint="eastAsia" w:ascii="Times New Roman" w:hAnsi="Times New Roman" w:eastAsia="宋体"/>
                      <w:color w:val="auto"/>
                      <w:sz w:val="21"/>
                      <w:lang w:val="en-US" w:eastAsia="zh-CN"/>
                    </w:rPr>
                    <w:t>利用罐车运至纳古镇污水处理站处理</w:t>
                  </w:r>
                </w:p>
              </w:tc>
              <w:tc>
                <w:tcPr>
                  <w:tcW w:w="846" w:type="dxa"/>
                  <w:vAlign w:val="center"/>
                </w:tcPr>
                <w:p w14:paraId="52C9E6C8">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7C41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709E4BD9">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1027BACA">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pacing w:val="-6"/>
                      <w:sz w:val="21"/>
                      <w:lang w:val="en-US" w:eastAsia="zh-CN"/>
                    </w:rPr>
                    <w:t>（六）向入湖河道、沟渠及河道岸坡排放、倾倒、填埋油类、酸液、碱液、剧毒废液（渣）等；</w:t>
                  </w:r>
                </w:p>
              </w:tc>
              <w:tc>
                <w:tcPr>
                  <w:tcW w:w="2356" w:type="dxa"/>
                  <w:vAlign w:val="center"/>
                </w:tcPr>
                <w:p w14:paraId="108C3614">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66753034">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5FE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270842C7">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361C3C7D">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（七）在入湖河道、沟渠、水库最高水位线以下的滩地、岸坡堆放、存贮固体废弃物或者其他污染物；</w:t>
                  </w:r>
                </w:p>
              </w:tc>
              <w:tc>
                <w:tcPr>
                  <w:tcW w:w="2356" w:type="dxa"/>
                  <w:vAlign w:val="center"/>
                </w:tcPr>
                <w:p w14:paraId="39BC85DA">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2E0A166B">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4C80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52" w:type="dxa"/>
                  <w:vMerge w:val="continue"/>
                  <w:vAlign w:val="center"/>
                </w:tcPr>
                <w:p w14:paraId="68180F6A">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1C9B5635">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（八）向入湖河道、沟渠、水库倾倒粪便、污水；</w:t>
                  </w:r>
                </w:p>
              </w:tc>
              <w:tc>
                <w:tcPr>
                  <w:tcW w:w="2356" w:type="dxa"/>
                  <w:vAlign w:val="center"/>
                </w:tcPr>
                <w:p w14:paraId="59D92A48">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项目</w:t>
                  </w:r>
                  <w:r>
                    <w:rPr>
                      <w:rFonts w:hint="eastAsia" w:ascii="Times New Roman" w:hAnsi="Times New Roman" w:eastAsia="宋体"/>
                      <w:color w:val="auto"/>
                      <w:sz w:val="21"/>
                      <w:lang w:val="en-US" w:eastAsia="zh-CN"/>
                    </w:rPr>
                    <w:t>生活</w:t>
                  </w:r>
                  <w:r>
                    <w:rPr>
                      <w:rFonts w:hint="eastAsia"/>
                      <w:color w:val="auto"/>
                      <w:sz w:val="21"/>
                      <w:lang w:val="en-US" w:eastAsia="zh-CN"/>
                    </w:rPr>
                    <w:t>污水</w:t>
                  </w:r>
                  <w:r>
                    <w:rPr>
                      <w:rFonts w:hint="eastAsia" w:ascii="Times New Roman" w:hAnsi="Times New Roman" w:eastAsia="宋体"/>
                      <w:color w:val="auto"/>
                      <w:sz w:val="21"/>
                      <w:lang w:val="en-US" w:eastAsia="zh-CN"/>
                    </w:rPr>
                    <w:t>利用罐车运至纳古镇污水处理站处理</w:t>
                  </w:r>
                </w:p>
              </w:tc>
              <w:tc>
                <w:tcPr>
                  <w:tcW w:w="846" w:type="dxa"/>
                  <w:vAlign w:val="center"/>
                </w:tcPr>
                <w:p w14:paraId="68288418">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47E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14:paraId="137E183D">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56D91E1A">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（九）在入湖河道、沟渠、水库内丢弃农药、农药包装物或者清洗施药器械；</w:t>
                  </w:r>
                </w:p>
              </w:tc>
              <w:tc>
                <w:tcPr>
                  <w:tcW w:w="2356" w:type="dxa"/>
                  <w:vAlign w:val="center"/>
                </w:tcPr>
                <w:p w14:paraId="1CEC3C1B">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64FDA309">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5404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7" w:hRule="atLeast"/>
              </w:trPr>
              <w:tc>
                <w:tcPr>
                  <w:tcW w:w="652" w:type="dxa"/>
                  <w:vMerge w:val="continue"/>
                  <w:vAlign w:val="center"/>
                </w:tcPr>
                <w:p w14:paraId="40DA5E6C">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0F27C0E2">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（十）随意倾倒垃圾、抛撒或者堆放泡沫、塑料餐饮具、塑料袋等；</w:t>
                  </w:r>
                </w:p>
              </w:tc>
              <w:tc>
                <w:tcPr>
                  <w:tcW w:w="2356" w:type="dxa"/>
                  <w:vAlign w:val="center"/>
                </w:tcPr>
                <w:p w14:paraId="3C67B3FC">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default" w:ascii="Times New Roman" w:hAnsi="Times New Roman" w:eastAsia="宋体"/>
                      <w:color w:val="auto"/>
                      <w:sz w:val="21"/>
                      <w:lang w:val="en-US" w:eastAsia="zh-CN"/>
                    </w:rPr>
                    <w:t>项目产生的一般固废为焊渣、边角废料及切割碎屑</w:t>
                  </w:r>
                  <w:r>
                    <w:rPr>
                      <w:rFonts w:hint="eastAsia"/>
                      <w:color w:val="auto"/>
                      <w:sz w:val="21"/>
                      <w:lang w:val="en-US" w:eastAsia="zh-CN"/>
                    </w:rPr>
                    <w:t>、除尘灰</w:t>
                  </w:r>
                  <w:r>
                    <w:rPr>
                      <w:rFonts w:hint="default" w:ascii="Times New Roman" w:hAnsi="Times New Roman" w:eastAsia="宋体"/>
                      <w:color w:val="auto"/>
                      <w:sz w:val="21"/>
                      <w:lang w:val="en-US" w:eastAsia="zh-CN"/>
                    </w:rPr>
                    <w:t>和不合格品，统一收集后外售给废旧物资回收单位</w:t>
                  </w:r>
                  <w:r>
                    <w:rPr>
                      <w:rFonts w:hint="eastAsia"/>
                      <w:color w:val="auto"/>
                      <w:sz w:val="21"/>
                      <w:lang w:val="en-US" w:eastAsia="zh-CN"/>
                    </w:rPr>
                    <w:t>，不合格品回用于产品打包带，循环水池金属沉渣定期清掏，每次清掏时需进行浸出毒性检测，按照《固体废物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r>
                    <w:rPr>
                      <w:rFonts w:hint="eastAsia" w:ascii="Times New Roman" w:hAnsi="Times New Roman" w:eastAsia="宋体"/>
                      <w:color w:val="auto"/>
                      <w:sz w:val="21"/>
                      <w:lang w:val="en-US" w:eastAsia="zh-CN"/>
                    </w:rPr>
                    <w:t>；生活垃圾采用垃圾收集桶集中收集后，定期由当地环卫部门清运处理。</w:t>
                  </w:r>
                </w:p>
              </w:tc>
              <w:tc>
                <w:tcPr>
                  <w:tcW w:w="846" w:type="dxa"/>
                  <w:vAlign w:val="center"/>
                </w:tcPr>
                <w:p w14:paraId="19D025FF">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25C3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vMerge w:val="continue"/>
                  <w:vAlign w:val="center"/>
                </w:tcPr>
                <w:p w14:paraId="7C35A2A9">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12869076">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（十一）随意倾倒、堆放、填埋废弃菜叶等农业废弃物；</w:t>
                  </w:r>
                </w:p>
              </w:tc>
              <w:tc>
                <w:tcPr>
                  <w:tcW w:w="2356" w:type="dxa"/>
                  <w:vAlign w:val="center"/>
                </w:tcPr>
                <w:p w14:paraId="6CEFBFAA">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19BA9581">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5524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52" w:type="dxa"/>
                  <w:vMerge w:val="continue"/>
                  <w:vAlign w:val="center"/>
                </w:tcPr>
                <w:p w14:paraId="69D8BEDD">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377A0D3C">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（十二）生产、销售、使用杀鼠剂以外的限制使用类农药和含磷洗涤用品；</w:t>
                  </w:r>
                </w:p>
              </w:tc>
              <w:tc>
                <w:tcPr>
                  <w:tcW w:w="2356" w:type="dxa"/>
                  <w:vAlign w:val="center"/>
                </w:tcPr>
                <w:p w14:paraId="70533199">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6601AD85">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100D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52" w:type="dxa"/>
                  <w:vMerge w:val="continue"/>
                  <w:vAlign w:val="center"/>
                </w:tcPr>
                <w:p w14:paraId="294749F3">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367E36BA">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（十三）擅自取水或者违反取水许可规定取水；</w:t>
                  </w:r>
                </w:p>
              </w:tc>
              <w:tc>
                <w:tcPr>
                  <w:tcW w:w="2356" w:type="dxa"/>
                  <w:vAlign w:val="center"/>
                </w:tcPr>
                <w:p w14:paraId="73F9B400">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项目用水</w:t>
                  </w:r>
                  <w:r>
                    <w:rPr>
                      <w:rFonts w:hint="eastAsia"/>
                      <w:color w:val="auto"/>
                      <w:sz w:val="21"/>
                      <w:lang w:val="en-US" w:eastAsia="zh-CN"/>
                    </w:rPr>
                    <w:t>来自</w:t>
                  </w:r>
                  <w:r>
                    <w:rPr>
                      <w:rFonts w:hint="eastAsia"/>
                      <w:color w:val="auto"/>
                      <w:lang w:eastAsia="zh-CN"/>
                    </w:rPr>
                    <w:t>纳古镇自来水管网</w:t>
                  </w:r>
                </w:p>
              </w:tc>
              <w:tc>
                <w:tcPr>
                  <w:tcW w:w="846" w:type="dxa"/>
                  <w:vAlign w:val="center"/>
                </w:tcPr>
                <w:p w14:paraId="4AC1C8CB">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3163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14:paraId="57D574B1">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7D654301">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（十四）擅自释放或者丢弃外来物种；</w:t>
                  </w:r>
                </w:p>
              </w:tc>
              <w:tc>
                <w:tcPr>
                  <w:tcW w:w="2356" w:type="dxa"/>
                  <w:vAlign w:val="center"/>
                </w:tcPr>
                <w:p w14:paraId="4AFE333F">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3FBAA8D9">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320B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14:paraId="5B2D5A33">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407F766A">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（十五）违法猎捕、杀害、买卖野生动物；</w:t>
                  </w:r>
                </w:p>
              </w:tc>
              <w:tc>
                <w:tcPr>
                  <w:tcW w:w="2356" w:type="dxa"/>
                  <w:vAlign w:val="center"/>
                </w:tcPr>
                <w:p w14:paraId="759DDCB7">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07451616">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68D9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652" w:type="dxa"/>
                  <w:vMerge w:val="continue"/>
                  <w:vAlign w:val="center"/>
                </w:tcPr>
                <w:p w14:paraId="5F56972E">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7C3C65D0">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（十六）损毁或者擅自移动界桩、标识；</w:t>
                  </w:r>
                </w:p>
              </w:tc>
              <w:tc>
                <w:tcPr>
                  <w:tcW w:w="2356" w:type="dxa"/>
                  <w:vAlign w:val="center"/>
                </w:tcPr>
                <w:p w14:paraId="156986B0">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项目不涉及</w:t>
                  </w:r>
                </w:p>
              </w:tc>
              <w:tc>
                <w:tcPr>
                  <w:tcW w:w="846" w:type="dxa"/>
                  <w:vAlign w:val="center"/>
                </w:tcPr>
                <w:p w14:paraId="142A84B1">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r w14:paraId="3B4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Merge w:val="continue"/>
                  <w:vAlign w:val="center"/>
                </w:tcPr>
                <w:p w14:paraId="5ECCCC55">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p>
              </w:tc>
              <w:tc>
                <w:tcPr>
                  <w:tcW w:w="2896" w:type="dxa"/>
                  <w:vAlign w:val="center"/>
                </w:tcPr>
                <w:p w14:paraId="3709F0CD">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rPr>
                  </w:pPr>
                  <w:r>
                    <w:rPr>
                      <w:rFonts w:hint="default" w:ascii="Times New Roman" w:hAnsi="Times New Roman" w:eastAsia="宋体"/>
                      <w:color w:val="auto"/>
                      <w:sz w:val="21"/>
                    </w:rPr>
                    <w:t>（十七）法律、法规禁止的其他行为。</w:t>
                  </w:r>
                </w:p>
              </w:tc>
              <w:tc>
                <w:tcPr>
                  <w:tcW w:w="2356" w:type="dxa"/>
                  <w:vAlign w:val="center"/>
                </w:tcPr>
                <w:p w14:paraId="679DDF98">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项目生产过程严格遵循相关法律法规</w:t>
                  </w:r>
                </w:p>
              </w:tc>
              <w:tc>
                <w:tcPr>
                  <w:tcW w:w="846" w:type="dxa"/>
                  <w:vAlign w:val="center"/>
                </w:tcPr>
                <w:p w14:paraId="7AD2F90E">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符合</w:t>
                  </w:r>
                </w:p>
              </w:tc>
            </w:tr>
          </w:tbl>
          <w:p w14:paraId="760A059E">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根据上表可知，项目</w:t>
            </w:r>
            <w:r>
              <w:rPr>
                <w:rFonts w:hint="eastAsia" w:cs="宋体"/>
                <w:color w:val="auto"/>
                <w:kern w:val="0"/>
                <w:sz w:val="24"/>
                <w:lang w:val="en-US" w:eastAsia="zh-CN"/>
              </w:rPr>
              <w:t>不违反</w:t>
            </w:r>
            <w:r>
              <w:rPr>
                <w:rFonts w:hint="eastAsia" w:ascii="Times New Roman" w:hAnsi="Times New Roman" w:eastAsia="宋体" w:cs="宋体"/>
                <w:color w:val="auto"/>
                <w:kern w:val="0"/>
                <w:sz w:val="24"/>
                <w:lang w:val="en-US" w:eastAsia="zh-CN"/>
              </w:rPr>
              <w:t>《云南省杞麓湖保护条例》中</w:t>
            </w:r>
            <w:r>
              <w:rPr>
                <w:rFonts w:hint="eastAsia" w:cs="宋体"/>
                <w:color w:val="auto"/>
                <w:kern w:val="0"/>
                <w:sz w:val="24"/>
                <w:lang w:val="en-US" w:eastAsia="zh-CN"/>
              </w:rPr>
              <w:t>绿色发展区</w:t>
            </w:r>
            <w:r>
              <w:rPr>
                <w:rFonts w:hint="eastAsia" w:ascii="Times New Roman" w:hAnsi="Times New Roman" w:eastAsia="宋体" w:cs="宋体"/>
                <w:color w:val="auto"/>
                <w:kern w:val="0"/>
                <w:sz w:val="24"/>
                <w:lang w:val="en-US" w:eastAsia="zh-CN"/>
              </w:rPr>
              <w:t>规定的禁止行为，项目取得了《通海县杞麓湖管理局关于云南通海佳康型材有限公司年产</w:t>
            </w:r>
            <w:r>
              <w:rPr>
                <w:rFonts w:hint="eastAsia" w:cs="宋体"/>
                <w:color w:val="auto"/>
                <w:kern w:val="0"/>
                <w:sz w:val="24"/>
                <w:lang w:val="en-US" w:eastAsia="zh-CN"/>
              </w:rPr>
              <w:t>20</w:t>
            </w:r>
            <w:r>
              <w:rPr>
                <w:rFonts w:hint="eastAsia" w:ascii="Times New Roman" w:hAnsi="Times New Roman" w:eastAsia="宋体" w:cs="宋体"/>
                <w:color w:val="auto"/>
                <w:kern w:val="0"/>
                <w:sz w:val="24"/>
                <w:lang w:val="en-US" w:eastAsia="zh-CN"/>
              </w:rPr>
              <w:t>万吨焊管生产线建设项目选址意见的函》（详见附件</w:t>
            </w:r>
            <w:r>
              <w:rPr>
                <w:rFonts w:hint="eastAsia" w:cs="宋体"/>
                <w:color w:val="auto"/>
                <w:kern w:val="0"/>
                <w:sz w:val="24"/>
                <w:lang w:val="en-US" w:eastAsia="zh-CN"/>
              </w:rPr>
              <w:t>8</w:t>
            </w:r>
            <w:r>
              <w:rPr>
                <w:rFonts w:hint="eastAsia" w:ascii="Times New Roman" w:hAnsi="Times New Roman" w:eastAsia="宋体" w:cs="宋体"/>
                <w:color w:val="auto"/>
                <w:kern w:val="0"/>
                <w:sz w:val="24"/>
                <w:lang w:val="en-US" w:eastAsia="zh-CN"/>
              </w:rPr>
              <w:t>），根据该意见：“项目位于杞麓湖流域范围内，但不位于杞麓湖湖滨生态红线、湖泊生态黄线范围内，同意项目选址。用地的建设需符合杞麓湖“两线”“三区管控要求，同时不违反《云南省杞麓湖保护条例》中绿色发展区的规定”。因此本项目的建设符合《云南省杞麓湖保护条例》规定的要求。</w:t>
            </w:r>
          </w:p>
          <w:p w14:paraId="2571161E">
            <w:pPr>
              <w:adjustRightInd w:val="0"/>
              <w:snapToGrid w:val="0"/>
              <w:spacing w:line="360" w:lineRule="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12</w:t>
            </w:r>
            <w:r>
              <w:rPr>
                <w:rFonts w:hint="eastAsia" w:ascii="Times New Roman" w:hAnsi="Times New Roman" w:eastAsia="宋体" w:cs="Times New Roman"/>
                <w:b/>
                <w:bCs/>
                <w:color w:val="auto"/>
                <w:sz w:val="24"/>
                <w:lang w:val="en-US" w:eastAsia="zh-CN"/>
              </w:rPr>
              <w:t>）与《云南省人民政府关于九大高原湖泊“三区”管控的指导意见》（云政发〔2022〕25号）相符性分析</w:t>
            </w:r>
          </w:p>
          <w:p w14:paraId="5E2657B0">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2022年4月28日，云南省人民政府办公厅公开了《云南省人民政府关于 九大高原湖泊“三区”管控的指导意见》（云政发〔2022〕25号），项目与其符合性分析详见下表。</w:t>
            </w:r>
          </w:p>
          <w:p w14:paraId="3D28E6CF">
            <w:pPr>
              <w:keepNext w:val="0"/>
              <w:keepLines w:val="0"/>
              <w:pageBreakBefore w:val="0"/>
              <w:widowControl w:val="0"/>
              <w:kinsoku/>
              <w:wordWrap/>
              <w:overflowPunct/>
              <w:topLinePunct/>
              <w:autoSpaceDE/>
              <w:autoSpaceDN/>
              <w:bidi w:val="0"/>
              <w:adjustRightInd w:val="0"/>
              <w:snapToGrid w:val="0"/>
              <w:jc w:val="center"/>
              <w:textAlignment w:val="auto"/>
              <w:rPr>
                <w:rFonts w:hint="default" w:ascii="Times New Roman" w:hAnsi="Times New Roman" w:eastAsia="宋体" w:cs="宋体"/>
                <w:b/>
                <w:bCs/>
                <w:color w:val="auto"/>
                <w:kern w:val="0"/>
                <w:sz w:val="21"/>
                <w:szCs w:val="21"/>
                <w:lang w:val="en-US" w:eastAsia="zh-CN"/>
              </w:rPr>
            </w:pPr>
            <w:r>
              <w:rPr>
                <w:rFonts w:hint="default"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11</w:t>
            </w:r>
            <w:r>
              <w:rPr>
                <w:rFonts w:hint="default" w:ascii="Times New Roman" w:hAnsi="Times New Roman" w:eastAsia="宋体" w:cs="宋体"/>
                <w:b/>
                <w:bCs/>
                <w:color w:val="auto"/>
                <w:kern w:val="0"/>
                <w:sz w:val="21"/>
                <w:szCs w:val="21"/>
                <w:lang w:val="en-US" w:eastAsia="zh-CN"/>
              </w:rPr>
              <w:t xml:space="preserve">  项目与《云南省人民政府关于九大高原湖泊“三区”管控的指导意见》相符性对照表</w:t>
            </w:r>
          </w:p>
          <w:tbl>
            <w:tblPr>
              <w:tblStyle w:val="24"/>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3806"/>
              <w:gridCol w:w="1597"/>
              <w:gridCol w:w="910"/>
            </w:tblGrid>
            <w:tr w14:paraId="7C4E2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154D06A">
                  <w:pPr>
                    <w:spacing w:line="240" w:lineRule="auto"/>
                    <w:ind w:firstLine="0" w:firstLineChars="0"/>
                    <w:rPr>
                      <w:rFonts w:ascii="Times New Roman" w:hAnsi="Times New Roman" w:eastAsia="宋体"/>
                      <w:b/>
                      <w:bCs/>
                      <w:color w:val="auto"/>
                      <w:sz w:val="21"/>
                      <w:szCs w:val="21"/>
                    </w:rPr>
                  </w:pPr>
                  <w:r>
                    <w:rPr>
                      <w:rFonts w:ascii="Times New Roman" w:hAnsi="Times New Roman" w:eastAsia="宋体"/>
                      <w:b/>
                      <w:bCs/>
                      <w:color w:val="auto"/>
                      <w:sz w:val="21"/>
                      <w:szCs w:val="21"/>
                    </w:rPr>
                    <w:t>章节</w:t>
                  </w:r>
                </w:p>
              </w:tc>
              <w:tc>
                <w:tcPr>
                  <w:tcW w:w="3689" w:type="dxa"/>
                  <w:tcBorders>
                    <w:top w:val="single" w:color="auto" w:sz="4" w:space="0"/>
                    <w:bottom w:val="single" w:color="auto" w:sz="4" w:space="0"/>
                    <w:right w:val="single" w:color="auto" w:sz="4" w:space="0"/>
                  </w:tcBorders>
                  <w:noWrap w:val="0"/>
                  <w:vAlign w:val="center"/>
                </w:tcPr>
                <w:p w14:paraId="67108916">
                  <w:pPr>
                    <w:spacing w:line="240" w:lineRule="auto"/>
                    <w:ind w:firstLine="422"/>
                    <w:jc w:val="center"/>
                    <w:rPr>
                      <w:rFonts w:ascii="Times New Roman" w:hAnsi="Times New Roman" w:eastAsia="宋体"/>
                      <w:b/>
                      <w:bCs/>
                      <w:color w:val="auto"/>
                      <w:sz w:val="21"/>
                      <w:szCs w:val="21"/>
                    </w:rPr>
                  </w:pPr>
                  <w:r>
                    <w:rPr>
                      <w:rFonts w:ascii="Times New Roman" w:hAnsi="Times New Roman" w:eastAsia="宋体"/>
                      <w:b/>
                      <w:bCs/>
                      <w:color w:val="auto"/>
                      <w:sz w:val="21"/>
                      <w:szCs w:val="21"/>
                    </w:rPr>
                    <w:t>要求</w:t>
                  </w:r>
                </w:p>
              </w:tc>
              <w:tc>
                <w:tcPr>
                  <w:tcW w:w="1548" w:type="dxa"/>
                  <w:tcBorders>
                    <w:top w:val="single" w:color="auto" w:sz="4" w:space="0"/>
                    <w:bottom w:val="single" w:color="auto" w:sz="4" w:space="0"/>
                    <w:right w:val="single" w:color="auto" w:sz="4" w:space="0"/>
                  </w:tcBorders>
                  <w:noWrap w:val="0"/>
                  <w:vAlign w:val="center"/>
                </w:tcPr>
                <w:p w14:paraId="07B4A3B7">
                  <w:pPr>
                    <w:spacing w:line="240" w:lineRule="auto"/>
                    <w:ind w:firstLine="0" w:firstLineChars="0"/>
                    <w:rPr>
                      <w:rFonts w:ascii="Times New Roman" w:hAnsi="Times New Roman" w:eastAsia="宋体"/>
                      <w:b/>
                      <w:bCs/>
                      <w:color w:val="auto"/>
                      <w:sz w:val="21"/>
                      <w:szCs w:val="21"/>
                    </w:rPr>
                  </w:pPr>
                  <w:r>
                    <w:rPr>
                      <w:rFonts w:ascii="Times New Roman" w:hAnsi="Times New Roman" w:eastAsia="宋体"/>
                      <w:b/>
                      <w:bCs/>
                      <w:color w:val="auto"/>
                      <w:sz w:val="21"/>
                      <w:szCs w:val="21"/>
                    </w:rPr>
                    <w:t>项目建设情况</w:t>
                  </w:r>
                </w:p>
              </w:tc>
              <w:tc>
                <w:tcPr>
                  <w:tcW w:w="881" w:type="dxa"/>
                  <w:tcBorders>
                    <w:top w:val="single" w:color="auto" w:sz="4" w:space="0"/>
                    <w:bottom w:val="single" w:color="auto" w:sz="4" w:space="0"/>
                    <w:right w:val="single" w:color="auto" w:sz="4" w:space="0"/>
                  </w:tcBorders>
                  <w:noWrap w:val="0"/>
                  <w:vAlign w:val="center"/>
                </w:tcPr>
                <w:p w14:paraId="36FB1243">
                  <w:pPr>
                    <w:spacing w:line="240" w:lineRule="auto"/>
                    <w:ind w:firstLine="0" w:firstLineChars="0"/>
                    <w:rPr>
                      <w:rFonts w:ascii="Times New Roman" w:hAnsi="Times New Roman" w:eastAsia="宋体"/>
                      <w:b/>
                      <w:bCs/>
                      <w:color w:val="auto"/>
                      <w:sz w:val="21"/>
                      <w:szCs w:val="21"/>
                    </w:rPr>
                  </w:pPr>
                  <w:r>
                    <w:rPr>
                      <w:rFonts w:ascii="Times New Roman" w:hAnsi="Times New Roman" w:eastAsia="宋体"/>
                      <w:b/>
                      <w:bCs/>
                      <w:color w:val="auto"/>
                      <w:sz w:val="21"/>
                      <w:szCs w:val="21"/>
                    </w:rPr>
                    <w:t>符合性</w:t>
                  </w:r>
                </w:p>
              </w:tc>
            </w:tr>
            <w:tr w14:paraId="2AA0A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45E32CA">
                  <w:pPr>
                    <w:spacing w:line="240" w:lineRule="auto"/>
                    <w:ind w:firstLine="0" w:firstLineChars="0"/>
                    <w:rPr>
                      <w:rFonts w:ascii="Times New Roman" w:hAnsi="Times New Roman" w:eastAsia="宋体"/>
                      <w:color w:val="auto"/>
                      <w:sz w:val="21"/>
                      <w:szCs w:val="21"/>
                    </w:rPr>
                  </w:pPr>
                  <w:r>
                    <w:rPr>
                      <w:rFonts w:ascii="Times New Roman" w:hAnsi="Times New Roman" w:eastAsia="宋体"/>
                      <w:b/>
                      <w:bCs/>
                      <w:color w:val="auto"/>
                      <w:sz w:val="21"/>
                      <w:szCs w:val="21"/>
                    </w:rPr>
                    <w:t>绿色发展区管控</w:t>
                  </w:r>
                </w:p>
              </w:tc>
              <w:tc>
                <w:tcPr>
                  <w:tcW w:w="3689" w:type="dxa"/>
                  <w:tcBorders>
                    <w:top w:val="single" w:color="auto" w:sz="4" w:space="0"/>
                    <w:bottom w:val="single" w:color="auto" w:sz="4" w:space="0"/>
                    <w:right w:val="single" w:color="auto" w:sz="4" w:space="0"/>
                  </w:tcBorders>
                  <w:noWrap w:val="0"/>
                  <w:vAlign w:val="center"/>
                </w:tcPr>
                <w:p w14:paraId="540EA15E">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科学确定人口和城镇建设规模。远湖布局、离湖发展，科学划定城镇开发边界，优先安排从生态保护核心区和生态保护缓冲区迁出的建设需求。按照湖泊保护需要，根据集约适度、绿色发展的原则，加快国土空间规划编制及管控。湖泊面山区域严禁连片房地产开发。</w:t>
                  </w:r>
                </w:p>
                <w:p w14:paraId="2DF51EE4">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严格管控建设用地总规模。建设用地以挖掘存量用地潜力、高效利用为主，新增建设用地主要用于保障基础设施、公共服务设施等民生项目用地需求。对资源条件优越，旅游、休闲、康养等发展潜力较大的绿色产业，新增建设用地须严格论证。</w:t>
                  </w:r>
                </w:p>
                <w:p w14:paraId="1839194D">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统筹加快“两污”治理。加快推进城镇污水处理厂扩容提标、雨污分流设施改造，加强农村生活污水治理与农村厕所革命有机衔接，积极推动农村生活污水、粪污无害化处理和资源化利用。加强垃圾收集、转运、处置等各类环境基础设施建设、运营和维护。2025年底前，完成流域内城镇雨污分流改造，城镇污水收集率达95%以上，农村生活污水收集处理率达75%以上，畜禽粪污综合利用率达90%以上，城市生活垃圾处理率达97%以上，实现农村生活垃圾分类投放、统一运输、集中处理。 </w:t>
                  </w:r>
                </w:p>
                <w:p w14:paraId="25C1224B">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全面提高用水效率。开展农业高效节水示范区建设，提高农田灌溉水有效利用系数。严格执行节水型企业标准、用水定额标准等，实施节水技术改造。加强再生水利用，鼓励将再生水优先用于工业生产、生态景观、建筑施工、城市杂用等。2025年底前，流域内万元GDP用水量和万元工业增加值用水量较2020年降幅均达16%以上。</w:t>
                  </w:r>
                </w:p>
                <w:p w14:paraId="3AC01D19">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加快开展面源污染治理。全面推进控肥增效、控药减害、控膜减量、控水降耗“四控行动”。在滇池、洱海、抚仙湖等湖泊开展初期雨水治理试点，探索初期雨水分质处理方式。</w:t>
                  </w:r>
                </w:p>
                <w:p w14:paraId="730AB4BD">
                  <w:pPr>
                    <w:numPr>
                      <w:ilvl w:val="0"/>
                      <w:numId w:val="2"/>
                    </w:num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持续推进高标准农田建设。深入落实“藏粮于地、藏粮于技”战略，大力实施高标准农田建设工程，加快补齐农田基础设施短板，逐步实现土地平整、集中连片、机力畅通、灌排配套的现代农业格局。利用调蓄库塘、生态沟渠等措施，收集农田灌溉退水，加强循环利用。</w:t>
                  </w:r>
                </w:p>
                <w:p w14:paraId="39BF8B74">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27.深入推进水权水价改革。建立水权交易机制，制定具体工作计划，明晰区域水资源管理权限，确定取用水总量控制指标，开展用水水权分配和有偿使用。推广农业用水计量收费，完善城镇居民阶梯水价和非居民用水超定额累进加价制度，充分发挥水价在水资源配置、水需求调节和水污染防治等方面的杠杆作用。 </w:t>
                  </w:r>
                </w:p>
                <w:p w14:paraId="38C7D86E">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28.全力发展绿色低碳循环经济。优化种植业结构，推广绿色生态种植，鼓励耕地轮作。加快产业结构调整，淘汰落后产能，制定迁出计划，将现有“高污染、高耗水、高耗能”企业全部迁出流域外。鼓励文化创意、会议会展、运动休闲、康体养生、乡村度假、科研设计、总部经济等绿色高附加值服务业的发展。深入实施乡村振兴战略，大力发展生态农业、生态旅游业等生态友好型产业，推进文旅农融合发展。</w:t>
                  </w:r>
                </w:p>
                <w:p w14:paraId="367D1102">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 xml:space="preserve"> 29.大力推进流域生态修复。2025年底前，洱海、泸沽湖、阳宗海主要入湖河道水质均在Ⅲ类及以上，其余湖泊主要入湖河道全面消除Ⅴ类、劣Ⅴ类水体。全面排查流域内矿山，按照自然保护地、生态保护红线管理要求分类处置，并按照宜林则林、宜耕则耕、宜草则草、宜景则景的原则进行生态修复，推进历史遗留矿山生态修复。积极推进国土绿化行动，加强湖泊面山绿化和生态修复，提高森林覆盖率，减少水土流失，涵养水源，提升森林、草原系统生态功能。加强入湖河道综合治理，常态化开展“乱占、乱采、乱堆、乱建”清理行动，促进河道生态修复。加强入湖河道管理，严格主要入湖河道管理范围内建设项目和活动的审批及监管。 </w:t>
                  </w:r>
                </w:p>
                <w:p w14:paraId="304D1030">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30.积极探索生态保护补偿机制。依托流域内现有产业布局和自然资源分布，制定工作计划，开展生态系统生产总值（GEP）核算。建立湖泊生态质量监测评价机制。科学制定补偿标准，探索实施森林、湿地、河道、种植结构调整等生态效益补偿机制。探索完善用能权、排污权、碳排放权交易制度。健全生态环境质量考核奖惩机制</w:t>
                  </w:r>
                </w:p>
              </w:tc>
              <w:tc>
                <w:tcPr>
                  <w:tcW w:w="1548" w:type="dxa"/>
                  <w:tcBorders>
                    <w:top w:val="single" w:color="auto" w:sz="4" w:space="0"/>
                    <w:bottom w:val="single" w:color="auto" w:sz="4" w:space="0"/>
                    <w:right w:val="single" w:color="auto" w:sz="4" w:space="0"/>
                  </w:tcBorders>
                  <w:noWrap w:val="0"/>
                  <w:vAlign w:val="center"/>
                </w:tcPr>
                <w:p w14:paraId="08D0EBE0">
                  <w:pPr>
                    <w:spacing w:line="240" w:lineRule="auto"/>
                    <w:ind w:firstLine="0" w:firstLineChars="0"/>
                    <w:rPr>
                      <w:rFonts w:hint="eastAsia" w:ascii="Times New Roman" w:hAnsi="Times New Roman" w:eastAsia="宋体"/>
                      <w:color w:val="auto"/>
                      <w:sz w:val="21"/>
                      <w:szCs w:val="21"/>
                    </w:rPr>
                  </w:pPr>
                  <w:r>
                    <w:rPr>
                      <w:rFonts w:hint="eastAsia" w:ascii="Times New Roman" w:hAnsi="Times New Roman" w:eastAsia="宋体"/>
                      <w:color w:val="auto"/>
                      <w:sz w:val="21"/>
                      <w:szCs w:val="21"/>
                    </w:rPr>
                    <w:t>21.</w:t>
                  </w:r>
                  <w:r>
                    <w:rPr>
                      <w:rFonts w:ascii="Times New Roman" w:hAnsi="Times New Roman" w:eastAsia="宋体"/>
                      <w:color w:val="auto"/>
                      <w:sz w:val="21"/>
                      <w:szCs w:val="21"/>
                      <w:lang w:val="zh-CN"/>
                    </w:rPr>
                    <w:t>本项目</w:t>
                  </w:r>
                  <w:r>
                    <w:rPr>
                      <w:rFonts w:hint="eastAsia" w:ascii="Times New Roman" w:hAnsi="Times New Roman" w:eastAsia="宋体"/>
                      <w:color w:val="auto"/>
                      <w:sz w:val="21"/>
                      <w:szCs w:val="21"/>
                      <w:lang w:val="zh-CN"/>
                    </w:rPr>
                    <w:t>位于玉溪市通海县</w:t>
                  </w:r>
                  <w:r>
                    <w:rPr>
                      <w:rFonts w:hint="eastAsia"/>
                      <w:color w:val="auto"/>
                      <w:sz w:val="21"/>
                      <w:szCs w:val="21"/>
                      <w:lang w:val="zh-CN"/>
                    </w:rPr>
                    <w:t>纳古镇大白龙</w:t>
                  </w:r>
                  <w:r>
                    <w:rPr>
                      <w:rFonts w:ascii="Times New Roman" w:hAnsi="Times New Roman" w:eastAsia="宋体"/>
                      <w:color w:val="auto"/>
                      <w:sz w:val="21"/>
                      <w:szCs w:val="21"/>
                      <w:lang w:val="zh-CN"/>
                    </w:rPr>
                    <w:t>，</w:t>
                  </w:r>
                  <w:r>
                    <w:rPr>
                      <w:rFonts w:hint="eastAsia" w:ascii="Times New Roman" w:hAnsi="Times New Roman" w:eastAsia="宋体"/>
                      <w:color w:val="auto"/>
                      <w:sz w:val="21"/>
                      <w:szCs w:val="21"/>
                    </w:rPr>
                    <w:t>位于</w:t>
                  </w:r>
                  <w:r>
                    <w:rPr>
                      <w:rFonts w:ascii="Times New Roman" w:hAnsi="Times New Roman" w:eastAsia="宋体"/>
                      <w:color w:val="auto"/>
                      <w:sz w:val="21"/>
                      <w:szCs w:val="21"/>
                      <w:lang w:val="zh-CN"/>
                    </w:rPr>
                    <w:t>杞麓湖</w:t>
                  </w:r>
                  <w:r>
                    <w:rPr>
                      <w:rFonts w:hint="eastAsia" w:ascii="Times New Roman" w:hAnsi="Times New Roman" w:eastAsia="宋体"/>
                      <w:color w:val="auto"/>
                      <w:sz w:val="21"/>
                      <w:szCs w:val="21"/>
                    </w:rPr>
                    <w:t>绿色发展区，不涉及核心区和生态保护缓冲区。</w:t>
                  </w:r>
                </w:p>
                <w:p w14:paraId="0C345695">
                  <w:pPr>
                    <w:spacing w:line="240" w:lineRule="auto"/>
                    <w:ind w:firstLine="0" w:firstLineChars="0"/>
                    <w:rPr>
                      <w:rFonts w:hint="eastAsia" w:ascii="Times New Roman" w:hAnsi="Times New Roman" w:eastAsia="宋体"/>
                      <w:color w:val="auto"/>
                      <w:sz w:val="21"/>
                      <w:szCs w:val="21"/>
                      <w:lang w:val="zh-CN"/>
                    </w:rPr>
                  </w:pPr>
                  <w:r>
                    <w:rPr>
                      <w:rFonts w:hint="eastAsia" w:ascii="Times New Roman" w:hAnsi="Times New Roman" w:eastAsia="宋体"/>
                      <w:color w:val="auto"/>
                      <w:sz w:val="21"/>
                      <w:szCs w:val="21"/>
                    </w:rPr>
                    <w:t>22.本项目</w:t>
                  </w:r>
                  <w:r>
                    <w:rPr>
                      <w:rFonts w:hint="eastAsia" w:ascii="Times New Roman" w:hAnsi="Times New Roman" w:eastAsia="宋体"/>
                      <w:color w:val="auto"/>
                      <w:sz w:val="21"/>
                      <w:szCs w:val="21"/>
                      <w:lang w:val="zh-CN"/>
                    </w:rPr>
                    <w:t>利用已建厂房建设，不新增用地。</w:t>
                  </w:r>
                </w:p>
                <w:p w14:paraId="6A532D1C">
                  <w:pPr>
                    <w:spacing w:line="240" w:lineRule="auto"/>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23.24.</w:t>
                  </w:r>
                  <w:r>
                    <w:rPr>
                      <w:rFonts w:ascii="Times New Roman" w:hAnsi="Times New Roman" w:eastAsia="宋体"/>
                      <w:color w:val="auto"/>
                      <w:sz w:val="21"/>
                      <w:szCs w:val="21"/>
                    </w:rPr>
                    <w:t>项目</w:t>
                  </w:r>
                  <w:r>
                    <w:rPr>
                      <w:rFonts w:hint="eastAsia" w:ascii="Times New Roman" w:hAnsi="Times New Roman" w:eastAsia="宋体"/>
                      <w:color w:val="auto"/>
                      <w:sz w:val="21"/>
                      <w:szCs w:val="21"/>
                    </w:rPr>
                    <w:t>实行雨污分流。</w:t>
                  </w:r>
                  <w:r>
                    <w:rPr>
                      <w:rFonts w:ascii="Times New Roman" w:hAnsi="Times New Roman" w:eastAsia="宋体"/>
                      <w:color w:val="auto"/>
                      <w:sz w:val="21"/>
                      <w:szCs w:val="21"/>
                    </w:rPr>
                    <w:t>生产废水</w:t>
                  </w:r>
                  <w:r>
                    <w:rPr>
                      <w:rFonts w:hint="eastAsia"/>
                      <w:color w:val="auto"/>
                      <w:sz w:val="21"/>
                      <w:szCs w:val="21"/>
                      <w:lang w:val="en-US" w:eastAsia="zh-CN"/>
                    </w:rPr>
                    <w:t>循环使用</w:t>
                  </w:r>
                  <w:r>
                    <w:rPr>
                      <w:rFonts w:hint="eastAsia" w:ascii="Times New Roman" w:hAnsi="Times New Roman" w:eastAsia="宋体"/>
                      <w:color w:val="auto"/>
                      <w:sz w:val="21"/>
                      <w:szCs w:val="21"/>
                      <w:lang w:val="en-US" w:eastAsia="zh-CN"/>
                    </w:rPr>
                    <w:t>，生活</w:t>
                  </w:r>
                  <w:r>
                    <w:rPr>
                      <w:rFonts w:hint="eastAsia"/>
                      <w:color w:val="auto"/>
                      <w:sz w:val="21"/>
                      <w:szCs w:val="21"/>
                      <w:lang w:val="en-US" w:eastAsia="zh-CN"/>
                    </w:rPr>
                    <w:t>污水进</w:t>
                  </w:r>
                  <w:r>
                    <w:rPr>
                      <w:rFonts w:hint="eastAsia" w:ascii="Times New Roman" w:hAnsi="Times New Roman" w:eastAsia="宋体"/>
                      <w:color w:val="auto"/>
                      <w:sz w:val="21"/>
                      <w:szCs w:val="21"/>
                      <w:lang w:val="en-US" w:eastAsia="zh-CN"/>
                    </w:rPr>
                    <w:t>化粪池处理后利用罐车运至纳古镇污水处理站处理，属于间接排放。</w:t>
                  </w:r>
                </w:p>
                <w:p w14:paraId="628BE2FF">
                  <w:pPr>
                    <w:pStyle w:val="23"/>
                    <w:ind w:left="0" w:leftChars="0" w:firstLine="0" w:firstLineChars="0"/>
                    <w:rPr>
                      <w:rFonts w:ascii="Times New Roman" w:hAnsi="Times New Roman" w:eastAsia="宋体"/>
                      <w:color w:val="auto"/>
                      <w:sz w:val="21"/>
                    </w:rPr>
                  </w:pPr>
                  <w:r>
                    <w:rPr>
                      <w:rFonts w:hint="eastAsia" w:ascii="Times New Roman" w:hAnsi="Times New Roman" w:eastAsia="宋体"/>
                      <w:color w:val="auto"/>
                      <w:sz w:val="21"/>
                      <w:szCs w:val="21"/>
                    </w:rPr>
                    <w:t>25.本项目不涉及。</w:t>
                  </w:r>
                </w:p>
                <w:p w14:paraId="5288E026">
                  <w:pPr>
                    <w:spacing w:line="240" w:lineRule="auto"/>
                    <w:ind w:firstLine="0" w:firstLineChars="0"/>
                    <w:rPr>
                      <w:rFonts w:hint="eastAsia" w:ascii="Times New Roman" w:hAnsi="Times New Roman" w:eastAsia="宋体"/>
                      <w:color w:val="auto"/>
                      <w:sz w:val="21"/>
                      <w:szCs w:val="21"/>
                    </w:rPr>
                  </w:pPr>
                  <w:r>
                    <w:rPr>
                      <w:rFonts w:hint="eastAsia" w:ascii="Times New Roman" w:hAnsi="Times New Roman" w:eastAsia="宋体"/>
                      <w:color w:val="auto"/>
                      <w:sz w:val="21"/>
                      <w:szCs w:val="21"/>
                    </w:rPr>
                    <w:t>26.27本项目不涉及。</w:t>
                  </w:r>
                </w:p>
                <w:p w14:paraId="47EE1CF0">
                  <w:pPr>
                    <w:spacing w:line="240" w:lineRule="auto"/>
                    <w:ind w:firstLine="0" w:firstLineChars="0"/>
                    <w:rPr>
                      <w:rFonts w:hint="eastAsia" w:ascii="Times New Roman" w:hAnsi="Times New Roman" w:eastAsia="宋体"/>
                      <w:color w:val="auto"/>
                      <w:sz w:val="21"/>
                      <w:szCs w:val="21"/>
                    </w:rPr>
                  </w:pPr>
                  <w:r>
                    <w:rPr>
                      <w:rFonts w:hint="eastAsia" w:ascii="Times New Roman" w:hAnsi="Times New Roman" w:eastAsia="宋体"/>
                      <w:color w:val="auto"/>
                      <w:sz w:val="21"/>
                      <w:szCs w:val="21"/>
                    </w:rPr>
                    <w:t>28.本项目为高频直缝焊管加工项目，不属于</w:t>
                  </w:r>
                  <w:r>
                    <w:rPr>
                      <w:rFonts w:ascii="Times New Roman" w:hAnsi="Times New Roman" w:eastAsia="宋体"/>
                      <w:color w:val="auto"/>
                      <w:sz w:val="21"/>
                      <w:szCs w:val="21"/>
                    </w:rPr>
                    <w:t>高污染、高耗水、高耗能企业</w:t>
                  </w:r>
                  <w:r>
                    <w:rPr>
                      <w:rFonts w:hint="eastAsia" w:ascii="Times New Roman" w:hAnsi="Times New Roman" w:eastAsia="宋体"/>
                      <w:color w:val="auto"/>
                      <w:sz w:val="21"/>
                      <w:szCs w:val="21"/>
                    </w:rPr>
                    <w:t>。</w:t>
                  </w:r>
                </w:p>
                <w:p w14:paraId="240DFB03">
                  <w:pPr>
                    <w:spacing w:line="240" w:lineRule="auto"/>
                    <w:ind w:firstLine="0" w:firstLineChars="0"/>
                    <w:rPr>
                      <w:rFonts w:hint="eastAsia" w:ascii="Times New Roman" w:hAnsi="Times New Roman" w:eastAsia="宋体"/>
                      <w:color w:val="auto"/>
                      <w:sz w:val="21"/>
                    </w:rPr>
                  </w:pPr>
                  <w:r>
                    <w:rPr>
                      <w:rFonts w:hint="eastAsia" w:ascii="Times New Roman" w:hAnsi="Times New Roman" w:eastAsia="宋体"/>
                      <w:color w:val="auto"/>
                      <w:sz w:val="21"/>
                      <w:szCs w:val="21"/>
                    </w:rPr>
                    <w:t>29.30.本项目不涉及。</w:t>
                  </w:r>
                </w:p>
              </w:tc>
              <w:tc>
                <w:tcPr>
                  <w:tcW w:w="881" w:type="dxa"/>
                  <w:tcBorders>
                    <w:top w:val="single" w:color="auto" w:sz="4" w:space="0"/>
                    <w:bottom w:val="single" w:color="auto" w:sz="4" w:space="0"/>
                    <w:right w:val="single" w:color="auto" w:sz="4" w:space="0"/>
                  </w:tcBorders>
                  <w:noWrap w:val="0"/>
                  <w:vAlign w:val="center"/>
                </w:tcPr>
                <w:p w14:paraId="6F02F4FB">
                  <w:pPr>
                    <w:spacing w:line="240" w:lineRule="auto"/>
                    <w:ind w:firstLine="0" w:firstLineChars="0"/>
                    <w:rPr>
                      <w:rFonts w:ascii="Times New Roman" w:hAnsi="Times New Roman" w:eastAsia="宋体"/>
                      <w:color w:val="auto"/>
                      <w:sz w:val="21"/>
                      <w:szCs w:val="21"/>
                    </w:rPr>
                  </w:pPr>
                  <w:r>
                    <w:rPr>
                      <w:rFonts w:ascii="Times New Roman" w:hAnsi="Times New Roman" w:eastAsia="宋体"/>
                      <w:color w:val="auto"/>
                      <w:sz w:val="21"/>
                      <w:szCs w:val="21"/>
                    </w:rPr>
                    <w:t>符合</w:t>
                  </w:r>
                </w:p>
              </w:tc>
            </w:tr>
          </w:tbl>
          <w:p w14:paraId="241D3360">
            <w:pPr>
              <w:keepNext w:val="0"/>
              <w:keepLines w:val="0"/>
              <w:pageBreakBefore w:val="0"/>
              <w:widowControl w:val="0"/>
              <w:kinsoku/>
              <w:wordWrap/>
              <w:overflowPunct/>
              <w:topLinePunct w:val="0"/>
              <w:autoSpaceDE/>
              <w:autoSpaceDN/>
              <w:bidi w:val="0"/>
              <w:adjustRightInd w:val="0"/>
              <w:snapToGrid w:val="0"/>
              <w:spacing w:before="160" w:beforeLines="50" w:line="46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由上表可知，项目建设符合《云南省人民政府关于九大高原湖泊“三区”管控的指导意见》。</w:t>
            </w:r>
          </w:p>
          <w:p w14:paraId="067A59FB">
            <w:pPr>
              <w:pStyle w:val="35"/>
              <w:keepNext w:val="0"/>
              <w:pageBreakBefore w:val="0"/>
              <w:widowControl w:val="0"/>
              <w:kinsoku/>
              <w:overflowPunct/>
              <w:bidi w:val="0"/>
              <w:spacing w:before="24" w:after="24" w:line="460" w:lineRule="exact"/>
              <w:ind w:left="0" w:leftChars="0" w:firstLine="0" w:firstLineChars="0"/>
              <w:textAlignment w:val="auto"/>
              <w:rPr>
                <w:rFonts w:ascii="Times New Roman" w:hAnsi="Times New Roman" w:eastAsia="宋体"/>
                <w:bCs/>
                <w:color w:val="auto"/>
                <w:sz w:val="24"/>
              </w:rPr>
            </w:pPr>
            <w:r>
              <w:rPr>
                <w:rFonts w:hint="eastAsia" w:ascii="Times New Roman" w:hAnsi="Times New Roman" w:eastAsia="宋体"/>
                <w:b/>
                <w:bCs/>
                <w:color w:val="auto"/>
                <w:sz w:val="24"/>
                <w:lang w:val="en-US" w:eastAsia="zh-CN"/>
              </w:rPr>
              <w:t>（1</w:t>
            </w:r>
            <w:r>
              <w:rPr>
                <w:rFonts w:hint="eastAsia"/>
                <w:b/>
                <w:bCs/>
                <w:color w:val="auto"/>
                <w:sz w:val="24"/>
                <w:lang w:val="en-US" w:eastAsia="zh-CN"/>
              </w:rPr>
              <w:t>3</w:t>
            </w:r>
            <w:r>
              <w:rPr>
                <w:rFonts w:hint="eastAsia" w:ascii="Times New Roman" w:hAnsi="Times New Roman" w:eastAsia="宋体"/>
                <w:b/>
                <w:bCs/>
                <w:color w:val="auto"/>
                <w:sz w:val="24"/>
                <w:lang w:val="en-US" w:eastAsia="zh-CN"/>
              </w:rPr>
              <w:t>）</w:t>
            </w:r>
            <w:r>
              <w:rPr>
                <w:rFonts w:hint="eastAsia" w:ascii="Times New Roman" w:hAnsi="Times New Roman" w:eastAsia="宋体"/>
                <w:b/>
                <w:bCs/>
                <w:color w:val="auto"/>
                <w:sz w:val="24"/>
              </w:rPr>
              <w:t>与玉溪市人民政府关于印发《云南省抚仙湖星云湖杞麓湖湖滨生态红线及湖泊生态黄线“两线”划定方案（精简版）的通知》（玉政发〔2022〕19号）及《玉溪市人民政府关于抚仙湖、星云湖、杞麓湖生态保护核心区生态保护缓冲区绿色发展区划定公告》、《杞麓湖“三区”管控实施细则》的符合性分析</w:t>
            </w:r>
          </w:p>
          <w:p w14:paraId="2DF01EE5">
            <w:pPr>
              <w:keepNext w:val="0"/>
              <w:pageBreakBefore w:val="0"/>
              <w:widowControl w:val="0"/>
              <w:kinsoku/>
              <w:overflowPunct/>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玉溪市人民政府关于印发《云南省抚仙湖星云湖杞麓湖湖滨生态红线及湖泊生态黄线“两线”划定方案（精简版）的通知》（玉政发〔2022〕19号）的相关要求，杞麓湖湖滨生态红线全面大于等于杞麓湖的一级保护区界限，湖滨生态红线距最高水位湖岸线在水平方向上平均距离109.87米，最远距离为679.39米，最近距离为100米。湖滨生态红线划定围合面积41.01平方千米（6.15万亩），比一级保护区面积40.47平方千米（6.07万亩）多0.54平方千米（0.08万亩）。湖泊生态黄线的划定以流转的耕地范围为框架，综合考虑生态缓冲、城镇开发、历史文化名城保护等因素，以老环湖路路线为主体，部分县道、省道、田间机耕路为补充，本着能大则大的原则，构建闭合的湖泊生态黄线。湖泊生态黄线围合面积61.89平方千米（9.28万亩），湖泊生态黄线至湖滨生态红线之间的区域面积20.88平方千米（3.13万亩）。2024年9月13日，玉溪市人民政府发布了《玉溪市人民政府关于抚仙湖、星云湖、杞麓湖生态保护核心区生态保护缓冲区绿色发展区划定公告》，对杞麓湖湖滨生态红线、湖泊生态黄线、杞麓湖生态保护核心区、生态保护缓冲区、绿色发展区进行了划定。</w:t>
            </w:r>
          </w:p>
          <w:p w14:paraId="7FC7889A">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textAlignment w:val="auto"/>
              <w:rPr>
                <w:rFonts w:hint="eastAsia" w:ascii="Times New Roman" w:hAnsi="Times New Roman" w:eastAsia="宋体" w:cs="宋体"/>
                <w:color w:val="auto"/>
                <w:kern w:val="0"/>
                <w:sz w:val="24"/>
                <w:lang w:val="en-US" w:eastAsia="zh-CN"/>
              </w:rPr>
            </w:pPr>
            <w:r>
              <w:rPr>
                <w:rFonts w:hint="eastAsia" w:ascii="Times New Roman" w:hAnsi="Times New Roman" w:eastAsia="宋体" w:cs="Times New Roman"/>
                <w:color w:val="auto"/>
                <w:sz w:val="24"/>
                <w:lang w:val="en-US" w:eastAsia="zh-CN"/>
              </w:rPr>
              <w:t>本项目位于玉溪市通海县</w:t>
            </w:r>
            <w:r>
              <w:rPr>
                <w:rFonts w:hint="eastAsia" w:cs="Times New Roman"/>
                <w:color w:val="auto"/>
                <w:sz w:val="24"/>
                <w:lang w:val="en-US" w:eastAsia="zh-CN"/>
              </w:rPr>
              <w:t>纳古</w:t>
            </w:r>
            <w:r>
              <w:rPr>
                <w:rFonts w:hint="eastAsia" w:ascii="Times New Roman" w:hAnsi="Times New Roman" w:eastAsia="宋体" w:cs="Times New Roman"/>
                <w:color w:val="auto"/>
                <w:sz w:val="24"/>
                <w:lang w:val="en-US" w:eastAsia="zh-CN"/>
              </w:rPr>
              <w:t>镇</w:t>
            </w:r>
            <w:r>
              <w:rPr>
                <w:rFonts w:hint="eastAsia" w:cs="Times New Roman"/>
                <w:color w:val="auto"/>
                <w:sz w:val="24"/>
                <w:lang w:val="en-US" w:eastAsia="zh-CN"/>
              </w:rPr>
              <w:t>大白龙</w:t>
            </w:r>
            <w:r>
              <w:rPr>
                <w:rFonts w:hint="eastAsia" w:ascii="Times New Roman" w:hAnsi="Times New Roman" w:eastAsia="宋体" w:cs="Times New Roman"/>
                <w:color w:val="auto"/>
                <w:sz w:val="24"/>
                <w:lang w:val="en-US" w:eastAsia="zh-CN"/>
              </w:rPr>
              <w:t>，位于杞麓湖西北面约</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km处，根据202</w:t>
            </w:r>
            <w:r>
              <w:rPr>
                <w:rFonts w:hint="eastAsia" w:cs="Times New Roman"/>
                <w:color w:val="auto"/>
                <w:sz w:val="24"/>
                <w:lang w:val="en-US" w:eastAsia="zh-CN"/>
              </w:rPr>
              <w:t>6</w:t>
            </w:r>
            <w:r>
              <w:rPr>
                <w:rFonts w:hint="eastAsia" w:ascii="Times New Roman" w:hAnsi="Times New Roman" w:eastAsia="宋体" w:cs="Times New Roman"/>
                <w:color w:val="auto"/>
                <w:sz w:val="24"/>
                <w:lang w:val="en-US" w:eastAsia="zh-CN"/>
              </w:rPr>
              <w:t>年1月</w:t>
            </w:r>
            <w:r>
              <w:rPr>
                <w:rFonts w:hint="eastAsia" w:cs="Times New Roman"/>
                <w:color w:val="auto"/>
                <w:sz w:val="24"/>
                <w:lang w:val="en-US" w:eastAsia="zh-CN"/>
              </w:rPr>
              <w:t>14</w:t>
            </w:r>
            <w:r>
              <w:rPr>
                <w:rFonts w:hint="eastAsia" w:ascii="Times New Roman" w:hAnsi="Times New Roman" w:eastAsia="宋体" w:cs="Times New Roman"/>
                <w:color w:val="auto"/>
                <w:sz w:val="24"/>
                <w:lang w:val="en-US" w:eastAsia="zh-CN"/>
              </w:rPr>
              <w:t>日，通海县杞麓湖管理局出具的</w:t>
            </w:r>
            <w:r>
              <w:rPr>
                <w:rFonts w:hint="eastAsia" w:cs="Times New Roman"/>
                <w:color w:val="auto"/>
                <w:sz w:val="24"/>
                <w:lang w:val="en-US" w:eastAsia="zh-CN"/>
              </w:rPr>
              <w:t>《</w:t>
            </w:r>
            <w:r>
              <w:rPr>
                <w:rFonts w:hint="eastAsia" w:ascii="Times New Roman" w:hAnsi="Times New Roman" w:eastAsia="宋体" w:cs="宋体"/>
                <w:color w:val="auto"/>
                <w:kern w:val="0"/>
                <w:sz w:val="24"/>
                <w:lang w:val="en-US" w:eastAsia="zh-CN"/>
              </w:rPr>
              <w:t>通海县杞麓湖管理局关于云南通海佳康型材有限公司年产</w:t>
            </w:r>
            <w:r>
              <w:rPr>
                <w:rFonts w:hint="eastAsia" w:cs="宋体"/>
                <w:color w:val="auto"/>
                <w:kern w:val="0"/>
                <w:sz w:val="24"/>
                <w:lang w:val="en-US" w:eastAsia="zh-CN"/>
              </w:rPr>
              <w:t>20</w:t>
            </w:r>
            <w:r>
              <w:rPr>
                <w:rFonts w:hint="eastAsia" w:ascii="Times New Roman" w:hAnsi="Times New Roman" w:eastAsia="宋体" w:cs="宋体"/>
                <w:color w:val="auto"/>
                <w:kern w:val="0"/>
                <w:sz w:val="24"/>
                <w:lang w:val="en-US" w:eastAsia="zh-CN"/>
              </w:rPr>
              <w:t>万吨焊管生产线建设项目选址意见的函》（详见附件</w:t>
            </w:r>
            <w:r>
              <w:rPr>
                <w:rFonts w:hint="eastAsia" w:cs="宋体"/>
                <w:color w:val="auto"/>
                <w:kern w:val="0"/>
                <w:sz w:val="24"/>
                <w:lang w:val="en-US" w:eastAsia="zh-CN"/>
              </w:rPr>
              <w:t>8</w:t>
            </w:r>
            <w:r>
              <w:rPr>
                <w:rFonts w:hint="eastAsia" w:ascii="Times New Roman" w:hAnsi="Times New Roman" w:eastAsia="宋体" w:cs="宋体"/>
                <w:color w:val="auto"/>
                <w:kern w:val="0"/>
                <w:sz w:val="24"/>
                <w:lang w:val="en-US" w:eastAsia="zh-CN"/>
              </w:rPr>
              <w:t>）</w:t>
            </w:r>
            <w:r>
              <w:rPr>
                <w:rFonts w:hint="eastAsia" w:ascii="Times New Roman" w:hAnsi="Times New Roman" w:eastAsia="宋体" w:cs="Times New Roman"/>
                <w:color w:val="auto"/>
                <w:sz w:val="24"/>
                <w:lang w:val="en-US" w:eastAsia="zh-CN"/>
              </w:rPr>
              <w:t>，</w:t>
            </w:r>
            <w:r>
              <w:rPr>
                <w:rFonts w:hint="eastAsia" w:ascii="Times New Roman" w:hAnsi="Times New Roman" w:eastAsia="宋体" w:cs="宋体"/>
                <w:color w:val="auto"/>
                <w:kern w:val="0"/>
                <w:sz w:val="24"/>
                <w:lang w:val="en-US" w:eastAsia="zh-CN"/>
              </w:rPr>
              <w:t>根据该意见：“项目位于杞麓湖流域范围内，但不位于杞麓湖湖滨生态红线、湖泊生态黄线范围内，同意项目选址。用地的建设需符合杞麓湖“两线”“三区管控要求，同时不违反《云南省杞麓湖保护条例》中绿色发展区的规定”。因此本项目的建设符合云南省抚仙湖星云湖杞麓湖湖滨生态红线及湖泊生态黄线“两线”划定方案（精简版）的通知》（玉政发〔2022〕19号）及《玉溪市人民政府关于抚仙湖、星云湖、杞麓湖生态保护核心区生态保护缓冲区绿色发展区划定公告》、《杞麓湖“三区”管控实施细则》中相关要求。</w:t>
            </w:r>
          </w:p>
          <w:p w14:paraId="3440DD81">
            <w:pPr>
              <w:pStyle w:val="35"/>
              <w:keepNext w:val="0"/>
              <w:pageBreakBefore w:val="0"/>
              <w:widowControl w:val="0"/>
              <w:kinsoku/>
              <w:overflowPunct/>
              <w:bidi w:val="0"/>
              <w:spacing w:before="24" w:after="24" w:line="460" w:lineRule="exact"/>
              <w:ind w:left="0" w:leftChars="0" w:firstLine="0" w:firstLineChars="0"/>
              <w:textAlignment w:val="auto"/>
              <w:rPr>
                <w:rFonts w:ascii="Times New Roman" w:hAnsi="Times New Roman" w:eastAsia="宋体"/>
                <w:bCs/>
                <w:color w:val="auto"/>
                <w:sz w:val="24"/>
              </w:rPr>
            </w:pPr>
            <w:r>
              <w:rPr>
                <w:rFonts w:hint="eastAsia" w:ascii="Times New Roman" w:hAnsi="Times New Roman" w:eastAsia="宋体"/>
                <w:b/>
                <w:bCs/>
                <w:color w:val="auto"/>
                <w:sz w:val="24"/>
                <w:lang w:val="en-US" w:eastAsia="zh-CN"/>
              </w:rPr>
              <w:t>（</w:t>
            </w:r>
            <w:r>
              <w:rPr>
                <w:rFonts w:hint="eastAsia"/>
                <w:b/>
                <w:bCs/>
                <w:color w:val="auto"/>
                <w:sz w:val="24"/>
                <w:lang w:val="en-US" w:eastAsia="zh-CN"/>
              </w:rPr>
              <w:t>14</w:t>
            </w:r>
            <w:r>
              <w:rPr>
                <w:rFonts w:hint="eastAsia" w:ascii="Times New Roman" w:hAnsi="Times New Roman" w:eastAsia="宋体"/>
                <w:b/>
                <w:bCs/>
                <w:color w:val="auto"/>
                <w:sz w:val="24"/>
                <w:lang w:val="en-US" w:eastAsia="zh-CN"/>
              </w:rPr>
              <w:t>）</w:t>
            </w:r>
            <w:r>
              <w:rPr>
                <w:rFonts w:ascii="Times New Roman" w:hAnsi="Times New Roman" w:eastAsia="宋体"/>
                <w:b/>
                <w:bCs/>
                <w:color w:val="auto"/>
                <w:sz w:val="24"/>
              </w:rPr>
              <w:t>与通海县人民政府专题会议纪要（2017年第20期）符合性分析</w:t>
            </w:r>
          </w:p>
          <w:p w14:paraId="3006DDA8">
            <w:pPr>
              <w:keepNext w:val="0"/>
              <w:pageBreakBefore w:val="0"/>
              <w:widowControl w:val="0"/>
              <w:kinsoku/>
              <w:overflowPunct/>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rPr>
              <w:t>会议认为在全县打击“地条钢”专项行动取得阶段性成效、所有涉及“地条钢”生产企业按要求拆除中频炉等设施后，对于利用原有厂址转型发展其他加工型企业、新建符合国家产业政策和通海产业发展布局规划的项目，有利于彻底杜绝“地条钢”死灰复燃，有利于促进当地经济恢复发展，也有利于社会稳定，应予支持。本项目</w:t>
            </w:r>
            <w:r>
              <w:rPr>
                <w:rFonts w:hint="eastAsia" w:ascii="Times New Roman" w:hAnsi="Times New Roman" w:eastAsia="宋体" w:cs="Times New Roman"/>
                <w:color w:val="auto"/>
                <w:sz w:val="24"/>
                <w:lang w:eastAsia="zh-CN"/>
              </w:rPr>
              <w:t>在</w:t>
            </w:r>
            <w:r>
              <w:rPr>
                <w:rFonts w:hint="eastAsia" w:cs="Times New Roman"/>
                <w:color w:val="auto"/>
                <w:sz w:val="24"/>
                <w:lang w:eastAsia="zh-CN"/>
              </w:rPr>
              <w:t>租用原</w:t>
            </w:r>
            <w:r>
              <w:rPr>
                <w:rFonts w:hint="eastAsia" w:ascii="Times New Roman" w:hAnsi="Times New Roman" w:eastAsia="宋体" w:cs="Times New Roman"/>
                <w:color w:val="auto"/>
                <w:sz w:val="24"/>
                <w:lang w:eastAsia="zh-CN"/>
              </w:rPr>
              <w:t>厂区内改建</w:t>
            </w:r>
            <w:r>
              <w:rPr>
                <w:rFonts w:hint="eastAsia" w:ascii="Times New Roman" w:hAnsi="Times New Roman" w:eastAsia="宋体" w:cs="Times New Roman"/>
                <w:color w:val="auto"/>
                <w:sz w:val="24"/>
              </w:rPr>
              <w:t>，不新</w:t>
            </w:r>
            <w:r>
              <w:rPr>
                <w:rFonts w:hint="eastAsia" w:ascii="Times New Roman" w:hAnsi="Times New Roman" w:eastAsia="宋体" w:cs="Times New Roman"/>
                <w:color w:val="auto"/>
                <w:sz w:val="24"/>
                <w:lang w:eastAsia="zh-CN"/>
              </w:rPr>
              <w:t>征</w:t>
            </w:r>
            <w:r>
              <w:rPr>
                <w:rFonts w:hint="eastAsia" w:ascii="Times New Roman" w:hAnsi="Times New Roman" w:eastAsia="宋体" w:cs="Times New Roman"/>
                <w:color w:val="auto"/>
                <w:sz w:val="24"/>
              </w:rPr>
              <w:t>土地，本项目为</w:t>
            </w:r>
            <w:r>
              <w:rPr>
                <w:rFonts w:hint="eastAsia" w:ascii="Times New Roman" w:hAnsi="Times New Roman" w:eastAsia="宋体" w:cs="Times New Roman"/>
                <w:color w:val="auto"/>
                <w:sz w:val="24"/>
                <w:lang w:val="en-US" w:eastAsia="zh-CN"/>
              </w:rPr>
              <w:t>焊管生产</w:t>
            </w:r>
            <w:r>
              <w:rPr>
                <w:rFonts w:hint="eastAsia" w:ascii="Times New Roman" w:hAnsi="Times New Roman" w:eastAsia="宋体" w:cs="Times New Roman"/>
                <w:color w:val="auto"/>
                <w:sz w:val="24"/>
              </w:rPr>
              <w:t>项目，不属于“地条钢”，因此项目建设符合会议要求。</w:t>
            </w:r>
          </w:p>
          <w:p w14:paraId="7D9F1939">
            <w:pPr>
              <w:keepNext w:val="0"/>
              <w:pageBreakBefore w:val="0"/>
              <w:widowControl w:val="0"/>
              <w:kinsoku/>
              <w:overflowPunct/>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会议要求对于工业技改项目，凡不涉新建厂房的，不上政府联席会议研究，由县工信局审批备案。项目</w:t>
            </w:r>
            <w:r>
              <w:rPr>
                <w:rFonts w:hint="eastAsia" w:ascii="Times New Roman" w:hAnsi="Times New Roman" w:eastAsia="宋体" w:cs="Times New Roman"/>
                <w:color w:val="auto"/>
                <w:sz w:val="24"/>
                <w:lang w:eastAsia="zh-CN"/>
              </w:rPr>
              <w:t>在</w:t>
            </w:r>
            <w:r>
              <w:rPr>
                <w:rFonts w:hint="eastAsia" w:cs="Times New Roman"/>
                <w:color w:val="auto"/>
                <w:sz w:val="24"/>
                <w:lang w:eastAsia="zh-CN"/>
              </w:rPr>
              <w:t>租用</w:t>
            </w:r>
            <w:r>
              <w:rPr>
                <w:rFonts w:hint="eastAsia" w:ascii="Times New Roman" w:hAnsi="Times New Roman" w:eastAsia="宋体" w:cs="Times New Roman"/>
                <w:color w:val="auto"/>
                <w:sz w:val="24"/>
                <w:lang w:eastAsia="zh-CN"/>
              </w:rPr>
              <w:t>原厂区内改建</w:t>
            </w:r>
            <w:r>
              <w:rPr>
                <w:rFonts w:hint="eastAsia" w:ascii="Times New Roman" w:hAnsi="Times New Roman" w:eastAsia="宋体" w:cs="Times New Roman"/>
                <w:color w:val="auto"/>
                <w:sz w:val="24"/>
              </w:rPr>
              <w:t>，不新建厂房，</w:t>
            </w:r>
            <w:r>
              <w:rPr>
                <w:rFonts w:hint="eastAsia" w:ascii="Times New Roman" w:hAnsi="Times New Roman" w:eastAsia="宋体" w:cs="Times New Roman"/>
                <w:color w:val="auto"/>
                <w:sz w:val="24"/>
                <w:lang w:val="en-US" w:eastAsia="zh-CN"/>
              </w:rPr>
              <w:t>且已在发改局备案，</w:t>
            </w:r>
            <w:r>
              <w:rPr>
                <w:rFonts w:hint="eastAsia" w:ascii="Times New Roman" w:hAnsi="Times New Roman" w:eastAsia="宋体" w:cs="Times New Roman"/>
                <w:color w:val="auto"/>
                <w:sz w:val="24"/>
              </w:rPr>
              <w:t>因此项目符合会议要求。</w:t>
            </w:r>
          </w:p>
          <w:p w14:paraId="3E068A90">
            <w:pPr>
              <w:keepNext w:val="0"/>
              <w:pageBreakBefore w:val="0"/>
              <w:widowControl w:val="0"/>
              <w:kinsoku/>
              <w:overflowPunct/>
              <w:bidi w:val="0"/>
              <w:adjustRightInd w:val="0"/>
              <w:snapToGrid w:val="0"/>
              <w:spacing w:line="460" w:lineRule="exact"/>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（15）项目与《固体废物综合治理行动计划》（国发</w:t>
            </w:r>
            <w:r>
              <w:rPr>
                <w:rFonts w:hint="eastAsia" w:ascii="Times New Roman" w:hAnsi="Times New Roman" w:eastAsia="宋体" w:cs="Times New Roman"/>
                <w:b/>
                <w:bCs/>
                <w:color w:val="auto"/>
                <w:sz w:val="24"/>
                <w:lang w:val="en-US" w:eastAsia="zh-CN"/>
              </w:rPr>
              <w:t>〔202</w:t>
            </w:r>
            <w:r>
              <w:rPr>
                <w:rFonts w:hint="eastAsia" w:cs="Times New Roman"/>
                <w:b/>
                <w:bCs/>
                <w:color w:val="auto"/>
                <w:sz w:val="24"/>
                <w:lang w:val="en-US" w:eastAsia="zh-CN"/>
              </w:rPr>
              <w:t>5</w:t>
            </w: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14</w:t>
            </w:r>
            <w:r>
              <w:rPr>
                <w:rFonts w:hint="eastAsia" w:ascii="Times New Roman" w:hAnsi="Times New Roman" w:eastAsia="宋体" w:cs="Times New Roman"/>
                <w:b/>
                <w:bCs/>
                <w:color w:val="auto"/>
                <w:sz w:val="24"/>
                <w:lang w:val="en-US" w:eastAsia="zh-CN"/>
              </w:rPr>
              <w:t>号</w:t>
            </w:r>
            <w:r>
              <w:rPr>
                <w:rFonts w:hint="eastAsia" w:cs="Times New Roman"/>
                <w:b/>
                <w:bCs/>
                <w:color w:val="auto"/>
                <w:sz w:val="24"/>
                <w:highlight w:val="none"/>
                <w:lang w:val="en-US" w:eastAsia="zh-CN"/>
              </w:rPr>
              <w:t>）符合性分析</w:t>
            </w:r>
          </w:p>
          <w:p w14:paraId="5236635B">
            <w:pPr>
              <w:keepNext w:val="0"/>
              <w:pageBreakBefore w:val="0"/>
              <w:widowControl w:val="0"/>
              <w:kinsoku/>
              <w:overflowPunct/>
              <w:bidi w:val="0"/>
              <w:adjustRightInd w:val="0"/>
              <w:snapToGrid w:val="0"/>
              <w:spacing w:line="460" w:lineRule="exact"/>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为加强固体废物综合治理，推进美丽中国建设，加快经济社会发展全面绿色转型，</w:t>
            </w:r>
            <w:r>
              <w:rPr>
                <w:rFonts w:hint="eastAsia" w:ascii="Times New Roman" w:hAnsi="Times New Roman" w:eastAsia="宋体" w:cs="Times New Roman"/>
                <w:color w:val="auto"/>
                <w:sz w:val="24"/>
                <w:lang w:val="en-US" w:eastAsia="zh-CN"/>
              </w:rPr>
              <w:t>2025年1</w:t>
            </w: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月2</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lang w:val="en-US" w:eastAsia="zh-CN"/>
              </w:rPr>
              <w:t>国务院发布了《国务院关于印发&lt;固体废物综合治理行动计划&gt;的通知》（国发〔2025〕14号），本项目与计划中相关内容的相符性详见下表</w:t>
            </w:r>
            <w:r>
              <w:rPr>
                <w:rFonts w:hint="eastAsia" w:ascii="Times New Roman" w:hAnsi="Times New Roman" w:eastAsia="宋体" w:cs="Times New Roman"/>
                <w:color w:val="auto"/>
                <w:sz w:val="24"/>
                <w:lang w:val="en-US" w:eastAsia="zh-CN"/>
              </w:rPr>
              <w:t>。</w:t>
            </w:r>
          </w:p>
          <w:p w14:paraId="35BADB7C">
            <w:pPr>
              <w:jc w:val="center"/>
              <w:rPr>
                <w:rFonts w:hint="eastAsia"/>
                <w:b/>
                <w:bCs/>
                <w:color w:val="auto"/>
                <w:lang w:val="en-US"/>
              </w:rPr>
            </w:pPr>
            <w:r>
              <w:rPr>
                <w:rFonts w:hint="eastAsia"/>
                <w:b/>
                <w:bCs/>
                <w:color w:val="auto"/>
                <w:lang w:val="en-US" w:eastAsia="zh-CN"/>
              </w:rPr>
              <w:t xml:space="preserve">表1-12  </w:t>
            </w:r>
            <w:r>
              <w:rPr>
                <w:rFonts w:hint="eastAsia" w:ascii="Times New Roman"/>
                <w:b/>
                <w:bCs/>
                <w:color w:val="auto"/>
                <w:lang w:val="en-US"/>
              </w:rPr>
              <w:t>项目与《固体废物综合治理行动计划》的符合性分析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3483"/>
              <w:gridCol w:w="2476"/>
              <w:gridCol w:w="716"/>
            </w:tblGrid>
            <w:tr w14:paraId="0E4C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noWrap w:val="0"/>
                  <w:vAlign w:val="center"/>
                </w:tcPr>
                <w:p w14:paraId="2951E4B1">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序号</w:t>
                  </w:r>
                </w:p>
              </w:tc>
              <w:tc>
                <w:tcPr>
                  <w:tcW w:w="3483" w:type="dxa"/>
                  <w:noWrap w:val="0"/>
                  <w:vAlign w:val="center"/>
                </w:tcPr>
                <w:p w14:paraId="4511B852">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《指导意见》</w:t>
                  </w:r>
                </w:p>
              </w:tc>
              <w:tc>
                <w:tcPr>
                  <w:tcW w:w="2476" w:type="dxa"/>
                  <w:noWrap w:val="0"/>
                  <w:vAlign w:val="center"/>
                </w:tcPr>
                <w:p w14:paraId="6658304F">
                  <w:pPr>
                    <w:jc w:val="center"/>
                    <w:rPr>
                      <w:rFonts w:hint="default" w:eastAsia="宋体"/>
                      <w:color w:val="auto"/>
                      <w:vertAlign w:val="baseline"/>
                      <w:lang w:val="en-US" w:eastAsia="zh-CN"/>
                    </w:rPr>
                  </w:pPr>
                  <w:r>
                    <w:rPr>
                      <w:rFonts w:hint="eastAsia" w:ascii="Times New Roman" w:eastAsia="宋体"/>
                      <w:color w:val="auto"/>
                      <w:vertAlign w:val="baseline"/>
                      <w:lang w:val="en-US" w:eastAsia="zh-CN"/>
                    </w:rPr>
                    <w:t>本项目情况</w:t>
                  </w:r>
                </w:p>
              </w:tc>
              <w:tc>
                <w:tcPr>
                  <w:tcW w:w="716" w:type="dxa"/>
                  <w:noWrap w:val="0"/>
                  <w:vAlign w:val="center"/>
                </w:tcPr>
                <w:p w14:paraId="0FA931A2">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符合性</w:t>
                  </w:r>
                </w:p>
              </w:tc>
            </w:tr>
            <w:tr w14:paraId="0D5B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461" w:type="dxa"/>
                  <w:noWrap w:val="0"/>
                  <w:vAlign w:val="center"/>
                </w:tcPr>
                <w:p w14:paraId="3D942D14">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1</w:t>
                  </w:r>
                </w:p>
              </w:tc>
              <w:tc>
                <w:tcPr>
                  <w:tcW w:w="3483" w:type="dxa"/>
                  <w:noWrap w:val="0"/>
                  <w:vAlign w:val="center"/>
                </w:tcPr>
                <w:p w14:paraId="742616E5">
                  <w:pPr>
                    <w:jc w:val="center"/>
                    <w:rPr>
                      <w:color w:val="auto"/>
                      <w:vertAlign w:val="baseline"/>
                      <w:lang w:val="en-US"/>
                    </w:rPr>
                  </w:pPr>
                  <w:r>
                    <w:rPr>
                      <w:rFonts w:hint="eastAsia" w:ascii="Times New Roman"/>
                      <w:color w:val="auto"/>
                      <w:spacing w:val="0"/>
                      <w:sz w:val="21"/>
                      <w:shd w:val="clear" w:color="auto" w:fill="auto"/>
                      <w:vertAlign w:val="baseline"/>
                      <w:lang w:val="en-US"/>
                    </w:rPr>
                    <w:t>二、推动源头管控和减量加强工业固体废物源头减量。严格落实产业、环保、节能等政策，依法依规淘汰落后产能。强化工业园区固体废物源头管控。大力推行绿色设计，支持企业改进生产工艺和装备，强化工业生产精细化管控，降低固体废物产生强度。推动重有色金属矿采选一体化建设，促进尾矿就近充填回填，原则上不再批准建设无自建矿山、无配套尾矿利用处置设施的选矿项目。推动重点行业固体废物产生量与综合消纳量逐步实现动态平衡。</w:t>
                  </w:r>
                </w:p>
              </w:tc>
              <w:tc>
                <w:tcPr>
                  <w:tcW w:w="2476" w:type="dxa"/>
                  <w:noWrap w:val="0"/>
                  <w:vAlign w:val="center"/>
                </w:tcPr>
                <w:p w14:paraId="7676B835">
                  <w:pPr>
                    <w:jc w:val="both"/>
                    <w:rPr>
                      <w:color w:val="auto"/>
                      <w:vertAlign w:val="baseline"/>
                      <w:lang w:val="en-US"/>
                    </w:rPr>
                  </w:pPr>
                  <w:r>
                    <w:rPr>
                      <w:rFonts w:hint="eastAsia" w:ascii="Times New Roman"/>
                      <w:color w:val="auto"/>
                      <w:vertAlign w:val="baseline"/>
                      <w:lang w:val="en-US"/>
                    </w:rPr>
                    <w:t>项目运营后建立健全管理制度，从源头上减少固体废物的产生量，运营期产生的固体均能妥善处置，不排放。</w:t>
                  </w:r>
                </w:p>
              </w:tc>
              <w:tc>
                <w:tcPr>
                  <w:tcW w:w="716" w:type="dxa"/>
                  <w:noWrap w:val="0"/>
                  <w:vAlign w:val="center"/>
                </w:tcPr>
                <w:p w14:paraId="474FE1CE">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符合</w:t>
                  </w:r>
                </w:p>
              </w:tc>
            </w:tr>
            <w:tr w14:paraId="6C7B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dxa"/>
                  <w:noWrap w:val="0"/>
                  <w:vAlign w:val="center"/>
                </w:tcPr>
                <w:p w14:paraId="315DA060">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2</w:t>
                  </w:r>
                </w:p>
              </w:tc>
              <w:tc>
                <w:tcPr>
                  <w:tcW w:w="3483" w:type="dxa"/>
                  <w:noWrap w:val="0"/>
                  <w:vAlign w:val="center"/>
                </w:tcPr>
                <w:p w14:paraId="3DECA2FF">
                  <w:pPr>
                    <w:jc w:val="center"/>
                    <w:rPr>
                      <w:color w:val="auto"/>
                      <w:vertAlign w:val="baseline"/>
                      <w:lang w:val="en-US"/>
                    </w:rPr>
                  </w:pPr>
                  <w:r>
                    <w:rPr>
                      <w:rFonts w:hint="eastAsia" w:ascii="Times New Roman"/>
                      <w:color w:val="auto"/>
                      <w:vertAlign w:val="baseline"/>
                      <w:lang w:val="en-US"/>
                    </w:rPr>
                    <w:t>三、规范收集转运和贮存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2476" w:type="dxa"/>
                  <w:noWrap w:val="0"/>
                  <w:vAlign w:val="center"/>
                </w:tcPr>
                <w:p w14:paraId="7F9901C2">
                  <w:pPr>
                    <w:jc w:val="both"/>
                    <w:rPr>
                      <w:color w:val="auto"/>
                      <w:vertAlign w:val="baseline"/>
                      <w:lang w:val="en-US"/>
                    </w:rPr>
                  </w:pPr>
                  <w:r>
                    <w:rPr>
                      <w:rFonts w:hint="eastAsia" w:ascii="Times New Roman"/>
                      <w:color w:val="auto"/>
                      <w:vertAlign w:val="baseline"/>
                      <w:lang w:val="en-US"/>
                    </w:rPr>
                    <w:t>项目运营后按要求建立固体废物管理台账制度，做好固体废物收集、转运、产生、贮存、综合利用等环节的台账记录。项目收集和产生的固体废物均分类分区堆存，不混堆。</w:t>
                  </w:r>
                </w:p>
              </w:tc>
              <w:tc>
                <w:tcPr>
                  <w:tcW w:w="716" w:type="dxa"/>
                  <w:noWrap w:val="0"/>
                  <w:vAlign w:val="center"/>
                </w:tcPr>
                <w:p w14:paraId="46DA1B40">
                  <w:pPr>
                    <w:jc w:val="center"/>
                    <w:rPr>
                      <w:color w:val="auto"/>
                      <w:vertAlign w:val="baseline"/>
                      <w:lang w:val="en-US"/>
                    </w:rPr>
                  </w:pPr>
                  <w:r>
                    <w:rPr>
                      <w:rFonts w:hint="eastAsia" w:ascii="Times New Roman"/>
                      <w:color w:val="auto"/>
                      <w:vertAlign w:val="baseline"/>
                      <w:lang w:val="en-US"/>
                    </w:rPr>
                    <w:t>符合</w:t>
                  </w:r>
                </w:p>
              </w:tc>
            </w:tr>
            <w:tr w14:paraId="1F0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dxa"/>
                  <w:noWrap w:val="0"/>
                  <w:vAlign w:val="center"/>
                </w:tcPr>
                <w:p w14:paraId="270FC875">
                  <w:pPr>
                    <w:jc w:val="center"/>
                    <w:rPr>
                      <w:rFonts w:hint="eastAsia" w:eastAsia="宋体"/>
                      <w:color w:val="auto"/>
                      <w:vertAlign w:val="baseline"/>
                      <w:lang w:val="en-US" w:eastAsia="zh-CN"/>
                    </w:rPr>
                  </w:pPr>
                  <w:r>
                    <w:rPr>
                      <w:rFonts w:hint="eastAsia" w:ascii="Times New Roman" w:eastAsia="宋体"/>
                      <w:color w:val="auto"/>
                      <w:vertAlign w:val="baseline"/>
                      <w:lang w:val="en-US" w:eastAsia="zh-CN"/>
                    </w:rPr>
                    <w:t>3</w:t>
                  </w:r>
                </w:p>
              </w:tc>
              <w:tc>
                <w:tcPr>
                  <w:tcW w:w="3483" w:type="dxa"/>
                  <w:noWrap w:val="0"/>
                  <w:vAlign w:val="center"/>
                </w:tcPr>
                <w:p w14:paraId="1D86DA9F">
                  <w:pPr>
                    <w:jc w:val="center"/>
                    <w:rPr>
                      <w:color w:val="auto"/>
                      <w:vertAlign w:val="baseline"/>
                      <w:lang w:val="en-US"/>
                    </w:rPr>
                  </w:pPr>
                  <w:r>
                    <w:rPr>
                      <w:rFonts w:hint="eastAsia" w:ascii="Times New Roman"/>
                      <w:color w:val="auto"/>
                      <w:vertAlign w:val="baseline"/>
                      <w:lang w:val="en-US"/>
                    </w:rPr>
                    <w:t>四、提升资源化利用水平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2476" w:type="dxa"/>
                  <w:noWrap w:val="0"/>
                  <w:vAlign w:val="center"/>
                </w:tcPr>
                <w:p w14:paraId="560D52D7">
                  <w:pPr>
                    <w:keepNext w:val="0"/>
                    <w:keepLines w:val="0"/>
                    <w:pageBreakBefore w:val="0"/>
                    <w:widowControl w:val="0"/>
                    <w:kinsoku/>
                    <w:wordWrap/>
                    <w:overflowPunct/>
                    <w:topLinePunct w:val="0"/>
                    <w:autoSpaceDE/>
                    <w:autoSpaceDN/>
                    <w:bidi w:val="0"/>
                    <w:adjustRightInd/>
                    <w:snapToGrid/>
                    <w:spacing w:line="288" w:lineRule="auto"/>
                    <w:ind w:right="0"/>
                    <w:jc w:val="both"/>
                    <w:textAlignment w:val="auto"/>
                    <w:rPr>
                      <w:color w:val="auto"/>
                      <w:vertAlign w:val="baseline"/>
                      <w:lang w:val="en-US"/>
                    </w:rPr>
                  </w:pPr>
                  <w:r>
                    <w:rPr>
                      <w:rFonts w:hint="eastAsia" w:ascii="Times New Roman" w:hAnsi="Times New Roman" w:eastAsia="宋体" w:cs="Times New Roman"/>
                      <w:color w:val="auto"/>
                      <w:spacing w:val="0"/>
                      <w:w w:val="100"/>
                      <w:kern w:val="21"/>
                      <w:position w:val="0"/>
                      <w:sz w:val="21"/>
                      <w:szCs w:val="21"/>
                      <w:lang w:val="en-US" w:eastAsia="zh-CN"/>
                    </w:rPr>
                    <w:t>项目遵循减量化、</w:t>
                  </w:r>
                  <w:r>
                    <w:rPr>
                      <w:rFonts w:hint="default" w:ascii="Times New Roman" w:hAnsi="Times New Roman" w:eastAsia="宋体" w:cs="Times New Roman"/>
                      <w:color w:val="auto"/>
                      <w:spacing w:val="0"/>
                      <w:w w:val="100"/>
                      <w:kern w:val="21"/>
                      <w:position w:val="0"/>
                      <w:sz w:val="21"/>
                      <w:szCs w:val="21"/>
                    </w:rPr>
                    <w:t>资源化、无害化的原则</w:t>
                  </w:r>
                  <w:r>
                    <w:rPr>
                      <w:rFonts w:hint="eastAsia" w:ascii="Times New Roman" w:hAnsi="Times New Roman" w:eastAsia="宋体" w:cs="Times New Roman"/>
                      <w:color w:val="auto"/>
                      <w:spacing w:val="0"/>
                      <w:w w:val="100"/>
                      <w:kern w:val="21"/>
                      <w:position w:val="0"/>
                      <w:sz w:val="21"/>
                      <w:szCs w:val="21"/>
                      <w:lang w:eastAsia="zh-CN"/>
                    </w:rPr>
                    <w:t>，</w:t>
                  </w:r>
                  <w:r>
                    <w:rPr>
                      <w:rFonts w:hint="eastAsia" w:eastAsia="宋体" w:cs="Times New Roman"/>
                      <w:color w:val="auto"/>
                      <w:spacing w:val="0"/>
                      <w:w w:val="100"/>
                      <w:kern w:val="21"/>
                      <w:position w:val="0"/>
                      <w:sz w:val="21"/>
                      <w:szCs w:val="21"/>
                      <w:lang w:eastAsia="zh-CN"/>
                    </w:rPr>
                    <w:t>项目</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产生的危险废物暂存于危废暂存间，定期委托有资质的单位清运处置；</w:t>
                  </w:r>
                  <w:r>
                    <w:rPr>
                      <w:rFonts w:hint="default" w:ascii="Times New Roman" w:hAnsi="Times New Roman" w:eastAsia="宋体"/>
                      <w:color w:val="auto"/>
                      <w:sz w:val="21"/>
                      <w:lang w:val="en-US" w:eastAsia="zh-CN"/>
                    </w:rPr>
                    <w:t>产生的一般固废为焊渣、边角废料及切割碎屑</w:t>
                  </w:r>
                  <w:r>
                    <w:rPr>
                      <w:rFonts w:hint="eastAsia"/>
                      <w:color w:val="auto"/>
                      <w:sz w:val="21"/>
                      <w:lang w:val="en-US" w:eastAsia="zh-CN"/>
                    </w:rPr>
                    <w:t>、除尘灰</w:t>
                  </w:r>
                  <w:r>
                    <w:rPr>
                      <w:rFonts w:hint="default" w:ascii="Times New Roman" w:hAnsi="Times New Roman" w:eastAsia="宋体"/>
                      <w:color w:val="auto"/>
                      <w:sz w:val="21"/>
                      <w:lang w:val="en-US" w:eastAsia="zh-CN"/>
                    </w:rPr>
                    <w:t>和不合格品，统一收集后外售给废旧物资回收单位</w:t>
                  </w:r>
                  <w:r>
                    <w:rPr>
                      <w:rFonts w:hint="eastAsia"/>
                      <w:color w:val="auto"/>
                      <w:sz w:val="21"/>
                      <w:lang w:val="en-US" w:eastAsia="zh-CN"/>
                    </w:rPr>
                    <w:t>，不合格品回用于产品打包带，循环水池金属沉渣定期清掏，每次清掏时需进行浸出毒性检测，按照《固体废物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r>
                    <w:rPr>
                      <w:rFonts w:hint="eastAsia" w:ascii="Times New Roman" w:hAnsi="Times New Roman" w:eastAsia="宋体"/>
                      <w:color w:val="auto"/>
                      <w:sz w:val="21"/>
                      <w:lang w:val="en-US" w:eastAsia="zh-CN"/>
                    </w:rPr>
                    <w:t>；生活垃圾采用垃圾收集桶集中收集后，定期由当地环卫部门清运处理。</w:t>
                  </w:r>
                </w:p>
              </w:tc>
              <w:tc>
                <w:tcPr>
                  <w:tcW w:w="716" w:type="dxa"/>
                  <w:noWrap w:val="0"/>
                  <w:vAlign w:val="center"/>
                </w:tcPr>
                <w:p w14:paraId="1CCE8574">
                  <w:pPr>
                    <w:jc w:val="center"/>
                    <w:rPr>
                      <w:rFonts w:hint="eastAsia" w:eastAsia="宋体"/>
                      <w:color w:val="auto"/>
                      <w:vertAlign w:val="baseline"/>
                      <w:lang w:val="en-US" w:eastAsia="zh-CN"/>
                    </w:rPr>
                  </w:pPr>
                  <w:r>
                    <w:rPr>
                      <w:rFonts w:hint="eastAsia"/>
                      <w:color w:val="auto"/>
                      <w:vertAlign w:val="baseline"/>
                      <w:lang w:val="en-US" w:eastAsia="zh-CN"/>
                    </w:rPr>
                    <w:t>符合</w:t>
                  </w:r>
                </w:p>
              </w:tc>
            </w:tr>
          </w:tbl>
          <w:p w14:paraId="749D02D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lang w:val="en-US" w:eastAsia="zh-CN"/>
              </w:rPr>
              <w:t>综上分析，项目符合《国务院关于印发&lt;固体废物综合治理行动计划&gt;的通知》（国发〔2025〕14号）中的相关内容。</w:t>
            </w:r>
          </w:p>
          <w:p w14:paraId="7DE600AD">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（1</w:t>
            </w:r>
            <w:r>
              <w:rPr>
                <w:rFonts w:hint="eastAsia" w:cs="Times New Roman"/>
                <w:b/>
                <w:bCs/>
                <w:color w:val="auto"/>
                <w:sz w:val="24"/>
                <w:szCs w:val="32"/>
                <w:lang w:val="en-US" w:eastAsia="zh-CN"/>
              </w:rPr>
              <w:t>6</w:t>
            </w:r>
            <w:r>
              <w:rPr>
                <w:rFonts w:hint="eastAsia" w:ascii="Times New Roman" w:hAnsi="Times New Roman" w:cs="Times New Roman"/>
                <w:b/>
                <w:bCs/>
                <w:color w:val="auto"/>
                <w:sz w:val="24"/>
                <w:szCs w:val="32"/>
                <w:lang w:val="en-US" w:eastAsia="zh-CN"/>
              </w:rPr>
              <w:t>）</w:t>
            </w:r>
            <w:r>
              <w:rPr>
                <w:rFonts w:hint="eastAsia" w:ascii="Times New Roman" w:hAnsi="Times New Roman" w:eastAsia="宋体" w:cs="Times New Roman"/>
                <w:b/>
                <w:bCs/>
                <w:color w:val="auto"/>
                <w:sz w:val="24"/>
                <w:szCs w:val="32"/>
                <w:lang w:val="en-US" w:eastAsia="zh-CN"/>
              </w:rPr>
              <w:t>与《云南省固体废物污染环境防治条例》（2023年3月1日起施行）符合性分析</w:t>
            </w:r>
          </w:p>
          <w:p w14:paraId="74B03A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表1-13   与《云南省固体废物污染环境防治条例》对照表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8"/>
              <w:gridCol w:w="2134"/>
              <w:gridCol w:w="427"/>
            </w:tblGrid>
            <w:tr w14:paraId="002D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3203" w:type="pct"/>
                  <w:noWrap w:val="0"/>
                  <w:vAlign w:val="center"/>
                </w:tcPr>
                <w:p w14:paraId="31966432">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val="0"/>
                      <w:color w:val="auto"/>
                      <w:spacing w:val="0"/>
                      <w:kern w:val="0"/>
                      <w:sz w:val="21"/>
                      <w:szCs w:val="21"/>
                      <w:vertAlign w:val="baseline"/>
                      <w:lang w:val="en-US" w:eastAsia="zh-CN"/>
                    </w:rPr>
                  </w:pPr>
                  <w:r>
                    <w:rPr>
                      <w:rFonts w:hint="default" w:ascii="Times New Roman" w:hAnsi="Times New Roman" w:eastAsia="宋体" w:cs="Times New Roman"/>
                      <w:b w:val="0"/>
                      <w:bCs/>
                      <w:caps w:val="0"/>
                      <w:color w:val="auto"/>
                      <w:spacing w:val="0"/>
                      <w:kern w:val="0"/>
                      <w:sz w:val="21"/>
                      <w:szCs w:val="21"/>
                      <w:vertAlign w:val="baseline"/>
                      <w:lang w:val="en-US" w:eastAsia="zh-CN"/>
                    </w:rPr>
                    <w:t>条例要求</w:t>
                  </w:r>
                </w:p>
              </w:tc>
              <w:tc>
                <w:tcPr>
                  <w:tcW w:w="1497" w:type="pct"/>
                  <w:noWrap w:val="0"/>
                  <w:vAlign w:val="center"/>
                </w:tcPr>
                <w:p w14:paraId="6C5F63DD">
                  <w:pPr>
                    <w:pStyle w:val="35"/>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aps/>
                      <w:color w:val="auto"/>
                      <w:kern w:val="2"/>
                      <w:sz w:val="21"/>
                      <w:szCs w:val="21"/>
                      <w:lang w:val="en-US" w:eastAsia="zh-CN" w:bidi="ar-SA"/>
                    </w:rPr>
                  </w:pPr>
                  <w:r>
                    <w:rPr>
                      <w:rFonts w:hint="default" w:ascii="Times New Roman" w:hAnsi="Times New Roman" w:eastAsia="宋体" w:cs="Times New Roman"/>
                      <w:b w:val="0"/>
                      <w:bCs w:val="0"/>
                      <w:color w:val="auto"/>
                      <w:sz w:val="21"/>
                      <w:szCs w:val="21"/>
                    </w:rPr>
                    <w:t>本项目</w:t>
                  </w:r>
                </w:p>
              </w:tc>
              <w:tc>
                <w:tcPr>
                  <w:tcW w:w="298" w:type="pct"/>
                  <w:noWrap w:val="0"/>
                  <w:vAlign w:val="center"/>
                </w:tcPr>
                <w:p w14:paraId="5729FAD3">
                  <w:pPr>
                    <w:pStyle w:val="35"/>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aps/>
                      <w:color w:val="auto"/>
                      <w:kern w:val="2"/>
                      <w:sz w:val="21"/>
                      <w:szCs w:val="21"/>
                      <w:lang w:val="en-US" w:eastAsia="zh-CN" w:bidi="ar-SA"/>
                    </w:rPr>
                  </w:pPr>
                  <w:r>
                    <w:rPr>
                      <w:rFonts w:hint="default" w:ascii="Times New Roman" w:hAnsi="Times New Roman" w:eastAsia="宋体" w:cs="Times New Roman"/>
                      <w:b w:val="0"/>
                      <w:bCs w:val="0"/>
                      <w:color w:val="auto"/>
                      <w:sz w:val="21"/>
                      <w:szCs w:val="21"/>
                    </w:rPr>
                    <w:t>符合性</w:t>
                  </w:r>
                </w:p>
              </w:tc>
            </w:tr>
            <w:tr w14:paraId="6F67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2" w:hRule="atLeast"/>
                <w:jc w:val="center"/>
              </w:trPr>
              <w:tc>
                <w:tcPr>
                  <w:tcW w:w="3203" w:type="pct"/>
                  <w:noWrap w:val="0"/>
                  <w:vAlign w:val="top"/>
                </w:tcPr>
                <w:p w14:paraId="0565BA6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b w:val="0"/>
                      <w:bCs/>
                      <w:caps w:val="0"/>
                      <w:color w:val="auto"/>
                      <w:spacing w:val="0"/>
                      <w:kern w:val="0"/>
                      <w:sz w:val="21"/>
                      <w:szCs w:val="21"/>
                      <w:vertAlign w:val="baseline"/>
                      <w:lang w:val="en-US" w:eastAsia="zh-CN"/>
                    </w:rPr>
                  </w:pPr>
                  <w:r>
                    <w:rPr>
                      <w:rFonts w:hint="default" w:ascii="Times New Roman" w:hAnsi="Times New Roman" w:eastAsia="宋体" w:cs="Times New Roman"/>
                      <w:b w:val="0"/>
                      <w:bCs/>
                      <w:caps w:val="0"/>
                      <w:color w:val="auto"/>
                      <w:spacing w:val="0"/>
                      <w:kern w:val="2"/>
                      <w:sz w:val="21"/>
                      <w:szCs w:val="21"/>
                      <w:lang w:val="en-US" w:eastAsia="zh-CN" w:bidi="ar-SA"/>
                    </w:rPr>
                    <w:t>第十二条 州（市）人民政府生态环境主管部门应当会同工业和信息化、住房城乡建设、农业农村、卫生健康等主管部门，每年向社会发布固体废物的种类、产生量、贮存量、处置能力、利用处置状况等信息。产生、收集、贮存、运输、利用、处置固体废物的单位和其他生产经营者，应当加强对相关设施、设备和场所的管理和维护，保证其正常运行和使用；依法及时向社会公开固体废物的种类、产生量、流向、贮存、利用、处置等固体废物污染环境防治信息，主动接受社会监督。</w:t>
                  </w:r>
                </w:p>
              </w:tc>
              <w:tc>
                <w:tcPr>
                  <w:tcW w:w="1497" w:type="pct"/>
                  <w:noWrap w:val="0"/>
                  <w:vAlign w:val="center"/>
                </w:tcPr>
                <w:p w14:paraId="2A8C5F13">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eastAsia"/>
                      <w:b w:val="0"/>
                      <w:bCs w:val="0"/>
                      <w:color w:val="auto"/>
                      <w:szCs w:val="21"/>
                    </w:rPr>
                    <w:t>本项目严格做好三防措施，防止污染环境，</w:t>
                  </w:r>
                  <w:r>
                    <w:rPr>
                      <w:rFonts w:hint="eastAsia"/>
                      <w:b w:val="0"/>
                      <w:bCs w:val="0"/>
                      <w:color w:val="auto"/>
                      <w:szCs w:val="21"/>
                      <w:lang w:val="en-US" w:eastAsia="zh-CN"/>
                    </w:rPr>
                    <w:t>项目建成后</w:t>
                  </w:r>
                  <w:r>
                    <w:rPr>
                      <w:rFonts w:hint="default" w:ascii="Times New Roman" w:hAnsi="Times New Roman" w:eastAsia="宋体" w:cs="Times New Roman"/>
                      <w:b w:val="0"/>
                      <w:bCs/>
                      <w:caps w:val="0"/>
                      <w:color w:val="auto"/>
                      <w:spacing w:val="0"/>
                      <w:kern w:val="2"/>
                      <w:sz w:val="21"/>
                      <w:szCs w:val="21"/>
                      <w:lang w:val="en-US" w:eastAsia="zh-CN" w:bidi="ar-SA"/>
                    </w:rPr>
                    <w:t>及时向社会公开固体废物的种类、产生量、流向、贮存、利用、处置等固体废物污染环境防治信息，主动接受社会监督</w:t>
                  </w:r>
                  <w:r>
                    <w:rPr>
                      <w:rFonts w:hint="eastAsia"/>
                      <w:b w:val="0"/>
                      <w:bCs w:val="0"/>
                      <w:color w:val="auto"/>
                      <w:szCs w:val="21"/>
                    </w:rPr>
                    <w:t>。</w:t>
                  </w:r>
                </w:p>
              </w:tc>
              <w:tc>
                <w:tcPr>
                  <w:tcW w:w="298" w:type="pct"/>
                  <w:noWrap w:val="0"/>
                  <w:vAlign w:val="center"/>
                </w:tcPr>
                <w:p w14:paraId="4007657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2913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3203" w:type="pct"/>
                  <w:noWrap w:val="0"/>
                  <w:vAlign w:val="top"/>
                </w:tcPr>
                <w:p w14:paraId="6B8609C6">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val="0"/>
                      <w:color w:val="auto"/>
                      <w:spacing w:val="0"/>
                      <w:kern w:val="0"/>
                      <w:sz w:val="21"/>
                      <w:szCs w:val="21"/>
                      <w:vertAlign w:val="baseline"/>
                      <w:lang w:val="en-US" w:eastAsia="zh-CN"/>
                    </w:rPr>
                  </w:pPr>
                  <w:r>
                    <w:rPr>
                      <w:rFonts w:hint="default" w:ascii="Times New Roman" w:hAnsi="Times New Roman" w:eastAsia="宋体" w:cs="Times New Roman"/>
                      <w:b w:val="0"/>
                      <w:bCs/>
                      <w:caps w:val="0"/>
                      <w:color w:val="auto"/>
                      <w:spacing w:val="0"/>
                      <w:kern w:val="2"/>
                      <w:sz w:val="21"/>
                      <w:szCs w:val="21"/>
                      <w:lang w:val="en-US" w:eastAsia="zh-CN" w:bidi="ar-SA"/>
                    </w:rPr>
                    <w:t>第十三条 建设产生、贮存、利用、处置固体废物的项目，应当依法进行环境影响评价，并遵守国家有关建设项目环境保护管理的规定。</w:t>
                  </w:r>
                </w:p>
              </w:tc>
              <w:tc>
                <w:tcPr>
                  <w:tcW w:w="1497" w:type="pct"/>
                  <w:noWrap w:val="0"/>
                  <w:vAlign w:val="top"/>
                </w:tcPr>
                <w:p w14:paraId="7B7BA5BF">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eastAsia"/>
                      <w:b w:val="0"/>
                      <w:bCs w:val="0"/>
                      <w:color w:val="auto"/>
                      <w:szCs w:val="21"/>
                    </w:rPr>
                    <w:t>本项目依法进行环境影响评价，并遵守国家有关建设项目环境保护的规定</w:t>
                  </w:r>
                  <w:r>
                    <w:rPr>
                      <w:rFonts w:hint="eastAsia"/>
                      <w:b w:val="0"/>
                      <w:bCs w:val="0"/>
                      <w:color w:val="auto"/>
                      <w:szCs w:val="21"/>
                      <w:lang w:eastAsia="zh-CN"/>
                    </w:rPr>
                    <w:t>，</w:t>
                  </w:r>
                  <w:r>
                    <w:rPr>
                      <w:rFonts w:hint="eastAsia" w:ascii="Times New Roman" w:hAnsi="Times New Roman" w:eastAsia="宋体" w:cs="Times New Roman"/>
                      <w:color w:val="auto"/>
                      <w:kern w:val="2"/>
                      <w:sz w:val="21"/>
                      <w:szCs w:val="21"/>
                      <w:lang w:val="en-US" w:eastAsia="zh-CN" w:bidi="ar-SA"/>
                    </w:rPr>
                    <w:t>本项目正在办理环评手续</w:t>
                  </w:r>
                  <w:r>
                    <w:rPr>
                      <w:rFonts w:hint="eastAsia"/>
                      <w:b w:val="0"/>
                      <w:bCs w:val="0"/>
                      <w:color w:val="auto"/>
                      <w:szCs w:val="21"/>
                    </w:rPr>
                    <w:t>。</w:t>
                  </w:r>
                </w:p>
              </w:tc>
              <w:tc>
                <w:tcPr>
                  <w:tcW w:w="298" w:type="pct"/>
                  <w:noWrap w:val="0"/>
                  <w:vAlign w:val="center"/>
                </w:tcPr>
                <w:p w14:paraId="07DB6AA6">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77BC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pct"/>
                  <w:noWrap w:val="0"/>
                  <w:vAlign w:val="top"/>
                </w:tcPr>
                <w:p w14:paraId="2525F480">
                  <w:pPr>
                    <w:pStyle w:val="19"/>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both"/>
                    <w:textAlignment w:val="auto"/>
                    <w:rPr>
                      <w:rFonts w:hint="default" w:ascii="Times New Roman" w:hAnsi="Times New Roman" w:eastAsia="宋体" w:cs="Times New Roman"/>
                      <w:b w:val="0"/>
                      <w:bCs/>
                      <w:caps w:val="0"/>
                      <w:color w:val="auto"/>
                      <w:spacing w:val="0"/>
                      <w:kern w:val="0"/>
                      <w:sz w:val="21"/>
                      <w:szCs w:val="21"/>
                      <w:vertAlign w:val="baseline"/>
                      <w:lang w:val="en-US" w:eastAsia="zh-CN"/>
                    </w:rPr>
                  </w:pPr>
                  <w:r>
                    <w:rPr>
                      <w:rFonts w:hint="default" w:ascii="Times New Roman" w:hAnsi="Times New Roman" w:eastAsia="宋体" w:cs="Times New Roman"/>
                      <w:b w:val="0"/>
                      <w:bCs/>
                      <w:i w:val="0"/>
                      <w:iCs w:val="0"/>
                      <w:caps w:val="0"/>
                      <w:color w:val="auto"/>
                      <w:spacing w:val="0"/>
                      <w:sz w:val="21"/>
                      <w:szCs w:val="21"/>
                    </w:rPr>
                    <w:t>产生、收集、贮存、运输、利用、处置固体废物的单位和其他生产经营者，应当采取防扬散、防流失、防渗漏或者其他防止污染环境的措施，不得擅自倾倒、堆放、丢弃、遗撒固体废物。禁止任何单位或者个人向江河、湖泊、运河、渠道、水库及其最高水位线以下的滩地和岸坡以及法律法规规定的其他地点倾倒、堆放、贮存固体废物。在生态保护红线区域、永久基本农田集中区域和其他需要特别保护的区域内，禁止建设工业固体废物、危险废物集中贮存、利用、处置的设施、场所和生活垃圾填埋场。</w:t>
                  </w:r>
                </w:p>
              </w:tc>
              <w:tc>
                <w:tcPr>
                  <w:tcW w:w="1497" w:type="pct"/>
                  <w:noWrap w:val="0"/>
                  <w:vAlign w:val="top"/>
                </w:tcPr>
                <w:p w14:paraId="62DE07CE">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eastAsia"/>
                      <w:bCs/>
                      <w:caps/>
                      <w:color w:val="auto"/>
                      <w:szCs w:val="21"/>
                      <w:lang w:eastAsia="zh-CN"/>
                    </w:rPr>
                    <w:t>本项目配备相应的应急物资和污染防治措施，本项目</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定期委托有资质的单位清运处置，</w:t>
                  </w:r>
                  <w:r>
                    <w:rPr>
                      <w:rFonts w:hint="eastAsia"/>
                      <w:b w:val="0"/>
                      <w:bCs w:val="0"/>
                      <w:color w:val="auto"/>
                      <w:szCs w:val="21"/>
                    </w:rPr>
                    <w:t>项目贮存设施底部高于地下最高水位</w:t>
                  </w:r>
                  <w:r>
                    <w:rPr>
                      <w:rFonts w:hint="eastAsia"/>
                      <w:b w:val="0"/>
                      <w:bCs w:val="0"/>
                      <w:color w:val="auto"/>
                      <w:szCs w:val="21"/>
                      <w:lang w:eastAsia="zh-CN"/>
                    </w:rPr>
                    <w:t>，</w:t>
                  </w:r>
                  <w:r>
                    <w:rPr>
                      <w:rFonts w:hint="eastAsia"/>
                      <w:b w:val="0"/>
                      <w:bCs w:val="0"/>
                      <w:color w:val="auto"/>
                      <w:szCs w:val="21"/>
                      <w:lang w:val="en-US" w:eastAsia="zh-CN"/>
                    </w:rPr>
                    <w:t>厂址附近没有</w:t>
                  </w:r>
                  <w:r>
                    <w:rPr>
                      <w:rFonts w:hint="eastAsia" w:ascii="宋体" w:hAnsi="宋体" w:eastAsia="宋体"/>
                      <w:color w:val="auto"/>
                      <w:sz w:val="21"/>
                      <w:szCs w:val="24"/>
                    </w:rPr>
                    <w:t>江河、湖泊、运河、渠道、水库以及法律法规规定禁止贮存危险废物的其他地点</w:t>
                  </w:r>
                  <w:r>
                    <w:rPr>
                      <w:rFonts w:hint="eastAsia"/>
                      <w:b w:val="0"/>
                      <w:bCs w:val="0"/>
                      <w:color w:val="auto"/>
                      <w:szCs w:val="21"/>
                    </w:rPr>
                    <w:t>。</w:t>
                  </w:r>
                </w:p>
              </w:tc>
              <w:tc>
                <w:tcPr>
                  <w:tcW w:w="298" w:type="pct"/>
                  <w:noWrap w:val="0"/>
                  <w:vAlign w:val="center"/>
                </w:tcPr>
                <w:p w14:paraId="45B4F087">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4759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pct"/>
                  <w:noWrap w:val="0"/>
                  <w:vAlign w:val="top"/>
                </w:tcPr>
                <w:p w14:paraId="31C59E3A">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i w:val="0"/>
                      <w:iCs w:val="0"/>
                      <w:caps w:val="0"/>
                      <w:color w:val="auto"/>
                      <w:spacing w:val="0"/>
                      <w:sz w:val="21"/>
                      <w:szCs w:val="21"/>
                      <w:lang w:val="en-US" w:eastAsia="zh-CN"/>
                    </w:rPr>
                  </w:pPr>
                  <w:r>
                    <w:rPr>
                      <w:rFonts w:hint="default" w:ascii="Times New Roman" w:hAnsi="Times New Roman" w:eastAsia="宋体" w:cs="Times New Roman"/>
                      <w:b w:val="0"/>
                      <w:bCs/>
                      <w:i w:val="0"/>
                      <w:iCs w:val="0"/>
                      <w:caps w:val="0"/>
                      <w:color w:val="auto"/>
                      <w:spacing w:val="0"/>
                      <w:sz w:val="21"/>
                      <w:szCs w:val="21"/>
                    </w:rPr>
                    <w:t>转移固体废物出省贮存、处置的，应当向省人民政府生态环境主管部门提出申请。省人民政府生态环境主管部门应当及时商经接受地的省（自治区、直辖市）人民政府生态环境主管部门同意后，在规定期限内批准转移。未经批准的，不得转移</w:t>
                  </w:r>
                  <w:r>
                    <w:rPr>
                      <w:rFonts w:hint="default" w:ascii="Times New Roman" w:hAnsi="Times New Roman" w:eastAsia="宋体" w:cs="Times New Roman"/>
                      <w:b w:val="0"/>
                      <w:bCs/>
                      <w:i w:val="0"/>
                      <w:iCs w:val="0"/>
                      <w:caps w:val="0"/>
                      <w:color w:val="auto"/>
                      <w:spacing w:val="0"/>
                      <w:sz w:val="21"/>
                      <w:szCs w:val="21"/>
                      <w:lang w:eastAsia="zh-CN"/>
                    </w:rPr>
                    <w:t>。</w:t>
                  </w:r>
                  <w:r>
                    <w:rPr>
                      <w:rFonts w:hint="default" w:ascii="Times New Roman" w:hAnsi="Times New Roman" w:eastAsia="宋体" w:cs="Times New Roman"/>
                      <w:b w:val="0"/>
                      <w:bCs/>
                      <w:i w:val="0"/>
                      <w:iCs w:val="0"/>
                      <w:caps w:val="0"/>
                      <w:color w:val="auto"/>
                      <w:spacing w:val="0"/>
                      <w:sz w:val="21"/>
                      <w:szCs w:val="21"/>
                    </w:rPr>
                    <w:t>转移固体废物出省利用的，应当报省人民政府生态环境主管部门备案。省人民政府生态环境主管部门应当将备案信息通报接受地的省（自治区、直辖市）人民政府生态环境主管部门。</w:t>
                  </w:r>
                </w:p>
              </w:tc>
              <w:tc>
                <w:tcPr>
                  <w:tcW w:w="1497" w:type="pct"/>
                  <w:noWrap w:val="0"/>
                  <w:vAlign w:val="center"/>
                </w:tcPr>
                <w:p w14:paraId="619DEFC5">
                  <w:pPr>
                    <w:pStyle w:val="35"/>
                    <w:adjustRightInd w:val="0"/>
                    <w:snapToGrid w:val="0"/>
                    <w:ind w:firstLine="0" w:firstLineChars="0"/>
                    <w:jc w:val="both"/>
                    <w:rPr>
                      <w:rFonts w:hint="default" w:ascii="Times New Roman" w:hAnsi="Times New Roman" w:eastAsia="宋体"/>
                      <w:bCs/>
                      <w:caps/>
                      <w:color w:val="auto"/>
                      <w:kern w:val="2"/>
                      <w:sz w:val="21"/>
                      <w:szCs w:val="21"/>
                      <w:lang w:val="en-US" w:eastAsia="zh-CN" w:bidi="ar-SA"/>
                    </w:rPr>
                  </w:pPr>
                  <w:r>
                    <w:rPr>
                      <w:rFonts w:hint="eastAsia"/>
                      <w:bCs/>
                      <w:caps/>
                      <w:color w:val="auto"/>
                      <w:szCs w:val="21"/>
                    </w:rPr>
                    <w:t>本项目跨省转移时向</w:t>
                  </w:r>
                  <w:r>
                    <w:rPr>
                      <w:rFonts w:hint="eastAsia"/>
                      <w:bCs/>
                      <w:color w:val="auto"/>
                      <w:szCs w:val="21"/>
                      <w:lang w:val="en"/>
                    </w:rPr>
                    <w:t>移出地省级生态环境主管部门提出申请，得到同意后才能够转移。申请跨省转移危险废物的，填写危险废物跨省转移申请表，并提交齐全的材料。</w:t>
                  </w:r>
                </w:p>
              </w:tc>
              <w:tc>
                <w:tcPr>
                  <w:tcW w:w="298" w:type="pct"/>
                  <w:noWrap w:val="0"/>
                  <w:vAlign w:val="center"/>
                </w:tcPr>
                <w:p w14:paraId="2D8BB936">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1DA4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pct"/>
                  <w:noWrap w:val="0"/>
                  <w:vAlign w:val="top"/>
                </w:tcPr>
                <w:p w14:paraId="0F52A0E9">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i w:val="0"/>
                      <w:iCs w:val="0"/>
                      <w:caps w:val="0"/>
                      <w:color w:val="auto"/>
                      <w:spacing w:val="0"/>
                      <w:sz w:val="21"/>
                      <w:szCs w:val="21"/>
                      <w:lang w:val="en-US" w:eastAsia="zh-CN"/>
                    </w:rPr>
                  </w:pPr>
                  <w:r>
                    <w:rPr>
                      <w:rStyle w:val="28"/>
                      <w:rFonts w:hint="default" w:ascii="Times New Roman" w:hAnsi="Times New Roman" w:eastAsia="宋体" w:cs="Times New Roman"/>
                      <w:b w:val="0"/>
                      <w:bCs/>
                      <w:i w:val="0"/>
                      <w:iCs w:val="0"/>
                      <w:caps w:val="0"/>
                      <w:color w:val="auto"/>
                      <w:spacing w:val="0"/>
                      <w:sz w:val="21"/>
                      <w:szCs w:val="21"/>
                    </w:rPr>
                    <w:t>第五十三条</w:t>
                  </w:r>
                  <w:r>
                    <w:rPr>
                      <w:rFonts w:hint="default" w:ascii="Times New Roman" w:hAnsi="Times New Roman" w:eastAsia="宋体" w:cs="Times New Roman"/>
                      <w:b w:val="0"/>
                      <w:bCs/>
                      <w:i w:val="0"/>
                      <w:iCs w:val="0"/>
                      <w:caps w:val="0"/>
                      <w:color w:val="auto"/>
                      <w:spacing w:val="0"/>
                      <w:sz w:val="21"/>
                      <w:szCs w:val="21"/>
                    </w:rPr>
                    <w:t>　从事收集、贮存、利用、处置危险废物经营活动的单位，应当按照国家和本省有关规定建立危险废物收集、贮存、转移、利用、处置数据信息管理系统和视频监控系统，依法申请取得许可证，并执行许可证管理制度的相关规定。禁止无许可证或者未按照许可证规定从事危险废物收集、贮存、利用、处置的经营活动。禁止将危险废物提供或者委托给无许可证的单位或者其他生产经营者从事收集、贮存、利用、处置活动。</w:t>
                  </w:r>
                </w:p>
              </w:tc>
              <w:tc>
                <w:tcPr>
                  <w:tcW w:w="1497" w:type="pct"/>
                  <w:noWrap w:val="0"/>
                  <w:vAlign w:val="center"/>
                </w:tcPr>
                <w:p w14:paraId="22775818">
                  <w:pPr>
                    <w:pStyle w:val="35"/>
                    <w:adjustRightInd w:val="0"/>
                    <w:snapToGrid w:val="0"/>
                    <w:ind w:firstLine="0" w:firstLineChars="0"/>
                    <w:jc w:val="both"/>
                    <w:rPr>
                      <w:rFonts w:hint="default" w:ascii="Times New Roman" w:hAnsi="Times New Roman" w:eastAsia="宋体"/>
                      <w:bCs/>
                      <w:caps/>
                      <w:color w:val="auto"/>
                      <w:kern w:val="2"/>
                      <w:sz w:val="21"/>
                      <w:szCs w:val="21"/>
                      <w:lang w:val="en-US" w:eastAsia="zh-CN" w:bidi="ar-SA"/>
                    </w:rPr>
                  </w:pPr>
                  <w:r>
                    <w:rPr>
                      <w:rFonts w:hint="eastAsia"/>
                      <w:bCs/>
                      <w:color w:val="auto"/>
                      <w:szCs w:val="21"/>
                      <w:lang w:val="en-US" w:eastAsia="zh-CN"/>
                    </w:rPr>
                    <w:t>项目将</w:t>
                  </w:r>
                  <w:r>
                    <w:rPr>
                      <w:rFonts w:hint="default" w:ascii="Times New Roman" w:hAnsi="Times New Roman" w:eastAsia="宋体" w:cs="Times New Roman"/>
                      <w:b w:val="0"/>
                      <w:bCs/>
                      <w:i w:val="0"/>
                      <w:iCs w:val="0"/>
                      <w:caps w:val="0"/>
                      <w:color w:val="auto"/>
                      <w:spacing w:val="0"/>
                      <w:sz w:val="21"/>
                      <w:szCs w:val="21"/>
                    </w:rPr>
                    <w:t>建立危险废物收集、贮存、转移数据信息管理系统和视频监控系统</w:t>
                  </w:r>
                  <w:r>
                    <w:rPr>
                      <w:rFonts w:hint="eastAsia" w:ascii="Times New Roman" w:hAnsi="Times New Roman" w:eastAsia="宋体" w:cs="Times New Roman"/>
                      <w:b w:val="0"/>
                      <w:bCs/>
                      <w:i w:val="0"/>
                      <w:iCs w:val="0"/>
                      <w:caps w:val="0"/>
                      <w:color w:val="auto"/>
                      <w:spacing w:val="0"/>
                      <w:sz w:val="21"/>
                      <w:szCs w:val="21"/>
                      <w:lang w:eastAsia="zh-CN"/>
                    </w:rPr>
                    <w:t>，</w:t>
                  </w:r>
                  <w:r>
                    <w:rPr>
                      <w:rFonts w:hint="eastAsia"/>
                      <w:bCs/>
                      <w:color w:val="auto"/>
                      <w:szCs w:val="21"/>
                      <w:lang w:val="en-US" w:eastAsia="zh-CN"/>
                    </w:rPr>
                    <w:t>建成后</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产生的危险废物暂存于危废暂存间，定期委托有资质的单位清运处置</w:t>
                  </w:r>
                  <w:r>
                    <w:rPr>
                      <w:rFonts w:hint="eastAsia" w:ascii="Times New Roman" w:hAnsi="Times New Roman" w:eastAsia="宋体"/>
                      <w:color w:val="auto"/>
                      <w:sz w:val="21"/>
                      <w:lang w:val="en-US" w:eastAsia="zh-CN"/>
                    </w:rPr>
                    <w:t>。</w:t>
                  </w:r>
                </w:p>
              </w:tc>
              <w:tc>
                <w:tcPr>
                  <w:tcW w:w="298" w:type="pct"/>
                  <w:noWrap w:val="0"/>
                  <w:vAlign w:val="center"/>
                </w:tcPr>
                <w:p w14:paraId="07B6A7AF">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3629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pct"/>
                  <w:noWrap w:val="0"/>
                  <w:vAlign w:val="top"/>
                </w:tcPr>
                <w:p w14:paraId="106AB52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both"/>
                    <w:textAlignment w:val="auto"/>
                    <w:rPr>
                      <w:rFonts w:hint="default" w:ascii="Times New Roman" w:hAnsi="Times New Roman" w:eastAsia="宋体" w:cs="Times New Roman"/>
                      <w:b w:val="0"/>
                      <w:bCs/>
                      <w:caps w:val="0"/>
                      <w:color w:val="auto"/>
                      <w:spacing w:val="0"/>
                      <w:kern w:val="0"/>
                      <w:sz w:val="21"/>
                      <w:szCs w:val="21"/>
                      <w:vertAlign w:val="baseline"/>
                      <w:lang w:val="en-US" w:eastAsia="zh-CN"/>
                    </w:rPr>
                  </w:pPr>
                  <w:r>
                    <w:rPr>
                      <w:rStyle w:val="28"/>
                      <w:rFonts w:hint="default" w:ascii="Times New Roman" w:hAnsi="Times New Roman" w:eastAsia="宋体" w:cs="Times New Roman"/>
                      <w:b w:val="0"/>
                      <w:bCs/>
                      <w:i w:val="0"/>
                      <w:iCs w:val="0"/>
                      <w:caps w:val="0"/>
                      <w:color w:val="auto"/>
                      <w:spacing w:val="-6"/>
                      <w:sz w:val="21"/>
                      <w:szCs w:val="21"/>
                    </w:rPr>
                    <w:t>第五十四条</w:t>
                  </w:r>
                  <w:r>
                    <w:rPr>
                      <w:rFonts w:hint="default" w:ascii="Times New Roman" w:hAnsi="Times New Roman" w:eastAsia="宋体" w:cs="Times New Roman"/>
                      <w:b w:val="0"/>
                      <w:bCs/>
                      <w:i w:val="0"/>
                      <w:iCs w:val="0"/>
                      <w:caps w:val="0"/>
                      <w:color w:val="auto"/>
                      <w:spacing w:val="-6"/>
                      <w:sz w:val="21"/>
                      <w:szCs w:val="21"/>
                    </w:rPr>
                    <w:t>　收集、贮存危险废物，应当按照危险废物特性分类进行。禁止混合收集、贮存、运输、处置性质不相容而未经安全性处置的危险废物。贮存危险废物应当采取符合国家环境保护标准的防护措施。禁止将危险废物混入非危险废物中贮存。从事收集、贮存、利用、处置危险废物经营活动的单位，贮存危险废物不得超过一年；确需延长期限的，应当报经颁发许可证的生态环境主管部门批准；法律、行政法规另有规定的除外。</w:t>
                  </w:r>
                </w:p>
              </w:tc>
              <w:tc>
                <w:tcPr>
                  <w:tcW w:w="1497" w:type="pct"/>
                  <w:noWrap w:val="0"/>
                  <w:vAlign w:val="center"/>
                </w:tcPr>
                <w:p w14:paraId="506DB38B">
                  <w:pPr>
                    <w:pStyle w:val="35"/>
                    <w:adjustRightInd w:val="0"/>
                    <w:snapToGrid w:val="0"/>
                    <w:ind w:firstLine="0" w:firstLineChars="0"/>
                    <w:jc w:val="both"/>
                    <w:rPr>
                      <w:rFonts w:hint="default" w:ascii="Times New Roman" w:hAnsi="Times New Roman" w:eastAsia="宋体"/>
                      <w:bCs/>
                      <w:caps/>
                      <w:color w:val="auto"/>
                      <w:kern w:val="2"/>
                      <w:sz w:val="21"/>
                      <w:szCs w:val="21"/>
                      <w:lang w:val="en-US" w:eastAsia="zh-CN" w:bidi="ar-SA"/>
                    </w:rPr>
                  </w:pPr>
                  <w:r>
                    <w:rPr>
                      <w:rFonts w:hint="eastAsia" w:ascii="Times New Roman" w:hAnsi="Times New Roman"/>
                      <w:color w:val="auto"/>
                      <w:lang w:val="en-US" w:eastAsia="zh-CN"/>
                    </w:rPr>
                    <w:t>项目根据危废的性状在产废单位采取相应的包装，</w:t>
                  </w:r>
                  <w:r>
                    <w:rPr>
                      <w:rFonts w:hint="eastAsia"/>
                      <w:bCs/>
                      <w:color w:val="auto"/>
                      <w:szCs w:val="21"/>
                    </w:rPr>
                    <w:t>装载危险废物的容器及材质</w:t>
                  </w:r>
                  <w:r>
                    <w:rPr>
                      <w:rFonts w:hint="eastAsia"/>
                      <w:bCs/>
                      <w:color w:val="auto"/>
                      <w:szCs w:val="21"/>
                      <w:shd w:val="clear" w:color="auto" w:fill="auto"/>
                    </w:rPr>
                    <w:t>满足相应的强度要求。</w:t>
                  </w:r>
                  <w:r>
                    <w:rPr>
                      <w:rFonts w:hint="default" w:ascii="Times New Roman" w:hAnsi="Times New Roman" w:eastAsia="宋体" w:cs="Times New Roman"/>
                      <w:b w:val="0"/>
                      <w:bCs/>
                      <w:i w:val="0"/>
                      <w:iCs w:val="0"/>
                      <w:caps w:val="0"/>
                      <w:color w:val="auto"/>
                      <w:spacing w:val="0"/>
                      <w:sz w:val="21"/>
                      <w:szCs w:val="21"/>
                    </w:rPr>
                    <w:t>危险废物贮存不超过</w:t>
                  </w:r>
                  <w:r>
                    <w:rPr>
                      <w:rFonts w:hint="eastAsia" w:ascii="Times New Roman" w:hAnsi="Times New Roman" w:eastAsia="宋体" w:cs="Times New Roman"/>
                      <w:b w:val="0"/>
                      <w:bCs/>
                      <w:i w:val="0"/>
                      <w:iCs w:val="0"/>
                      <w:caps w:val="0"/>
                      <w:color w:val="auto"/>
                      <w:spacing w:val="0"/>
                      <w:sz w:val="21"/>
                      <w:szCs w:val="21"/>
                      <w:lang w:val="en-US" w:eastAsia="zh-CN"/>
                    </w:rPr>
                    <w:t>一年。</w:t>
                  </w:r>
                </w:p>
              </w:tc>
              <w:tc>
                <w:tcPr>
                  <w:tcW w:w="298" w:type="pct"/>
                  <w:noWrap w:val="0"/>
                  <w:vAlign w:val="center"/>
                </w:tcPr>
                <w:p w14:paraId="21657FAA">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7F0D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jc w:val="center"/>
              </w:trPr>
              <w:tc>
                <w:tcPr>
                  <w:tcW w:w="3203" w:type="pct"/>
                  <w:noWrap w:val="0"/>
                  <w:vAlign w:val="top"/>
                </w:tcPr>
                <w:p w14:paraId="54D90DB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both"/>
                    <w:textAlignment w:val="auto"/>
                    <w:rPr>
                      <w:rFonts w:hint="default" w:ascii="Times New Roman" w:hAnsi="Times New Roman" w:eastAsia="宋体" w:cs="Times New Roman"/>
                      <w:b w:val="0"/>
                      <w:bCs/>
                      <w:caps w:val="0"/>
                      <w:color w:val="auto"/>
                      <w:spacing w:val="0"/>
                      <w:kern w:val="0"/>
                      <w:sz w:val="21"/>
                      <w:szCs w:val="21"/>
                      <w:vertAlign w:val="baseline"/>
                      <w:lang w:val="en-US" w:eastAsia="zh-CN"/>
                    </w:rPr>
                  </w:pPr>
                  <w:r>
                    <w:rPr>
                      <w:rStyle w:val="28"/>
                      <w:rFonts w:hint="default" w:ascii="Times New Roman" w:hAnsi="Times New Roman" w:eastAsia="宋体" w:cs="Times New Roman"/>
                      <w:b w:val="0"/>
                      <w:bCs/>
                      <w:i w:val="0"/>
                      <w:iCs w:val="0"/>
                      <w:caps w:val="0"/>
                      <w:color w:val="auto"/>
                      <w:spacing w:val="0"/>
                      <w:sz w:val="21"/>
                      <w:szCs w:val="21"/>
                    </w:rPr>
                    <w:t>第五十五条</w:t>
                  </w:r>
                  <w:r>
                    <w:rPr>
                      <w:rFonts w:hint="default" w:ascii="Times New Roman" w:hAnsi="Times New Roman" w:eastAsia="宋体" w:cs="Times New Roman"/>
                      <w:b w:val="0"/>
                      <w:bCs/>
                      <w:i w:val="0"/>
                      <w:iCs w:val="0"/>
                      <w:caps w:val="0"/>
                      <w:color w:val="auto"/>
                      <w:spacing w:val="0"/>
                      <w:sz w:val="21"/>
                      <w:szCs w:val="21"/>
                    </w:rPr>
                    <w:t>　转移危险废物的，应当执行国家危险废物转移联单制度，按照国家有关规定如实填写、运行危险废物电子或者纸质转移联单。转移危险废物出省的，应当向省人民政府生态环境主管部门申请。省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tc>
              <w:tc>
                <w:tcPr>
                  <w:tcW w:w="1497" w:type="pct"/>
                  <w:noWrap w:val="0"/>
                  <w:vAlign w:val="center"/>
                </w:tcPr>
                <w:p w14:paraId="20AF8168">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eastAsia"/>
                      <w:bCs/>
                      <w:color w:val="auto"/>
                      <w:szCs w:val="21"/>
                      <w:lang w:val="en"/>
                    </w:rPr>
                    <w:t>跨省转移危险废物的申请经批准后，本项目按照批准跨省转移危险废物的决定填写、运行危险废物转移联单，实施危险废物转移活动。</w:t>
                  </w:r>
                </w:p>
              </w:tc>
              <w:tc>
                <w:tcPr>
                  <w:tcW w:w="298" w:type="pct"/>
                  <w:noWrap w:val="0"/>
                  <w:vAlign w:val="center"/>
                </w:tcPr>
                <w:p w14:paraId="6440F2D2">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422E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pct"/>
                  <w:noWrap w:val="0"/>
                  <w:vAlign w:val="top"/>
                </w:tcPr>
                <w:p w14:paraId="602AE2C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both"/>
                    <w:textAlignment w:val="auto"/>
                    <w:rPr>
                      <w:rFonts w:hint="default" w:ascii="Times New Roman" w:hAnsi="Times New Roman" w:eastAsia="宋体" w:cs="Times New Roman"/>
                      <w:b w:val="0"/>
                      <w:bCs/>
                      <w:i w:val="0"/>
                      <w:iCs w:val="0"/>
                      <w:caps w:val="0"/>
                      <w:color w:val="auto"/>
                      <w:spacing w:val="0"/>
                      <w:sz w:val="21"/>
                      <w:szCs w:val="21"/>
                    </w:rPr>
                  </w:pPr>
                  <w:r>
                    <w:rPr>
                      <w:rStyle w:val="28"/>
                      <w:rFonts w:hint="default" w:ascii="Times New Roman" w:hAnsi="Times New Roman" w:eastAsia="宋体" w:cs="Times New Roman"/>
                      <w:b w:val="0"/>
                      <w:bCs/>
                      <w:i w:val="0"/>
                      <w:iCs w:val="0"/>
                      <w:caps w:val="0"/>
                      <w:color w:val="auto"/>
                      <w:spacing w:val="0"/>
                      <w:sz w:val="21"/>
                      <w:szCs w:val="21"/>
                    </w:rPr>
                    <w:t>第五十六条</w:t>
                  </w:r>
                  <w:r>
                    <w:rPr>
                      <w:rFonts w:hint="default" w:ascii="Times New Roman" w:hAnsi="Times New Roman" w:eastAsia="宋体" w:cs="Times New Roman"/>
                      <w:b w:val="0"/>
                      <w:bCs/>
                      <w:i w:val="0"/>
                      <w:iCs w:val="0"/>
                      <w:caps w:val="0"/>
                      <w:color w:val="auto"/>
                      <w:spacing w:val="0"/>
                      <w:sz w:val="21"/>
                      <w:szCs w:val="21"/>
                    </w:rPr>
                    <w:t>　运输危险废物，应当采取防止污染环境的措施，并遵守国家有关危险货物运输管理的规定。禁止将危险废物与旅客在同一运输工具上载运。</w:t>
                  </w:r>
                </w:p>
              </w:tc>
              <w:tc>
                <w:tcPr>
                  <w:tcW w:w="1497" w:type="pct"/>
                  <w:noWrap w:val="0"/>
                  <w:vAlign w:val="center"/>
                </w:tcPr>
                <w:p w14:paraId="03070F44">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eastAsia"/>
                      <w:bCs/>
                      <w:color w:val="auto"/>
                      <w:szCs w:val="21"/>
                    </w:rPr>
                    <w:t>本项目危险废物的</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定期委托有资质的单位</w:t>
                  </w:r>
                  <w:r>
                    <w:rPr>
                      <w:rFonts w:hint="eastAsia"/>
                      <w:bCs/>
                      <w:color w:val="auto"/>
                      <w:szCs w:val="21"/>
                    </w:rPr>
                    <w:t>进行运输，</w:t>
                  </w:r>
                  <w:r>
                    <w:rPr>
                      <w:rFonts w:hint="eastAsia"/>
                      <w:bCs/>
                      <w:color w:val="auto"/>
                      <w:szCs w:val="21"/>
                      <w:lang w:val="en-US" w:eastAsia="zh-CN"/>
                    </w:rPr>
                    <w:t>专车专用，不搭载旅客</w:t>
                  </w:r>
                  <w:r>
                    <w:rPr>
                      <w:rFonts w:hint="eastAsia"/>
                      <w:bCs/>
                      <w:color w:val="auto"/>
                      <w:szCs w:val="21"/>
                    </w:rPr>
                    <w:t>。</w:t>
                  </w:r>
                </w:p>
              </w:tc>
              <w:tc>
                <w:tcPr>
                  <w:tcW w:w="298" w:type="pct"/>
                  <w:noWrap w:val="0"/>
                  <w:vAlign w:val="center"/>
                </w:tcPr>
                <w:p w14:paraId="210A993C">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r w14:paraId="1B90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3" w:type="pct"/>
                  <w:noWrap w:val="0"/>
                  <w:vAlign w:val="top"/>
                </w:tcPr>
                <w:p w14:paraId="645D0EB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both"/>
                    <w:textAlignment w:val="auto"/>
                    <w:rPr>
                      <w:rFonts w:hint="default" w:ascii="Times New Roman" w:hAnsi="Times New Roman" w:eastAsia="宋体" w:cs="Times New Roman"/>
                      <w:b w:val="0"/>
                      <w:bCs/>
                      <w:i w:val="0"/>
                      <w:iCs w:val="0"/>
                      <w:caps w:val="0"/>
                      <w:color w:val="auto"/>
                      <w:spacing w:val="0"/>
                      <w:sz w:val="21"/>
                      <w:szCs w:val="21"/>
                    </w:rPr>
                  </w:pPr>
                  <w:r>
                    <w:rPr>
                      <w:rStyle w:val="28"/>
                      <w:rFonts w:hint="default" w:ascii="Times New Roman" w:hAnsi="Times New Roman" w:eastAsia="宋体" w:cs="Times New Roman"/>
                      <w:b w:val="0"/>
                      <w:bCs/>
                      <w:i w:val="0"/>
                      <w:iCs w:val="0"/>
                      <w:caps w:val="0"/>
                      <w:color w:val="auto"/>
                      <w:spacing w:val="0"/>
                      <w:sz w:val="21"/>
                      <w:szCs w:val="21"/>
                    </w:rPr>
                    <w:t>第五十七条</w:t>
                  </w:r>
                  <w:r>
                    <w:rPr>
                      <w:rFonts w:hint="default" w:ascii="Times New Roman" w:hAnsi="Times New Roman" w:eastAsia="宋体" w:cs="Times New Roman"/>
                      <w:b w:val="0"/>
                      <w:bCs/>
                      <w:i w:val="0"/>
                      <w:iCs w:val="0"/>
                      <w:caps w:val="0"/>
                      <w:color w:val="auto"/>
                      <w:spacing w:val="0"/>
                      <w:sz w:val="21"/>
                      <w:szCs w:val="21"/>
                    </w:rPr>
                    <w:t>　县级以上人民政府应当将危险废物突发环境事件应急处置纳入政府应急响应体系，加强危险废物环境应急响应能力建设。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tc>
              <w:tc>
                <w:tcPr>
                  <w:tcW w:w="1497" w:type="pct"/>
                  <w:noWrap w:val="0"/>
                  <w:vAlign w:val="center"/>
                </w:tcPr>
                <w:p w14:paraId="0325B94D">
                  <w:pPr>
                    <w:keepNext w:val="0"/>
                    <w:keepLines w:val="0"/>
                    <w:pageBreakBefore w:val="0"/>
                    <w:widowControl w:val="0"/>
                    <w:kinsoku/>
                    <w:wordWrap/>
                    <w:overflowPunct/>
                    <w:topLinePunct w:val="0"/>
                    <w:autoSpaceDE/>
                    <w:autoSpaceDN/>
                    <w:bidi w:val="0"/>
                    <w:adjustRightInd/>
                    <w:snapToGrid/>
                    <w:spacing w:line="240" w:lineRule="auto"/>
                    <w:ind w:left="0" w:firstLine="0"/>
                    <w:jc w:val="both"/>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eastAsia" w:ascii="Times New Roman" w:hAnsi="Times New Roman"/>
                      <w:bCs/>
                      <w:color w:val="auto"/>
                      <w:szCs w:val="21"/>
                    </w:rPr>
                    <w:t>待</w:t>
                  </w:r>
                  <w:r>
                    <w:rPr>
                      <w:rFonts w:hint="eastAsia" w:ascii="Times New Roman" w:hAnsi="Times New Roman"/>
                      <w:bCs/>
                      <w:color w:val="auto"/>
                      <w:szCs w:val="21"/>
                      <w:lang w:eastAsia="zh-CN"/>
                    </w:rPr>
                    <w:t>项目建设完成后</w:t>
                  </w:r>
                  <w:r>
                    <w:rPr>
                      <w:rFonts w:hint="eastAsia" w:ascii="Times New Roman" w:hAnsi="Times New Roman"/>
                      <w:bCs/>
                      <w:color w:val="auto"/>
                      <w:szCs w:val="21"/>
                      <w:lang w:val="en-US" w:eastAsia="zh-CN"/>
                    </w:rPr>
                    <w:t>及时编制</w:t>
                  </w:r>
                  <w:r>
                    <w:rPr>
                      <w:rFonts w:hint="eastAsia" w:ascii="Times New Roman" w:hAnsi="Times New Roman"/>
                      <w:bCs/>
                      <w:color w:val="auto"/>
                      <w:szCs w:val="21"/>
                    </w:rPr>
                    <w:t>应急预案</w:t>
                  </w:r>
                  <w:r>
                    <w:rPr>
                      <w:rFonts w:hint="eastAsia" w:ascii="Times New Roman" w:hAnsi="Times New Roman"/>
                      <w:bCs/>
                      <w:color w:val="auto"/>
                      <w:szCs w:val="21"/>
                      <w:lang w:eastAsia="zh-CN"/>
                    </w:rPr>
                    <w:t>，</w:t>
                  </w:r>
                  <w:r>
                    <w:rPr>
                      <w:rFonts w:hint="eastAsia" w:ascii="Times New Roman" w:hAnsi="Times New Roman"/>
                      <w:bCs/>
                      <w:color w:val="auto"/>
                      <w:szCs w:val="21"/>
                    </w:rPr>
                    <w:t>一旦发生突发环境事件，按《环境保护行政主管部门突发环境事件信息报告办法</w:t>
                  </w:r>
                  <w:r>
                    <w:rPr>
                      <w:rFonts w:hint="eastAsia" w:ascii="Times New Roman" w:hAnsi="Times New Roman"/>
                      <w:bCs/>
                      <w:color w:val="auto"/>
                      <w:szCs w:val="21"/>
                      <w:lang w:eastAsia="zh-CN"/>
                    </w:rPr>
                    <w:t>（</w:t>
                  </w:r>
                  <w:r>
                    <w:rPr>
                      <w:rFonts w:hint="eastAsia" w:ascii="Times New Roman" w:hAnsi="Times New Roman"/>
                      <w:bCs/>
                      <w:color w:val="auto"/>
                      <w:szCs w:val="21"/>
                    </w:rPr>
                    <w:t>试行</w:t>
                  </w:r>
                  <w:r>
                    <w:rPr>
                      <w:rFonts w:hint="eastAsia" w:ascii="Times New Roman" w:hAnsi="Times New Roman"/>
                      <w:bCs/>
                      <w:color w:val="auto"/>
                      <w:szCs w:val="21"/>
                      <w:lang w:eastAsia="zh-CN"/>
                    </w:rPr>
                    <w:t>）</w:t>
                  </w:r>
                  <w:r>
                    <w:rPr>
                      <w:rFonts w:hint="eastAsia" w:ascii="Times New Roman" w:hAnsi="Times New Roman"/>
                      <w:bCs/>
                      <w:color w:val="auto"/>
                      <w:szCs w:val="21"/>
                    </w:rPr>
                    <w:t>》</w:t>
                  </w:r>
                  <w:r>
                    <w:rPr>
                      <w:rFonts w:hint="default" w:ascii="Times New Roman" w:hAnsi="Times New Roman" w:cs="Times New Roman"/>
                      <w:bCs/>
                      <w:color w:val="auto"/>
                      <w:szCs w:val="21"/>
                    </w:rPr>
                    <w:t>（环发</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2006</w:t>
                  </w:r>
                  <w:r>
                    <w:rPr>
                      <w:rFonts w:hint="default" w:ascii="Times New Roman" w:hAnsi="Times New Roman" w:eastAsia="宋体" w:cs="Times New Roman"/>
                      <w:bCs/>
                      <w:color w:val="auto"/>
                      <w:szCs w:val="21"/>
                    </w:rPr>
                    <w:t>〕</w:t>
                  </w:r>
                  <w:r>
                    <w:rPr>
                      <w:rFonts w:hint="default" w:ascii="Times New Roman" w:hAnsi="Times New Roman" w:cs="Times New Roman"/>
                      <w:bCs/>
                      <w:color w:val="auto"/>
                      <w:szCs w:val="21"/>
                    </w:rPr>
                    <w:t>50号</w:t>
                  </w:r>
                  <w:r>
                    <w:rPr>
                      <w:rFonts w:hint="eastAsia" w:ascii="Times New Roman" w:hAnsi="Times New Roman"/>
                      <w:bCs/>
                      <w:color w:val="auto"/>
                      <w:szCs w:val="21"/>
                    </w:rPr>
                    <w:t>）要求进行报告。</w:t>
                  </w:r>
                </w:p>
              </w:tc>
              <w:tc>
                <w:tcPr>
                  <w:tcW w:w="298" w:type="pct"/>
                  <w:noWrap w:val="0"/>
                  <w:vAlign w:val="center"/>
                </w:tcPr>
                <w:p w14:paraId="7FA15ABE">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aps/>
                      <w:color w:val="auto"/>
                      <w:kern w:val="0"/>
                      <w:sz w:val="21"/>
                      <w:szCs w:val="21"/>
                      <w:vertAlign w:val="baseline"/>
                      <w:lang w:val="en-US" w:eastAsia="zh-CN"/>
                    </w:rPr>
                  </w:pPr>
                  <w:r>
                    <w:rPr>
                      <w:rFonts w:hint="default" w:ascii="Times New Roman" w:hAnsi="Times New Roman" w:cs="Times New Roman"/>
                      <w:b w:val="0"/>
                      <w:bCs w:val="0"/>
                      <w:color w:val="auto"/>
                      <w:sz w:val="21"/>
                      <w:szCs w:val="21"/>
                    </w:rPr>
                    <w:t>符合</w:t>
                  </w:r>
                </w:p>
              </w:tc>
            </w:tr>
          </w:tbl>
          <w:p w14:paraId="206A469C">
            <w:pPr>
              <w:keepNext w:val="0"/>
              <w:keepLines w:val="0"/>
              <w:pageBreakBefore w:val="0"/>
              <w:widowControl w:val="0"/>
              <w:kinsoku/>
              <w:wordWrap/>
              <w:overflow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b w:val="0"/>
                <w:bCs/>
                <w:caps/>
                <w:color w:val="auto"/>
                <w:kern w:val="0"/>
                <w:sz w:val="24"/>
                <w:szCs w:val="24"/>
                <w:lang w:val="en-US" w:eastAsia="zh-CN"/>
              </w:rPr>
              <w:t>由上表可知，项目的建设</w:t>
            </w:r>
            <w:r>
              <w:rPr>
                <w:rFonts w:hint="eastAsia" w:ascii="Times New Roman" w:hAnsi="Times New Roman" w:eastAsia="宋体" w:cs="Times New Roman"/>
                <w:b w:val="0"/>
                <w:bCs/>
                <w:caps/>
                <w:color w:val="auto"/>
                <w:kern w:val="0"/>
                <w:sz w:val="24"/>
                <w:szCs w:val="24"/>
                <w:lang w:val="en-US" w:eastAsia="zh-CN"/>
              </w:rPr>
              <w:t>与</w:t>
            </w:r>
            <w:r>
              <w:rPr>
                <w:rFonts w:hint="eastAsia" w:ascii="Times New Roman" w:hAnsi="Times New Roman" w:eastAsia="宋体" w:cs="Times New Roman"/>
                <w:b w:val="0"/>
                <w:bCs w:val="0"/>
                <w:color w:val="auto"/>
                <w:sz w:val="24"/>
                <w:szCs w:val="32"/>
                <w:lang w:val="en-US" w:eastAsia="zh-CN"/>
              </w:rPr>
              <w:t>《云南省固体废物污染环境防治条例》（2023年3月1日起施行）</w:t>
            </w:r>
            <w:r>
              <w:rPr>
                <w:rFonts w:hint="eastAsia" w:ascii="Times New Roman" w:hAnsi="Times New Roman" w:eastAsia="宋体" w:cs="Times New Roman"/>
                <w:b w:val="0"/>
                <w:bCs w:val="0"/>
                <w:caps/>
                <w:color w:val="auto"/>
                <w:kern w:val="0"/>
                <w:sz w:val="24"/>
                <w:szCs w:val="24"/>
                <w:lang w:val="en-US" w:eastAsia="zh-CN"/>
              </w:rPr>
              <w:t>相</w:t>
            </w:r>
            <w:r>
              <w:rPr>
                <w:rFonts w:hint="eastAsia" w:ascii="Times New Roman" w:hAnsi="Times New Roman" w:eastAsia="宋体" w:cs="Times New Roman"/>
                <w:b w:val="0"/>
                <w:bCs/>
                <w:caps/>
                <w:color w:val="auto"/>
                <w:kern w:val="0"/>
                <w:sz w:val="24"/>
                <w:szCs w:val="24"/>
                <w:lang w:val="en-US" w:eastAsia="zh-CN"/>
              </w:rPr>
              <w:t>符。</w:t>
            </w:r>
          </w:p>
          <w:p w14:paraId="5D9E67EE">
            <w:pPr>
              <w:pStyle w:val="63"/>
              <w:keepNext w:val="0"/>
              <w:keepLines w:val="0"/>
              <w:pageBreakBefore w:val="0"/>
              <w:widowControl w:val="0"/>
              <w:kinsoku/>
              <w:wordWrap/>
              <w:overflowPunct/>
              <w:topLinePunct/>
              <w:autoSpaceDE/>
              <w:autoSpaceDN/>
              <w:bidi w:val="0"/>
              <w:adjustRightInd w:val="0"/>
              <w:snapToGrid w:val="0"/>
              <w:spacing w:line="360" w:lineRule="auto"/>
              <w:ind w:left="0" w:leftChars="0" w:firstLine="0" w:firstLineChars="0"/>
              <w:textAlignment w:val="baseline"/>
              <w:rPr>
                <w:rFonts w:hint="eastAsia" w:ascii="Times New Roman" w:hAnsi="Times New Roman"/>
                <w:b/>
                <w:bCs/>
                <w:caps/>
                <w:color w:val="auto"/>
                <w:sz w:val="24"/>
                <w:highlight w:val="none"/>
              </w:rPr>
            </w:pPr>
            <w:r>
              <w:rPr>
                <w:rFonts w:hint="eastAsia" w:cs="Times New Roman"/>
                <w:b/>
                <w:bCs/>
                <w:color w:val="auto"/>
                <w:sz w:val="24"/>
                <w:highlight w:val="none"/>
                <w:lang w:val="en-US" w:eastAsia="zh-CN"/>
              </w:rPr>
              <w:t>（17）</w:t>
            </w:r>
            <w:r>
              <w:rPr>
                <w:rFonts w:hint="eastAsia" w:ascii="Times New Roman" w:hAnsi="Times New Roman"/>
                <w:b/>
                <w:bCs/>
                <w:color w:val="auto"/>
                <w:sz w:val="24"/>
                <w:szCs w:val="24"/>
                <w:highlight w:val="none"/>
              </w:rPr>
              <w:t>与《危</w:t>
            </w:r>
            <w:r>
              <w:rPr>
                <w:rFonts w:hint="eastAsia" w:ascii="Times New Roman" w:hAnsi="Times New Roman"/>
                <w:b/>
                <w:bCs/>
                <w:color w:val="auto"/>
                <w:sz w:val="24"/>
                <w:highlight w:val="none"/>
              </w:rPr>
              <w:t>险废物转移管理办法》（部令第</w:t>
            </w:r>
            <w:r>
              <w:rPr>
                <w:rFonts w:ascii="Times New Roman" w:hAnsi="Times New Roman"/>
                <w:b/>
                <w:bCs/>
                <w:color w:val="auto"/>
                <w:sz w:val="24"/>
                <w:highlight w:val="none"/>
              </w:rPr>
              <w:t>23</w:t>
            </w:r>
            <w:r>
              <w:rPr>
                <w:rFonts w:hint="eastAsia" w:ascii="Times New Roman" w:hAnsi="Times New Roman"/>
                <w:b/>
                <w:bCs/>
                <w:color w:val="auto"/>
                <w:sz w:val="24"/>
                <w:highlight w:val="none"/>
              </w:rPr>
              <w:t>号）符合性分析</w:t>
            </w:r>
          </w:p>
          <w:p w14:paraId="564F679D">
            <w:pPr>
              <w:pStyle w:val="35"/>
              <w:adjustRightInd w:val="0"/>
              <w:snapToGrid w:val="0"/>
              <w:ind w:firstLine="0" w:firstLineChars="0"/>
              <w:jc w:val="center"/>
              <w:rPr>
                <w:rFonts w:hint="eastAsia" w:ascii="Times New Roman" w:hAnsi="Times New Roman"/>
                <w:b/>
                <w:bCs/>
                <w:caps/>
                <w:color w:val="auto"/>
                <w:sz w:val="24"/>
              </w:rPr>
            </w:pPr>
            <w:r>
              <w:rPr>
                <w:rFonts w:hint="eastAsia" w:ascii="Times New Roman" w:hAnsi="Times New Roman"/>
                <w:b/>
                <w:color w:val="auto"/>
                <w:kern w:val="0"/>
                <w:szCs w:val="21"/>
              </w:rPr>
              <w:t>表</w:t>
            </w:r>
            <w:r>
              <w:rPr>
                <w:rFonts w:ascii="Times New Roman" w:hAnsi="Times New Roman"/>
                <w:b/>
                <w:color w:val="auto"/>
                <w:kern w:val="0"/>
                <w:szCs w:val="21"/>
              </w:rPr>
              <w:t>1-</w:t>
            </w:r>
            <w:r>
              <w:rPr>
                <w:rFonts w:hint="eastAsia" w:ascii="Times New Roman" w:hAnsi="Times New Roman"/>
                <w:b/>
                <w:color w:val="auto"/>
                <w:kern w:val="0"/>
                <w:szCs w:val="21"/>
                <w:lang w:val="en-US" w:eastAsia="zh-CN"/>
              </w:rPr>
              <w:t>14</w:t>
            </w:r>
            <w:r>
              <w:rPr>
                <w:rFonts w:ascii="Times New Roman" w:hAnsi="Times New Roman"/>
                <w:b/>
                <w:color w:val="auto"/>
                <w:kern w:val="0"/>
                <w:szCs w:val="21"/>
              </w:rPr>
              <w:t xml:space="preserve"> </w:t>
            </w:r>
            <w:r>
              <w:rPr>
                <w:rFonts w:hint="eastAsia" w:ascii="Times New Roman" w:hAnsi="Times New Roman"/>
                <w:b/>
                <w:color w:val="auto"/>
                <w:kern w:val="0"/>
                <w:szCs w:val="21"/>
                <w:lang w:val="en-US" w:eastAsia="zh-CN"/>
              </w:rPr>
              <w:t xml:space="preserve"> </w:t>
            </w:r>
            <w:r>
              <w:rPr>
                <w:rFonts w:ascii="Times New Roman" w:hAnsi="Times New Roman"/>
                <w:b/>
                <w:color w:val="auto"/>
                <w:kern w:val="0"/>
                <w:szCs w:val="21"/>
              </w:rPr>
              <w:t xml:space="preserve"> </w:t>
            </w:r>
            <w:r>
              <w:rPr>
                <w:rFonts w:hint="eastAsia" w:ascii="Times New Roman" w:hAnsi="Times New Roman"/>
                <w:b/>
                <w:color w:val="auto"/>
                <w:kern w:val="0"/>
                <w:szCs w:val="21"/>
              </w:rPr>
              <w:t>与</w:t>
            </w:r>
            <w:r>
              <w:rPr>
                <w:rFonts w:hint="eastAsia" w:ascii="Times New Roman" w:hAnsi="Times New Roman"/>
                <w:b/>
                <w:bCs/>
                <w:color w:val="auto"/>
                <w:kern w:val="0"/>
                <w:szCs w:val="21"/>
              </w:rPr>
              <w:t>《危险废物转移管理办法》（部令第</w:t>
            </w:r>
            <w:r>
              <w:rPr>
                <w:rFonts w:ascii="Times New Roman" w:hAnsi="Times New Roman"/>
                <w:b/>
                <w:bCs/>
                <w:color w:val="auto"/>
                <w:kern w:val="0"/>
                <w:szCs w:val="21"/>
              </w:rPr>
              <w:t>23</w:t>
            </w:r>
            <w:r>
              <w:rPr>
                <w:rFonts w:hint="eastAsia" w:ascii="Times New Roman" w:hAnsi="Times New Roman"/>
                <w:b/>
                <w:bCs/>
                <w:color w:val="auto"/>
                <w:kern w:val="0"/>
                <w:szCs w:val="21"/>
              </w:rPr>
              <w:t>号）</w:t>
            </w:r>
            <w:r>
              <w:rPr>
                <w:rFonts w:hint="eastAsia" w:ascii="Times New Roman" w:hAnsi="Times New Roman"/>
                <w:b/>
                <w:color w:val="auto"/>
                <w:kern w:val="0"/>
                <w:szCs w:val="21"/>
              </w:rPr>
              <w:t>的对照表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2"/>
              <w:gridCol w:w="3152"/>
              <w:gridCol w:w="612"/>
            </w:tblGrid>
            <w:tr w14:paraId="580B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5785EA81">
                  <w:pPr>
                    <w:pStyle w:val="35"/>
                    <w:adjustRightInd w:val="0"/>
                    <w:snapToGrid w:val="0"/>
                    <w:ind w:firstLine="0" w:firstLineChars="0"/>
                    <w:jc w:val="center"/>
                    <w:rPr>
                      <w:rFonts w:ascii="Times New Roman" w:hAnsi="Times New Roman"/>
                      <w:b w:val="0"/>
                      <w:bCs w:val="0"/>
                      <w:caps/>
                      <w:color w:val="auto"/>
                      <w:szCs w:val="21"/>
                    </w:rPr>
                  </w:pPr>
                  <w:r>
                    <w:rPr>
                      <w:rFonts w:hint="eastAsia" w:ascii="Times New Roman" w:hAnsi="Times New Roman"/>
                      <w:b w:val="0"/>
                      <w:bCs w:val="0"/>
                      <w:color w:val="auto"/>
                      <w:szCs w:val="21"/>
                    </w:rPr>
                    <w:t>规范要求</w:t>
                  </w:r>
                </w:p>
              </w:tc>
              <w:tc>
                <w:tcPr>
                  <w:tcW w:w="3152" w:type="dxa"/>
                  <w:tcBorders>
                    <w:tl2br w:val="nil"/>
                    <w:tr2bl w:val="nil"/>
                  </w:tcBorders>
                  <w:noWrap w:val="0"/>
                  <w:vAlign w:val="center"/>
                </w:tcPr>
                <w:p w14:paraId="78353CC2">
                  <w:pPr>
                    <w:pStyle w:val="35"/>
                    <w:adjustRightInd w:val="0"/>
                    <w:snapToGrid w:val="0"/>
                    <w:ind w:firstLine="0" w:firstLineChars="0"/>
                    <w:jc w:val="center"/>
                    <w:rPr>
                      <w:rFonts w:ascii="Times New Roman" w:hAnsi="Times New Roman"/>
                      <w:b w:val="0"/>
                      <w:bCs w:val="0"/>
                      <w:caps/>
                      <w:color w:val="auto"/>
                      <w:szCs w:val="21"/>
                    </w:rPr>
                  </w:pPr>
                  <w:r>
                    <w:rPr>
                      <w:rFonts w:hint="eastAsia" w:ascii="Times New Roman" w:hAnsi="Times New Roman"/>
                      <w:b w:val="0"/>
                      <w:bCs w:val="0"/>
                      <w:color w:val="auto"/>
                      <w:szCs w:val="21"/>
                    </w:rPr>
                    <w:t>本项目</w:t>
                  </w:r>
                </w:p>
              </w:tc>
              <w:tc>
                <w:tcPr>
                  <w:tcW w:w="612" w:type="dxa"/>
                  <w:tcBorders>
                    <w:tl2br w:val="nil"/>
                    <w:tr2bl w:val="nil"/>
                  </w:tcBorders>
                  <w:noWrap w:val="0"/>
                  <w:vAlign w:val="center"/>
                </w:tcPr>
                <w:p w14:paraId="0F022EB2">
                  <w:pPr>
                    <w:pStyle w:val="35"/>
                    <w:adjustRightInd w:val="0"/>
                    <w:snapToGrid w:val="0"/>
                    <w:ind w:firstLine="0" w:firstLineChars="0"/>
                    <w:jc w:val="center"/>
                    <w:rPr>
                      <w:rFonts w:ascii="Times New Roman" w:hAnsi="Times New Roman"/>
                      <w:b w:val="0"/>
                      <w:bCs w:val="0"/>
                      <w:caps/>
                      <w:color w:val="auto"/>
                      <w:szCs w:val="21"/>
                    </w:rPr>
                  </w:pPr>
                  <w:r>
                    <w:rPr>
                      <w:rFonts w:hint="eastAsia" w:ascii="Times New Roman" w:hAnsi="Times New Roman"/>
                      <w:b w:val="0"/>
                      <w:bCs w:val="0"/>
                      <w:color w:val="auto"/>
                      <w:szCs w:val="21"/>
                    </w:rPr>
                    <w:t>符合性</w:t>
                  </w:r>
                </w:p>
              </w:tc>
            </w:tr>
            <w:tr w14:paraId="404E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6" w:type="dxa"/>
                  <w:gridSpan w:val="3"/>
                  <w:tcBorders>
                    <w:tl2br w:val="nil"/>
                    <w:tr2bl w:val="nil"/>
                  </w:tcBorders>
                  <w:noWrap w:val="0"/>
                  <w:vAlign w:val="center"/>
                </w:tcPr>
                <w:p w14:paraId="33A1A3FC">
                  <w:pPr>
                    <w:pStyle w:val="35"/>
                    <w:adjustRightInd w:val="0"/>
                    <w:snapToGrid w:val="0"/>
                    <w:ind w:firstLine="0" w:firstLineChars="0"/>
                    <w:jc w:val="center"/>
                    <w:rPr>
                      <w:rFonts w:ascii="Times New Roman" w:hAnsi="Times New Roman"/>
                      <w:b/>
                      <w:bCs/>
                      <w:caps/>
                      <w:color w:val="auto"/>
                      <w:szCs w:val="21"/>
                    </w:rPr>
                  </w:pPr>
                  <w:r>
                    <w:rPr>
                      <w:rFonts w:hint="eastAsia" w:ascii="Times New Roman" w:hAnsi="Times New Roman"/>
                      <w:b/>
                      <w:bCs/>
                      <w:color w:val="auto"/>
                      <w:kern w:val="0"/>
                      <w:szCs w:val="21"/>
                    </w:rPr>
                    <w:t>总则</w:t>
                  </w:r>
                </w:p>
              </w:tc>
            </w:tr>
            <w:tr w14:paraId="5085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72" w:type="dxa"/>
                  <w:tcBorders>
                    <w:tl2br w:val="nil"/>
                    <w:tr2bl w:val="nil"/>
                  </w:tcBorders>
                  <w:noWrap w:val="0"/>
                  <w:vAlign w:val="center"/>
                </w:tcPr>
                <w:p w14:paraId="586F7D1F">
                  <w:pPr>
                    <w:pStyle w:val="35"/>
                    <w:adjustRightInd w:val="0"/>
                    <w:snapToGrid w:val="0"/>
                    <w:ind w:firstLine="0" w:firstLineChars="0"/>
                    <w:jc w:val="both"/>
                    <w:rPr>
                      <w:rFonts w:ascii="Times New Roman" w:hAnsi="Times New Roman"/>
                      <w:bCs/>
                      <w:caps/>
                      <w:color w:val="auto"/>
                      <w:szCs w:val="21"/>
                    </w:rPr>
                  </w:pPr>
                  <w:r>
                    <w:rPr>
                      <w:rFonts w:hint="eastAsia" w:ascii="Times New Roman" w:hAnsi="Times New Roman"/>
                      <w:bCs/>
                      <w:color w:val="auto"/>
                      <w:szCs w:val="21"/>
                      <w:lang w:val="en"/>
                    </w:rPr>
                    <w:t>危险废物转移应当遵循就近原则。跨省、自治区、直辖市转移（以下简称跨省转移）处置危险废物的，应当以转移至相邻或者开展区域合作的省、自治区、直辖市的危险废物处置设施，以及全国统筹布局的危险废物处置设施为主。</w:t>
                  </w:r>
                </w:p>
              </w:tc>
              <w:tc>
                <w:tcPr>
                  <w:tcW w:w="3152" w:type="dxa"/>
                  <w:tcBorders>
                    <w:tl2br w:val="nil"/>
                    <w:tr2bl w:val="nil"/>
                  </w:tcBorders>
                  <w:noWrap w:val="0"/>
                  <w:vAlign w:val="center"/>
                </w:tcPr>
                <w:p w14:paraId="2C301921">
                  <w:pPr>
                    <w:pStyle w:val="35"/>
                    <w:adjustRightInd w:val="0"/>
                    <w:snapToGrid w:val="0"/>
                    <w:ind w:firstLine="0" w:firstLineChars="0"/>
                    <w:jc w:val="both"/>
                    <w:rPr>
                      <w:rFonts w:ascii="Times New Roman" w:hAnsi="Times New Roman"/>
                      <w:bCs/>
                      <w:caps/>
                      <w:color w:val="auto"/>
                      <w:szCs w:val="21"/>
                    </w:rPr>
                  </w:pPr>
                  <w:r>
                    <w:rPr>
                      <w:rFonts w:hint="eastAsia" w:ascii="Times New Roman"/>
                      <w:bCs/>
                      <w:color w:val="auto"/>
                      <w:szCs w:val="21"/>
                    </w:rPr>
                    <w:t>本项目危险废物贮存</w:t>
                  </w:r>
                  <w:r>
                    <w:rPr>
                      <w:rFonts w:hint="eastAsia" w:ascii="Times New Roman"/>
                      <w:bCs/>
                      <w:color w:val="auto"/>
                      <w:szCs w:val="21"/>
                      <w:lang w:val="en-US" w:eastAsia="zh-CN"/>
                    </w:rPr>
                    <w:t>时间＜1年，危险废物</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定期委托有资质的单位清运处置</w:t>
                  </w:r>
                  <w:r>
                    <w:rPr>
                      <w:rFonts w:hint="eastAsia" w:ascii="Times New Roman" w:hAnsi="Times New Roman"/>
                      <w:bCs/>
                      <w:color w:val="auto"/>
                      <w:szCs w:val="21"/>
                      <w:lang w:val="en"/>
                    </w:rPr>
                    <w:t>。</w:t>
                  </w:r>
                  <w:r>
                    <w:rPr>
                      <w:rFonts w:hint="eastAsia"/>
                      <w:bCs/>
                      <w:color w:val="auto"/>
                      <w:szCs w:val="21"/>
                      <w:lang w:val="en-US" w:eastAsia="zh-CN"/>
                    </w:rPr>
                    <w:t>若项目建成后，</w:t>
                  </w:r>
                  <w:r>
                    <w:rPr>
                      <w:rFonts w:hint="eastAsia"/>
                      <w:bCs/>
                      <w:color w:val="auto"/>
                      <w:szCs w:val="21"/>
                      <w:lang w:eastAsia="zh-CN"/>
                    </w:rPr>
                    <w:t>转移</w:t>
                  </w:r>
                  <w:r>
                    <w:rPr>
                      <w:rFonts w:hint="eastAsia"/>
                      <w:bCs/>
                      <w:color w:val="auto"/>
                      <w:szCs w:val="21"/>
                      <w:lang w:val="en-US" w:eastAsia="zh-CN"/>
                    </w:rPr>
                    <w:t>危险废物</w:t>
                  </w:r>
                  <w:r>
                    <w:rPr>
                      <w:rFonts w:hint="eastAsia"/>
                      <w:bCs/>
                      <w:color w:val="auto"/>
                      <w:szCs w:val="21"/>
                    </w:rPr>
                    <w:t>出省、自治区、直辖市行政区域</w:t>
                  </w:r>
                  <w:r>
                    <w:rPr>
                      <w:rFonts w:hint="eastAsia"/>
                      <w:bCs/>
                      <w:color w:val="auto"/>
                      <w:szCs w:val="21"/>
                      <w:lang w:eastAsia="zh-CN"/>
                    </w:rPr>
                    <w:t>，</w:t>
                  </w:r>
                  <w:r>
                    <w:rPr>
                      <w:rFonts w:hint="eastAsia"/>
                      <w:bCs/>
                      <w:color w:val="auto"/>
                      <w:szCs w:val="21"/>
                      <w:lang w:val="en-US" w:eastAsia="zh-CN"/>
                    </w:rPr>
                    <w:t>须</w:t>
                  </w:r>
                  <w:r>
                    <w:rPr>
                      <w:rFonts w:hint="eastAsia"/>
                      <w:bCs/>
                      <w:color w:val="auto"/>
                      <w:szCs w:val="21"/>
                      <w:lang w:eastAsia="zh-CN"/>
                    </w:rPr>
                    <w:t>向移出地的省、自治区、直辖市人民政府生态环境主管部门提出申请。待</w:t>
                  </w:r>
                  <w:r>
                    <w:rPr>
                      <w:rFonts w:hint="eastAsia"/>
                      <w:bCs/>
                      <w:color w:val="auto"/>
                      <w:szCs w:val="21"/>
                    </w:rPr>
                    <w:t>取得移出地的省、自治区、直辖市人民政府生态环境主管部门及时商经接受地的省、自治区、直辖市人民政府生态环境主管部门同意后方可转移</w:t>
                  </w:r>
                  <w:r>
                    <w:rPr>
                      <w:rFonts w:hint="eastAsia"/>
                      <w:bCs/>
                      <w:color w:val="auto"/>
                      <w:szCs w:val="21"/>
                      <w:lang w:eastAsia="zh-CN"/>
                    </w:rPr>
                    <w:t>，</w:t>
                  </w:r>
                  <w:r>
                    <w:rPr>
                      <w:rFonts w:hint="eastAsia"/>
                      <w:bCs/>
                      <w:color w:val="auto"/>
                      <w:szCs w:val="21"/>
                      <w:lang w:val="en-US" w:eastAsia="zh-CN"/>
                    </w:rPr>
                    <w:t>并接受相关部门的</w:t>
                  </w:r>
                  <w:r>
                    <w:rPr>
                      <w:rFonts w:hint="eastAsia"/>
                      <w:bCs/>
                      <w:color w:val="auto"/>
                      <w:szCs w:val="21"/>
                    </w:rPr>
                    <w:t>全程管控</w:t>
                  </w:r>
                  <w:r>
                    <w:rPr>
                      <w:rFonts w:hint="eastAsia"/>
                      <w:bCs/>
                      <w:color w:val="auto"/>
                      <w:szCs w:val="21"/>
                      <w:lang w:eastAsia="zh-CN"/>
                    </w:rPr>
                    <w:t>。</w:t>
                  </w:r>
                </w:p>
              </w:tc>
              <w:tc>
                <w:tcPr>
                  <w:tcW w:w="612" w:type="dxa"/>
                  <w:tcBorders>
                    <w:tl2br w:val="nil"/>
                    <w:tr2bl w:val="nil"/>
                  </w:tcBorders>
                  <w:noWrap w:val="0"/>
                  <w:vAlign w:val="center"/>
                </w:tcPr>
                <w:p w14:paraId="5FEEFBD3">
                  <w:pPr>
                    <w:pStyle w:val="35"/>
                    <w:adjustRightInd w:val="0"/>
                    <w:snapToGrid w:val="0"/>
                    <w:ind w:firstLine="0" w:firstLineChars="0"/>
                    <w:jc w:val="center"/>
                    <w:rPr>
                      <w:rFonts w:ascii="Times New Roman" w:hAnsi="Times New Roman"/>
                      <w:bCs/>
                      <w:caps/>
                      <w:color w:val="auto"/>
                      <w:szCs w:val="21"/>
                    </w:rPr>
                  </w:pPr>
                  <w:r>
                    <w:rPr>
                      <w:rFonts w:hint="eastAsia"/>
                      <w:bCs/>
                      <w:color w:val="auto"/>
                      <w:szCs w:val="21"/>
                    </w:rPr>
                    <w:t>符合</w:t>
                  </w:r>
                </w:p>
              </w:tc>
            </w:tr>
            <w:tr w14:paraId="4BEF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3372" w:type="dxa"/>
                  <w:tcBorders>
                    <w:tl2br w:val="nil"/>
                    <w:tr2bl w:val="nil"/>
                  </w:tcBorders>
                  <w:noWrap w:val="0"/>
                  <w:vAlign w:val="center"/>
                </w:tcPr>
                <w:p w14:paraId="4F7E0066">
                  <w:pPr>
                    <w:pStyle w:val="35"/>
                    <w:adjustRightInd w:val="0"/>
                    <w:snapToGrid w:val="0"/>
                    <w:ind w:firstLine="0" w:firstLineChars="0"/>
                    <w:jc w:val="both"/>
                    <w:rPr>
                      <w:rFonts w:ascii="Times New Roman" w:hAnsi="Times New Roman"/>
                      <w:bCs/>
                      <w:caps/>
                      <w:color w:val="auto"/>
                      <w:szCs w:val="21"/>
                    </w:rPr>
                  </w:pPr>
                  <w:r>
                    <w:rPr>
                      <w:rFonts w:hint="eastAsia" w:ascii="Times New Roman"/>
                      <w:bCs/>
                      <w:color w:val="auto"/>
                      <w:szCs w:val="21"/>
                      <w:lang w:val="en"/>
                    </w:rPr>
                    <w:t>转移危险废物的，应当执行危险废物转移联单制度，法律法规另有规定的除外。</w:t>
                  </w:r>
                </w:p>
              </w:tc>
              <w:tc>
                <w:tcPr>
                  <w:tcW w:w="3152" w:type="dxa"/>
                  <w:tcBorders>
                    <w:tl2br w:val="nil"/>
                    <w:tr2bl w:val="nil"/>
                  </w:tcBorders>
                  <w:noWrap w:val="0"/>
                  <w:vAlign w:val="center"/>
                </w:tcPr>
                <w:p w14:paraId="7E5EA15F">
                  <w:pPr>
                    <w:pStyle w:val="35"/>
                    <w:adjustRightInd w:val="0"/>
                    <w:snapToGrid w:val="0"/>
                    <w:ind w:firstLine="0" w:firstLineChars="0"/>
                    <w:jc w:val="center"/>
                    <w:rPr>
                      <w:rFonts w:hint="eastAsia"/>
                      <w:bCs/>
                      <w:caps/>
                      <w:color w:val="auto"/>
                      <w:szCs w:val="21"/>
                    </w:rPr>
                  </w:pPr>
                  <w:r>
                    <w:rPr>
                      <w:rFonts w:hint="eastAsia"/>
                      <w:bCs/>
                      <w:color w:val="auto"/>
                      <w:szCs w:val="21"/>
                    </w:rPr>
                    <w:t>本项目发生转移是严格执行转移联单制度。</w:t>
                  </w:r>
                </w:p>
              </w:tc>
              <w:tc>
                <w:tcPr>
                  <w:tcW w:w="612" w:type="dxa"/>
                  <w:tcBorders>
                    <w:tl2br w:val="nil"/>
                    <w:tr2bl w:val="nil"/>
                  </w:tcBorders>
                  <w:noWrap w:val="0"/>
                  <w:vAlign w:val="center"/>
                </w:tcPr>
                <w:p w14:paraId="7D2482CA">
                  <w:pPr>
                    <w:pStyle w:val="35"/>
                    <w:adjustRightInd w:val="0"/>
                    <w:snapToGrid w:val="0"/>
                    <w:ind w:firstLine="0" w:firstLineChars="0"/>
                    <w:jc w:val="center"/>
                    <w:rPr>
                      <w:rFonts w:hint="eastAsia"/>
                      <w:b/>
                      <w:bCs/>
                      <w:caps/>
                      <w:color w:val="auto"/>
                      <w:szCs w:val="21"/>
                    </w:rPr>
                  </w:pPr>
                  <w:r>
                    <w:rPr>
                      <w:rFonts w:hint="eastAsia"/>
                      <w:bCs/>
                      <w:color w:val="auto"/>
                      <w:szCs w:val="21"/>
                    </w:rPr>
                    <w:t>符合</w:t>
                  </w:r>
                </w:p>
              </w:tc>
            </w:tr>
            <w:tr w14:paraId="17F4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3372" w:type="dxa"/>
                  <w:tcBorders>
                    <w:tl2br w:val="nil"/>
                    <w:tr2bl w:val="nil"/>
                  </w:tcBorders>
                  <w:noWrap w:val="0"/>
                  <w:vAlign w:val="center"/>
                </w:tcPr>
                <w:p w14:paraId="7D29C897">
                  <w:pPr>
                    <w:pStyle w:val="35"/>
                    <w:adjustRightInd w:val="0"/>
                    <w:snapToGrid w:val="0"/>
                    <w:ind w:firstLine="0" w:firstLineChars="0"/>
                    <w:jc w:val="both"/>
                    <w:rPr>
                      <w:rFonts w:ascii="Times New Roman" w:hAnsi="Times New Roman"/>
                      <w:bCs/>
                      <w:caps/>
                      <w:color w:val="auto"/>
                      <w:szCs w:val="21"/>
                    </w:rPr>
                  </w:pPr>
                  <w:r>
                    <w:rPr>
                      <w:rFonts w:hint="eastAsia" w:ascii="Times New Roman" w:hAnsi="Times New Roman"/>
                      <w:bCs/>
                      <w:color w:val="auto"/>
                      <w:szCs w:val="21"/>
                      <w:lang w:val="en"/>
                    </w:rPr>
                    <w:t>转移危险废物的，应当通过国家危险废物信息管理系统（以下简称信息系统）填写、运行危险废物电子转移联单，并依照国家有关规定公开危险废物转移相关污染环境防治信息。</w:t>
                  </w:r>
                </w:p>
              </w:tc>
              <w:tc>
                <w:tcPr>
                  <w:tcW w:w="3152" w:type="dxa"/>
                  <w:tcBorders>
                    <w:tl2br w:val="nil"/>
                    <w:tr2bl w:val="nil"/>
                  </w:tcBorders>
                  <w:noWrap w:val="0"/>
                  <w:vAlign w:val="center"/>
                </w:tcPr>
                <w:p w14:paraId="467B8F0F">
                  <w:pPr>
                    <w:pStyle w:val="35"/>
                    <w:adjustRightInd w:val="0"/>
                    <w:snapToGrid w:val="0"/>
                    <w:ind w:firstLine="0" w:firstLineChars="0"/>
                    <w:jc w:val="both"/>
                    <w:rPr>
                      <w:rFonts w:ascii="Times New Roman" w:hAnsi="Times New Roman"/>
                      <w:bCs/>
                      <w:caps/>
                      <w:color w:val="auto"/>
                      <w:szCs w:val="21"/>
                    </w:rPr>
                  </w:pPr>
                  <w:r>
                    <w:rPr>
                      <w:rFonts w:hint="eastAsia" w:ascii="Times New Roman" w:hAnsi="Times New Roman"/>
                      <w:bCs/>
                      <w:color w:val="auto"/>
                      <w:szCs w:val="21"/>
                    </w:rPr>
                    <w:t>本项目严格按照相关要求填写国家危险废物信息管理系统，运行危险废物电子转移联单，并依法公开</w:t>
                  </w:r>
                  <w:r>
                    <w:rPr>
                      <w:rFonts w:hint="eastAsia" w:ascii="Times New Roman" w:hAnsi="Times New Roman"/>
                      <w:bCs/>
                      <w:color w:val="auto"/>
                      <w:szCs w:val="21"/>
                      <w:lang w:val="en"/>
                    </w:rPr>
                    <w:t>危险废物转移相关污染环境防治信息。</w:t>
                  </w:r>
                </w:p>
              </w:tc>
              <w:tc>
                <w:tcPr>
                  <w:tcW w:w="612" w:type="dxa"/>
                  <w:tcBorders>
                    <w:tl2br w:val="nil"/>
                    <w:tr2bl w:val="nil"/>
                  </w:tcBorders>
                  <w:noWrap w:val="0"/>
                  <w:vAlign w:val="center"/>
                </w:tcPr>
                <w:p w14:paraId="07DAEA0F">
                  <w:pPr>
                    <w:pStyle w:val="35"/>
                    <w:adjustRightInd w:val="0"/>
                    <w:snapToGrid w:val="0"/>
                    <w:ind w:firstLine="0" w:firstLineChars="0"/>
                    <w:jc w:val="center"/>
                    <w:rPr>
                      <w:rFonts w:ascii="Times New Roman" w:hAnsi="Times New Roman"/>
                      <w:b/>
                      <w:bCs/>
                      <w:caps/>
                      <w:color w:val="auto"/>
                      <w:szCs w:val="21"/>
                    </w:rPr>
                  </w:pPr>
                  <w:r>
                    <w:rPr>
                      <w:rFonts w:hint="eastAsia"/>
                      <w:bCs/>
                      <w:color w:val="auto"/>
                      <w:szCs w:val="21"/>
                    </w:rPr>
                    <w:t>符合</w:t>
                  </w:r>
                </w:p>
              </w:tc>
            </w:tr>
            <w:tr w14:paraId="551B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6" w:type="dxa"/>
                  <w:gridSpan w:val="3"/>
                  <w:tcBorders>
                    <w:tl2br w:val="nil"/>
                    <w:tr2bl w:val="nil"/>
                  </w:tcBorders>
                  <w:noWrap w:val="0"/>
                  <w:vAlign w:val="center"/>
                </w:tcPr>
                <w:p w14:paraId="62B85B7A">
                  <w:pPr>
                    <w:pStyle w:val="35"/>
                    <w:adjustRightInd w:val="0"/>
                    <w:snapToGrid w:val="0"/>
                    <w:ind w:firstLine="0" w:firstLineChars="0"/>
                    <w:jc w:val="center"/>
                    <w:rPr>
                      <w:b/>
                      <w:bCs/>
                      <w:caps/>
                      <w:color w:val="auto"/>
                      <w:szCs w:val="21"/>
                    </w:rPr>
                  </w:pPr>
                  <w:r>
                    <w:rPr>
                      <w:rFonts w:hint="eastAsia"/>
                      <w:b/>
                      <w:bCs/>
                      <w:color w:val="auto"/>
                      <w:szCs w:val="21"/>
                    </w:rPr>
                    <w:t>法律责任</w:t>
                  </w:r>
                </w:p>
              </w:tc>
            </w:tr>
            <w:tr w14:paraId="5D05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2" w:hRule="atLeast"/>
              </w:trPr>
              <w:tc>
                <w:tcPr>
                  <w:tcW w:w="3372" w:type="dxa"/>
                  <w:tcBorders>
                    <w:tl2br w:val="nil"/>
                    <w:tr2bl w:val="nil"/>
                  </w:tcBorders>
                  <w:noWrap w:val="0"/>
                  <w:vAlign w:val="center"/>
                </w:tcPr>
                <w:p w14:paraId="458D1A2C">
                  <w:pPr>
                    <w:pStyle w:val="35"/>
                    <w:adjustRightInd w:val="0"/>
                    <w:snapToGrid w:val="0"/>
                    <w:ind w:firstLine="0" w:firstLineChars="0"/>
                    <w:jc w:val="both"/>
                    <w:rPr>
                      <w:rFonts w:ascii="Times New Roman" w:hAnsi="Times New Roman"/>
                      <w:bCs/>
                      <w:caps/>
                      <w:color w:val="auto"/>
                      <w:szCs w:val="21"/>
                    </w:rPr>
                  </w:pPr>
                  <w:r>
                    <w:rPr>
                      <w:rFonts w:hint="eastAsia" w:ascii="Times New Roman" w:hAnsi="Times New Roman"/>
                      <w:bCs/>
                      <w:color w:val="auto"/>
                      <w:spacing w:val="-6"/>
                      <w:sz w:val="21"/>
                      <w:szCs w:val="21"/>
                      <w:lang w:val="en"/>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tc>
              <w:tc>
                <w:tcPr>
                  <w:tcW w:w="3152" w:type="dxa"/>
                  <w:tcBorders>
                    <w:tl2br w:val="nil"/>
                    <w:tr2bl w:val="nil"/>
                  </w:tcBorders>
                  <w:noWrap w:val="0"/>
                  <w:vAlign w:val="center"/>
                </w:tcPr>
                <w:p w14:paraId="1FD25AED">
                  <w:pPr>
                    <w:pStyle w:val="35"/>
                    <w:adjustRightInd w:val="0"/>
                    <w:snapToGrid w:val="0"/>
                    <w:ind w:firstLine="0" w:firstLineChars="0"/>
                    <w:jc w:val="both"/>
                    <w:rPr>
                      <w:bCs/>
                      <w:caps/>
                      <w:color w:val="auto"/>
                      <w:szCs w:val="21"/>
                    </w:rPr>
                  </w:pPr>
                  <w:r>
                    <w:rPr>
                      <w:rFonts w:hint="eastAsia"/>
                      <w:bCs/>
                      <w:color w:val="auto"/>
                      <w:szCs w:val="21"/>
                    </w:rPr>
                    <w:t>本项目属于危险废物移出人</w:t>
                  </w:r>
                  <w:r>
                    <w:rPr>
                      <w:rFonts w:hint="eastAsia"/>
                      <w:bCs/>
                      <w:color w:val="auto"/>
                      <w:szCs w:val="21"/>
                      <w:lang w:eastAsia="zh-CN"/>
                    </w:rPr>
                    <w:t>和</w:t>
                  </w:r>
                  <w:r>
                    <w:rPr>
                      <w:rFonts w:hint="eastAsia"/>
                      <w:bCs/>
                      <w:color w:val="auto"/>
                      <w:szCs w:val="21"/>
                      <w:lang w:val="en" w:eastAsia="zh-CN"/>
                    </w:rPr>
                    <w:t>危险废物接受人</w:t>
                  </w:r>
                  <w:r>
                    <w:rPr>
                      <w:rFonts w:hint="eastAsia"/>
                      <w:bCs/>
                      <w:color w:val="auto"/>
                      <w:szCs w:val="21"/>
                    </w:rPr>
                    <w:t>，仅对废物移出过程</w:t>
                  </w:r>
                  <w:r>
                    <w:rPr>
                      <w:rFonts w:hint="eastAsia"/>
                      <w:bCs/>
                      <w:color w:val="auto"/>
                      <w:szCs w:val="21"/>
                      <w:lang w:eastAsia="zh-CN"/>
                    </w:rPr>
                    <w:t>和接收过程</w:t>
                  </w:r>
                  <w:r>
                    <w:rPr>
                      <w:rFonts w:hint="eastAsia"/>
                      <w:bCs/>
                      <w:color w:val="auto"/>
                      <w:szCs w:val="21"/>
                    </w:rPr>
                    <w:t>进行控制，</w:t>
                  </w:r>
                  <w:r>
                    <w:rPr>
                      <w:rFonts w:hint="eastAsia" w:ascii="Times New Roman" w:hAnsi="Times New Roman"/>
                      <w:bCs/>
                      <w:color w:val="auto"/>
                      <w:szCs w:val="21"/>
                      <w:lang w:val="en"/>
                    </w:rPr>
                    <w:t>采取防扬散、防流失、防渗漏措施。</w:t>
                  </w:r>
                </w:p>
              </w:tc>
              <w:tc>
                <w:tcPr>
                  <w:tcW w:w="612" w:type="dxa"/>
                  <w:tcBorders>
                    <w:tl2br w:val="nil"/>
                    <w:tr2bl w:val="nil"/>
                  </w:tcBorders>
                  <w:noWrap w:val="0"/>
                  <w:vAlign w:val="center"/>
                </w:tcPr>
                <w:p w14:paraId="10EB80B7">
                  <w:pPr>
                    <w:pStyle w:val="35"/>
                    <w:adjustRightInd w:val="0"/>
                    <w:snapToGrid w:val="0"/>
                    <w:ind w:firstLine="0" w:firstLineChars="0"/>
                    <w:jc w:val="center"/>
                    <w:rPr>
                      <w:b/>
                      <w:bCs/>
                      <w:caps/>
                      <w:color w:val="auto"/>
                      <w:szCs w:val="21"/>
                    </w:rPr>
                  </w:pPr>
                  <w:r>
                    <w:rPr>
                      <w:rFonts w:hint="eastAsia"/>
                      <w:bCs/>
                      <w:color w:val="auto"/>
                      <w:szCs w:val="21"/>
                    </w:rPr>
                    <w:t>符合</w:t>
                  </w:r>
                </w:p>
              </w:tc>
            </w:tr>
            <w:tr w14:paraId="130F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3372" w:type="dxa"/>
                  <w:tcBorders>
                    <w:tl2br w:val="nil"/>
                    <w:tr2bl w:val="nil"/>
                  </w:tcBorders>
                  <w:noWrap w:val="0"/>
                  <w:vAlign w:val="center"/>
                </w:tcPr>
                <w:p w14:paraId="479670AB">
                  <w:pPr>
                    <w:pStyle w:val="35"/>
                    <w:adjustRightInd w:val="0"/>
                    <w:snapToGrid w:val="0"/>
                    <w:ind w:firstLine="0" w:firstLineChars="0"/>
                    <w:jc w:val="both"/>
                    <w:rPr>
                      <w:bCs/>
                      <w:caps/>
                      <w:color w:val="auto"/>
                      <w:szCs w:val="21"/>
                    </w:rPr>
                  </w:pPr>
                  <w:r>
                    <w:rPr>
                      <w:rFonts w:hint="eastAsia"/>
                      <w:bCs/>
                      <w:color w:val="auto"/>
                      <w:szCs w:val="21"/>
                      <w:lang w:val="en"/>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tc>
              <w:tc>
                <w:tcPr>
                  <w:tcW w:w="3152" w:type="dxa"/>
                  <w:tcBorders>
                    <w:tl2br w:val="nil"/>
                    <w:tr2bl w:val="nil"/>
                  </w:tcBorders>
                  <w:noWrap w:val="0"/>
                  <w:vAlign w:val="center"/>
                </w:tcPr>
                <w:p w14:paraId="17EC8F71">
                  <w:pPr>
                    <w:pStyle w:val="35"/>
                    <w:adjustRightInd w:val="0"/>
                    <w:snapToGrid w:val="0"/>
                    <w:ind w:firstLine="0" w:firstLineChars="0"/>
                    <w:jc w:val="both"/>
                    <w:rPr>
                      <w:rFonts w:hint="eastAsia"/>
                      <w:bCs/>
                      <w:caps/>
                      <w:color w:val="auto"/>
                      <w:szCs w:val="21"/>
                    </w:rPr>
                  </w:pPr>
                  <w:r>
                    <w:rPr>
                      <w:rFonts w:hint="eastAsia"/>
                      <w:bCs/>
                      <w:color w:val="auto"/>
                      <w:szCs w:val="21"/>
                    </w:rPr>
                    <w:t>本项目为</w:t>
                  </w:r>
                  <w:r>
                    <w:rPr>
                      <w:rFonts w:hint="eastAsia"/>
                      <w:bCs/>
                      <w:color w:val="auto"/>
                      <w:szCs w:val="21"/>
                      <w:lang w:val="en-US" w:eastAsia="zh-CN"/>
                    </w:rPr>
                    <w:t>危废</w:t>
                  </w:r>
                  <w:r>
                    <w:rPr>
                      <w:rFonts w:hint="eastAsia"/>
                      <w:bCs/>
                      <w:color w:val="auto"/>
                      <w:szCs w:val="21"/>
                      <w:lang w:eastAsia="zh-CN"/>
                    </w:rPr>
                    <w:t>贮存</w:t>
                  </w:r>
                  <w:r>
                    <w:rPr>
                      <w:rFonts w:hint="eastAsia"/>
                      <w:bCs/>
                      <w:color w:val="auto"/>
                      <w:szCs w:val="21"/>
                    </w:rPr>
                    <w:t>单位，为移出人</w:t>
                  </w:r>
                  <w:r>
                    <w:rPr>
                      <w:rFonts w:hint="eastAsia"/>
                      <w:bCs/>
                      <w:color w:val="auto"/>
                      <w:szCs w:val="21"/>
                      <w:lang w:eastAsia="zh-CN"/>
                    </w:rPr>
                    <w:t>和接受人</w:t>
                  </w:r>
                  <w:r>
                    <w:rPr>
                      <w:rFonts w:hint="eastAsia"/>
                      <w:bCs/>
                      <w:color w:val="auto"/>
                      <w:szCs w:val="21"/>
                    </w:rPr>
                    <w:t>，项目建设完成后制定</w:t>
                  </w:r>
                  <w:r>
                    <w:rPr>
                      <w:rFonts w:hint="eastAsia"/>
                      <w:bCs/>
                      <w:color w:val="auto"/>
                      <w:szCs w:val="21"/>
                      <w:lang w:val="en"/>
                    </w:rPr>
                    <w:t>突发环境事件的防范措施和应急预案，并报有关部门备案。</w:t>
                  </w:r>
                </w:p>
              </w:tc>
              <w:tc>
                <w:tcPr>
                  <w:tcW w:w="612" w:type="dxa"/>
                  <w:tcBorders>
                    <w:tl2br w:val="nil"/>
                    <w:tr2bl w:val="nil"/>
                  </w:tcBorders>
                  <w:noWrap w:val="0"/>
                  <w:vAlign w:val="center"/>
                </w:tcPr>
                <w:p w14:paraId="4AC2C290">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453B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6" w:type="dxa"/>
                  <w:gridSpan w:val="3"/>
                  <w:tcBorders>
                    <w:tl2br w:val="nil"/>
                    <w:tr2bl w:val="nil"/>
                  </w:tcBorders>
                  <w:noWrap w:val="0"/>
                  <w:vAlign w:val="center"/>
                </w:tcPr>
                <w:p w14:paraId="0F03DD60">
                  <w:pPr>
                    <w:pStyle w:val="35"/>
                    <w:adjustRightInd w:val="0"/>
                    <w:snapToGrid w:val="0"/>
                    <w:ind w:firstLine="0" w:firstLineChars="0"/>
                    <w:jc w:val="center"/>
                    <w:rPr>
                      <w:rFonts w:hint="eastAsia"/>
                      <w:b/>
                      <w:bCs/>
                      <w:caps/>
                      <w:color w:val="auto"/>
                      <w:szCs w:val="21"/>
                    </w:rPr>
                  </w:pPr>
                  <w:r>
                    <w:rPr>
                      <w:rFonts w:hint="eastAsia"/>
                      <w:b/>
                      <w:bCs/>
                      <w:color w:val="auto"/>
                      <w:szCs w:val="21"/>
                    </w:rPr>
                    <w:t>移出人应当履行义务</w:t>
                  </w:r>
                </w:p>
              </w:tc>
            </w:tr>
            <w:tr w14:paraId="0922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3" w:hRule="atLeast"/>
              </w:trPr>
              <w:tc>
                <w:tcPr>
                  <w:tcW w:w="3372" w:type="dxa"/>
                  <w:tcBorders>
                    <w:tl2br w:val="nil"/>
                    <w:tr2bl w:val="nil"/>
                  </w:tcBorders>
                  <w:noWrap w:val="0"/>
                  <w:vAlign w:val="center"/>
                </w:tcPr>
                <w:p w14:paraId="2CAF91A6">
                  <w:pPr>
                    <w:pStyle w:val="35"/>
                    <w:adjustRightInd w:val="0"/>
                    <w:snapToGrid w:val="0"/>
                    <w:ind w:firstLine="0" w:firstLineChars="0"/>
                    <w:jc w:val="both"/>
                    <w:rPr>
                      <w:bCs/>
                      <w:caps/>
                      <w:color w:val="auto"/>
                      <w:szCs w:val="21"/>
                    </w:rPr>
                  </w:pPr>
                  <w:r>
                    <w:rPr>
                      <w:rFonts w:hint="eastAsia"/>
                      <w:bCs/>
                      <w:color w:val="auto"/>
                      <w:szCs w:val="21"/>
                      <w:lang w:val="en"/>
                    </w:rPr>
                    <w:t>对承运人或者接受人的主体资格和技术能力进行核实，依法签订书面合同，并在合同中约定运输、贮存、利用、处置危险废物的污染防治要求及相关责任。</w:t>
                  </w:r>
                </w:p>
              </w:tc>
              <w:tc>
                <w:tcPr>
                  <w:tcW w:w="3152" w:type="dxa"/>
                  <w:tcBorders>
                    <w:tl2br w:val="nil"/>
                    <w:tr2bl w:val="nil"/>
                  </w:tcBorders>
                  <w:noWrap w:val="0"/>
                  <w:vAlign w:val="center"/>
                </w:tcPr>
                <w:p w14:paraId="121ECB7E">
                  <w:pPr>
                    <w:pStyle w:val="35"/>
                    <w:adjustRightInd w:val="0"/>
                    <w:snapToGrid w:val="0"/>
                    <w:ind w:firstLine="0" w:firstLineChars="0"/>
                    <w:jc w:val="both"/>
                    <w:rPr>
                      <w:rFonts w:hint="eastAsia"/>
                      <w:bCs/>
                      <w:caps/>
                      <w:color w:val="auto"/>
                      <w:szCs w:val="21"/>
                    </w:rPr>
                  </w:pPr>
                  <w:r>
                    <w:rPr>
                      <w:rFonts w:hint="eastAsia"/>
                      <w:bCs/>
                      <w:color w:val="auto"/>
                      <w:szCs w:val="21"/>
                    </w:rPr>
                    <w:t>本项目危险废物贮存库区达到规定数量后，</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定期委托有资质的单位</w:t>
                  </w:r>
                  <w:r>
                    <w:rPr>
                      <w:rFonts w:hint="eastAsia"/>
                      <w:bCs/>
                      <w:color w:val="auto"/>
                      <w:szCs w:val="21"/>
                    </w:rPr>
                    <w:t>进行</w:t>
                  </w:r>
                  <w:r>
                    <w:rPr>
                      <w:rFonts w:hint="eastAsia"/>
                      <w:bCs/>
                      <w:color w:val="auto"/>
                      <w:szCs w:val="21"/>
                      <w:lang w:eastAsia="zh-CN"/>
                    </w:rPr>
                    <w:t>清运</w:t>
                  </w:r>
                  <w:r>
                    <w:rPr>
                      <w:rFonts w:hint="eastAsia"/>
                      <w:bCs/>
                      <w:color w:val="auto"/>
                      <w:szCs w:val="21"/>
                    </w:rPr>
                    <w:t>处置，并签订了合同约束了运输、利用、处置过程中污染防治要求及相关责任为运输单位及处置单位，本单位不涉及相关责任。</w:t>
                  </w:r>
                </w:p>
              </w:tc>
              <w:tc>
                <w:tcPr>
                  <w:tcW w:w="612" w:type="dxa"/>
                  <w:tcBorders>
                    <w:tl2br w:val="nil"/>
                    <w:tr2bl w:val="nil"/>
                  </w:tcBorders>
                  <w:noWrap w:val="0"/>
                  <w:vAlign w:val="center"/>
                </w:tcPr>
                <w:p w14:paraId="73543AFF">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1048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3372" w:type="dxa"/>
                  <w:tcBorders>
                    <w:tl2br w:val="nil"/>
                    <w:tr2bl w:val="nil"/>
                  </w:tcBorders>
                  <w:noWrap w:val="0"/>
                  <w:vAlign w:val="center"/>
                </w:tcPr>
                <w:p w14:paraId="23DF8A94">
                  <w:pPr>
                    <w:pStyle w:val="35"/>
                    <w:adjustRightInd w:val="0"/>
                    <w:snapToGrid w:val="0"/>
                    <w:ind w:firstLine="0" w:firstLineChars="0"/>
                    <w:jc w:val="both"/>
                    <w:rPr>
                      <w:bCs/>
                      <w:caps/>
                      <w:color w:val="auto"/>
                      <w:szCs w:val="21"/>
                    </w:rPr>
                  </w:pPr>
                  <w:r>
                    <w:rPr>
                      <w:rFonts w:hint="eastAsia"/>
                      <w:bCs/>
                      <w:color w:val="auto"/>
                      <w:szCs w:val="21"/>
                      <w:lang w:val="en"/>
                    </w:rPr>
                    <w:t>制定危险废物管理计划，明确拟转移危险废物的种类、重量（数量）和流向等信息。</w:t>
                  </w:r>
                </w:p>
              </w:tc>
              <w:tc>
                <w:tcPr>
                  <w:tcW w:w="3152" w:type="dxa"/>
                  <w:tcBorders>
                    <w:tl2br w:val="nil"/>
                    <w:tr2bl w:val="nil"/>
                  </w:tcBorders>
                  <w:noWrap w:val="0"/>
                  <w:vAlign w:val="center"/>
                </w:tcPr>
                <w:p w14:paraId="08CE1831">
                  <w:pPr>
                    <w:pStyle w:val="35"/>
                    <w:adjustRightInd w:val="0"/>
                    <w:snapToGrid w:val="0"/>
                    <w:ind w:firstLine="0" w:firstLineChars="0"/>
                    <w:jc w:val="both"/>
                    <w:rPr>
                      <w:rFonts w:hint="eastAsia"/>
                      <w:bCs/>
                      <w:caps/>
                      <w:color w:val="auto"/>
                      <w:szCs w:val="21"/>
                    </w:rPr>
                  </w:pPr>
                  <w:r>
                    <w:rPr>
                      <w:rFonts w:hint="eastAsia"/>
                      <w:bCs/>
                      <w:caps/>
                      <w:color w:val="auto"/>
                      <w:szCs w:val="21"/>
                    </w:rPr>
                    <w:t>本项目</w:t>
                  </w:r>
                  <w:r>
                    <w:rPr>
                      <w:rFonts w:hint="eastAsia"/>
                      <w:bCs/>
                      <w:caps/>
                      <w:color w:val="auto"/>
                      <w:szCs w:val="21"/>
                      <w:lang w:eastAsia="zh-CN"/>
                    </w:rPr>
                    <w:t>运营期</w:t>
                  </w:r>
                  <w:r>
                    <w:rPr>
                      <w:rFonts w:hint="eastAsia"/>
                      <w:bCs/>
                      <w:caps/>
                      <w:color w:val="auto"/>
                      <w:szCs w:val="21"/>
                    </w:rPr>
                    <w:t>制定危险废物管理计划，明确转移</w:t>
                  </w:r>
                  <w:r>
                    <w:rPr>
                      <w:rFonts w:hint="eastAsia"/>
                      <w:bCs/>
                      <w:color w:val="auto"/>
                      <w:szCs w:val="21"/>
                      <w:lang w:val="en"/>
                    </w:rPr>
                    <w:t>危险废物的种类、重量（数量）和流向等信息。</w:t>
                  </w:r>
                </w:p>
              </w:tc>
              <w:tc>
                <w:tcPr>
                  <w:tcW w:w="612" w:type="dxa"/>
                  <w:tcBorders>
                    <w:tl2br w:val="nil"/>
                    <w:tr2bl w:val="nil"/>
                  </w:tcBorders>
                  <w:noWrap w:val="0"/>
                  <w:vAlign w:val="center"/>
                </w:tcPr>
                <w:p w14:paraId="21F67F0F">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1F60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3CA9207C">
                  <w:pPr>
                    <w:pStyle w:val="35"/>
                    <w:adjustRightInd w:val="0"/>
                    <w:snapToGrid w:val="0"/>
                    <w:ind w:firstLine="0" w:firstLineChars="0"/>
                    <w:jc w:val="both"/>
                    <w:rPr>
                      <w:bCs/>
                      <w:caps/>
                      <w:color w:val="auto"/>
                      <w:szCs w:val="21"/>
                    </w:rPr>
                  </w:pPr>
                  <w:r>
                    <w:rPr>
                      <w:rFonts w:hint="eastAsia"/>
                      <w:bCs/>
                      <w:color w:val="auto"/>
                      <w:szCs w:val="21"/>
                      <w:lang w:val="en"/>
                    </w:rPr>
                    <w:t>建立危险废物管理台账，对转移的危险废物进行计量称重，如实记录、妥善保管转移危险废物的种类、重量（数量）和接受人等相关信息。</w:t>
                  </w:r>
                </w:p>
              </w:tc>
              <w:tc>
                <w:tcPr>
                  <w:tcW w:w="3152" w:type="dxa"/>
                  <w:tcBorders>
                    <w:tl2br w:val="nil"/>
                    <w:tr2bl w:val="nil"/>
                  </w:tcBorders>
                  <w:noWrap w:val="0"/>
                  <w:vAlign w:val="center"/>
                </w:tcPr>
                <w:p w14:paraId="1DC7C4E6">
                  <w:pPr>
                    <w:pStyle w:val="35"/>
                    <w:adjustRightInd w:val="0"/>
                    <w:snapToGrid w:val="0"/>
                    <w:ind w:firstLine="0" w:firstLineChars="0"/>
                    <w:jc w:val="both"/>
                    <w:rPr>
                      <w:rFonts w:hint="eastAsia"/>
                      <w:bCs/>
                      <w:caps/>
                      <w:color w:val="auto"/>
                      <w:szCs w:val="21"/>
                    </w:rPr>
                  </w:pPr>
                  <w:r>
                    <w:rPr>
                      <w:rFonts w:hint="eastAsia"/>
                      <w:bCs/>
                      <w:caps/>
                      <w:color w:val="auto"/>
                      <w:szCs w:val="21"/>
                      <w:lang w:eastAsia="zh-CN"/>
                    </w:rPr>
                    <w:t>本</w:t>
                  </w:r>
                  <w:r>
                    <w:rPr>
                      <w:rFonts w:hint="eastAsia"/>
                      <w:bCs/>
                      <w:caps/>
                      <w:color w:val="auto"/>
                      <w:szCs w:val="21"/>
                    </w:rPr>
                    <w:t>项目</w:t>
                  </w:r>
                  <w:r>
                    <w:rPr>
                      <w:rFonts w:hint="eastAsia"/>
                      <w:bCs/>
                      <w:caps/>
                      <w:color w:val="auto"/>
                      <w:szCs w:val="21"/>
                      <w:lang w:eastAsia="zh-CN"/>
                    </w:rPr>
                    <w:t>运营期</w:t>
                  </w:r>
                  <w:r>
                    <w:rPr>
                      <w:rFonts w:hint="eastAsia"/>
                      <w:bCs/>
                      <w:color w:val="auto"/>
                      <w:szCs w:val="21"/>
                      <w:lang w:val="en"/>
                    </w:rPr>
                    <w:t>建立危险废物管理台账，对转移的危险废物进行计量称重，如实记录、妥善保管转移危险废物的种类、重量（数量）和接受人等相关信息。</w:t>
                  </w:r>
                </w:p>
              </w:tc>
              <w:tc>
                <w:tcPr>
                  <w:tcW w:w="612" w:type="dxa"/>
                  <w:tcBorders>
                    <w:tl2br w:val="nil"/>
                    <w:tr2bl w:val="nil"/>
                  </w:tcBorders>
                  <w:noWrap w:val="0"/>
                  <w:vAlign w:val="center"/>
                </w:tcPr>
                <w:p w14:paraId="0E7A70E3">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5619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5150A957">
                  <w:pPr>
                    <w:pStyle w:val="35"/>
                    <w:adjustRightInd w:val="0"/>
                    <w:snapToGrid w:val="0"/>
                    <w:ind w:firstLine="0" w:firstLineChars="0"/>
                    <w:jc w:val="both"/>
                    <w:rPr>
                      <w:bCs/>
                      <w:caps/>
                      <w:color w:val="auto"/>
                      <w:szCs w:val="21"/>
                    </w:rPr>
                  </w:pPr>
                  <w:r>
                    <w:rPr>
                      <w:rFonts w:hint="eastAsia"/>
                      <w:bCs/>
                      <w:color w:val="auto"/>
                      <w:szCs w:val="21"/>
                      <w:lang w:val="en"/>
                    </w:rPr>
                    <w:t>填写、运行危险废物转移联单，在危险废物转移联单中如实填写移出人、承运人、接受人信息，转移危险废物的种类、重量（数量）、危险特性等信息，以及突发环境事件的防范措施等。</w:t>
                  </w:r>
                </w:p>
              </w:tc>
              <w:tc>
                <w:tcPr>
                  <w:tcW w:w="3152" w:type="dxa"/>
                  <w:tcBorders>
                    <w:tl2br w:val="nil"/>
                    <w:tr2bl w:val="nil"/>
                  </w:tcBorders>
                  <w:noWrap w:val="0"/>
                  <w:vAlign w:val="center"/>
                </w:tcPr>
                <w:p w14:paraId="7D14C6DE">
                  <w:pPr>
                    <w:pStyle w:val="35"/>
                    <w:adjustRightInd w:val="0"/>
                    <w:snapToGrid w:val="0"/>
                    <w:ind w:firstLine="0" w:firstLineChars="0"/>
                    <w:jc w:val="both"/>
                    <w:rPr>
                      <w:rFonts w:hint="eastAsia"/>
                      <w:bCs/>
                      <w:caps/>
                      <w:color w:val="auto"/>
                      <w:szCs w:val="21"/>
                    </w:rPr>
                  </w:pPr>
                  <w:r>
                    <w:rPr>
                      <w:rFonts w:hint="eastAsia"/>
                      <w:bCs/>
                      <w:caps/>
                      <w:color w:val="auto"/>
                      <w:szCs w:val="21"/>
                    </w:rPr>
                    <w:t>项目</w:t>
                  </w:r>
                  <w:r>
                    <w:rPr>
                      <w:rFonts w:hint="eastAsia"/>
                      <w:bCs/>
                      <w:color w:val="auto"/>
                      <w:szCs w:val="21"/>
                      <w:lang w:val="en"/>
                    </w:rPr>
                    <w:t>填写、运行危险废物转移联单，在危险废物转移联单中如实填写移出人、承运人、接受人信息，转移危险废物的种类、重量（数量）、危险特性等信息，以及突发环境事件的防范措施等。</w:t>
                  </w:r>
                </w:p>
              </w:tc>
              <w:tc>
                <w:tcPr>
                  <w:tcW w:w="612" w:type="dxa"/>
                  <w:tcBorders>
                    <w:tl2br w:val="nil"/>
                    <w:tr2bl w:val="nil"/>
                  </w:tcBorders>
                  <w:noWrap w:val="0"/>
                  <w:vAlign w:val="center"/>
                </w:tcPr>
                <w:p w14:paraId="299AF98B">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0843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3372" w:type="dxa"/>
                  <w:tcBorders>
                    <w:tl2br w:val="nil"/>
                    <w:tr2bl w:val="nil"/>
                  </w:tcBorders>
                  <w:noWrap w:val="0"/>
                  <w:vAlign w:val="center"/>
                </w:tcPr>
                <w:p w14:paraId="216829D9">
                  <w:pPr>
                    <w:pStyle w:val="35"/>
                    <w:adjustRightInd w:val="0"/>
                    <w:snapToGrid w:val="0"/>
                    <w:ind w:firstLine="0" w:firstLineChars="0"/>
                    <w:jc w:val="both"/>
                    <w:rPr>
                      <w:bCs/>
                      <w:caps/>
                      <w:color w:val="auto"/>
                      <w:szCs w:val="21"/>
                    </w:rPr>
                  </w:pPr>
                  <w:r>
                    <w:rPr>
                      <w:rFonts w:hint="eastAsia"/>
                      <w:bCs/>
                      <w:color w:val="auto"/>
                      <w:szCs w:val="21"/>
                      <w:lang w:val="en"/>
                    </w:rPr>
                    <w:t>移出人应当按照国家有关要求开展危险废物鉴别。禁止将危险废物以副产品等名义提供或者委托给无危险废物经营许可证的单位或者其他生产经营者从事收集、贮存、利用、处置活动。</w:t>
                  </w:r>
                </w:p>
              </w:tc>
              <w:tc>
                <w:tcPr>
                  <w:tcW w:w="3152" w:type="dxa"/>
                  <w:tcBorders>
                    <w:tl2br w:val="nil"/>
                    <w:tr2bl w:val="nil"/>
                  </w:tcBorders>
                  <w:noWrap w:val="0"/>
                  <w:vAlign w:val="center"/>
                </w:tcPr>
                <w:p w14:paraId="2AEB0FF7">
                  <w:pPr>
                    <w:pStyle w:val="35"/>
                    <w:adjustRightInd w:val="0"/>
                    <w:snapToGrid w:val="0"/>
                    <w:ind w:firstLine="0" w:firstLineChars="0"/>
                    <w:jc w:val="both"/>
                    <w:rPr>
                      <w:rFonts w:hint="eastAsia"/>
                      <w:bCs/>
                      <w:caps/>
                      <w:color w:val="auto"/>
                      <w:szCs w:val="21"/>
                    </w:rPr>
                  </w:pPr>
                  <w:r>
                    <w:rPr>
                      <w:rFonts w:hint="eastAsia"/>
                      <w:bCs/>
                      <w:color w:val="auto"/>
                      <w:szCs w:val="21"/>
                    </w:rPr>
                    <w:t>本项目危险废物</w:t>
                  </w:r>
                  <w:r>
                    <w:rPr>
                      <w:rFonts w:hint="eastAsia"/>
                      <w:bCs/>
                      <w:color w:val="auto"/>
                      <w:szCs w:val="21"/>
                      <w:lang w:val="en-US" w:eastAsia="zh-CN"/>
                    </w:rPr>
                    <w:t>入库前须</w:t>
                  </w:r>
                  <w:r>
                    <w:rPr>
                      <w:rFonts w:hint="eastAsia"/>
                      <w:bCs/>
                      <w:color w:val="auto"/>
                      <w:szCs w:val="21"/>
                      <w:lang w:val="en"/>
                    </w:rPr>
                    <w:t>按照国家有关要求开展危险废物鉴别</w:t>
                  </w:r>
                  <w:r>
                    <w:rPr>
                      <w:rFonts w:hint="eastAsia"/>
                      <w:bCs/>
                      <w:color w:val="auto"/>
                      <w:szCs w:val="21"/>
                      <w:lang w:val="en" w:eastAsia="zh-CN"/>
                    </w:rPr>
                    <w:t>，</w:t>
                  </w:r>
                  <w:r>
                    <w:rPr>
                      <w:rFonts w:hint="eastAsia"/>
                      <w:bCs/>
                      <w:color w:val="auto"/>
                      <w:szCs w:val="21"/>
                    </w:rPr>
                    <w:t>贮存库区达到规定数量后，</w:t>
                  </w:r>
                  <w:r>
                    <w:rPr>
                      <w:rFonts w:hint="eastAsia"/>
                      <w:bCs/>
                      <w:color w:val="auto"/>
                      <w:szCs w:val="21"/>
                      <w:lang w:val="en-US" w:eastAsia="zh-CN"/>
                    </w:rPr>
                    <w:t>委托有资质单位进行运输和处置。</w:t>
                  </w:r>
                </w:p>
              </w:tc>
              <w:tc>
                <w:tcPr>
                  <w:tcW w:w="612" w:type="dxa"/>
                  <w:tcBorders>
                    <w:tl2br w:val="nil"/>
                    <w:tr2bl w:val="nil"/>
                  </w:tcBorders>
                  <w:noWrap w:val="0"/>
                  <w:vAlign w:val="center"/>
                </w:tcPr>
                <w:p w14:paraId="00EEDB23">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339E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136" w:type="dxa"/>
                  <w:gridSpan w:val="3"/>
                  <w:tcBorders>
                    <w:tl2br w:val="nil"/>
                    <w:tr2bl w:val="nil"/>
                  </w:tcBorders>
                  <w:noWrap w:val="0"/>
                  <w:vAlign w:val="center"/>
                </w:tcPr>
                <w:p w14:paraId="53290568">
                  <w:pPr>
                    <w:pStyle w:val="35"/>
                    <w:adjustRightInd w:val="0"/>
                    <w:snapToGrid w:val="0"/>
                    <w:ind w:firstLine="0" w:firstLineChars="0"/>
                    <w:jc w:val="center"/>
                    <w:rPr>
                      <w:rFonts w:hint="eastAsia"/>
                      <w:b/>
                      <w:bCs w:val="0"/>
                      <w:color w:val="auto"/>
                      <w:szCs w:val="21"/>
                    </w:rPr>
                  </w:pPr>
                  <w:r>
                    <w:rPr>
                      <w:rFonts w:hint="eastAsia"/>
                      <w:b/>
                      <w:bCs w:val="0"/>
                      <w:color w:val="auto"/>
                      <w:szCs w:val="21"/>
                    </w:rPr>
                    <w:t>接受人应当履行义务</w:t>
                  </w:r>
                </w:p>
              </w:tc>
            </w:tr>
            <w:tr w14:paraId="15B8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5431F951">
                  <w:pPr>
                    <w:pStyle w:val="35"/>
                    <w:adjustRightInd w:val="0"/>
                    <w:snapToGrid w:val="0"/>
                    <w:ind w:firstLine="0" w:firstLineChars="0"/>
                    <w:jc w:val="both"/>
                    <w:rPr>
                      <w:rFonts w:hint="eastAsia" w:eastAsia="宋体"/>
                      <w:bCs/>
                      <w:color w:val="auto"/>
                      <w:szCs w:val="21"/>
                      <w:lang w:val="en" w:eastAsia="zh-CN"/>
                    </w:rPr>
                  </w:pPr>
                  <w:r>
                    <w:rPr>
                      <w:rFonts w:hint="eastAsia"/>
                      <w:bCs/>
                      <w:color w:val="auto"/>
                      <w:szCs w:val="21"/>
                      <w:lang w:val="en"/>
                    </w:rPr>
                    <w:t>核实拟接受的危险废物的种类、重量（数量）、包装、识别标志等相关信息</w:t>
                  </w:r>
                  <w:r>
                    <w:rPr>
                      <w:rFonts w:hint="eastAsia"/>
                      <w:bCs/>
                      <w:color w:val="auto"/>
                      <w:szCs w:val="21"/>
                      <w:lang w:val="en" w:eastAsia="zh-CN"/>
                    </w:rPr>
                    <w:t>；</w:t>
                  </w:r>
                </w:p>
              </w:tc>
              <w:tc>
                <w:tcPr>
                  <w:tcW w:w="3152" w:type="dxa"/>
                  <w:tcBorders>
                    <w:tl2br w:val="nil"/>
                    <w:tr2bl w:val="nil"/>
                  </w:tcBorders>
                  <w:noWrap w:val="0"/>
                  <w:vAlign w:val="center"/>
                </w:tcPr>
                <w:p w14:paraId="7B745E37">
                  <w:pPr>
                    <w:pStyle w:val="35"/>
                    <w:adjustRightInd w:val="0"/>
                    <w:snapToGrid w:val="0"/>
                    <w:ind w:firstLine="0" w:firstLineChars="0"/>
                    <w:jc w:val="both"/>
                    <w:rPr>
                      <w:rFonts w:hint="eastAsia" w:eastAsia="宋体"/>
                      <w:bCs/>
                      <w:caps/>
                      <w:color w:val="auto"/>
                      <w:szCs w:val="21"/>
                      <w:lang w:eastAsia="zh-CN"/>
                    </w:rPr>
                  </w:pPr>
                  <w:r>
                    <w:rPr>
                      <w:rFonts w:hint="eastAsia"/>
                      <w:bCs/>
                      <w:caps/>
                      <w:color w:val="auto"/>
                      <w:szCs w:val="21"/>
                      <w:lang w:eastAsia="zh-CN"/>
                    </w:rPr>
                    <w:t>本项目运营期主要是废机油、废液压油和含油废抹布</w:t>
                  </w:r>
                  <w:r>
                    <w:rPr>
                      <w:rFonts w:hint="eastAsia"/>
                      <w:bCs/>
                      <w:caps/>
                      <w:color w:val="auto"/>
                      <w:szCs w:val="21"/>
                      <w:lang w:val="en-US" w:eastAsia="zh-CN"/>
                    </w:rPr>
                    <w:t>属于危险废物</w:t>
                  </w:r>
                  <w:r>
                    <w:rPr>
                      <w:rFonts w:hint="eastAsia"/>
                      <w:bCs/>
                      <w:caps/>
                      <w:color w:val="auto"/>
                      <w:szCs w:val="21"/>
                      <w:lang w:eastAsia="zh-CN"/>
                    </w:rPr>
                    <w:t>，在接受危险废物时，核实</w:t>
                  </w:r>
                  <w:r>
                    <w:rPr>
                      <w:rFonts w:hint="eastAsia"/>
                      <w:bCs/>
                      <w:caps/>
                      <w:color w:val="auto"/>
                      <w:szCs w:val="21"/>
                      <w:lang w:val="en-US" w:eastAsia="zh-CN"/>
                    </w:rPr>
                    <w:t>其</w:t>
                  </w:r>
                  <w:r>
                    <w:rPr>
                      <w:rFonts w:hint="eastAsia"/>
                      <w:bCs/>
                      <w:caps/>
                      <w:color w:val="auto"/>
                      <w:szCs w:val="21"/>
                      <w:lang w:eastAsia="zh-CN"/>
                    </w:rPr>
                    <w:t>包装、识别标志等信息。</w:t>
                  </w:r>
                </w:p>
              </w:tc>
              <w:tc>
                <w:tcPr>
                  <w:tcW w:w="612" w:type="dxa"/>
                  <w:tcBorders>
                    <w:tl2br w:val="nil"/>
                    <w:tr2bl w:val="nil"/>
                  </w:tcBorders>
                  <w:noWrap w:val="0"/>
                  <w:vAlign w:val="center"/>
                </w:tcPr>
                <w:p w14:paraId="5830BD4F">
                  <w:pPr>
                    <w:pStyle w:val="35"/>
                    <w:adjustRightInd w:val="0"/>
                    <w:snapToGrid w:val="0"/>
                    <w:ind w:firstLine="0" w:firstLineChars="0"/>
                    <w:jc w:val="center"/>
                    <w:rPr>
                      <w:rFonts w:hint="eastAsia" w:eastAsia="宋体"/>
                      <w:bCs/>
                      <w:color w:val="auto"/>
                      <w:szCs w:val="21"/>
                      <w:lang w:eastAsia="zh-CN"/>
                    </w:rPr>
                  </w:pPr>
                  <w:r>
                    <w:rPr>
                      <w:rFonts w:hint="eastAsia"/>
                      <w:bCs/>
                      <w:color w:val="auto"/>
                      <w:szCs w:val="21"/>
                      <w:lang w:eastAsia="zh-CN"/>
                    </w:rPr>
                    <w:t>符合</w:t>
                  </w:r>
                </w:p>
              </w:tc>
            </w:tr>
            <w:tr w14:paraId="6847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3372" w:type="dxa"/>
                  <w:tcBorders>
                    <w:tl2br w:val="nil"/>
                    <w:tr2bl w:val="nil"/>
                  </w:tcBorders>
                  <w:noWrap w:val="0"/>
                  <w:vAlign w:val="center"/>
                </w:tcPr>
                <w:p w14:paraId="1A874A07">
                  <w:pPr>
                    <w:pStyle w:val="35"/>
                    <w:adjustRightInd w:val="0"/>
                    <w:snapToGrid w:val="0"/>
                    <w:ind w:firstLine="0" w:firstLineChars="0"/>
                    <w:jc w:val="both"/>
                    <w:rPr>
                      <w:rFonts w:hint="eastAsia" w:eastAsia="宋体"/>
                      <w:bCs/>
                      <w:color w:val="auto"/>
                      <w:szCs w:val="21"/>
                      <w:lang w:val="en" w:eastAsia="zh-CN"/>
                    </w:rPr>
                  </w:pPr>
                  <w:r>
                    <w:rPr>
                      <w:rFonts w:hint="eastAsia"/>
                      <w:bCs/>
                      <w:color w:val="auto"/>
                      <w:szCs w:val="21"/>
                      <w:lang w:val="en"/>
                    </w:rPr>
                    <w:t>填写、运行危险废物转移联单，在危险废物转移联单中如实填写是否接受的意见，以及利用、处置方式和接受量等信息</w:t>
                  </w:r>
                  <w:r>
                    <w:rPr>
                      <w:rFonts w:hint="eastAsia"/>
                      <w:bCs/>
                      <w:color w:val="auto"/>
                      <w:szCs w:val="21"/>
                      <w:lang w:val="en" w:eastAsia="zh-CN"/>
                    </w:rPr>
                    <w:t>。</w:t>
                  </w:r>
                </w:p>
              </w:tc>
              <w:tc>
                <w:tcPr>
                  <w:tcW w:w="3152" w:type="dxa"/>
                  <w:tcBorders>
                    <w:tl2br w:val="nil"/>
                    <w:tr2bl w:val="nil"/>
                  </w:tcBorders>
                  <w:noWrap w:val="0"/>
                  <w:vAlign w:val="center"/>
                </w:tcPr>
                <w:p w14:paraId="3804235D">
                  <w:pPr>
                    <w:pStyle w:val="35"/>
                    <w:adjustRightInd w:val="0"/>
                    <w:snapToGrid w:val="0"/>
                    <w:ind w:firstLine="0" w:firstLineChars="0"/>
                    <w:jc w:val="both"/>
                    <w:rPr>
                      <w:rFonts w:hint="eastAsia" w:eastAsia="宋体"/>
                      <w:bCs/>
                      <w:caps/>
                      <w:color w:val="auto"/>
                      <w:szCs w:val="21"/>
                      <w:lang w:eastAsia="zh-CN"/>
                    </w:rPr>
                  </w:pPr>
                  <w:r>
                    <w:rPr>
                      <w:rFonts w:hint="eastAsia"/>
                      <w:bCs/>
                      <w:caps/>
                      <w:color w:val="auto"/>
                      <w:szCs w:val="21"/>
                      <w:lang w:eastAsia="zh-CN"/>
                    </w:rPr>
                    <w:t>本项目在运营期填写、</w:t>
                  </w:r>
                  <w:r>
                    <w:rPr>
                      <w:rFonts w:hint="eastAsia"/>
                      <w:bCs/>
                      <w:caps/>
                      <w:color w:val="auto"/>
                      <w:szCs w:val="21"/>
                      <w:lang w:val="en" w:eastAsia="zh-CN"/>
                    </w:rPr>
                    <w:t>运行危险废物转移联单，在危险废物转移联单中如实填写是否接受的意见，以及利用、处置方式和接受量等信息。</w:t>
                  </w:r>
                </w:p>
              </w:tc>
              <w:tc>
                <w:tcPr>
                  <w:tcW w:w="612" w:type="dxa"/>
                  <w:tcBorders>
                    <w:tl2br w:val="nil"/>
                    <w:tr2bl w:val="nil"/>
                  </w:tcBorders>
                  <w:noWrap w:val="0"/>
                  <w:vAlign w:val="center"/>
                </w:tcPr>
                <w:p w14:paraId="45F0DB2C">
                  <w:pPr>
                    <w:pStyle w:val="35"/>
                    <w:adjustRightInd w:val="0"/>
                    <w:snapToGrid w:val="0"/>
                    <w:ind w:firstLine="0" w:firstLineChars="0"/>
                    <w:jc w:val="center"/>
                    <w:rPr>
                      <w:rFonts w:hint="eastAsia" w:eastAsia="宋体"/>
                      <w:bCs/>
                      <w:color w:val="auto"/>
                      <w:szCs w:val="21"/>
                      <w:lang w:eastAsia="zh-CN"/>
                    </w:rPr>
                  </w:pPr>
                  <w:r>
                    <w:rPr>
                      <w:rFonts w:hint="eastAsia"/>
                      <w:bCs/>
                      <w:color w:val="auto"/>
                      <w:szCs w:val="21"/>
                      <w:lang w:eastAsia="zh-CN"/>
                    </w:rPr>
                    <w:t>符合</w:t>
                  </w:r>
                </w:p>
              </w:tc>
            </w:tr>
            <w:tr w14:paraId="2297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61341656">
                  <w:pPr>
                    <w:pStyle w:val="35"/>
                    <w:adjustRightInd w:val="0"/>
                    <w:snapToGrid w:val="0"/>
                    <w:ind w:firstLine="0" w:firstLineChars="0"/>
                    <w:jc w:val="both"/>
                    <w:rPr>
                      <w:rFonts w:hint="eastAsia" w:eastAsia="宋体"/>
                      <w:bCs/>
                      <w:color w:val="auto"/>
                      <w:szCs w:val="21"/>
                      <w:lang w:val="en" w:eastAsia="zh-CN"/>
                    </w:rPr>
                  </w:pPr>
                  <w:r>
                    <w:rPr>
                      <w:rFonts w:hint="eastAsia"/>
                      <w:bCs/>
                      <w:color w:val="auto"/>
                      <w:szCs w:val="21"/>
                      <w:lang w:val="en"/>
                    </w:rPr>
                    <w:t>按照国家和地方有关规定和标准，对接受的危险废物进行贮存、利用或者处置</w:t>
                  </w:r>
                  <w:r>
                    <w:rPr>
                      <w:rFonts w:hint="eastAsia"/>
                      <w:bCs/>
                      <w:color w:val="auto"/>
                      <w:szCs w:val="21"/>
                      <w:lang w:val="en" w:eastAsia="zh-CN"/>
                    </w:rPr>
                    <w:t>。</w:t>
                  </w:r>
                </w:p>
              </w:tc>
              <w:tc>
                <w:tcPr>
                  <w:tcW w:w="3152" w:type="dxa"/>
                  <w:tcBorders>
                    <w:tl2br w:val="nil"/>
                    <w:tr2bl w:val="nil"/>
                  </w:tcBorders>
                  <w:noWrap w:val="0"/>
                  <w:vAlign w:val="center"/>
                </w:tcPr>
                <w:p w14:paraId="29FDC891">
                  <w:pPr>
                    <w:pStyle w:val="35"/>
                    <w:adjustRightInd w:val="0"/>
                    <w:snapToGrid w:val="0"/>
                    <w:ind w:firstLine="0" w:firstLineChars="0"/>
                    <w:jc w:val="both"/>
                    <w:rPr>
                      <w:rFonts w:hint="eastAsia" w:eastAsia="宋体"/>
                      <w:bCs/>
                      <w:caps/>
                      <w:color w:val="auto"/>
                      <w:szCs w:val="21"/>
                      <w:lang w:eastAsia="zh-CN"/>
                    </w:rPr>
                  </w:pPr>
                  <w:r>
                    <w:rPr>
                      <w:rFonts w:hint="eastAsia"/>
                      <w:bCs/>
                      <w:caps/>
                      <w:color w:val="auto"/>
                      <w:szCs w:val="21"/>
                      <w:lang w:eastAsia="zh-CN"/>
                    </w:rPr>
                    <w:t>本项目运营期</w:t>
                  </w:r>
                  <w:r>
                    <w:rPr>
                      <w:rFonts w:hint="eastAsia"/>
                      <w:bCs/>
                      <w:caps/>
                      <w:color w:val="auto"/>
                      <w:szCs w:val="21"/>
                      <w:lang w:val="en" w:eastAsia="zh-CN"/>
                    </w:rPr>
                    <w:t>按照国家和地方有关规定和标准，对接受的</w:t>
                  </w:r>
                  <w:r>
                    <w:rPr>
                      <w:rFonts w:hint="eastAsia"/>
                      <w:bCs/>
                      <w:caps/>
                      <w:color w:val="auto"/>
                      <w:szCs w:val="21"/>
                      <w:lang w:val="en-US" w:eastAsia="zh-CN"/>
                    </w:rPr>
                    <w:t>危废</w:t>
                  </w:r>
                  <w:r>
                    <w:rPr>
                      <w:rFonts w:hint="eastAsia"/>
                      <w:bCs/>
                      <w:caps/>
                      <w:color w:val="auto"/>
                      <w:szCs w:val="21"/>
                      <w:lang w:val="en" w:eastAsia="zh-CN"/>
                    </w:rPr>
                    <w:t>进行贮存。</w:t>
                  </w:r>
                </w:p>
              </w:tc>
              <w:tc>
                <w:tcPr>
                  <w:tcW w:w="612" w:type="dxa"/>
                  <w:tcBorders>
                    <w:tl2br w:val="nil"/>
                    <w:tr2bl w:val="nil"/>
                  </w:tcBorders>
                  <w:noWrap w:val="0"/>
                  <w:vAlign w:val="center"/>
                </w:tcPr>
                <w:p w14:paraId="787A2B6F">
                  <w:pPr>
                    <w:pStyle w:val="35"/>
                    <w:adjustRightInd w:val="0"/>
                    <w:snapToGrid w:val="0"/>
                    <w:ind w:firstLine="0" w:firstLineChars="0"/>
                    <w:jc w:val="center"/>
                    <w:rPr>
                      <w:rFonts w:hint="eastAsia" w:eastAsia="宋体"/>
                      <w:bCs/>
                      <w:color w:val="auto"/>
                      <w:szCs w:val="21"/>
                      <w:lang w:eastAsia="zh-CN"/>
                    </w:rPr>
                  </w:pPr>
                  <w:r>
                    <w:rPr>
                      <w:rFonts w:hint="eastAsia"/>
                      <w:bCs/>
                      <w:color w:val="auto"/>
                      <w:szCs w:val="21"/>
                      <w:lang w:eastAsia="zh-CN"/>
                    </w:rPr>
                    <w:t>符合</w:t>
                  </w:r>
                </w:p>
              </w:tc>
            </w:tr>
            <w:tr w14:paraId="1893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6" w:type="dxa"/>
                  <w:gridSpan w:val="3"/>
                  <w:tcBorders>
                    <w:tl2br w:val="nil"/>
                    <w:tr2bl w:val="nil"/>
                  </w:tcBorders>
                  <w:noWrap w:val="0"/>
                  <w:vAlign w:val="center"/>
                </w:tcPr>
                <w:p w14:paraId="3642C62B">
                  <w:pPr>
                    <w:pStyle w:val="35"/>
                    <w:adjustRightInd w:val="0"/>
                    <w:snapToGrid w:val="0"/>
                    <w:ind w:firstLine="0" w:firstLineChars="0"/>
                    <w:jc w:val="center"/>
                    <w:rPr>
                      <w:rFonts w:hint="eastAsia"/>
                      <w:b/>
                      <w:bCs/>
                      <w:caps/>
                      <w:color w:val="auto"/>
                      <w:szCs w:val="21"/>
                    </w:rPr>
                  </w:pPr>
                  <w:r>
                    <w:rPr>
                      <w:rFonts w:hint="eastAsia"/>
                      <w:b/>
                      <w:bCs/>
                      <w:color w:val="auto"/>
                      <w:szCs w:val="21"/>
                    </w:rPr>
                    <w:t>危险废物转移联单的运行和管理</w:t>
                  </w:r>
                </w:p>
              </w:tc>
            </w:tr>
            <w:tr w14:paraId="339B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72" w:type="dxa"/>
                  <w:tcBorders>
                    <w:tl2br w:val="nil"/>
                    <w:tr2bl w:val="nil"/>
                  </w:tcBorders>
                  <w:noWrap w:val="0"/>
                  <w:vAlign w:val="center"/>
                </w:tcPr>
                <w:p w14:paraId="5497801B">
                  <w:pPr>
                    <w:pStyle w:val="35"/>
                    <w:adjustRightInd w:val="0"/>
                    <w:snapToGrid w:val="0"/>
                    <w:ind w:firstLine="0" w:firstLineChars="0"/>
                    <w:jc w:val="both"/>
                    <w:rPr>
                      <w:bCs/>
                      <w:caps/>
                      <w:color w:val="auto"/>
                      <w:szCs w:val="21"/>
                    </w:rPr>
                  </w:pPr>
                  <w:r>
                    <w:rPr>
                      <w:rFonts w:hint="eastAsia"/>
                      <w:bCs/>
                      <w:color w:val="auto"/>
                      <w:szCs w:val="21"/>
                      <w:lang w:val="en"/>
                    </w:rPr>
                    <w:t>危险废物转移联单应当根据危险废物管理计划中填报的危险废物转移等备案信息填写、运行。</w:t>
                  </w:r>
                </w:p>
              </w:tc>
              <w:tc>
                <w:tcPr>
                  <w:tcW w:w="3152" w:type="dxa"/>
                  <w:tcBorders>
                    <w:tl2br w:val="nil"/>
                    <w:tr2bl w:val="nil"/>
                  </w:tcBorders>
                  <w:noWrap w:val="0"/>
                  <w:vAlign w:val="center"/>
                </w:tcPr>
                <w:p w14:paraId="4E1262A4">
                  <w:pPr>
                    <w:pStyle w:val="35"/>
                    <w:adjustRightInd w:val="0"/>
                    <w:snapToGrid w:val="0"/>
                    <w:ind w:firstLine="0" w:firstLineChars="0"/>
                    <w:jc w:val="both"/>
                    <w:rPr>
                      <w:rFonts w:hint="eastAsia"/>
                      <w:bCs/>
                      <w:caps/>
                      <w:color w:val="auto"/>
                      <w:szCs w:val="21"/>
                    </w:rPr>
                  </w:pPr>
                  <w:r>
                    <w:rPr>
                      <w:rFonts w:hint="eastAsia"/>
                      <w:bCs/>
                      <w:caps/>
                      <w:color w:val="auto"/>
                      <w:szCs w:val="21"/>
                    </w:rPr>
                    <w:t>本项目</w:t>
                  </w:r>
                  <w:r>
                    <w:rPr>
                      <w:rFonts w:hint="eastAsia"/>
                      <w:bCs/>
                      <w:caps/>
                      <w:color w:val="auto"/>
                      <w:szCs w:val="21"/>
                      <w:lang w:eastAsia="zh-CN"/>
                    </w:rPr>
                    <w:t>运营期</w:t>
                  </w:r>
                  <w:r>
                    <w:rPr>
                      <w:rFonts w:hint="eastAsia"/>
                      <w:bCs/>
                      <w:color w:val="auto"/>
                      <w:szCs w:val="21"/>
                      <w:lang w:val="en"/>
                    </w:rPr>
                    <w:t>危险废物转移联单根据危险废物管理计划中填报的危险废物转移等备案信息填写、运行。</w:t>
                  </w:r>
                </w:p>
              </w:tc>
              <w:tc>
                <w:tcPr>
                  <w:tcW w:w="612" w:type="dxa"/>
                  <w:tcBorders>
                    <w:tl2br w:val="nil"/>
                    <w:tr2bl w:val="nil"/>
                  </w:tcBorders>
                  <w:noWrap w:val="0"/>
                  <w:vAlign w:val="center"/>
                </w:tcPr>
                <w:p w14:paraId="70CDD7F4">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7786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0917DAA0">
                  <w:pPr>
                    <w:pStyle w:val="35"/>
                    <w:adjustRightInd w:val="0"/>
                    <w:snapToGrid w:val="0"/>
                    <w:ind w:firstLine="0" w:firstLineChars="0"/>
                    <w:jc w:val="both"/>
                    <w:rPr>
                      <w:bCs/>
                      <w:caps/>
                      <w:color w:val="auto"/>
                      <w:szCs w:val="21"/>
                    </w:rPr>
                  </w:pPr>
                  <w:r>
                    <w:rPr>
                      <w:rFonts w:hint="eastAsia"/>
                      <w:bCs/>
                      <w:color w:val="auto"/>
                      <w:szCs w:val="21"/>
                      <w:lang w:val="en"/>
                    </w:rPr>
                    <w:t>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tc>
              <w:tc>
                <w:tcPr>
                  <w:tcW w:w="3152" w:type="dxa"/>
                  <w:tcBorders>
                    <w:tl2br w:val="nil"/>
                    <w:tr2bl w:val="nil"/>
                  </w:tcBorders>
                  <w:noWrap w:val="0"/>
                  <w:vAlign w:val="center"/>
                </w:tcPr>
                <w:p w14:paraId="252D1313">
                  <w:pPr>
                    <w:pStyle w:val="35"/>
                    <w:adjustRightInd w:val="0"/>
                    <w:snapToGrid w:val="0"/>
                    <w:ind w:firstLine="0" w:firstLineChars="0"/>
                    <w:jc w:val="center"/>
                    <w:rPr>
                      <w:rFonts w:hint="eastAsia"/>
                      <w:bCs/>
                      <w:caps/>
                      <w:color w:val="auto"/>
                      <w:szCs w:val="21"/>
                    </w:rPr>
                  </w:pPr>
                  <w:r>
                    <w:rPr>
                      <w:rFonts w:hint="eastAsia"/>
                      <w:bCs/>
                      <w:caps/>
                      <w:color w:val="auto"/>
                      <w:szCs w:val="21"/>
                    </w:rPr>
                    <w:t>本项目</w:t>
                  </w:r>
                  <w:r>
                    <w:rPr>
                      <w:rFonts w:hint="eastAsia"/>
                      <w:bCs/>
                      <w:caps/>
                      <w:color w:val="auto"/>
                      <w:szCs w:val="21"/>
                      <w:lang w:eastAsia="zh-CN"/>
                    </w:rPr>
                    <w:t>运营期</w:t>
                  </w:r>
                  <w:r>
                    <w:rPr>
                      <w:rFonts w:hint="eastAsia"/>
                      <w:bCs/>
                      <w:caps/>
                      <w:color w:val="auto"/>
                      <w:szCs w:val="21"/>
                    </w:rPr>
                    <w:t>危险废物转移联单采用全国统一的编号。</w:t>
                  </w:r>
                </w:p>
              </w:tc>
              <w:tc>
                <w:tcPr>
                  <w:tcW w:w="612" w:type="dxa"/>
                  <w:tcBorders>
                    <w:tl2br w:val="nil"/>
                    <w:tr2bl w:val="nil"/>
                  </w:tcBorders>
                  <w:noWrap w:val="0"/>
                  <w:vAlign w:val="center"/>
                </w:tcPr>
                <w:p w14:paraId="11957823">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686B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6664C8B1">
                  <w:pPr>
                    <w:pStyle w:val="35"/>
                    <w:adjustRightInd w:val="0"/>
                    <w:snapToGrid w:val="0"/>
                    <w:ind w:firstLine="0" w:firstLineChars="0"/>
                    <w:jc w:val="both"/>
                    <w:rPr>
                      <w:bCs/>
                      <w:caps/>
                      <w:color w:val="auto"/>
                      <w:szCs w:val="21"/>
                      <w:lang w:val="en"/>
                    </w:rPr>
                  </w:pPr>
                  <w:r>
                    <w:rPr>
                      <w:rFonts w:hint="eastAsia"/>
                      <w:bCs/>
                      <w:color w:val="auto"/>
                      <w:spacing w:val="-6"/>
                      <w:sz w:val="21"/>
                      <w:szCs w:val="21"/>
                      <w:lang w:val="en"/>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tc>
              <w:tc>
                <w:tcPr>
                  <w:tcW w:w="3152" w:type="dxa"/>
                  <w:tcBorders>
                    <w:tl2br w:val="nil"/>
                    <w:tr2bl w:val="nil"/>
                  </w:tcBorders>
                  <w:noWrap w:val="0"/>
                  <w:vAlign w:val="center"/>
                </w:tcPr>
                <w:p w14:paraId="41E54185">
                  <w:pPr>
                    <w:pStyle w:val="35"/>
                    <w:adjustRightInd w:val="0"/>
                    <w:snapToGrid w:val="0"/>
                    <w:ind w:firstLine="0" w:firstLineChars="0"/>
                    <w:jc w:val="center"/>
                    <w:rPr>
                      <w:rFonts w:hint="eastAsia"/>
                      <w:bCs/>
                      <w:caps/>
                      <w:color w:val="auto"/>
                      <w:szCs w:val="21"/>
                    </w:rPr>
                  </w:pPr>
                  <w:r>
                    <w:rPr>
                      <w:rFonts w:hint="eastAsia"/>
                      <w:bCs/>
                      <w:caps/>
                      <w:color w:val="auto"/>
                      <w:szCs w:val="21"/>
                      <w:lang w:eastAsia="zh-CN"/>
                    </w:rPr>
                    <w:t>本项目运营期</w:t>
                  </w:r>
                  <w:r>
                    <w:rPr>
                      <w:rFonts w:hint="eastAsia"/>
                      <w:bCs/>
                      <w:caps/>
                      <w:color w:val="auto"/>
                      <w:szCs w:val="21"/>
                    </w:rPr>
                    <w:t>每次转移时都填写相应的</w:t>
                  </w:r>
                  <w:r>
                    <w:rPr>
                      <w:rFonts w:hint="eastAsia"/>
                      <w:bCs/>
                      <w:caps/>
                      <w:color w:val="auto"/>
                      <w:szCs w:val="21"/>
                      <w:lang w:eastAsia="zh-CN"/>
                    </w:rPr>
                    <w:t>转移</w:t>
                  </w:r>
                  <w:r>
                    <w:rPr>
                      <w:rFonts w:hint="eastAsia"/>
                      <w:bCs/>
                      <w:caps/>
                      <w:color w:val="auto"/>
                      <w:szCs w:val="21"/>
                    </w:rPr>
                    <w:t>联单。</w:t>
                  </w:r>
                </w:p>
              </w:tc>
              <w:tc>
                <w:tcPr>
                  <w:tcW w:w="612" w:type="dxa"/>
                  <w:tcBorders>
                    <w:tl2br w:val="nil"/>
                    <w:tr2bl w:val="nil"/>
                  </w:tcBorders>
                  <w:noWrap w:val="0"/>
                  <w:vAlign w:val="center"/>
                </w:tcPr>
                <w:p w14:paraId="12C587E8">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480C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trPr>
              <w:tc>
                <w:tcPr>
                  <w:tcW w:w="3372" w:type="dxa"/>
                  <w:tcBorders>
                    <w:tl2br w:val="nil"/>
                    <w:tr2bl w:val="nil"/>
                  </w:tcBorders>
                  <w:noWrap w:val="0"/>
                  <w:vAlign w:val="center"/>
                </w:tcPr>
                <w:p w14:paraId="6A874D41">
                  <w:pPr>
                    <w:pStyle w:val="35"/>
                    <w:adjustRightInd w:val="0"/>
                    <w:snapToGrid w:val="0"/>
                    <w:ind w:firstLine="0" w:firstLineChars="0"/>
                    <w:jc w:val="both"/>
                    <w:rPr>
                      <w:bCs/>
                      <w:caps/>
                      <w:color w:val="auto"/>
                      <w:szCs w:val="21"/>
                    </w:rPr>
                  </w:pPr>
                  <w:r>
                    <w:rPr>
                      <w:rFonts w:hint="eastAsia"/>
                      <w:bCs/>
                      <w:color w:val="auto"/>
                      <w:szCs w:val="21"/>
                      <w:lang w:val="en"/>
                    </w:rPr>
                    <w:t>采用联运方式转移危险废物的，前一承运人和后一承运人应当明确运输交接的时间和地点。后一承运人应当核实危险废物转移联单确定的移出人信息、前一承运人信息及危险废物相关信息。</w:t>
                  </w:r>
                </w:p>
              </w:tc>
              <w:tc>
                <w:tcPr>
                  <w:tcW w:w="3152" w:type="dxa"/>
                  <w:tcBorders>
                    <w:tl2br w:val="nil"/>
                    <w:tr2bl w:val="nil"/>
                  </w:tcBorders>
                  <w:noWrap w:val="0"/>
                  <w:vAlign w:val="center"/>
                </w:tcPr>
                <w:p w14:paraId="7556A3BB">
                  <w:pPr>
                    <w:pStyle w:val="35"/>
                    <w:adjustRightInd w:val="0"/>
                    <w:snapToGrid w:val="0"/>
                    <w:ind w:firstLine="0" w:firstLineChars="0"/>
                    <w:jc w:val="both"/>
                    <w:rPr>
                      <w:rFonts w:hint="eastAsia"/>
                      <w:bCs/>
                      <w:caps/>
                      <w:color w:val="auto"/>
                      <w:szCs w:val="21"/>
                    </w:rPr>
                  </w:pPr>
                  <w:r>
                    <w:rPr>
                      <w:rFonts w:hint="eastAsia"/>
                      <w:bCs/>
                      <w:caps/>
                      <w:color w:val="auto"/>
                      <w:szCs w:val="21"/>
                    </w:rPr>
                    <w:t>本项目危险废物</w:t>
                  </w:r>
                  <w:r>
                    <w:rPr>
                      <w:rFonts w:hint="eastAsia"/>
                      <w:bCs/>
                      <w:caps/>
                      <w:color w:val="auto"/>
                      <w:szCs w:val="21"/>
                      <w:lang w:val="en-US" w:eastAsia="zh-CN"/>
                    </w:rPr>
                    <w:t>若采取</w:t>
                  </w:r>
                  <w:r>
                    <w:rPr>
                      <w:rFonts w:hint="eastAsia"/>
                      <w:bCs/>
                      <w:color w:val="auto"/>
                      <w:szCs w:val="21"/>
                      <w:lang w:val="en"/>
                    </w:rPr>
                    <w:t>联运方式转移危险废物的，前一承运人和后一承运人应当明确运输交接的时间和地点。后一承运人应当核实危险废物转移联单确定的移出人信息、前一承运人信息及危险废物相关信息。</w:t>
                  </w:r>
                </w:p>
              </w:tc>
              <w:tc>
                <w:tcPr>
                  <w:tcW w:w="612" w:type="dxa"/>
                  <w:tcBorders>
                    <w:tl2br w:val="nil"/>
                    <w:tr2bl w:val="nil"/>
                  </w:tcBorders>
                  <w:noWrap w:val="0"/>
                  <w:vAlign w:val="center"/>
                </w:tcPr>
                <w:p w14:paraId="02E3E541">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3769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trPr>
              <w:tc>
                <w:tcPr>
                  <w:tcW w:w="3372" w:type="dxa"/>
                  <w:tcBorders>
                    <w:tl2br w:val="nil"/>
                    <w:tr2bl w:val="nil"/>
                  </w:tcBorders>
                  <w:noWrap w:val="0"/>
                  <w:vAlign w:val="center"/>
                </w:tcPr>
                <w:p w14:paraId="42E6F5CB">
                  <w:pPr>
                    <w:pStyle w:val="35"/>
                    <w:adjustRightInd w:val="0"/>
                    <w:snapToGrid w:val="0"/>
                    <w:ind w:firstLine="0" w:firstLineChars="0"/>
                    <w:jc w:val="both"/>
                    <w:rPr>
                      <w:bCs/>
                      <w:caps/>
                      <w:color w:val="auto"/>
                      <w:szCs w:val="21"/>
                    </w:rPr>
                  </w:pPr>
                  <w:r>
                    <w:rPr>
                      <w:rFonts w:hint="eastAsia"/>
                      <w:bCs/>
                      <w:color w:val="auto"/>
                      <w:szCs w:val="21"/>
                      <w:lang w:val="en"/>
                    </w:rPr>
                    <w:t>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tc>
              <w:tc>
                <w:tcPr>
                  <w:tcW w:w="3152" w:type="dxa"/>
                  <w:tcBorders>
                    <w:tl2br w:val="nil"/>
                    <w:tr2bl w:val="nil"/>
                  </w:tcBorders>
                  <w:noWrap w:val="0"/>
                  <w:vAlign w:val="center"/>
                </w:tcPr>
                <w:p w14:paraId="2FCB242D">
                  <w:pPr>
                    <w:pStyle w:val="35"/>
                    <w:adjustRightInd w:val="0"/>
                    <w:snapToGrid w:val="0"/>
                    <w:ind w:firstLine="0" w:firstLineChars="0"/>
                    <w:jc w:val="both"/>
                    <w:rPr>
                      <w:rFonts w:hint="eastAsia" w:eastAsia="宋体"/>
                      <w:bCs/>
                      <w:caps/>
                      <w:color w:val="auto"/>
                      <w:szCs w:val="21"/>
                      <w:lang w:eastAsia="zh-CN"/>
                    </w:rPr>
                  </w:pPr>
                  <w:r>
                    <w:rPr>
                      <w:rFonts w:hint="eastAsia"/>
                      <w:bCs/>
                      <w:caps/>
                      <w:color w:val="auto"/>
                      <w:szCs w:val="21"/>
                    </w:rPr>
                    <w:t>本项目为危险废物转移人</w:t>
                  </w:r>
                  <w:r>
                    <w:rPr>
                      <w:rFonts w:hint="eastAsia"/>
                      <w:bCs/>
                      <w:caps/>
                      <w:color w:val="auto"/>
                      <w:szCs w:val="21"/>
                      <w:lang w:eastAsia="zh-CN"/>
                    </w:rPr>
                    <w:t>和接受人</w:t>
                  </w:r>
                  <w:r>
                    <w:rPr>
                      <w:rFonts w:hint="eastAsia"/>
                      <w:bCs/>
                      <w:caps/>
                      <w:color w:val="auto"/>
                      <w:szCs w:val="21"/>
                    </w:rPr>
                    <w:t>，</w:t>
                  </w:r>
                  <w:r>
                    <w:rPr>
                      <w:rFonts w:hint="eastAsia"/>
                      <w:bCs/>
                      <w:caps/>
                      <w:color w:val="auto"/>
                      <w:szCs w:val="21"/>
                      <w:lang w:eastAsia="zh-CN"/>
                    </w:rPr>
                    <w:t>在接受危险废物时对运至场内的危险废物进行核实验收，并及时通过信息系统确认接受。如运至厂区内的危险废物与</w:t>
                  </w:r>
                  <w:r>
                    <w:rPr>
                      <w:rFonts w:hint="eastAsia"/>
                      <w:bCs/>
                      <w:caps/>
                      <w:color w:val="auto"/>
                      <w:szCs w:val="21"/>
                      <w:lang w:val="en" w:eastAsia="zh-CN"/>
                    </w:rPr>
                    <w:t>危险废物转移联单填写内容不符时，视情况决定是否接受，同时向接受地生态环境主管部门报告。</w:t>
                  </w:r>
                </w:p>
              </w:tc>
              <w:tc>
                <w:tcPr>
                  <w:tcW w:w="612" w:type="dxa"/>
                  <w:tcBorders>
                    <w:tl2br w:val="nil"/>
                    <w:tr2bl w:val="nil"/>
                  </w:tcBorders>
                  <w:noWrap w:val="0"/>
                  <w:vAlign w:val="center"/>
                </w:tcPr>
                <w:p w14:paraId="403FCA91">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05B2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trPr>
              <w:tc>
                <w:tcPr>
                  <w:tcW w:w="3372" w:type="dxa"/>
                  <w:tcBorders>
                    <w:tl2br w:val="nil"/>
                    <w:tr2bl w:val="nil"/>
                  </w:tcBorders>
                  <w:noWrap w:val="0"/>
                  <w:vAlign w:val="center"/>
                </w:tcPr>
                <w:p w14:paraId="2850BE36">
                  <w:pPr>
                    <w:pStyle w:val="35"/>
                    <w:adjustRightInd w:val="0"/>
                    <w:snapToGrid w:val="0"/>
                    <w:ind w:firstLine="0" w:firstLineChars="0"/>
                    <w:jc w:val="both"/>
                    <w:rPr>
                      <w:bCs/>
                      <w:caps/>
                      <w:color w:val="auto"/>
                      <w:szCs w:val="21"/>
                    </w:rPr>
                  </w:pPr>
                  <w:r>
                    <w:rPr>
                      <w:rFonts w:hint="eastAsia"/>
                      <w:bCs/>
                      <w:color w:val="auto"/>
                      <w:szCs w:val="21"/>
                      <w:lang w:val="en"/>
                    </w:rPr>
                    <w:t>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tc>
              <w:tc>
                <w:tcPr>
                  <w:tcW w:w="3152" w:type="dxa"/>
                  <w:tcBorders>
                    <w:tl2br w:val="nil"/>
                    <w:tr2bl w:val="nil"/>
                  </w:tcBorders>
                  <w:noWrap w:val="0"/>
                  <w:vAlign w:val="center"/>
                </w:tcPr>
                <w:p w14:paraId="53DE59F8">
                  <w:pPr>
                    <w:pStyle w:val="35"/>
                    <w:adjustRightInd w:val="0"/>
                    <w:snapToGrid w:val="0"/>
                    <w:ind w:firstLine="0" w:firstLineChars="0"/>
                    <w:jc w:val="both"/>
                    <w:rPr>
                      <w:rFonts w:hint="eastAsia"/>
                      <w:bCs/>
                      <w:caps/>
                      <w:color w:val="auto"/>
                      <w:szCs w:val="21"/>
                    </w:rPr>
                  </w:pPr>
                  <w:r>
                    <w:rPr>
                      <w:rFonts w:hint="eastAsia"/>
                      <w:bCs/>
                      <w:caps/>
                      <w:color w:val="auto"/>
                      <w:szCs w:val="21"/>
                    </w:rPr>
                    <w:t>本项目采用运输车辆进行转运，每次进厂、出厂进行危险废物称重。</w:t>
                  </w:r>
                </w:p>
              </w:tc>
              <w:tc>
                <w:tcPr>
                  <w:tcW w:w="612" w:type="dxa"/>
                  <w:tcBorders>
                    <w:tl2br w:val="nil"/>
                    <w:tr2bl w:val="nil"/>
                  </w:tcBorders>
                  <w:noWrap w:val="0"/>
                  <w:vAlign w:val="center"/>
                </w:tcPr>
                <w:p w14:paraId="15A40091">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634D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3372" w:type="dxa"/>
                  <w:tcBorders>
                    <w:tl2br w:val="nil"/>
                    <w:tr2bl w:val="nil"/>
                  </w:tcBorders>
                  <w:noWrap w:val="0"/>
                  <w:vAlign w:val="center"/>
                </w:tcPr>
                <w:p w14:paraId="7DE77BF8">
                  <w:pPr>
                    <w:pStyle w:val="35"/>
                    <w:adjustRightInd w:val="0"/>
                    <w:snapToGrid w:val="0"/>
                    <w:ind w:firstLine="0" w:firstLineChars="0"/>
                    <w:jc w:val="both"/>
                    <w:rPr>
                      <w:bCs/>
                      <w:caps/>
                      <w:color w:val="auto"/>
                      <w:szCs w:val="21"/>
                    </w:rPr>
                  </w:pPr>
                  <w:r>
                    <w:rPr>
                      <w:rFonts w:hint="eastAsia"/>
                      <w:bCs/>
                      <w:color w:val="auto"/>
                      <w:szCs w:val="21"/>
                      <w:lang w:val="en"/>
                    </w:rPr>
                    <w:t>危险废物电子转移联单数据应当在信息系统中至少保存十年。因特殊原因无法运行危险废物电子转移联单的，可以先使用纸质转移联单，并于转移活动完成后十个工作日内在信息系统中补录电子转移联单。</w:t>
                  </w:r>
                </w:p>
              </w:tc>
              <w:tc>
                <w:tcPr>
                  <w:tcW w:w="3152" w:type="dxa"/>
                  <w:tcBorders>
                    <w:tl2br w:val="nil"/>
                    <w:tr2bl w:val="nil"/>
                  </w:tcBorders>
                  <w:noWrap w:val="0"/>
                  <w:vAlign w:val="center"/>
                </w:tcPr>
                <w:p w14:paraId="105A44D3">
                  <w:pPr>
                    <w:pStyle w:val="35"/>
                    <w:adjustRightInd w:val="0"/>
                    <w:snapToGrid w:val="0"/>
                    <w:ind w:firstLine="0" w:firstLineChars="0"/>
                    <w:jc w:val="center"/>
                    <w:rPr>
                      <w:rFonts w:hint="eastAsia"/>
                      <w:bCs/>
                      <w:caps/>
                      <w:color w:val="auto"/>
                      <w:szCs w:val="21"/>
                    </w:rPr>
                  </w:pPr>
                  <w:r>
                    <w:rPr>
                      <w:rFonts w:hint="eastAsia"/>
                      <w:bCs/>
                      <w:caps/>
                      <w:color w:val="auto"/>
                      <w:szCs w:val="21"/>
                    </w:rPr>
                    <w:t>项目危险废物电子转移联单数据在系统中保存至少十年。</w:t>
                  </w:r>
                </w:p>
              </w:tc>
              <w:tc>
                <w:tcPr>
                  <w:tcW w:w="612" w:type="dxa"/>
                  <w:tcBorders>
                    <w:tl2br w:val="nil"/>
                    <w:tr2bl w:val="nil"/>
                  </w:tcBorders>
                  <w:noWrap w:val="0"/>
                  <w:vAlign w:val="center"/>
                </w:tcPr>
                <w:p w14:paraId="1391D25D">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075B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6" w:type="dxa"/>
                  <w:gridSpan w:val="3"/>
                  <w:tcBorders>
                    <w:tl2br w:val="nil"/>
                    <w:tr2bl w:val="nil"/>
                  </w:tcBorders>
                  <w:noWrap w:val="0"/>
                  <w:vAlign w:val="center"/>
                </w:tcPr>
                <w:p w14:paraId="20FE5E05">
                  <w:pPr>
                    <w:pStyle w:val="35"/>
                    <w:adjustRightInd w:val="0"/>
                    <w:snapToGrid w:val="0"/>
                    <w:ind w:firstLine="0" w:firstLineChars="0"/>
                    <w:jc w:val="center"/>
                    <w:rPr>
                      <w:rFonts w:hint="eastAsia"/>
                      <w:b/>
                      <w:bCs/>
                      <w:caps/>
                      <w:color w:val="auto"/>
                      <w:szCs w:val="21"/>
                    </w:rPr>
                  </w:pPr>
                  <w:r>
                    <w:rPr>
                      <w:rFonts w:hint="eastAsia"/>
                      <w:b/>
                      <w:bCs/>
                      <w:color w:val="auto"/>
                      <w:szCs w:val="21"/>
                      <w:lang w:val="en"/>
                    </w:rPr>
                    <w:t>危险废物跨省转移管理</w:t>
                  </w:r>
                </w:p>
              </w:tc>
            </w:tr>
            <w:tr w14:paraId="040A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3372" w:type="dxa"/>
                  <w:tcBorders>
                    <w:tl2br w:val="nil"/>
                    <w:tr2bl w:val="nil"/>
                  </w:tcBorders>
                  <w:noWrap w:val="0"/>
                  <w:vAlign w:val="center"/>
                </w:tcPr>
                <w:p w14:paraId="2B612001">
                  <w:pPr>
                    <w:pStyle w:val="35"/>
                    <w:adjustRightInd w:val="0"/>
                    <w:snapToGrid w:val="0"/>
                    <w:ind w:firstLine="0" w:firstLineChars="0"/>
                    <w:jc w:val="both"/>
                    <w:rPr>
                      <w:bCs/>
                      <w:caps/>
                      <w:color w:val="auto"/>
                      <w:szCs w:val="21"/>
                    </w:rPr>
                  </w:pPr>
                  <w:r>
                    <w:rPr>
                      <w:rFonts w:hint="eastAsia"/>
                      <w:bCs/>
                      <w:color w:val="auto"/>
                      <w:spacing w:val="-6"/>
                      <w:sz w:val="21"/>
                      <w:szCs w:val="21"/>
                      <w:lang w:val="en"/>
                    </w:rPr>
                    <w:t>跨省转移危险废物的，应当向危险废物移出地省级生态环境主管部门提出申请。移出地省级生态环境主管部门应当商经接受地省级生态环境主管部门同意后，批准转移该危险废物。未经批准的，不得转移。鼓励开展区域合作的移出地和接受地省级生态环境主管部门按照合作协议简化跨省转移危险废物审批程序。</w:t>
                  </w:r>
                </w:p>
              </w:tc>
              <w:tc>
                <w:tcPr>
                  <w:tcW w:w="3152" w:type="dxa"/>
                  <w:tcBorders>
                    <w:tl2br w:val="nil"/>
                    <w:tr2bl w:val="nil"/>
                  </w:tcBorders>
                  <w:noWrap w:val="0"/>
                  <w:vAlign w:val="center"/>
                </w:tcPr>
                <w:p w14:paraId="425A65E5">
                  <w:pPr>
                    <w:pStyle w:val="35"/>
                    <w:adjustRightInd w:val="0"/>
                    <w:snapToGrid w:val="0"/>
                    <w:ind w:firstLine="0" w:firstLineChars="0"/>
                    <w:jc w:val="both"/>
                    <w:rPr>
                      <w:rFonts w:hint="eastAsia"/>
                      <w:bCs/>
                      <w:caps/>
                      <w:color w:val="auto"/>
                      <w:szCs w:val="21"/>
                    </w:rPr>
                  </w:pPr>
                  <w:r>
                    <w:rPr>
                      <w:rFonts w:hint="eastAsia"/>
                      <w:bCs/>
                      <w:caps/>
                      <w:color w:val="auto"/>
                      <w:szCs w:val="21"/>
                    </w:rPr>
                    <w:t>本项目需要跨省转移时向</w:t>
                  </w:r>
                  <w:r>
                    <w:rPr>
                      <w:rFonts w:hint="eastAsia"/>
                      <w:bCs/>
                      <w:color w:val="auto"/>
                      <w:szCs w:val="21"/>
                      <w:lang w:val="en"/>
                    </w:rPr>
                    <w:t>移出地省级生态环境主管部门提出申请，得到同意后才能够转移。</w:t>
                  </w:r>
                </w:p>
              </w:tc>
              <w:tc>
                <w:tcPr>
                  <w:tcW w:w="612" w:type="dxa"/>
                  <w:tcBorders>
                    <w:tl2br w:val="nil"/>
                    <w:tr2bl w:val="nil"/>
                  </w:tcBorders>
                  <w:noWrap w:val="0"/>
                  <w:vAlign w:val="center"/>
                </w:tcPr>
                <w:p w14:paraId="5BDB16F9">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48FF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2" w:type="dxa"/>
                  <w:tcBorders>
                    <w:tl2br w:val="nil"/>
                    <w:tr2bl w:val="nil"/>
                  </w:tcBorders>
                  <w:noWrap w:val="0"/>
                  <w:vAlign w:val="center"/>
                </w:tcPr>
                <w:p w14:paraId="08714E65">
                  <w:pPr>
                    <w:pStyle w:val="35"/>
                    <w:adjustRightInd w:val="0"/>
                    <w:snapToGrid w:val="0"/>
                    <w:ind w:left="0" w:leftChars="0" w:firstLine="0" w:firstLineChars="0"/>
                    <w:jc w:val="both"/>
                    <w:rPr>
                      <w:bCs/>
                      <w:caps/>
                      <w:color w:val="auto"/>
                      <w:szCs w:val="21"/>
                      <w:lang w:val="en"/>
                    </w:rPr>
                  </w:pPr>
                  <w:r>
                    <w:rPr>
                      <w:rFonts w:hint="eastAsia"/>
                      <w:bCs/>
                      <w:color w:val="auto"/>
                      <w:spacing w:val="0"/>
                      <w:sz w:val="21"/>
                      <w:szCs w:val="21"/>
                      <w:lang w:val="en"/>
                    </w:rPr>
                    <w:t>申请跨省转移危险废物的，移出人应当填写危险废物跨省转移申请表，并提交下列材料：（一）接受人的危险废物经营许可证复印件；（二）接受人提供的贮存、利用或者处置危险废物方式的说明；（三）移出人与接受人签订的委托协议、意向或者合同；（四）危险废物移出地的地方性法规规定的其他材料。移出人应当在危险废物跨省转移申请表中提出拟开展危险废物转移活动的时间期限。省级生态环境主管部门应当向社会公开办理危险废物跨省转移需要的申请材料。危险废物跨省转移申请表的格式和内容，由生态环境部另行制定。</w:t>
                  </w:r>
                </w:p>
              </w:tc>
              <w:tc>
                <w:tcPr>
                  <w:tcW w:w="3152" w:type="dxa"/>
                  <w:tcBorders>
                    <w:tl2br w:val="nil"/>
                    <w:tr2bl w:val="nil"/>
                  </w:tcBorders>
                  <w:noWrap w:val="0"/>
                  <w:vAlign w:val="center"/>
                </w:tcPr>
                <w:p w14:paraId="40623894">
                  <w:pPr>
                    <w:pStyle w:val="35"/>
                    <w:adjustRightInd w:val="0"/>
                    <w:snapToGrid w:val="0"/>
                    <w:ind w:firstLine="0" w:firstLineChars="0"/>
                    <w:jc w:val="both"/>
                    <w:rPr>
                      <w:rFonts w:hint="eastAsia"/>
                      <w:bCs/>
                      <w:caps/>
                      <w:color w:val="auto"/>
                      <w:szCs w:val="21"/>
                    </w:rPr>
                  </w:pPr>
                  <w:r>
                    <w:rPr>
                      <w:rFonts w:hint="eastAsia"/>
                      <w:bCs/>
                      <w:color w:val="auto"/>
                      <w:szCs w:val="21"/>
                      <w:lang w:val="en"/>
                    </w:rPr>
                    <w:t>申请跨省转移危险废物的，本项目需填写危险废物跨省转移申请表，并提交齐全的材料。</w:t>
                  </w:r>
                </w:p>
              </w:tc>
              <w:tc>
                <w:tcPr>
                  <w:tcW w:w="612" w:type="dxa"/>
                  <w:tcBorders>
                    <w:tl2br w:val="nil"/>
                    <w:tr2bl w:val="nil"/>
                  </w:tcBorders>
                  <w:noWrap w:val="0"/>
                  <w:vAlign w:val="center"/>
                </w:tcPr>
                <w:p w14:paraId="6FB992DC">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7726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trPr>
              <w:tc>
                <w:tcPr>
                  <w:tcW w:w="3372" w:type="dxa"/>
                  <w:tcBorders>
                    <w:tl2br w:val="nil"/>
                    <w:tr2bl w:val="nil"/>
                  </w:tcBorders>
                  <w:noWrap w:val="0"/>
                  <w:vAlign w:val="center"/>
                </w:tcPr>
                <w:p w14:paraId="38D72FA2">
                  <w:pPr>
                    <w:pStyle w:val="35"/>
                    <w:adjustRightInd w:val="0"/>
                    <w:snapToGrid w:val="0"/>
                    <w:ind w:firstLine="0" w:firstLineChars="0"/>
                    <w:jc w:val="both"/>
                    <w:rPr>
                      <w:bCs/>
                      <w:caps/>
                      <w:color w:val="auto"/>
                      <w:szCs w:val="21"/>
                    </w:rPr>
                  </w:pPr>
                  <w:r>
                    <w:rPr>
                      <w:rFonts w:hint="eastAsia"/>
                      <w:bCs/>
                      <w:color w:val="auto"/>
                      <w:szCs w:val="21"/>
                      <w:lang w:val="en"/>
                    </w:rPr>
                    <w:t>跨省转移危险废物的申请经批准后，移出人应当按照批准跨省转移危险废物的决定填写、运行危险废物转移联单，实施危险废物转移活动。移出人可以按照批准跨省转移危险废物的决定在有效期内多次转移危险废物。</w:t>
                  </w:r>
                </w:p>
              </w:tc>
              <w:tc>
                <w:tcPr>
                  <w:tcW w:w="3152" w:type="dxa"/>
                  <w:tcBorders>
                    <w:tl2br w:val="nil"/>
                    <w:tr2bl w:val="nil"/>
                  </w:tcBorders>
                  <w:noWrap w:val="0"/>
                  <w:vAlign w:val="center"/>
                </w:tcPr>
                <w:p w14:paraId="016AC859">
                  <w:pPr>
                    <w:pStyle w:val="35"/>
                    <w:adjustRightInd w:val="0"/>
                    <w:snapToGrid w:val="0"/>
                    <w:ind w:firstLine="0" w:firstLineChars="0"/>
                    <w:jc w:val="both"/>
                    <w:rPr>
                      <w:rFonts w:hint="eastAsia"/>
                      <w:bCs/>
                      <w:caps/>
                      <w:color w:val="auto"/>
                      <w:szCs w:val="21"/>
                    </w:rPr>
                  </w:pPr>
                  <w:r>
                    <w:rPr>
                      <w:rFonts w:hint="eastAsia"/>
                      <w:bCs/>
                      <w:color w:val="auto"/>
                      <w:szCs w:val="21"/>
                      <w:lang w:val="en"/>
                    </w:rPr>
                    <w:t>跨省转移危险废物的申请经批准后，本项目按照批准跨省转移危险废物的决定填写、运行危险废物转移联单，实施危险废物转移活动。</w:t>
                  </w:r>
                </w:p>
              </w:tc>
              <w:tc>
                <w:tcPr>
                  <w:tcW w:w="612" w:type="dxa"/>
                  <w:tcBorders>
                    <w:tl2br w:val="nil"/>
                    <w:tr2bl w:val="nil"/>
                  </w:tcBorders>
                  <w:noWrap w:val="0"/>
                  <w:vAlign w:val="center"/>
                </w:tcPr>
                <w:p w14:paraId="1B984E1A">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r w14:paraId="0D34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3372" w:type="dxa"/>
                  <w:tcBorders>
                    <w:tl2br w:val="nil"/>
                    <w:tr2bl w:val="nil"/>
                  </w:tcBorders>
                  <w:noWrap w:val="0"/>
                  <w:vAlign w:val="center"/>
                </w:tcPr>
                <w:p w14:paraId="35C5174D">
                  <w:pPr>
                    <w:pStyle w:val="35"/>
                    <w:adjustRightInd w:val="0"/>
                    <w:snapToGrid w:val="0"/>
                    <w:ind w:left="0" w:leftChars="0" w:firstLine="0" w:firstLineChars="0"/>
                    <w:jc w:val="both"/>
                    <w:rPr>
                      <w:bCs/>
                      <w:caps/>
                      <w:color w:val="auto"/>
                      <w:szCs w:val="21"/>
                      <w:lang w:val="en"/>
                    </w:rPr>
                  </w:pPr>
                  <w:r>
                    <w:rPr>
                      <w:rFonts w:hint="eastAsia"/>
                      <w:bCs/>
                      <w:color w:val="auto"/>
                      <w:szCs w:val="21"/>
                      <w:lang w:val="en"/>
                    </w:rPr>
                    <w:t>发生下列情形之一的，移出人应当重新提出危险废物跨省转移申请：（一）计划转移的危险废物的种类发生变化或者重量（数量）超过原批准重量（数量）的；（二）计划转移的危险废物的贮存、利用、处置方式发生变化的；（三）接受人发生变更或者接受人不再具备拟接受危险废物的贮存、利用或者处置条件的。</w:t>
                  </w:r>
                </w:p>
              </w:tc>
              <w:tc>
                <w:tcPr>
                  <w:tcW w:w="3152" w:type="dxa"/>
                  <w:tcBorders>
                    <w:tl2br w:val="nil"/>
                    <w:tr2bl w:val="nil"/>
                  </w:tcBorders>
                  <w:noWrap w:val="0"/>
                  <w:vAlign w:val="center"/>
                </w:tcPr>
                <w:p w14:paraId="180A8711">
                  <w:pPr>
                    <w:pStyle w:val="35"/>
                    <w:adjustRightInd w:val="0"/>
                    <w:snapToGrid w:val="0"/>
                    <w:ind w:firstLine="0" w:firstLineChars="0"/>
                    <w:jc w:val="both"/>
                    <w:rPr>
                      <w:rFonts w:hint="eastAsia"/>
                      <w:bCs/>
                      <w:caps/>
                      <w:color w:val="auto"/>
                      <w:szCs w:val="21"/>
                    </w:rPr>
                  </w:pPr>
                  <w:r>
                    <w:rPr>
                      <w:rFonts w:hint="eastAsia"/>
                      <w:bCs/>
                      <w:color w:val="auto"/>
                      <w:szCs w:val="21"/>
                      <w:lang w:val="en"/>
                    </w:rPr>
                    <w:t>本项目</w:t>
                  </w:r>
                  <w:r>
                    <w:rPr>
                      <w:rFonts w:hint="eastAsia"/>
                      <w:bCs/>
                      <w:color w:val="auto"/>
                      <w:szCs w:val="21"/>
                      <w:lang w:val="en-US" w:eastAsia="zh-CN"/>
                    </w:rPr>
                    <w:t>危险废物（废机油、废液压油、含油废抹布）</w:t>
                  </w:r>
                  <w:r>
                    <w:rPr>
                      <w:rFonts w:hint="eastAsia" w:ascii="Times New Roman" w:hAnsi="Times New Roman" w:eastAsia="宋体" w:cs="Times New Roman"/>
                      <w:i w:val="0"/>
                      <w:iCs w:val="0"/>
                      <w:caps w:val="0"/>
                      <w:color w:val="auto"/>
                      <w:spacing w:val="0"/>
                      <w:kern w:val="2"/>
                      <w:sz w:val="21"/>
                      <w:szCs w:val="21"/>
                      <w:shd w:val="clear" w:color="auto" w:fill="FFFFFF"/>
                      <w:lang w:val="en-US" w:eastAsia="zh-CN" w:bidi="ar-SA"/>
                    </w:rPr>
                    <w:t>暂存于危废暂存间，定期委托有资质的单位清运处置</w:t>
                  </w:r>
                  <w:r>
                    <w:rPr>
                      <w:rFonts w:hint="eastAsia" w:ascii="Times New Roman" w:hAnsi="Times New Roman" w:eastAsia="宋体" w:cs="Times New Roman"/>
                      <w:color w:val="auto"/>
                      <w:sz w:val="21"/>
                      <w:szCs w:val="21"/>
                      <w:lang w:val="en-US" w:eastAsia="zh-CN"/>
                    </w:rPr>
                    <w:t>。</w:t>
                  </w:r>
                  <w:r>
                    <w:rPr>
                      <w:rFonts w:hint="eastAsia"/>
                      <w:bCs/>
                      <w:color w:val="auto"/>
                      <w:szCs w:val="21"/>
                      <w:lang w:val="en"/>
                    </w:rPr>
                    <w:t>跨省转移危险废物</w:t>
                  </w:r>
                  <w:r>
                    <w:rPr>
                      <w:rFonts w:hint="eastAsia"/>
                      <w:bCs/>
                      <w:caps/>
                      <w:color w:val="auto"/>
                      <w:szCs w:val="21"/>
                    </w:rPr>
                    <w:t>，严格按照申请进行转运。</w:t>
                  </w:r>
                </w:p>
              </w:tc>
              <w:tc>
                <w:tcPr>
                  <w:tcW w:w="612" w:type="dxa"/>
                  <w:tcBorders>
                    <w:tl2br w:val="nil"/>
                    <w:tr2bl w:val="nil"/>
                  </w:tcBorders>
                  <w:noWrap w:val="0"/>
                  <w:vAlign w:val="center"/>
                </w:tcPr>
                <w:p w14:paraId="694F750B">
                  <w:pPr>
                    <w:pStyle w:val="35"/>
                    <w:adjustRightInd w:val="0"/>
                    <w:snapToGrid w:val="0"/>
                    <w:ind w:firstLine="0" w:firstLineChars="0"/>
                    <w:jc w:val="center"/>
                    <w:rPr>
                      <w:rFonts w:hint="eastAsia"/>
                      <w:bCs/>
                      <w:caps/>
                      <w:color w:val="auto"/>
                      <w:szCs w:val="21"/>
                    </w:rPr>
                  </w:pPr>
                  <w:r>
                    <w:rPr>
                      <w:rFonts w:hint="eastAsia"/>
                      <w:bCs/>
                      <w:color w:val="auto"/>
                      <w:szCs w:val="21"/>
                    </w:rPr>
                    <w:t>符合</w:t>
                  </w:r>
                </w:p>
              </w:tc>
            </w:tr>
          </w:tbl>
          <w:p w14:paraId="56EB0C6D">
            <w:pPr>
              <w:keepNext w:val="0"/>
              <w:pageBreakBefore w:val="0"/>
              <w:widowControl w:val="0"/>
              <w:kinsoku/>
              <w:overflowPunct/>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b w:val="0"/>
                <w:bCs/>
                <w:caps/>
                <w:color w:val="auto"/>
                <w:kern w:val="0"/>
                <w:sz w:val="24"/>
                <w:szCs w:val="24"/>
                <w:lang w:val="en-US" w:eastAsia="zh-CN"/>
              </w:rPr>
              <w:t>由上表可知，项目的建设</w:t>
            </w:r>
            <w:r>
              <w:rPr>
                <w:rFonts w:hint="eastAsia" w:ascii="Times New Roman" w:hAnsi="Times New Roman" w:eastAsia="宋体" w:cs="Times New Roman"/>
                <w:b w:val="0"/>
                <w:bCs/>
                <w:caps/>
                <w:color w:val="auto"/>
                <w:kern w:val="0"/>
                <w:sz w:val="24"/>
                <w:szCs w:val="24"/>
                <w:lang w:val="en-US" w:eastAsia="zh-CN"/>
              </w:rPr>
              <w:t>与</w:t>
            </w:r>
            <w:r>
              <w:rPr>
                <w:rFonts w:hint="eastAsia" w:ascii="Times New Roman" w:hAnsi="Times New Roman"/>
                <w:b w:val="0"/>
                <w:bCs w:val="0"/>
                <w:color w:val="auto"/>
                <w:sz w:val="24"/>
                <w:highlight w:val="none"/>
              </w:rPr>
              <w:t>《危险废物转移管理办法》（部令第</w:t>
            </w:r>
            <w:r>
              <w:rPr>
                <w:rFonts w:ascii="Times New Roman" w:hAnsi="Times New Roman"/>
                <w:b w:val="0"/>
                <w:bCs w:val="0"/>
                <w:color w:val="auto"/>
                <w:sz w:val="24"/>
                <w:highlight w:val="none"/>
              </w:rPr>
              <w:t>23</w:t>
            </w:r>
            <w:r>
              <w:rPr>
                <w:rFonts w:hint="eastAsia" w:ascii="Times New Roman" w:hAnsi="Times New Roman"/>
                <w:b w:val="0"/>
                <w:bCs w:val="0"/>
                <w:color w:val="auto"/>
                <w:sz w:val="24"/>
                <w:highlight w:val="none"/>
              </w:rPr>
              <w:t>号）</w:t>
            </w:r>
            <w:r>
              <w:rPr>
                <w:rFonts w:hint="eastAsia" w:ascii="Times New Roman" w:hAnsi="Times New Roman" w:eastAsia="宋体" w:cs="Times New Roman"/>
                <w:b w:val="0"/>
                <w:bCs/>
                <w:caps/>
                <w:color w:val="auto"/>
                <w:kern w:val="0"/>
                <w:sz w:val="24"/>
                <w:szCs w:val="24"/>
                <w:lang w:val="en-US" w:eastAsia="zh-CN"/>
              </w:rPr>
              <w:t>相符。</w:t>
            </w:r>
          </w:p>
          <w:p w14:paraId="76B59ABA">
            <w:pPr>
              <w:keepNext w:val="0"/>
              <w:pageBreakBefore w:val="0"/>
              <w:widowControl w:val="0"/>
              <w:kinsoku/>
              <w:overflowPunct/>
              <w:autoSpaceDE w:val="0"/>
              <w:autoSpaceDN w:val="0"/>
              <w:bidi w:val="0"/>
              <w:adjustRightInd w:val="0"/>
              <w:snapToGrid w:val="0"/>
              <w:spacing w:line="460" w:lineRule="exact"/>
              <w:textAlignment w:val="auto"/>
              <w:rPr>
                <w:rFonts w:hint="eastAsia" w:ascii="Times New Roman" w:hAnsi="Times New Roman" w:eastAsia="宋体" w:cs="宋体"/>
                <w:b/>
                <w:bCs/>
                <w:color w:val="auto"/>
                <w:kern w:val="0"/>
                <w:sz w:val="24"/>
                <w:lang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18</w:t>
            </w:r>
            <w:r>
              <w:rPr>
                <w:rFonts w:hint="eastAsia" w:ascii="Times New Roman" w:hAnsi="Times New Roman" w:eastAsia="宋体" w:cs="Times New Roman"/>
                <w:b/>
                <w:bCs/>
                <w:color w:val="auto"/>
                <w:sz w:val="24"/>
                <w:lang w:val="en-US" w:eastAsia="zh-CN"/>
              </w:rPr>
              <w:t>）</w:t>
            </w:r>
            <w:r>
              <w:rPr>
                <w:rFonts w:hint="eastAsia" w:ascii="Times New Roman" w:hAnsi="Times New Roman" w:eastAsia="宋体" w:cs="宋体"/>
                <w:b/>
                <w:bCs/>
                <w:color w:val="auto"/>
                <w:kern w:val="0"/>
                <w:sz w:val="24"/>
                <w:lang w:eastAsia="zh-CN"/>
              </w:rPr>
              <w:t>选址合理性分析</w:t>
            </w:r>
          </w:p>
          <w:p w14:paraId="1781E78A">
            <w:pPr>
              <w:keepNext w:val="0"/>
              <w:pageBreakBefore w:val="0"/>
              <w:widowControl w:val="0"/>
              <w:kinsoku/>
              <w:overflowPunct/>
              <w:autoSpaceDE w:val="0"/>
              <w:autoSpaceDN w:val="0"/>
              <w:bidi w:val="0"/>
              <w:adjustRightInd w:val="0"/>
              <w:snapToGrid w:val="0"/>
              <w:spacing w:line="460" w:lineRule="exact"/>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本项目位于玉溪市通海县</w:t>
            </w:r>
            <w:r>
              <w:rPr>
                <w:rFonts w:hint="eastAsia" w:cs="宋体"/>
                <w:color w:val="auto"/>
                <w:kern w:val="0"/>
                <w:sz w:val="24"/>
                <w:lang w:eastAsia="zh-CN"/>
              </w:rPr>
              <w:t>纳古</w:t>
            </w:r>
            <w:r>
              <w:rPr>
                <w:rFonts w:hint="eastAsia" w:ascii="Times New Roman" w:hAnsi="Times New Roman" w:eastAsia="宋体" w:cs="宋体"/>
                <w:color w:val="auto"/>
                <w:kern w:val="0"/>
                <w:sz w:val="24"/>
                <w:lang w:eastAsia="zh-CN"/>
              </w:rPr>
              <w:t>镇</w:t>
            </w:r>
            <w:r>
              <w:rPr>
                <w:rFonts w:hint="eastAsia" w:cs="宋体"/>
                <w:color w:val="auto"/>
                <w:kern w:val="0"/>
                <w:sz w:val="24"/>
                <w:lang w:eastAsia="zh-CN"/>
              </w:rPr>
              <w:t>大白龙，</w:t>
            </w:r>
            <w:r>
              <w:rPr>
                <w:rFonts w:hint="eastAsia" w:cs="宋体"/>
                <w:color w:val="auto"/>
                <w:kern w:val="0"/>
                <w:sz w:val="24"/>
                <w:lang w:val="en-US" w:eastAsia="zh-CN"/>
              </w:rPr>
              <w:t>租用通海大白龙工贸有限公司厂房，并在</w:t>
            </w:r>
            <w:r>
              <w:rPr>
                <w:rFonts w:hint="eastAsia" w:ascii="Times New Roman" w:hAnsi="Times New Roman" w:eastAsia="宋体" w:cs="宋体"/>
                <w:color w:val="auto"/>
                <w:kern w:val="0"/>
                <w:sz w:val="24"/>
                <w:lang w:eastAsia="zh-CN"/>
              </w:rPr>
              <w:t>原有厂区基础上进行</w:t>
            </w:r>
            <w:r>
              <w:rPr>
                <w:rFonts w:hint="eastAsia" w:cs="宋体"/>
                <w:color w:val="auto"/>
                <w:kern w:val="0"/>
                <w:sz w:val="24"/>
                <w:lang w:eastAsia="zh-CN"/>
              </w:rPr>
              <w:t>，</w:t>
            </w:r>
            <w:r>
              <w:rPr>
                <w:rFonts w:hint="eastAsia" w:ascii="Times New Roman" w:hAnsi="Times New Roman" w:eastAsia="宋体" w:cs="宋体"/>
                <w:color w:val="auto"/>
                <w:kern w:val="0"/>
                <w:sz w:val="24"/>
                <w:lang w:val="en-US" w:eastAsia="zh-CN"/>
              </w:rPr>
              <w:t>改建</w:t>
            </w:r>
            <w:r>
              <w:rPr>
                <w:rFonts w:hint="eastAsia" w:cs="宋体"/>
                <w:color w:val="auto"/>
                <w:kern w:val="0"/>
                <w:sz w:val="24"/>
                <w:lang w:eastAsia="zh-CN"/>
              </w:rPr>
              <w:t>不新增用地，项目符合通海</w:t>
            </w:r>
            <w:r>
              <w:rPr>
                <w:rFonts w:hint="eastAsia" w:ascii="Times New Roman" w:hAnsi="Times New Roman" w:eastAsia="宋体" w:cs="宋体"/>
                <w:color w:val="auto"/>
                <w:kern w:val="0"/>
                <w:sz w:val="24"/>
                <w:lang w:eastAsia="zh-CN"/>
              </w:rPr>
              <w:t>县国土空间规划和土地储备委2025年2月13日审查通过的《玉溪市通海县纳古镇集镇区国土空间详细规划(2单元)》，项目已经取得通海县纳古镇人民政府</w:t>
            </w:r>
            <w:r>
              <w:rPr>
                <w:rFonts w:hint="eastAsia" w:cs="宋体"/>
                <w:color w:val="auto"/>
                <w:kern w:val="0"/>
                <w:sz w:val="24"/>
                <w:lang w:eastAsia="zh-CN"/>
              </w:rPr>
              <w:t>及通海县自然资源局出具的请示及回复</w:t>
            </w:r>
            <w:r>
              <w:rPr>
                <w:rFonts w:hint="eastAsia" w:ascii="Times New Roman" w:hAnsi="Times New Roman" w:eastAsia="宋体" w:cs="宋体"/>
                <w:color w:val="auto"/>
                <w:kern w:val="0"/>
                <w:sz w:val="24"/>
                <w:lang w:eastAsia="zh-CN"/>
              </w:rPr>
              <w:t>，</w:t>
            </w:r>
            <w:r>
              <w:rPr>
                <w:rFonts w:hint="eastAsia" w:cs="宋体"/>
                <w:color w:val="auto"/>
                <w:kern w:val="0"/>
                <w:sz w:val="24"/>
                <w:lang w:val="en-US" w:eastAsia="zh-CN"/>
              </w:rPr>
              <w:t>将物流仓储用地调整为工业用地符合上位规划的管控规则</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宋体"/>
                <w:color w:val="auto"/>
                <w:kern w:val="0"/>
                <w:sz w:val="24"/>
                <w:lang w:eastAsia="zh-CN"/>
              </w:rPr>
              <w:t>同意项目在</w:t>
            </w:r>
            <w:r>
              <w:rPr>
                <w:rFonts w:hint="eastAsia" w:cs="宋体"/>
                <w:color w:val="auto"/>
                <w:kern w:val="0"/>
                <w:sz w:val="24"/>
                <w:lang w:eastAsia="zh-CN"/>
              </w:rPr>
              <w:t>拟租用</w:t>
            </w:r>
            <w:r>
              <w:rPr>
                <w:rFonts w:hint="eastAsia" w:ascii="Times New Roman" w:hAnsi="Times New Roman" w:eastAsia="宋体" w:cs="宋体"/>
                <w:color w:val="auto"/>
                <w:kern w:val="0"/>
                <w:sz w:val="24"/>
                <w:lang w:eastAsia="zh-CN"/>
              </w:rPr>
              <w:t>原厂区内进行改造（详见附件3</w:t>
            </w:r>
            <w:r>
              <w:rPr>
                <w:rFonts w:hint="eastAsia" w:cs="宋体"/>
                <w:color w:val="auto"/>
                <w:kern w:val="0"/>
                <w:sz w:val="24"/>
                <w:lang w:eastAsia="zh-CN"/>
              </w:rPr>
              <w:t>、附件</w:t>
            </w:r>
            <w:r>
              <w:rPr>
                <w:rFonts w:hint="eastAsia" w:cs="宋体"/>
                <w:color w:val="auto"/>
                <w:kern w:val="0"/>
                <w:sz w:val="24"/>
                <w:lang w:val="en-US" w:eastAsia="zh-CN"/>
              </w:rPr>
              <w:t>4</w:t>
            </w:r>
            <w:r>
              <w:rPr>
                <w:rFonts w:hint="eastAsia" w:ascii="Times New Roman" w:hAnsi="Times New Roman" w:eastAsia="宋体" w:cs="宋体"/>
                <w:color w:val="auto"/>
                <w:kern w:val="0"/>
                <w:sz w:val="24"/>
                <w:lang w:eastAsia="zh-CN"/>
              </w:rPr>
              <w:t>）。</w:t>
            </w:r>
          </w:p>
          <w:p w14:paraId="0611A50F">
            <w:pPr>
              <w:keepNext w:val="0"/>
              <w:pageBreakBefore w:val="0"/>
              <w:widowControl w:val="0"/>
              <w:kinsoku/>
              <w:overflowPunct/>
              <w:autoSpaceDE w:val="0"/>
              <w:autoSpaceDN w:val="0"/>
              <w:bidi w:val="0"/>
              <w:adjustRightInd w:val="0"/>
              <w:snapToGrid w:val="0"/>
              <w:spacing w:line="460" w:lineRule="exact"/>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val="en-US" w:eastAsia="zh-CN"/>
              </w:rPr>
              <w:t>项目场址位置</w:t>
            </w:r>
            <w:r>
              <w:rPr>
                <w:rFonts w:hint="eastAsia" w:ascii="Times New Roman" w:hAnsi="Times New Roman" w:eastAsia="宋体" w:cs="宋体"/>
                <w:color w:val="auto"/>
                <w:kern w:val="0"/>
                <w:sz w:val="24"/>
                <w:lang w:eastAsia="zh-CN"/>
              </w:rPr>
              <w:t>基础设施的建设完善，所选厂地供电、供水、交通等基础条件十分便利。项目建成后在采取相应环保措施条件下，项目产生的废气达标排放，对周围环境影响不大。项目产生少量机修废物收集暂存于危废间内定期委托有资质的单位处置；本项目生产废水处理后循环使用，不外排；生活污水经化粪池处理后，利用罐车拉运至纳古镇污水处理站处理，属于间接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02141DA4">
            <w:pPr>
              <w:keepNext w:val="0"/>
              <w:pageBreakBefore w:val="0"/>
              <w:widowControl w:val="0"/>
              <w:kinsoku/>
              <w:overflowPunct/>
              <w:autoSpaceDE w:val="0"/>
              <w:autoSpaceDN w:val="0"/>
              <w:bidi w:val="0"/>
              <w:adjustRightInd w:val="0"/>
              <w:snapToGrid w:val="0"/>
              <w:spacing w:line="460" w:lineRule="exact"/>
              <w:ind w:firstLine="480" w:firstLineChars="200"/>
              <w:textAlignment w:val="auto"/>
              <w:rPr>
                <w:rFonts w:hint="eastAsia" w:ascii="Times New Roman" w:hAnsi="Times New Roman" w:eastAsia="宋体" w:cs="宋体"/>
                <w:color w:val="auto"/>
                <w:kern w:val="0"/>
                <w:sz w:val="24"/>
                <w:lang w:eastAsia="zh-CN"/>
              </w:rPr>
            </w:pPr>
            <w:r>
              <w:rPr>
                <w:rFonts w:hint="eastAsia" w:ascii="Times New Roman" w:hAnsi="Times New Roman" w:eastAsia="宋体" w:cs="宋体"/>
                <w:color w:val="auto"/>
                <w:kern w:val="0"/>
                <w:sz w:val="24"/>
                <w:lang w:eastAsia="zh-CN"/>
              </w:rPr>
              <w:t>综上，项目建设场地条件、交通运输、环境保护和水、电、通信等条件良好，无重大的环境制约因素，项目选址合理。</w:t>
            </w:r>
          </w:p>
          <w:p w14:paraId="4D5BC5EF">
            <w:pPr>
              <w:keepNext w:val="0"/>
              <w:pageBreakBefore w:val="0"/>
              <w:widowControl w:val="0"/>
              <w:kinsoku/>
              <w:overflowPunct/>
              <w:autoSpaceDE w:val="0"/>
              <w:autoSpaceDN w:val="0"/>
              <w:bidi w:val="0"/>
              <w:adjustRightInd w:val="0"/>
              <w:snapToGrid w:val="0"/>
              <w:spacing w:line="460" w:lineRule="exact"/>
              <w:textAlignment w:val="auto"/>
              <w:rPr>
                <w:rFonts w:hint="default" w:ascii="Times New Roman" w:hAnsi="Times New Roman" w:eastAsia="宋体" w:cs="宋体"/>
                <w:b/>
                <w:bCs/>
                <w:color w:val="auto"/>
                <w:kern w:val="0"/>
                <w:sz w:val="24"/>
                <w:lang w:val="en-US" w:eastAsia="zh-CN"/>
              </w:rPr>
            </w:pPr>
            <w:r>
              <w:rPr>
                <w:rFonts w:hint="eastAsia" w:ascii="Times New Roman" w:hAnsi="Times New Roman" w:eastAsia="宋体" w:cs="宋体"/>
                <w:b/>
                <w:bCs/>
                <w:color w:val="auto"/>
                <w:kern w:val="0"/>
                <w:sz w:val="24"/>
                <w:lang w:eastAsia="zh-CN"/>
              </w:rPr>
              <w:t>（</w:t>
            </w:r>
            <w:r>
              <w:rPr>
                <w:rFonts w:hint="eastAsia" w:cs="宋体"/>
                <w:b/>
                <w:bCs/>
                <w:color w:val="auto"/>
                <w:kern w:val="0"/>
                <w:sz w:val="24"/>
                <w:lang w:val="en-US" w:eastAsia="zh-CN"/>
              </w:rPr>
              <w:t>19</w:t>
            </w:r>
            <w:r>
              <w:rPr>
                <w:rFonts w:hint="eastAsia" w:ascii="Times New Roman" w:hAnsi="Times New Roman" w:eastAsia="宋体" w:cs="宋体"/>
                <w:b/>
                <w:bCs/>
                <w:color w:val="auto"/>
                <w:kern w:val="0"/>
                <w:sz w:val="24"/>
                <w:lang w:eastAsia="zh-CN"/>
              </w:rPr>
              <w:t>）平面布局合理性分析</w:t>
            </w:r>
          </w:p>
          <w:p w14:paraId="3ACF4E0F">
            <w:pPr>
              <w:keepNext w:val="0"/>
              <w:pageBreakBefore w:val="0"/>
              <w:widowControl w:val="0"/>
              <w:kinsoku/>
              <w:overflowPunct/>
              <w:bidi w:val="0"/>
              <w:adjustRightInd w:val="0"/>
              <w:snapToGrid w:val="0"/>
              <w:spacing w:line="460" w:lineRule="exact"/>
              <w:ind w:firstLine="480" w:firstLineChars="200"/>
              <w:textAlignment w:val="auto"/>
              <w:rPr>
                <w:rFonts w:hint="eastAsia" w:ascii="Times New Roman" w:hAnsi="Times New Roman" w:eastAsia="宋体" w:cs="黑体"/>
                <w:color w:val="auto"/>
                <w:sz w:val="24"/>
                <w:lang w:eastAsia="zh-CN"/>
              </w:rPr>
            </w:pPr>
            <w:r>
              <w:rPr>
                <w:rFonts w:hint="eastAsia" w:ascii="Times New Roman" w:hAnsi="Times New Roman" w:eastAsia="宋体" w:cs="黑体"/>
                <w:color w:val="auto"/>
                <w:sz w:val="24"/>
              </w:rPr>
              <w:t>项目位于</w:t>
            </w:r>
            <w:r>
              <w:rPr>
                <w:rFonts w:hint="eastAsia" w:ascii="Times New Roman" w:hAnsi="Times New Roman" w:eastAsia="宋体"/>
                <w:color w:val="auto"/>
                <w:sz w:val="24"/>
                <w:lang w:eastAsia="zh-CN"/>
              </w:rPr>
              <w:t>玉溪市通海县</w:t>
            </w:r>
            <w:r>
              <w:rPr>
                <w:rFonts w:hint="eastAsia"/>
                <w:color w:val="auto"/>
                <w:sz w:val="24"/>
                <w:lang w:eastAsia="zh-CN"/>
              </w:rPr>
              <w:t>纳古镇大白龙</w:t>
            </w:r>
            <w:r>
              <w:rPr>
                <w:rFonts w:hint="eastAsia" w:ascii="Times New Roman" w:hAnsi="Times New Roman" w:eastAsia="宋体" w:cs="黑体"/>
                <w:color w:val="auto"/>
                <w:sz w:val="24"/>
              </w:rPr>
              <w:t>，</w:t>
            </w:r>
            <w:r>
              <w:rPr>
                <w:rFonts w:hint="eastAsia" w:ascii="Times New Roman" w:hAnsi="Times New Roman" w:eastAsia="宋体" w:cs="黑体"/>
                <w:color w:val="auto"/>
                <w:sz w:val="24"/>
                <w:lang w:val="en-US" w:eastAsia="zh-CN"/>
              </w:rPr>
              <w:t>利用现有的厂房进行建设，不新增用地</w:t>
            </w:r>
            <w:r>
              <w:rPr>
                <w:rFonts w:hint="eastAsia" w:ascii="Times New Roman" w:hAnsi="Times New Roman" w:eastAsia="宋体" w:cs="黑体"/>
                <w:color w:val="auto"/>
                <w:sz w:val="24"/>
                <w:lang w:eastAsia="zh-CN"/>
              </w:rPr>
              <w:t>。</w:t>
            </w:r>
            <w:r>
              <w:rPr>
                <w:rFonts w:hint="eastAsia" w:ascii="Times New Roman" w:hAnsi="Times New Roman" w:eastAsia="宋体" w:cs="黑体"/>
                <w:color w:val="auto"/>
                <w:sz w:val="24"/>
              </w:rPr>
              <w:t>项目分为办公区与生产区，</w:t>
            </w:r>
            <w:r>
              <w:rPr>
                <w:rFonts w:hint="eastAsia" w:ascii="Times New Roman" w:hAnsi="Times New Roman" w:eastAsia="宋体" w:cs="黑体"/>
                <w:color w:val="auto"/>
                <w:sz w:val="24"/>
                <w:lang w:eastAsia="zh-CN"/>
              </w:rPr>
              <w:t>办公区位于项目区</w:t>
            </w:r>
            <w:r>
              <w:rPr>
                <w:rFonts w:hint="eastAsia" w:ascii="Times New Roman" w:hAnsi="Times New Roman" w:eastAsia="宋体" w:cs="Inter"/>
                <w:i w:val="0"/>
                <w:iCs w:val="0"/>
                <w:caps w:val="0"/>
                <w:color w:val="auto"/>
                <w:spacing w:val="0"/>
                <w:sz w:val="24"/>
                <w:szCs w:val="24"/>
                <w:shd w:val="clear" w:fill="FFFFFF"/>
                <w:lang w:eastAsia="zh-CN"/>
              </w:rPr>
              <w:t>外东南侧，与进场道路相连接，主要布置办公室和卫生间</w:t>
            </w:r>
            <w:r>
              <w:rPr>
                <w:rFonts w:hint="eastAsia" w:ascii="Times New Roman" w:hAnsi="Times New Roman" w:eastAsia="宋体" w:cs="Inter"/>
                <w:i w:val="0"/>
                <w:iCs w:val="0"/>
                <w:caps w:val="0"/>
                <w:color w:val="auto"/>
                <w:spacing w:val="0"/>
                <w:sz w:val="24"/>
                <w:szCs w:val="24"/>
                <w:shd w:val="clear" w:fill="FFFFFF"/>
                <w:lang w:val="en-US" w:eastAsia="zh-CN"/>
              </w:rPr>
              <w:t>；生产区</w:t>
            </w:r>
            <w:r>
              <w:rPr>
                <w:rFonts w:hint="eastAsia" w:ascii="Times New Roman" w:hAnsi="Times New Roman" w:eastAsia="宋体" w:cs="黑体"/>
                <w:color w:val="auto"/>
                <w:sz w:val="24"/>
                <w:lang w:val="en-US" w:eastAsia="zh-CN"/>
              </w:rPr>
              <w:t>共设置4个</w:t>
            </w:r>
            <w:r>
              <w:rPr>
                <w:rFonts w:hint="eastAsia" w:ascii="Times New Roman" w:hAnsi="Times New Roman" w:eastAsia="宋体" w:cs="黑体"/>
                <w:color w:val="auto"/>
                <w:sz w:val="24"/>
                <w:lang w:eastAsia="zh-CN"/>
              </w:rPr>
              <w:t>车间，且各车间分别设有</w:t>
            </w:r>
            <w:r>
              <w:rPr>
                <w:rFonts w:hint="eastAsia" w:ascii="Times New Roman" w:hAnsi="Times New Roman" w:eastAsia="宋体" w:cs="黑体"/>
                <w:color w:val="auto"/>
                <w:sz w:val="24"/>
                <w:lang w:val="en-US" w:eastAsia="zh-CN"/>
              </w:rPr>
              <w:t>2条焊管生产线，车间内按生产工艺流程自西向东布置，</w:t>
            </w:r>
            <w:r>
              <w:rPr>
                <w:rFonts w:hint="eastAsia" w:ascii="Times New Roman" w:hAnsi="Times New Roman" w:eastAsia="宋体" w:cs="黑体"/>
                <w:color w:val="auto"/>
                <w:sz w:val="24"/>
                <w:lang w:eastAsia="zh-CN"/>
              </w:rPr>
              <w:t>原料库位于</w:t>
            </w:r>
            <w:r>
              <w:rPr>
                <w:rFonts w:hint="eastAsia" w:ascii="Times New Roman" w:hAnsi="Times New Roman" w:eastAsia="宋体" w:cs="黑体"/>
                <w:color w:val="auto"/>
                <w:sz w:val="24"/>
                <w:lang w:val="en-US" w:eastAsia="zh-CN"/>
              </w:rPr>
              <w:t>1#和2#生产车间西侧，并设有一般固废暂存间和危废暂存间各1间；成品库位于1#和2#生产车间东侧，2#和4#车间西侧设有分剪机各1台，项目区外西侧有三个水池，其中一个设为事故水池，其余两个用做生产废水循环沉淀池。</w:t>
            </w:r>
          </w:p>
          <w:p w14:paraId="60B5A221">
            <w:pPr>
              <w:keepNext w:val="0"/>
              <w:keepLines/>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整个厂区功能分区明确，布置合理，物流线路短，生产作业线无交叉、无逆流，物流、人流和生产区相对分开，便于管理和安全生产。厂区出入口直接连接厂外道路，方便物流及产品的运输，厂房内部按流程合理布局，功能区分工明确，各区布局简单合理</w:t>
            </w:r>
            <w:r>
              <w:rPr>
                <w:rFonts w:hint="default" w:ascii="Times New Roman" w:hAnsi="Times New Roman" w:eastAsia="宋体" w:cs="Times New Roman"/>
                <w:color w:val="auto"/>
                <w:sz w:val="24"/>
              </w:rPr>
              <w:t>。</w:t>
            </w:r>
          </w:p>
          <w:p w14:paraId="07412983">
            <w:pPr>
              <w:keepNext w:val="0"/>
              <w:pageBreakBefore w:val="0"/>
              <w:widowControl w:val="0"/>
              <w:kinsoku/>
              <w:overflowPunct/>
              <w:bidi w:val="0"/>
              <w:adjustRightInd w:val="0"/>
              <w:snapToGrid w:val="0"/>
              <w:spacing w:line="460" w:lineRule="exact"/>
              <w:ind w:firstLine="480" w:firstLineChars="200"/>
              <w:textAlignment w:val="auto"/>
              <w:rPr>
                <w:rFonts w:hint="eastAsia" w:ascii="Times New Roman" w:hAnsi="Times New Roman" w:eastAsia="宋体"/>
                <w:bCs/>
                <w:color w:val="auto"/>
                <w:sz w:val="24"/>
                <w:highlight w:val="none"/>
                <w:lang w:eastAsia="zh-CN"/>
              </w:rPr>
            </w:pPr>
            <w:r>
              <w:rPr>
                <w:rFonts w:hint="eastAsia" w:ascii="Times New Roman" w:hAnsi="Times New Roman" w:eastAsia="宋体"/>
                <w:bCs/>
                <w:color w:val="auto"/>
                <w:sz w:val="24"/>
                <w:highlight w:val="none"/>
              </w:rPr>
              <w:t>本项目平面布置示意图见附图</w:t>
            </w:r>
            <w:r>
              <w:rPr>
                <w:rFonts w:hint="eastAsia"/>
                <w:bCs/>
                <w:color w:val="auto"/>
                <w:sz w:val="24"/>
                <w:highlight w:val="none"/>
                <w:lang w:val="en-US" w:eastAsia="zh-CN"/>
              </w:rPr>
              <w:t>4</w:t>
            </w:r>
            <w:r>
              <w:rPr>
                <w:rFonts w:hint="eastAsia" w:ascii="Times New Roman" w:hAnsi="Times New Roman" w:eastAsia="宋体"/>
                <w:bCs/>
                <w:color w:val="auto"/>
                <w:sz w:val="24"/>
                <w:highlight w:val="none"/>
                <w:lang w:eastAsia="zh-CN"/>
              </w:rPr>
              <w:t>。</w:t>
            </w:r>
          </w:p>
          <w:p w14:paraId="2291EC01">
            <w:pPr>
              <w:keepNext w:val="0"/>
              <w:pageBreakBefore w:val="0"/>
              <w:widowControl w:val="0"/>
              <w:kinsoku/>
              <w:overflowPunct/>
              <w:autoSpaceDE w:val="0"/>
              <w:autoSpaceDN w:val="0"/>
              <w:bidi w:val="0"/>
              <w:adjustRightInd w:val="0"/>
              <w:snapToGrid w:val="0"/>
              <w:spacing w:line="460" w:lineRule="exact"/>
              <w:textAlignment w:val="auto"/>
              <w:rPr>
                <w:rFonts w:hint="default" w:ascii="Times New Roman" w:hAnsi="Times New Roman" w:eastAsia="宋体" w:cs="宋体"/>
                <w:b/>
                <w:bCs/>
                <w:color w:val="auto"/>
                <w:kern w:val="0"/>
                <w:sz w:val="24"/>
                <w:lang w:val="en-US" w:eastAsia="zh-CN"/>
              </w:rPr>
            </w:pPr>
            <w:r>
              <w:rPr>
                <w:rFonts w:hint="eastAsia" w:ascii="Times New Roman" w:hAnsi="Times New Roman" w:eastAsia="宋体" w:cs="宋体"/>
                <w:b/>
                <w:bCs/>
                <w:color w:val="auto"/>
                <w:kern w:val="0"/>
                <w:sz w:val="24"/>
                <w:lang w:eastAsia="zh-CN"/>
              </w:rPr>
              <w:t>（</w:t>
            </w:r>
            <w:r>
              <w:rPr>
                <w:rFonts w:hint="eastAsia" w:ascii="Times New Roman" w:hAnsi="Times New Roman" w:eastAsia="宋体" w:cs="宋体"/>
                <w:b/>
                <w:bCs/>
                <w:color w:val="auto"/>
                <w:kern w:val="0"/>
                <w:sz w:val="24"/>
                <w:lang w:val="en-US" w:eastAsia="zh-CN"/>
              </w:rPr>
              <w:t>2</w:t>
            </w:r>
            <w:r>
              <w:rPr>
                <w:rFonts w:hint="eastAsia" w:cs="宋体"/>
                <w:b/>
                <w:bCs/>
                <w:color w:val="auto"/>
                <w:kern w:val="0"/>
                <w:sz w:val="24"/>
                <w:lang w:val="en-US" w:eastAsia="zh-CN"/>
              </w:rPr>
              <w:t>0</w:t>
            </w:r>
            <w:r>
              <w:rPr>
                <w:rFonts w:hint="eastAsia" w:ascii="Times New Roman" w:hAnsi="Times New Roman" w:eastAsia="宋体" w:cs="宋体"/>
                <w:b/>
                <w:bCs/>
                <w:color w:val="auto"/>
                <w:kern w:val="0"/>
                <w:sz w:val="24"/>
                <w:lang w:eastAsia="zh-CN"/>
              </w:rPr>
              <w:t>）</w:t>
            </w:r>
            <w:r>
              <w:rPr>
                <w:rFonts w:hint="default" w:ascii="Times New Roman" w:hAnsi="Times New Roman" w:eastAsia="宋体" w:cs="宋体"/>
                <w:b/>
                <w:bCs/>
                <w:color w:val="auto"/>
                <w:kern w:val="0"/>
                <w:sz w:val="24"/>
                <w:lang w:val="en-US" w:eastAsia="zh-CN"/>
              </w:rPr>
              <w:t>环境相容性分析</w:t>
            </w:r>
          </w:p>
          <w:p w14:paraId="7F712AED">
            <w:pPr>
              <w:keepNext w:val="0"/>
              <w:pageBreakBefore w:val="0"/>
              <w:widowControl w:val="0"/>
              <w:kinsoku/>
              <w:overflowPunct/>
              <w:bidi w:val="0"/>
              <w:adjustRightInd w:val="0"/>
              <w:snapToGrid w:val="0"/>
              <w:spacing w:line="460" w:lineRule="exact"/>
              <w:ind w:firstLine="480" w:firstLineChars="200"/>
              <w:textAlignment w:val="auto"/>
              <w:rPr>
                <w:rFonts w:hint="default" w:ascii="Times New Roman" w:hAnsi="Times New Roman" w:eastAsia="宋体" w:cs="黑体"/>
                <w:color w:val="auto"/>
                <w:sz w:val="24"/>
                <w:lang w:val="en-US" w:eastAsia="zh-CN"/>
              </w:rPr>
            </w:pPr>
            <w:r>
              <w:rPr>
                <w:rFonts w:hint="default" w:ascii="Times New Roman" w:hAnsi="Times New Roman" w:eastAsia="宋体" w:cs="黑体"/>
                <w:color w:val="auto"/>
                <w:sz w:val="24"/>
                <w:lang w:val="en-US" w:eastAsia="zh-CN"/>
              </w:rPr>
              <w:t>项目</w:t>
            </w:r>
            <w:r>
              <w:rPr>
                <w:rFonts w:hint="eastAsia" w:ascii="Times New Roman" w:hAnsi="Times New Roman" w:eastAsia="宋体" w:cs="黑体"/>
                <w:color w:val="auto"/>
                <w:sz w:val="24"/>
                <w:lang w:val="en-US" w:eastAsia="zh-CN"/>
              </w:rPr>
              <w:t>厂界外</w:t>
            </w:r>
            <w:r>
              <w:rPr>
                <w:rFonts w:hint="default" w:ascii="Times New Roman" w:hAnsi="Times New Roman" w:eastAsia="宋体" w:cs="黑体"/>
                <w:color w:val="auto"/>
                <w:sz w:val="24"/>
                <w:lang w:val="en-US" w:eastAsia="zh-CN"/>
              </w:rPr>
              <w:t>500m范围内环境受体及企业分布情况详见表1-</w:t>
            </w:r>
            <w:r>
              <w:rPr>
                <w:rFonts w:hint="eastAsia" w:ascii="Times New Roman" w:hAnsi="Times New Roman" w:eastAsia="宋体" w:cs="黑体"/>
                <w:color w:val="auto"/>
                <w:sz w:val="24"/>
                <w:lang w:val="en-US" w:eastAsia="zh-CN"/>
              </w:rPr>
              <w:t>15，项目</w:t>
            </w:r>
            <w:r>
              <w:rPr>
                <w:rFonts w:hint="default" w:ascii="Times New Roman" w:hAnsi="Times New Roman" w:eastAsia="宋体" w:cs="黑体"/>
                <w:color w:val="auto"/>
                <w:sz w:val="24"/>
                <w:lang w:val="en-US" w:eastAsia="zh-CN"/>
              </w:rPr>
              <w:t>环境受体及企业分布</w:t>
            </w:r>
            <w:r>
              <w:rPr>
                <w:rFonts w:hint="eastAsia" w:ascii="Times New Roman" w:hAnsi="Times New Roman" w:eastAsia="宋体" w:cs="黑体"/>
                <w:color w:val="auto"/>
                <w:sz w:val="24"/>
                <w:lang w:val="en-US" w:eastAsia="zh-CN"/>
              </w:rPr>
              <w:t>详见附图3。</w:t>
            </w:r>
          </w:p>
          <w:p w14:paraId="2CE4F03D">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表1-</w:t>
            </w:r>
            <w:r>
              <w:rPr>
                <w:rFonts w:hint="eastAsia" w:ascii="Times New Roman" w:hAnsi="Times New Roman" w:cs="Times New Roman"/>
                <w:b/>
                <w:bCs/>
                <w:color w:val="auto"/>
                <w:kern w:val="2"/>
                <w:sz w:val="21"/>
                <w:szCs w:val="24"/>
                <w:lang w:val="en-US" w:eastAsia="zh-CN" w:bidi="ar-SA"/>
              </w:rPr>
              <w:t>15</w:t>
            </w:r>
            <w:r>
              <w:rPr>
                <w:rFonts w:hint="default" w:ascii="Times New Roman" w:hAnsi="Times New Roman" w:eastAsia="宋体" w:cs="Times New Roman"/>
                <w:b/>
                <w:bCs/>
                <w:color w:val="auto"/>
                <w:kern w:val="2"/>
                <w:sz w:val="21"/>
                <w:szCs w:val="24"/>
                <w:lang w:val="en-US" w:eastAsia="zh-CN" w:bidi="ar-SA"/>
              </w:rPr>
              <w:t xml:space="preserve">   项目周边环境受体及企业分布情况一览表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633"/>
              <w:gridCol w:w="679"/>
              <w:gridCol w:w="663"/>
              <w:gridCol w:w="1747"/>
              <w:gridCol w:w="1882"/>
            </w:tblGrid>
            <w:tr w14:paraId="4589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368" w:type="pct"/>
                  <w:noWrap w:val="0"/>
                  <w:vAlign w:val="center"/>
                </w:tcPr>
                <w:p w14:paraId="6F2A0E0C">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序号</w:t>
                  </w:r>
                </w:p>
              </w:tc>
              <w:tc>
                <w:tcPr>
                  <w:tcW w:w="1145" w:type="pct"/>
                  <w:noWrap w:val="0"/>
                  <w:vAlign w:val="center"/>
                </w:tcPr>
                <w:p w14:paraId="359D4AC5">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企业名称</w:t>
                  </w:r>
                </w:p>
              </w:tc>
              <w:tc>
                <w:tcPr>
                  <w:tcW w:w="476" w:type="pct"/>
                  <w:noWrap w:val="0"/>
                  <w:vAlign w:val="center"/>
                </w:tcPr>
                <w:p w14:paraId="6FC20A0E">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方位</w:t>
                  </w:r>
                </w:p>
              </w:tc>
              <w:tc>
                <w:tcPr>
                  <w:tcW w:w="465" w:type="pct"/>
                  <w:noWrap w:val="0"/>
                  <w:vAlign w:val="center"/>
                </w:tcPr>
                <w:p w14:paraId="198CA5C0">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距离/m</w:t>
                  </w:r>
                </w:p>
              </w:tc>
              <w:tc>
                <w:tcPr>
                  <w:tcW w:w="1225" w:type="pct"/>
                  <w:noWrap w:val="0"/>
                  <w:vAlign w:val="center"/>
                </w:tcPr>
                <w:p w14:paraId="0BE8EC16">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行业类别</w:t>
                  </w:r>
                </w:p>
              </w:tc>
              <w:tc>
                <w:tcPr>
                  <w:tcW w:w="1319" w:type="pct"/>
                  <w:noWrap w:val="0"/>
                  <w:vAlign w:val="center"/>
                </w:tcPr>
                <w:p w14:paraId="668E13AD">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污染物排放</w:t>
                  </w:r>
                </w:p>
              </w:tc>
            </w:tr>
            <w:tr w14:paraId="18AF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368" w:type="pct"/>
                  <w:noWrap w:val="0"/>
                  <w:vAlign w:val="center"/>
                </w:tcPr>
                <w:p w14:paraId="27F9DA5F">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1</w:t>
                  </w:r>
                </w:p>
              </w:tc>
              <w:tc>
                <w:tcPr>
                  <w:tcW w:w="1145" w:type="pct"/>
                  <w:noWrap w:val="0"/>
                  <w:vAlign w:val="center"/>
                </w:tcPr>
                <w:p w14:paraId="7B389396">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eastAsia="宋体" w:cs="Times New Roman"/>
                      <w:b w:val="0"/>
                      <w:bCs w:val="0"/>
                      <w:color w:val="auto"/>
                      <w:kern w:val="2"/>
                      <w:sz w:val="21"/>
                      <w:szCs w:val="24"/>
                      <w:vertAlign w:val="baseline"/>
                      <w:lang w:val="en-US" w:eastAsia="zh-CN" w:bidi="ar-SA"/>
                    </w:rPr>
                    <w:t>云南智博机械制造有限公司</w:t>
                  </w:r>
                  <w:r>
                    <w:rPr>
                      <w:rFonts w:hint="default" w:ascii="Times New Roman" w:hAnsi="Times New Roman" w:eastAsia="宋体" w:cs="Times New Roman"/>
                      <w:b w:val="0"/>
                      <w:bCs w:val="0"/>
                      <w:color w:val="auto"/>
                      <w:kern w:val="2"/>
                      <w:sz w:val="21"/>
                      <w:szCs w:val="24"/>
                      <w:vertAlign w:val="baseline"/>
                      <w:lang w:val="en-US" w:eastAsia="zh-CN" w:bidi="ar-SA"/>
                    </w:rPr>
                    <w:t>公司</w:t>
                  </w:r>
                </w:p>
              </w:tc>
              <w:tc>
                <w:tcPr>
                  <w:tcW w:w="476" w:type="pct"/>
                  <w:noWrap w:val="0"/>
                  <w:vAlign w:val="center"/>
                </w:tcPr>
                <w:p w14:paraId="71D248B9">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东南</w:t>
                  </w:r>
                  <w:r>
                    <w:rPr>
                      <w:rFonts w:hint="default" w:ascii="Times New Roman" w:hAnsi="Times New Roman" w:eastAsia="宋体" w:cs="Times New Roman"/>
                      <w:b w:val="0"/>
                      <w:bCs w:val="0"/>
                      <w:color w:val="auto"/>
                      <w:kern w:val="2"/>
                      <w:sz w:val="21"/>
                      <w:szCs w:val="24"/>
                      <w:vertAlign w:val="baseline"/>
                      <w:lang w:val="en-US" w:eastAsia="zh-CN" w:bidi="ar-SA"/>
                    </w:rPr>
                    <w:t>侧</w:t>
                  </w:r>
                </w:p>
              </w:tc>
              <w:tc>
                <w:tcPr>
                  <w:tcW w:w="465" w:type="pct"/>
                  <w:noWrap w:val="0"/>
                  <w:vAlign w:val="center"/>
                </w:tcPr>
                <w:p w14:paraId="28C708C4">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353</w:t>
                  </w:r>
                </w:p>
              </w:tc>
              <w:tc>
                <w:tcPr>
                  <w:tcW w:w="1225" w:type="pct"/>
                  <w:noWrap w:val="0"/>
                  <w:vAlign w:val="center"/>
                </w:tcPr>
                <w:p w14:paraId="6150FF06">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金属结构</w:t>
                  </w:r>
                  <w:r>
                    <w:rPr>
                      <w:rFonts w:hint="default" w:ascii="Times New Roman" w:hAnsi="Times New Roman" w:eastAsia="宋体" w:cs="Times New Roman"/>
                      <w:b w:val="0"/>
                      <w:bCs w:val="0"/>
                      <w:color w:val="auto"/>
                      <w:kern w:val="2"/>
                      <w:sz w:val="21"/>
                      <w:szCs w:val="24"/>
                      <w:vertAlign w:val="baseline"/>
                      <w:lang w:val="en-US" w:eastAsia="zh-CN" w:bidi="ar-SA"/>
                    </w:rPr>
                    <w:t>、</w:t>
                  </w:r>
                  <w:r>
                    <w:rPr>
                      <w:rFonts w:hint="eastAsia" w:ascii="Times New Roman" w:hAnsi="Times New Roman" w:cs="Times New Roman"/>
                      <w:b w:val="0"/>
                      <w:bCs w:val="0"/>
                      <w:color w:val="auto"/>
                      <w:kern w:val="2"/>
                      <w:sz w:val="21"/>
                      <w:szCs w:val="24"/>
                      <w:vertAlign w:val="baseline"/>
                      <w:lang w:val="en-US" w:eastAsia="zh-CN" w:bidi="ar-SA"/>
                    </w:rPr>
                    <w:t>模具、机械设备</w:t>
                  </w:r>
                  <w:r>
                    <w:rPr>
                      <w:rFonts w:hint="eastAsia" w:ascii="Times New Roman" w:hAnsi="Times New Roman" w:eastAsia="宋体" w:cs="Times New Roman"/>
                      <w:b w:val="0"/>
                      <w:bCs w:val="0"/>
                      <w:color w:val="auto"/>
                      <w:kern w:val="2"/>
                      <w:sz w:val="21"/>
                      <w:szCs w:val="24"/>
                      <w:vertAlign w:val="baseline"/>
                      <w:lang w:val="en-US" w:eastAsia="zh-CN" w:bidi="ar-SA"/>
                    </w:rPr>
                    <w:t>制造</w:t>
                  </w:r>
                </w:p>
              </w:tc>
              <w:tc>
                <w:tcPr>
                  <w:tcW w:w="1319" w:type="pct"/>
                  <w:noWrap w:val="0"/>
                  <w:vAlign w:val="center"/>
                </w:tcPr>
                <w:p w14:paraId="1F34F56B">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颗粒物</w:t>
                  </w:r>
                  <w:r>
                    <w:rPr>
                      <w:rFonts w:hint="eastAsia" w:ascii="Times New Roman" w:hAnsi="Times New Roman" w:eastAsia="宋体" w:cs="Times New Roman"/>
                      <w:b w:val="0"/>
                      <w:bCs w:val="0"/>
                      <w:color w:val="auto"/>
                      <w:kern w:val="2"/>
                      <w:sz w:val="21"/>
                      <w:szCs w:val="24"/>
                      <w:vertAlign w:val="baseline"/>
                      <w:lang w:val="en-US" w:eastAsia="zh-CN" w:bidi="ar-SA"/>
                    </w:rPr>
                    <w:t>、二氧化硫</w:t>
                  </w:r>
                </w:p>
              </w:tc>
            </w:tr>
            <w:tr w14:paraId="5285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368" w:type="pct"/>
                  <w:noWrap w:val="0"/>
                  <w:vAlign w:val="center"/>
                </w:tcPr>
                <w:p w14:paraId="2BEF348E">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cs="Times New Roman"/>
                      <w:b w:val="0"/>
                      <w:bCs w:val="0"/>
                      <w:color w:val="auto"/>
                      <w:kern w:val="2"/>
                      <w:sz w:val="21"/>
                      <w:szCs w:val="24"/>
                      <w:vertAlign w:val="baseline"/>
                      <w:lang w:val="en-US" w:eastAsia="zh-CN" w:bidi="ar-SA"/>
                    </w:rPr>
                    <w:t>2</w:t>
                  </w:r>
                </w:p>
              </w:tc>
              <w:tc>
                <w:tcPr>
                  <w:tcW w:w="1145" w:type="pct"/>
                  <w:noWrap w:val="0"/>
                  <w:vAlign w:val="center"/>
                </w:tcPr>
                <w:p w14:paraId="6609858D">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eastAsia="宋体" w:cs="Times New Roman"/>
                      <w:b w:val="0"/>
                      <w:bCs w:val="0"/>
                      <w:color w:val="auto"/>
                      <w:kern w:val="2"/>
                      <w:sz w:val="21"/>
                      <w:szCs w:val="24"/>
                      <w:vertAlign w:val="baseline"/>
                      <w:lang w:val="en-US" w:eastAsia="zh-CN" w:bidi="ar-SA"/>
                    </w:rPr>
                    <w:t>云南通海智群工业有限公司</w:t>
                  </w:r>
                </w:p>
                <w:p w14:paraId="23EAC0D6">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p>
              </w:tc>
              <w:tc>
                <w:tcPr>
                  <w:tcW w:w="476" w:type="pct"/>
                  <w:noWrap w:val="0"/>
                  <w:vAlign w:val="center"/>
                </w:tcPr>
                <w:p w14:paraId="4ACFC511">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东南</w:t>
                  </w:r>
                  <w:r>
                    <w:rPr>
                      <w:rFonts w:hint="default" w:ascii="Times New Roman" w:hAnsi="Times New Roman" w:eastAsia="宋体" w:cs="Times New Roman"/>
                      <w:b w:val="0"/>
                      <w:bCs w:val="0"/>
                      <w:color w:val="auto"/>
                      <w:kern w:val="2"/>
                      <w:sz w:val="21"/>
                      <w:szCs w:val="24"/>
                      <w:vertAlign w:val="baseline"/>
                      <w:lang w:val="en-US" w:eastAsia="zh-CN" w:bidi="ar-SA"/>
                    </w:rPr>
                    <w:t>侧</w:t>
                  </w:r>
                </w:p>
              </w:tc>
              <w:tc>
                <w:tcPr>
                  <w:tcW w:w="465" w:type="pct"/>
                  <w:noWrap w:val="0"/>
                  <w:vAlign w:val="center"/>
                </w:tcPr>
                <w:p w14:paraId="33581B09">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438</w:t>
                  </w:r>
                </w:p>
              </w:tc>
              <w:tc>
                <w:tcPr>
                  <w:tcW w:w="1225" w:type="pct"/>
                  <w:noWrap w:val="0"/>
                  <w:vAlign w:val="center"/>
                </w:tcPr>
                <w:p w14:paraId="49F05CA4">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eastAsia" w:ascii="Times New Roman" w:hAnsi="Times New Roman" w:cs="Times New Roman"/>
                      <w:b w:val="0"/>
                      <w:bCs w:val="0"/>
                      <w:color w:val="auto"/>
                      <w:kern w:val="2"/>
                      <w:sz w:val="21"/>
                      <w:szCs w:val="24"/>
                      <w:vertAlign w:val="baseline"/>
                      <w:lang w:val="en-US" w:eastAsia="zh-CN" w:bidi="ar-SA"/>
                    </w:rPr>
                    <w:t>冷轧板、焊管等制造</w:t>
                  </w:r>
                </w:p>
              </w:tc>
              <w:tc>
                <w:tcPr>
                  <w:tcW w:w="1319" w:type="pct"/>
                  <w:noWrap w:val="0"/>
                  <w:vAlign w:val="center"/>
                </w:tcPr>
                <w:p w14:paraId="0CCB30FB">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4"/>
                      <w:vertAlign w:val="baseline"/>
                      <w:lang w:val="en-US" w:eastAsia="zh-CN" w:bidi="ar-SA"/>
                    </w:rPr>
                  </w:pPr>
                  <w:r>
                    <w:rPr>
                      <w:rFonts w:hint="default" w:ascii="Times New Roman" w:hAnsi="Times New Roman" w:eastAsia="宋体" w:cs="Times New Roman"/>
                      <w:b w:val="0"/>
                      <w:bCs w:val="0"/>
                      <w:color w:val="auto"/>
                      <w:kern w:val="2"/>
                      <w:sz w:val="21"/>
                      <w:szCs w:val="24"/>
                      <w:vertAlign w:val="baseline"/>
                      <w:lang w:val="en-US" w:eastAsia="zh-CN" w:bidi="ar-SA"/>
                    </w:rPr>
                    <w:t>颗粒物</w:t>
                  </w:r>
                  <w:r>
                    <w:rPr>
                      <w:rFonts w:hint="eastAsia" w:ascii="Times New Roman" w:hAnsi="Times New Roman" w:eastAsia="宋体" w:cs="Times New Roman"/>
                      <w:b w:val="0"/>
                      <w:bCs w:val="0"/>
                      <w:color w:val="auto"/>
                      <w:kern w:val="2"/>
                      <w:sz w:val="21"/>
                      <w:szCs w:val="24"/>
                      <w:vertAlign w:val="baseline"/>
                      <w:lang w:val="en-US" w:eastAsia="zh-CN" w:bidi="ar-SA"/>
                    </w:rPr>
                    <w:t>、二氧化硫</w:t>
                  </w:r>
                </w:p>
              </w:tc>
            </w:tr>
          </w:tbl>
          <w:p w14:paraId="4495F547">
            <w:pPr>
              <w:keepNext w:val="0"/>
              <w:pageBreakBefore w:val="0"/>
              <w:widowControl w:val="0"/>
              <w:kinsoku/>
              <w:overflowPunct/>
              <w:bidi w:val="0"/>
              <w:adjustRightInd w:val="0"/>
              <w:snapToGrid w:val="0"/>
              <w:spacing w:line="460" w:lineRule="exact"/>
              <w:ind w:firstLine="480" w:firstLineChars="200"/>
              <w:textAlignment w:val="auto"/>
              <w:rPr>
                <w:rFonts w:hint="default" w:ascii="Times New Roman" w:hAnsi="Times New Roman" w:eastAsia="宋体"/>
                <w:bCs/>
                <w:color w:val="auto"/>
                <w:sz w:val="24"/>
                <w:highlight w:val="none"/>
                <w:lang w:val="en-US" w:eastAsia="zh-CN"/>
              </w:rPr>
            </w:pPr>
            <w:r>
              <w:rPr>
                <w:rFonts w:hint="default" w:ascii="Times New Roman" w:hAnsi="Times New Roman" w:eastAsia="宋体" w:cs="Times New Roman"/>
                <w:color w:val="auto"/>
                <w:kern w:val="2"/>
                <w:sz w:val="24"/>
                <w:szCs w:val="24"/>
                <w:lang w:val="en-US" w:eastAsia="zh-CN" w:bidi="ar-SA"/>
              </w:rPr>
              <w:t>本项目位于</w:t>
            </w:r>
            <w:r>
              <w:rPr>
                <w:rFonts w:hint="eastAsia" w:ascii="Times New Roman" w:hAnsi="Times New Roman" w:cs="Times New Roman"/>
                <w:color w:val="auto"/>
                <w:sz w:val="24"/>
                <w:u w:val="none"/>
                <w:lang w:val="en-US" w:eastAsia="zh-CN"/>
              </w:rPr>
              <w:t>通海县纳古镇大白龙</w:t>
            </w:r>
            <w:r>
              <w:rPr>
                <w:rFonts w:hint="default"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kern w:val="2"/>
                <w:sz w:val="24"/>
                <w:szCs w:val="24"/>
                <w:lang w:val="en-US" w:eastAsia="zh-CN" w:bidi="ar-SA"/>
              </w:rPr>
              <w:t>项目区周围以工业企业居多，周围的环境受体及企业对本项目无制约性因素。项目厂界外500m范围内</w:t>
            </w:r>
            <w:r>
              <w:rPr>
                <w:rFonts w:hint="eastAsia" w:ascii="Times New Roman" w:hAnsi="Times New Roman" w:eastAsia="宋体" w:cs="Times New Roman"/>
                <w:color w:val="auto"/>
                <w:kern w:val="2"/>
                <w:sz w:val="24"/>
                <w:szCs w:val="24"/>
                <w:lang w:val="en-US" w:eastAsia="zh-CN" w:bidi="ar-SA"/>
              </w:rPr>
              <w:t>无</w:t>
            </w:r>
            <w:r>
              <w:rPr>
                <w:rFonts w:hint="default" w:ascii="Times New Roman" w:hAnsi="Times New Roman" w:eastAsia="宋体" w:cs="Times New Roman"/>
                <w:color w:val="auto"/>
                <w:kern w:val="2"/>
                <w:sz w:val="24"/>
                <w:szCs w:val="24"/>
                <w:lang w:val="en-US" w:eastAsia="zh-CN" w:bidi="ar-SA"/>
              </w:rPr>
              <w:t>大气环境保护目标</w:t>
            </w:r>
            <w:r>
              <w:rPr>
                <w:rFonts w:hint="eastAsia" w:ascii="Times New Roman" w:hAnsi="Times New Roman" w:eastAsia="宋体" w:cs="Times New Roman"/>
                <w:color w:val="auto"/>
                <w:kern w:val="2"/>
                <w:sz w:val="24"/>
                <w:szCs w:val="24"/>
                <w:lang w:val="en-US" w:eastAsia="zh-CN" w:bidi="ar-SA"/>
              </w:rPr>
              <w:t>，50m范围内无声环境保护目标</w:t>
            </w:r>
            <w:r>
              <w:rPr>
                <w:rFonts w:hint="default" w:ascii="Times New Roman" w:hAnsi="Times New Roman" w:eastAsia="宋体" w:cs="Times New Roman"/>
                <w:color w:val="auto"/>
                <w:kern w:val="2"/>
                <w:sz w:val="24"/>
                <w:szCs w:val="24"/>
                <w:lang w:val="en-US" w:eastAsia="zh-CN" w:bidi="ar-SA"/>
              </w:rPr>
              <w:t>。项目运行期</w:t>
            </w:r>
            <w:r>
              <w:rPr>
                <w:rFonts w:hint="eastAsia" w:ascii="Times New Roman" w:hAnsi="Times New Roman" w:eastAsia="宋体" w:cs="Times New Roman"/>
                <w:color w:val="auto"/>
                <w:kern w:val="2"/>
                <w:sz w:val="24"/>
                <w:szCs w:val="24"/>
                <w:lang w:val="en-US" w:eastAsia="zh-CN" w:bidi="ar-SA"/>
              </w:rPr>
              <w:t>生产废水仅为冷却水，循环使用不外排，生活污水经化粪池处理后，利用罐车拉运至纳古镇污水处理站处理，属于间接排放</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项目生产过程中产生的粉尘通过集气罩+烟尘净化除尘器处理后无组织排放到厂房内。</w:t>
            </w:r>
            <w:r>
              <w:rPr>
                <w:rFonts w:hint="default" w:ascii="Times New Roman" w:hAnsi="Times New Roman" w:eastAsia="宋体" w:cs="Times New Roman"/>
                <w:color w:val="auto"/>
                <w:kern w:val="2"/>
                <w:sz w:val="24"/>
                <w:szCs w:val="24"/>
                <w:lang w:val="en-US" w:eastAsia="zh-CN" w:bidi="ar-SA"/>
              </w:rPr>
              <w:t>根据工程分析，项目产生的噪声、废气均能达标排放；固体废物100%合理处置，因此项目建设对周围环境受体及企业的影响不大</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项目建设与周围环境是相容的。</w:t>
            </w:r>
          </w:p>
        </w:tc>
      </w:tr>
    </w:tbl>
    <w:p w14:paraId="50FCEA9E">
      <w:pPr>
        <w:spacing w:line="360" w:lineRule="auto"/>
        <w:outlineLvl w:val="9"/>
        <w:rPr>
          <w:rFonts w:ascii="Times New Roman" w:hAnsi="Times New Roman" w:eastAsia="宋体"/>
          <w:color w:val="auto"/>
          <w:sz w:val="30"/>
        </w:rPr>
        <w:sectPr>
          <w:footerReference r:id="rId4" w:type="default"/>
          <w:pgSz w:w="11905" w:h="16838"/>
          <w:pgMar w:top="1440" w:right="1701" w:bottom="1440" w:left="1701" w:header="851" w:footer="1077" w:gutter="0"/>
          <w:pgBorders>
            <w:top w:val="none" w:sz="0" w:space="0"/>
            <w:left w:val="none" w:sz="0" w:space="0"/>
            <w:bottom w:val="none" w:sz="0" w:space="0"/>
            <w:right w:val="none" w:sz="0" w:space="0"/>
          </w:pgBorders>
          <w:pgNumType w:fmt="decimal" w:start="1"/>
          <w:cols w:space="720" w:num="1"/>
          <w:docGrid w:type="lines" w:linePitch="317" w:charSpace="0"/>
        </w:sectPr>
      </w:pPr>
    </w:p>
    <w:p w14:paraId="363E407C">
      <w:pPr>
        <w:pStyle w:val="19"/>
        <w:adjustRightInd w:val="0"/>
        <w:snapToGrid w:val="0"/>
        <w:spacing w:before="0" w:beforeAutospacing="0" w:after="0" w:afterAutospacing="0" w:line="360" w:lineRule="auto"/>
        <w:jc w:val="center"/>
        <w:outlineLvl w:val="0"/>
        <w:rPr>
          <w:rFonts w:ascii="Times New Roman" w:hAnsi="Times New Roman" w:eastAsia="宋体"/>
          <w:b/>
          <w:bCs/>
          <w:snapToGrid w:val="0"/>
          <w:color w:val="auto"/>
          <w:sz w:val="30"/>
          <w:szCs w:val="30"/>
        </w:rPr>
      </w:pPr>
      <w:bookmarkStart w:id="7" w:name="_Toc8052"/>
      <w:r>
        <w:rPr>
          <w:rFonts w:hint="eastAsia" w:ascii="Times New Roman" w:hAnsi="Times New Roman" w:eastAsia="宋体"/>
          <w:b/>
          <w:bCs/>
          <w:snapToGrid w:val="0"/>
          <w:color w:val="auto"/>
          <w:sz w:val="30"/>
          <w:szCs w:val="30"/>
        </w:rPr>
        <w:t>二、建设项目工程分析</w:t>
      </w:r>
      <w:bookmarkEnd w:id="7"/>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8250"/>
      </w:tblGrid>
      <w:tr w14:paraId="769A2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3" w:hRule="atLeast"/>
          <w:jc w:val="center"/>
        </w:trPr>
        <w:tc>
          <w:tcPr>
            <w:tcW w:w="268" w:type="pct"/>
            <w:vAlign w:val="center"/>
          </w:tcPr>
          <w:p w14:paraId="3A6B835D">
            <w:pPr>
              <w:pStyle w:val="19"/>
              <w:adjustRightInd w:val="0"/>
              <w:snapToGrid w:val="0"/>
              <w:spacing w:before="0" w:beforeAutospacing="0" w:after="0" w:afterAutospacing="0"/>
              <w:jc w:val="center"/>
              <w:rPr>
                <w:rFonts w:ascii="Times New Roman" w:hAnsi="Times New Roman" w:eastAsia="宋体" w:cs="宋体"/>
                <w:b/>
                <w:bCs/>
                <w:color w:val="auto"/>
                <w:szCs w:val="24"/>
              </w:rPr>
            </w:pPr>
            <w:r>
              <w:rPr>
                <w:rFonts w:hint="eastAsia" w:ascii="Times New Roman" w:hAnsi="Times New Roman" w:eastAsia="宋体" w:cs="宋体"/>
                <w:b/>
                <w:bCs/>
                <w:color w:val="auto"/>
                <w:szCs w:val="24"/>
              </w:rPr>
              <w:t>建设内容</w:t>
            </w:r>
          </w:p>
        </w:tc>
        <w:tc>
          <w:tcPr>
            <w:tcW w:w="4731" w:type="pct"/>
          </w:tcPr>
          <w:p w14:paraId="5FAD252B">
            <w:pPr>
              <w:adjustRightInd w:val="0"/>
              <w:snapToGrid w:val="0"/>
              <w:spacing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eastAsia="zh-CN"/>
              </w:rPr>
              <w:t>一</w:t>
            </w:r>
            <w:r>
              <w:rPr>
                <w:rFonts w:ascii="Times New Roman" w:hAnsi="Times New Roman" w:eastAsia="宋体"/>
                <w:b/>
                <w:color w:val="auto"/>
                <w:sz w:val="24"/>
              </w:rPr>
              <w:t>、项目概况</w:t>
            </w:r>
          </w:p>
          <w:p w14:paraId="1739CA16">
            <w:pPr>
              <w:pStyle w:val="61"/>
              <w:ind w:firstLine="482"/>
              <w:rPr>
                <w:rFonts w:hint="default" w:ascii="Times New Roman" w:hAnsi="Times New Roman" w:eastAsia="宋体" w:cs="宋体"/>
                <w:color w:val="auto"/>
                <w:sz w:val="24"/>
                <w:lang w:val="en-US" w:eastAsia="zh-CN"/>
              </w:rPr>
            </w:pPr>
            <w:r>
              <w:rPr>
                <w:rFonts w:hint="eastAsia" w:ascii="Times New Roman" w:hAnsi="Times New Roman" w:eastAsia="宋体"/>
                <w:b/>
                <w:bCs/>
                <w:color w:val="auto"/>
                <w:lang w:val="en-US" w:eastAsia="zh-CN"/>
              </w:rPr>
              <w:t>1、项目由来</w:t>
            </w:r>
          </w:p>
          <w:p w14:paraId="68C8A04C">
            <w:pPr>
              <w:pStyle w:val="61"/>
              <w:ind w:firstLine="482"/>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云南通海佳康型材有限公司成立于2004年5月12日，核心经营范围涵盖金属表面处理及热处理加工、钢压延加工、金属材料销售。</w:t>
            </w:r>
            <w:r>
              <w:rPr>
                <w:rFonts w:hint="eastAsia" w:ascii="Times New Roman" w:hAnsi="Times New Roman" w:cs="宋体"/>
                <w:color w:val="auto"/>
                <w:sz w:val="24"/>
                <w:lang w:val="en-US" w:eastAsia="zh-CN"/>
              </w:rPr>
              <w:t>项目</w:t>
            </w:r>
            <w:r>
              <w:rPr>
                <w:rFonts w:hint="eastAsia" w:ascii="Times New Roman" w:hAnsi="Times New Roman" w:eastAsia="宋体" w:cs="宋体"/>
                <w:color w:val="auto"/>
                <w:sz w:val="24"/>
                <w:lang w:val="en-US" w:eastAsia="zh-CN"/>
              </w:rPr>
              <w:t>租用通海大白龙工贸有限公司</w:t>
            </w:r>
            <w:r>
              <w:rPr>
                <w:rFonts w:hint="eastAsia" w:ascii="Times New Roman" w:hAnsi="Times New Roman" w:cs="宋体"/>
                <w:color w:val="auto"/>
                <w:sz w:val="24"/>
                <w:lang w:val="en-US" w:eastAsia="zh-CN"/>
              </w:rPr>
              <w:t>闲置</w:t>
            </w:r>
            <w:r>
              <w:rPr>
                <w:rFonts w:hint="eastAsia" w:ascii="Times New Roman" w:hAnsi="Times New Roman" w:eastAsia="宋体" w:cs="宋体"/>
                <w:color w:val="auto"/>
                <w:sz w:val="24"/>
                <w:lang w:val="en-US" w:eastAsia="zh-CN"/>
              </w:rPr>
              <w:t>厂房</w:t>
            </w:r>
            <w:r>
              <w:rPr>
                <w:rFonts w:hint="eastAsia" w:ascii="Times New Roman" w:hAnsi="Times New Roman" w:cs="宋体"/>
                <w:color w:val="auto"/>
                <w:sz w:val="24"/>
                <w:lang w:val="en-US" w:eastAsia="zh-CN"/>
              </w:rPr>
              <w:t>新建高频焊管生产线</w:t>
            </w:r>
            <w:r>
              <w:rPr>
                <w:rFonts w:hint="eastAsia" w:ascii="Times New Roman" w:hAnsi="Times New Roman" w:eastAsia="宋体" w:cs="宋体"/>
                <w:color w:val="auto"/>
                <w:sz w:val="24"/>
                <w:lang w:val="en-US" w:eastAsia="zh-CN"/>
              </w:rPr>
              <w:t>，租用面积16500平方米，</w:t>
            </w:r>
            <w:r>
              <w:rPr>
                <w:rFonts w:hint="eastAsia" w:ascii="Times New Roman" w:hAnsi="Times New Roman" w:eastAsia="宋体"/>
                <w:color w:val="auto"/>
                <w:sz w:val="24"/>
                <w:lang w:val="en-US" w:eastAsia="zh-CN"/>
              </w:rPr>
              <w:t>高频焊管生产厂区</w:t>
            </w:r>
            <w:r>
              <w:rPr>
                <w:rFonts w:hint="eastAsia" w:ascii="Times New Roman" w:hAnsi="Times New Roman" w:eastAsia="宋体" w:cs="宋体"/>
                <w:color w:val="auto"/>
                <w:sz w:val="24"/>
                <w:lang w:eastAsia="zh-CN"/>
              </w:rPr>
              <w:t>坐落于云南省玉溪市通海县</w:t>
            </w:r>
            <w:r>
              <w:rPr>
                <w:rFonts w:hint="eastAsia" w:ascii="Times New Roman" w:hAnsi="Times New Roman" w:cs="宋体"/>
                <w:color w:val="auto"/>
                <w:sz w:val="24"/>
                <w:lang w:eastAsia="zh-CN"/>
              </w:rPr>
              <w:t>纳古</w:t>
            </w:r>
            <w:r>
              <w:rPr>
                <w:rFonts w:hint="eastAsia" w:ascii="Times New Roman" w:hAnsi="Times New Roman" w:eastAsia="宋体" w:cs="宋体"/>
                <w:color w:val="auto"/>
                <w:sz w:val="24"/>
                <w:lang w:eastAsia="zh-CN"/>
              </w:rPr>
              <w:t>镇</w:t>
            </w:r>
            <w:r>
              <w:rPr>
                <w:rFonts w:hint="eastAsia" w:ascii="Times New Roman" w:hAnsi="Times New Roman" w:cs="宋体"/>
                <w:color w:val="auto"/>
                <w:sz w:val="24"/>
                <w:lang w:eastAsia="zh-CN"/>
              </w:rPr>
              <w:t>大白龙</w:t>
            </w:r>
            <w:r>
              <w:rPr>
                <w:rFonts w:hint="eastAsia" w:ascii="Times New Roman" w:hAnsi="Times New Roman" w:eastAsia="宋体" w:cs="宋体"/>
                <w:color w:val="auto"/>
                <w:sz w:val="24"/>
                <w:lang w:eastAsia="zh-CN"/>
              </w:rPr>
              <w:t>，</w:t>
            </w:r>
            <w:r>
              <w:rPr>
                <w:rFonts w:hint="eastAsia" w:ascii="Times New Roman" w:hAnsi="Times New Roman" w:cs="宋体"/>
                <w:color w:val="auto"/>
                <w:sz w:val="24"/>
                <w:lang w:val="en-US" w:eastAsia="zh-CN"/>
              </w:rPr>
              <w:t>计划</w:t>
            </w:r>
            <w:r>
              <w:rPr>
                <w:rFonts w:hint="eastAsia" w:ascii="Times New Roman" w:hAnsi="Times New Roman" w:eastAsia="宋体"/>
                <w:color w:val="auto"/>
                <w:sz w:val="24"/>
                <w:lang w:val="en-US" w:eastAsia="zh-CN"/>
              </w:rPr>
              <w:t>建设有</w:t>
            </w:r>
            <w:r>
              <w:rPr>
                <w:rFonts w:hint="eastAsia" w:ascii="Times New Roman" w:hAnsi="Times New Roman"/>
                <w:color w:val="auto"/>
                <w:sz w:val="24"/>
                <w:lang w:val="en-US" w:eastAsia="zh-CN"/>
              </w:rPr>
              <w:t>8</w:t>
            </w:r>
            <w:r>
              <w:rPr>
                <w:rFonts w:hint="eastAsia" w:ascii="Times New Roman" w:hAnsi="Times New Roman" w:eastAsia="宋体"/>
                <w:color w:val="auto"/>
                <w:sz w:val="24"/>
                <w:lang w:val="en-US" w:eastAsia="zh-CN"/>
              </w:rPr>
              <w:t>条高频焊管生产线，可实现年产</w:t>
            </w:r>
            <w:r>
              <w:rPr>
                <w:rFonts w:hint="eastAsia" w:ascii="Times New Roman" w:hAnsi="Times New Roman"/>
                <w:color w:val="auto"/>
                <w:sz w:val="24"/>
                <w:lang w:val="en-US" w:eastAsia="zh-CN"/>
              </w:rPr>
              <w:t>20</w:t>
            </w:r>
            <w:r>
              <w:rPr>
                <w:rFonts w:hint="eastAsia" w:ascii="Times New Roman" w:hAnsi="Times New Roman" w:eastAsia="宋体"/>
                <w:color w:val="auto"/>
                <w:sz w:val="24"/>
                <w:lang w:val="en-US" w:eastAsia="zh-CN"/>
              </w:rPr>
              <w:t>万吨焊管生产能力</w:t>
            </w:r>
            <w:r>
              <w:rPr>
                <w:rFonts w:hint="eastAsia" w:ascii="Times New Roman" w:hAnsi="Times New Roman" w:eastAsia="宋体" w:cs="宋体"/>
                <w:color w:val="auto"/>
                <w:sz w:val="24"/>
                <w:lang w:eastAsia="zh-CN"/>
              </w:rPr>
              <w:t>。</w:t>
            </w:r>
          </w:p>
          <w:p w14:paraId="4E6DF97F">
            <w:pPr>
              <w:pStyle w:val="61"/>
              <w:ind w:firstLine="482"/>
              <w:rPr>
                <w:rFonts w:hint="eastAsia" w:ascii="Times New Roman" w:hAnsi="Times New Roman" w:eastAsia="宋体" w:cs="宋体"/>
                <w:color w:val="auto"/>
                <w:sz w:val="24"/>
                <w:lang w:val="en-US" w:eastAsia="zh-CN"/>
              </w:rPr>
            </w:pPr>
            <w:r>
              <w:rPr>
                <w:rFonts w:hint="eastAsia" w:ascii="Times New Roman" w:hAnsi="Times New Roman" w:cs="宋体"/>
                <w:color w:val="auto"/>
                <w:sz w:val="24"/>
                <w:lang w:eastAsia="zh-CN"/>
              </w:rPr>
              <w:t>本项目</w:t>
            </w:r>
            <w:r>
              <w:rPr>
                <w:rFonts w:hint="eastAsia" w:ascii="Times New Roman" w:hAnsi="Times New Roman" w:eastAsia="宋体" w:cs="宋体"/>
                <w:color w:val="auto"/>
                <w:sz w:val="24"/>
                <w:lang w:eastAsia="zh-CN"/>
              </w:rPr>
              <w:t>利用</w:t>
            </w:r>
            <w:r>
              <w:rPr>
                <w:rFonts w:hint="eastAsia" w:ascii="Times New Roman" w:hAnsi="Times New Roman" w:cs="宋体"/>
                <w:color w:val="auto"/>
                <w:sz w:val="24"/>
                <w:lang w:eastAsia="zh-CN"/>
              </w:rPr>
              <w:t>现有</w:t>
            </w:r>
            <w:r>
              <w:rPr>
                <w:rFonts w:hint="eastAsia" w:ascii="Times New Roman" w:hAnsi="Times New Roman" w:eastAsia="宋体" w:cs="宋体"/>
                <w:color w:val="auto"/>
                <w:sz w:val="24"/>
                <w:lang w:eastAsia="zh-CN"/>
              </w:rPr>
              <w:t>生产车间购置安装焊管机生产线</w:t>
            </w:r>
            <w:r>
              <w:rPr>
                <w:rFonts w:hint="eastAsia" w:ascii="Times New Roman" w:hAnsi="Times New Roman" w:cs="宋体"/>
                <w:color w:val="auto"/>
                <w:sz w:val="24"/>
                <w:lang w:val="en-US" w:eastAsia="zh-CN"/>
              </w:rPr>
              <w:t>8条</w:t>
            </w:r>
            <w:r>
              <w:rPr>
                <w:rFonts w:hint="eastAsia" w:ascii="Times New Roman" w:hAnsi="Times New Roman" w:cs="宋体"/>
                <w:color w:val="auto"/>
                <w:sz w:val="24"/>
                <w:lang w:eastAsia="zh-CN"/>
              </w:rPr>
              <w:t>，</w:t>
            </w:r>
            <w:r>
              <w:rPr>
                <w:rFonts w:hint="eastAsia" w:ascii="Times New Roman" w:hAnsi="Times New Roman" w:eastAsia="宋体" w:cs="宋体"/>
                <w:color w:val="auto"/>
                <w:sz w:val="24"/>
                <w:lang w:eastAsia="zh-CN"/>
              </w:rPr>
              <w:t>建成后，项目</w:t>
            </w:r>
            <w:r>
              <w:rPr>
                <w:rFonts w:hint="eastAsia" w:ascii="Times New Roman" w:hAnsi="Times New Roman" w:cs="宋体"/>
                <w:color w:val="auto"/>
                <w:sz w:val="24"/>
                <w:lang w:eastAsia="zh-CN"/>
              </w:rPr>
              <w:t>年</w:t>
            </w:r>
            <w:r>
              <w:rPr>
                <w:rFonts w:hint="eastAsia" w:ascii="Times New Roman" w:hAnsi="Times New Roman" w:eastAsia="宋体" w:cs="宋体"/>
                <w:color w:val="auto"/>
                <w:sz w:val="24"/>
                <w:lang w:eastAsia="zh-CN"/>
              </w:rPr>
              <w:t>生产规模</w:t>
            </w:r>
            <w:r>
              <w:rPr>
                <w:rFonts w:hint="eastAsia" w:ascii="Times New Roman" w:hAnsi="Times New Roman" w:cs="宋体"/>
                <w:color w:val="auto"/>
                <w:sz w:val="24"/>
                <w:lang w:eastAsia="zh-CN"/>
              </w:rPr>
              <w:t>达到</w:t>
            </w:r>
            <w:r>
              <w:rPr>
                <w:rFonts w:hint="eastAsia" w:ascii="Times New Roman" w:hAnsi="Times New Roman" w:cs="宋体"/>
                <w:color w:val="auto"/>
                <w:sz w:val="24"/>
                <w:lang w:val="en-US" w:eastAsia="zh-CN"/>
              </w:rPr>
              <w:t>20</w:t>
            </w:r>
            <w:r>
              <w:rPr>
                <w:rFonts w:hint="eastAsia" w:ascii="Times New Roman" w:hAnsi="Times New Roman" w:eastAsia="宋体" w:cs="宋体"/>
                <w:color w:val="auto"/>
                <w:sz w:val="24"/>
                <w:lang w:eastAsia="zh-CN"/>
              </w:rPr>
              <w:t>万吨焊管。该</w:t>
            </w:r>
            <w:r>
              <w:rPr>
                <w:rFonts w:hint="eastAsia" w:ascii="Times New Roman" w:hAnsi="Times New Roman" w:cs="宋体"/>
                <w:color w:val="auto"/>
                <w:sz w:val="24"/>
                <w:lang w:eastAsia="zh-CN"/>
              </w:rPr>
              <w:t>新建</w:t>
            </w:r>
            <w:r>
              <w:rPr>
                <w:rFonts w:hint="eastAsia" w:ascii="Times New Roman" w:hAnsi="Times New Roman" w:eastAsia="宋体" w:cs="宋体"/>
                <w:color w:val="auto"/>
                <w:sz w:val="24"/>
                <w:lang w:eastAsia="zh-CN"/>
              </w:rPr>
              <w:t>项目已于202</w:t>
            </w:r>
            <w:r>
              <w:rPr>
                <w:rFonts w:hint="eastAsia" w:ascii="Times New Roman" w:hAnsi="Times New Roman" w:cs="宋体"/>
                <w:color w:val="auto"/>
                <w:sz w:val="24"/>
                <w:lang w:val="en-US" w:eastAsia="zh-CN"/>
              </w:rPr>
              <w:t>6</w:t>
            </w:r>
            <w:r>
              <w:rPr>
                <w:rFonts w:hint="eastAsia" w:ascii="Times New Roman" w:hAnsi="Times New Roman" w:eastAsia="宋体" w:cs="宋体"/>
                <w:color w:val="auto"/>
                <w:sz w:val="24"/>
                <w:lang w:eastAsia="zh-CN"/>
              </w:rPr>
              <w:t>年1月9日完成通海县发展和改革局项目投资备案（详见附件2）</w:t>
            </w:r>
            <w:r>
              <w:rPr>
                <w:rFonts w:hint="eastAsia" w:ascii="Times New Roman" w:hAnsi="Times New Roman" w:eastAsia="宋体" w:cs="宋体"/>
                <w:color w:val="auto"/>
                <w:sz w:val="24"/>
                <w:lang w:val="en-US" w:eastAsia="zh-CN"/>
              </w:rPr>
              <w:t>。</w:t>
            </w:r>
          </w:p>
          <w:p w14:paraId="50752957">
            <w:pPr>
              <w:pStyle w:val="61"/>
              <w:ind w:firstLine="482"/>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sz w:val="24"/>
                <w:lang w:eastAsia="zh-CN"/>
              </w:rPr>
              <w:t>根据《中华人民共和国环境影响评价法》、《建设项目环境保护管理条例》（国务院令第682号令），建设项目应履行环境影响评价制度。依据《建设项目环境影响评价分类管理名录》(2021版)：二十八、黑色金属冶炼和压延加工业，</w:t>
            </w:r>
            <w:r>
              <w:rPr>
                <w:rFonts w:hint="eastAsia" w:ascii="Times New Roman" w:hAnsi="Times New Roman" w:eastAsia="宋体" w:cs="宋体"/>
                <w:color w:val="auto"/>
                <w:sz w:val="24"/>
                <w:lang w:val="en-US" w:eastAsia="zh-CN"/>
              </w:rPr>
              <w:t>63钢压延加工中的“其他”类别</w:t>
            </w:r>
            <w:r>
              <w:rPr>
                <w:rFonts w:hint="eastAsia" w:ascii="Times New Roman" w:hAnsi="Times New Roman" w:eastAsia="宋体" w:cs="宋体"/>
                <w:color w:val="auto"/>
                <w:sz w:val="24"/>
                <w:lang w:eastAsia="zh-CN"/>
              </w:rPr>
              <w:t>故应编制环境影响报告表。受云南通海佳康型材有限公司的委托，由云南绿诚环境科技有限公司承担本项目环境影响报告表的编制工作（详见附件1）。云南绿诚环境科</w:t>
            </w:r>
            <w:r>
              <w:rPr>
                <w:rFonts w:hint="eastAsia" w:ascii="Times New Roman" w:hAnsi="Times New Roman" w:eastAsia="宋体" w:cs="宋体"/>
                <w:color w:val="auto"/>
                <w:kern w:val="2"/>
                <w:sz w:val="24"/>
                <w:szCs w:val="24"/>
                <w:lang w:val="en-US" w:eastAsia="zh-CN" w:bidi="ar-SA"/>
              </w:rPr>
              <w:t>技有限公司接受委托后，进行了现场踏勘、环境状况调查、资料收集，在认真分析工程内容的基础上，编制完成了本项目环境影响报告表，供建设单位上报生态环境行政管理部门审批后作为项目环境管理的依据。</w:t>
            </w:r>
          </w:p>
          <w:p w14:paraId="457D49CE">
            <w:pPr>
              <w:pStyle w:val="61"/>
              <w:ind w:firstLine="482"/>
              <w:rPr>
                <w:rFonts w:ascii="Times New Roman" w:hAnsi="Times New Roman" w:eastAsia="宋体"/>
                <w:b/>
                <w:bCs/>
                <w:color w:val="auto"/>
              </w:rPr>
            </w:pPr>
            <w:r>
              <w:rPr>
                <w:rFonts w:hint="eastAsia" w:ascii="Times New Roman" w:hAnsi="Times New Roman" w:eastAsia="宋体"/>
                <w:b/>
                <w:bCs/>
                <w:color w:val="auto"/>
                <w:lang w:val="en-US" w:eastAsia="zh-CN"/>
              </w:rPr>
              <w:t>2</w:t>
            </w:r>
            <w:r>
              <w:rPr>
                <w:rFonts w:ascii="Times New Roman" w:hAnsi="Times New Roman" w:eastAsia="宋体"/>
                <w:b/>
                <w:bCs/>
                <w:color w:val="auto"/>
              </w:rPr>
              <w:t>、项目名称、地点、建设单位及建设性质等</w:t>
            </w:r>
          </w:p>
          <w:p w14:paraId="02B074A6">
            <w:pPr>
              <w:pStyle w:val="61"/>
              <w:ind w:firstLine="480"/>
              <w:rPr>
                <w:rFonts w:hint="eastAsia" w:ascii="Times New Roman" w:hAnsi="Times New Roman" w:eastAsia="宋体"/>
                <w:snapToGrid w:val="0"/>
                <w:color w:val="auto"/>
                <w:kern w:val="24"/>
                <w:sz w:val="24"/>
                <w:lang w:eastAsia="zh-CN"/>
              </w:rPr>
            </w:pPr>
            <w:r>
              <w:rPr>
                <w:rFonts w:ascii="Times New Roman" w:hAnsi="Times New Roman" w:eastAsia="宋体"/>
                <w:color w:val="auto"/>
                <w:sz w:val="24"/>
                <w:lang w:val="zh-CN"/>
              </w:rPr>
              <w:t>项目名称：</w:t>
            </w:r>
            <w:r>
              <w:rPr>
                <w:rFonts w:hint="eastAsia" w:ascii="Times New Roman" w:hAnsi="Times New Roman" w:eastAsia="宋体"/>
                <w:color w:val="auto"/>
                <w:sz w:val="24"/>
                <w:lang w:eastAsia="zh-CN"/>
              </w:rPr>
              <w:t>年产</w:t>
            </w:r>
            <w:r>
              <w:rPr>
                <w:rFonts w:hint="default" w:ascii="Times New Roman" w:hAnsi="Times New Roman" w:cs="Times New Roman"/>
                <w:color w:val="auto"/>
                <w:sz w:val="24"/>
                <w:lang w:val="en-US" w:eastAsia="zh-CN"/>
              </w:rPr>
              <w:t>20</w:t>
            </w:r>
            <w:r>
              <w:rPr>
                <w:rFonts w:hint="eastAsia" w:ascii="Times New Roman" w:hAnsi="Times New Roman" w:eastAsia="宋体"/>
                <w:color w:val="auto"/>
                <w:sz w:val="24"/>
                <w:lang w:eastAsia="zh-CN"/>
              </w:rPr>
              <w:t>万吨焊管生产线建设项目</w:t>
            </w:r>
          </w:p>
          <w:p w14:paraId="1A510C58">
            <w:pPr>
              <w:pStyle w:val="61"/>
              <w:ind w:firstLine="480"/>
              <w:rPr>
                <w:rFonts w:ascii="Times New Roman" w:hAnsi="Times New Roman" w:eastAsia="宋体"/>
                <w:color w:val="auto"/>
                <w:sz w:val="24"/>
                <w:lang w:val="zh-CN"/>
              </w:rPr>
            </w:pPr>
            <w:r>
              <w:rPr>
                <w:rFonts w:ascii="Times New Roman" w:hAnsi="Times New Roman" w:eastAsia="宋体"/>
                <w:color w:val="auto"/>
                <w:sz w:val="24"/>
                <w:lang w:val="zh-CN"/>
              </w:rPr>
              <w:t>建设单位：</w:t>
            </w:r>
            <w:r>
              <w:rPr>
                <w:rFonts w:hint="eastAsia" w:ascii="Times New Roman" w:hAnsi="Times New Roman" w:eastAsia="宋体" w:cs="宋体"/>
                <w:color w:val="auto"/>
                <w:sz w:val="24"/>
                <w:lang w:eastAsia="zh-CN"/>
              </w:rPr>
              <w:t>云南通海佳康型材有限公司</w:t>
            </w:r>
          </w:p>
          <w:p w14:paraId="53AC01F5">
            <w:pPr>
              <w:pStyle w:val="61"/>
              <w:ind w:firstLine="480"/>
              <w:rPr>
                <w:rFonts w:hint="default" w:ascii="Times New Roman" w:hAnsi="Times New Roman" w:eastAsia="宋体"/>
                <w:color w:val="auto"/>
                <w:sz w:val="24"/>
                <w:lang w:val="en-US" w:eastAsia="zh-CN"/>
              </w:rPr>
            </w:pPr>
            <w:r>
              <w:rPr>
                <w:rFonts w:ascii="Times New Roman" w:hAnsi="Times New Roman" w:eastAsia="宋体"/>
                <w:color w:val="auto"/>
                <w:sz w:val="24"/>
                <w:lang w:val="zh-CN"/>
              </w:rPr>
              <w:t>投资总额：</w:t>
            </w:r>
            <w:r>
              <w:rPr>
                <w:rFonts w:hint="eastAsia" w:ascii="Times New Roman" w:hAnsi="Times New Roman"/>
                <w:color w:val="auto"/>
                <w:sz w:val="24"/>
                <w:lang w:val="en-US" w:eastAsia="zh-CN"/>
              </w:rPr>
              <w:t>1500</w:t>
            </w:r>
            <w:r>
              <w:rPr>
                <w:rFonts w:hint="eastAsia" w:ascii="Times New Roman" w:hAnsi="Times New Roman" w:eastAsia="宋体"/>
                <w:color w:val="auto"/>
                <w:sz w:val="24"/>
                <w:lang w:val="en-US" w:eastAsia="zh-CN"/>
              </w:rPr>
              <w:t>万元</w:t>
            </w:r>
            <w:r>
              <w:rPr>
                <w:rFonts w:hint="eastAsia" w:ascii="Times New Roman" w:hAnsi="Times New Roman"/>
                <w:color w:val="auto"/>
                <w:sz w:val="24"/>
                <w:lang w:val="en-US" w:eastAsia="zh-CN"/>
              </w:rPr>
              <w:t>，其中环保投资71万元</w:t>
            </w:r>
          </w:p>
          <w:p w14:paraId="6868E7A5">
            <w:pPr>
              <w:pStyle w:val="61"/>
              <w:ind w:firstLine="480"/>
              <w:rPr>
                <w:rFonts w:ascii="Times New Roman" w:hAnsi="Times New Roman" w:eastAsia="宋体"/>
                <w:color w:val="auto"/>
                <w:sz w:val="24"/>
                <w:lang w:val="zh-CN"/>
              </w:rPr>
            </w:pPr>
            <w:r>
              <w:rPr>
                <w:rFonts w:ascii="Times New Roman" w:hAnsi="Times New Roman" w:eastAsia="宋体"/>
                <w:color w:val="auto"/>
                <w:sz w:val="24"/>
                <w:lang w:val="zh-CN"/>
              </w:rPr>
              <w:t>建设性质：</w:t>
            </w:r>
            <w:r>
              <w:rPr>
                <w:rFonts w:hint="eastAsia" w:ascii="Times New Roman" w:hAnsi="Times New Roman"/>
                <w:color w:val="auto"/>
                <w:sz w:val="24"/>
                <w:lang w:val="en-US" w:eastAsia="zh-CN"/>
              </w:rPr>
              <w:t>新建</w:t>
            </w:r>
          </w:p>
          <w:p w14:paraId="7DB7CDA5">
            <w:pPr>
              <w:pStyle w:val="61"/>
              <w:ind w:firstLine="480"/>
              <w:rPr>
                <w:rFonts w:hint="eastAsia" w:ascii="Times New Roman" w:hAnsi="Times New Roman" w:eastAsia="宋体"/>
                <w:color w:val="auto"/>
                <w:kern w:val="24"/>
                <w:sz w:val="24"/>
                <w:lang w:val="zh-CN" w:eastAsia="zh-CN"/>
              </w:rPr>
            </w:pPr>
            <w:r>
              <w:rPr>
                <w:rFonts w:ascii="Times New Roman" w:hAnsi="Times New Roman" w:eastAsia="宋体"/>
                <w:color w:val="auto"/>
                <w:kern w:val="24"/>
                <w:sz w:val="24"/>
                <w:lang w:val="zh-CN"/>
              </w:rPr>
              <w:t>建设地点：</w:t>
            </w:r>
            <w:r>
              <w:rPr>
                <w:rFonts w:hint="eastAsia" w:ascii="Times New Roman" w:hAnsi="Times New Roman" w:eastAsia="宋体"/>
                <w:color w:val="auto"/>
                <w:sz w:val="24"/>
                <w:lang w:eastAsia="zh-CN"/>
              </w:rPr>
              <w:t>玉溪市通海县</w:t>
            </w:r>
            <w:r>
              <w:rPr>
                <w:rFonts w:hint="eastAsia" w:ascii="Times New Roman" w:hAnsi="Times New Roman"/>
                <w:color w:val="auto"/>
                <w:sz w:val="24"/>
                <w:lang w:eastAsia="zh-CN"/>
              </w:rPr>
              <w:t>纳古</w:t>
            </w:r>
            <w:r>
              <w:rPr>
                <w:rFonts w:hint="eastAsia" w:ascii="Times New Roman" w:hAnsi="Times New Roman" w:eastAsia="宋体"/>
                <w:color w:val="auto"/>
                <w:sz w:val="24"/>
                <w:lang w:eastAsia="zh-CN"/>
              </w:rPr>
              <w:t>镇</w:t>
            </w:r>
            <w:r>
              <w:rPr>
                <w:rFonts w:hint="eastAsia" w:ascii="Times New Roman" w:hAnsi="Times New Roman"/>
                <w:color w:val="auto"/>
                <w:sz w:val="24"/>
                <w:lang w:eastAsia="zh-CN"/>
              </w:rPr>
              <w:t>大白龙</w:t>
            </w:r>
          </w:p>
          <w:p w14:paraId="541A47BB">
            <w:pPr>
              <w:pStyle w:val="61"/>
              <w:ind w:firstLine="480"/>
              <w:rPr>
                <w:rFonts w:ascii="Times New Roman" w:hAnsi="Times New Roman" w:eastAsia="宋体"/>
                <w:color w:val="auto"/>
                <w:sz w:val="24"/>
                <w:highlight w:val="none"/>
              </w:rPr>
            </w:pPr>
            <w:bookmarkStart w:id="8" w:name="_Toc22318"/>
            <w:r>
              <w:rPr>
                <w:rFonts w:ascii="Times New Roman" w:hAnsi="Times New Roman" w:eastAsia="宋体"/>
                <w:color w:val="auto"/>
                <w:sz w:val="24"/>
                <w:highlight w:val="none"/>
              </w:rPr>
              <w:t>建设规模：</w:t>
            </w:r>
            <w:bookmarkEnd w:id="8"/>
            <w:r>
              <w:rPr>
                <w:rFonts w:hint="eastAsia" w:ascii="Times New Roman" w:hAnsi="Times New Roman" w:eastAsia="宋体"/>
                <w:color w:val="auto"/>
                <w:sz w:val="24"/>
                <w:highlight w:val="none"/>
                <w:lang w:val="en-US" w:eastAsia="zh-CN"/>
              </w:rPr>
              <w:t>项目用地面积</w:t>
            </w:r>
            <w:r>
              <w:rPr>
                <w:rFonts w:hint="eastAsia" w:ascii="Times New Roman" w:hAnsi="Times New Roman"/>
                <w:color w:val="auto"/>
                <w:sz w:val="24"/>
                <w:highlight w:val="none"/>
                <w:lang w:val="en-US" w:eastAsia="zh-CN"/>
              </w:rPr>
              <w:t>16500</w:t>
            </w:r>
            <w:r>
              <w:rPr>
                <w:rFonts w:hint="eastAsia" w:ascii="Times New Roman" w:hAnsi="Times New Roman" w:eastAsia="宋体"/>
                <w:color w:val="auto"/>
                <w:sz w:val="24"/>
                <w:highlight w:val="none"/>
                <w:lang w:val="en-US" w:eastAsia="zh-CN"/>
              </w:rPr>
              <w:t>平方米，项目利用原有</w:t>
            </w:r>
            <w:r>
              <w:rPr>
                <w:rFonts w:hint="eastAsia" w:ascii="Times New Roman" w:hAnsi="Times New Roman"/>
                <w:color w:val="auto"/>
                <w:sz w:val="24"/>
                <w:highlight w:val="none"/>
                <w:lang w:val="en-US" w:eastAsia="zh-CN"/>
              </w:rPr>
              <w:t>闲置</w:t>
            </w:r>
            <w:r>
              <w:rPr>
                <w:rFonts w:hint="eastAsia" w:ascii="Times New Roman" w:hAnsi="Times New Roman" w:eastAsia="宋体"/>
                <w:color w:val="auto"/>
                <w:sz w:val="24"/>
                <w:highlight w:val="none"/>
                <w:lang w:val="en-US" w:eastAsia="zh-CN"/>
              </w:rPr>
              <w:t>生产车间、仓库、办公</w:t>
            </w:r>
            <w:r>
              <w:rPr>
                <w:rFonts w:hint="eastAsia" w:ascii="Times New Roman" w:hAnsi="Times New Roman"/>
                <w:color w:val="auto"/>
                <w:sz w:val="24"/>
                <w:highlight w:val="none"/>
                <w:lang w:val="en-US" w:eastAsia="zh-CN"/>
              </w:rPr>
              <w:t>室</w:t>
            </w:r>
            <w:r>
              <w:rPr>
                <w:rFonts w:hint="eastAsia" w:ascii="Times New Roman" w:hAnsi="Times New Roman" w:eastAsia="宋体"/>
                <w:color w:val="auto"/>
                <w:sz w:val="24"/>
                <w:highlight w:val="none"/>
                <w:lang w:val="en-US" w:eastAsia="zh-CN"/>
              </w:rPr>
              <w:t>及其他配套设施；购置安装焊管机生产线</w:t>
            </w:r>
            <w:r>
              <w:rPr>
                <w:rFonts w:hint="eastAsia" w:ascii="Times New Roman" w:hAnsi="Times New Roman"/>
                <w:color w:val="auto"/>
                <w:sz w:val="24"/>
                <w:highlight w:val="none"/>
                <w:lang w:val="en-US" w:eastAsia="zh-CN"/>
              </w:rPr>
              <w:t>8</w:t>
            </w:r>
            <w:r>
              <w:rPr>
                <w:rFonts w:hint="eastAsia" w:ascii="Times New Roman" w:hAnsi="Times New Roman" w:eastAsia="宋体"/>
                <w:color w:val="auto"/>
                <w:sz w:val="24"/>
                <w:highlight w:val="none"/>
                <w:lang w:val="en-US" w:eastAsia="zh-CN"/>
              </w:rPr>
              <w:t>条</w:t>
            </w:r>
            <w:r>
              <w:rPr>
                <w:rFonts w:hint="eastAsia" w:ascii="Times New Roman" w:hAnsi="Times New Roman"/>
                <w:color w:val="auto"/>
                <w:sz w:val="24"/>
                <w:highlight w:val="none"/>
                <w:lang w:val="en-US" w:eastAsia="zh-CN"/>
              </w:rPr>
              <w:t>、分剪机2台机配套设备</w:t>
            </w:r>
            <w:r>
              <w:rPr>
                <w:rFonts w:hint="eastAsia" w:ascii="Times New Roman" w:hAnsi="Times New Roman" w:eastAsia="宋体"/>
                <w:color w:val="auto"/>
                <w:sz w:val="24"/>
                <w:highlight w:val="none"/>
                <w:lang w:val="en-US" w:eastAsia="zh-CN"/>
              </w:rPr>
              <w:t>，形成年产</w:t>
            </w:r>
            <w:r>
              <w:rPr>
                <w:rFonts w:hint="eastAsia" w:ascii="Times New Roman" w:hAnsi="Times New Roman"/>
                <w:color w:val="auto"/>
                <w:sz w:val="24"/>
                <w:highlight w:val="none"/>
                <w:lang w:val="en-US" w:eastAsia="zh-CN"/>
              </w:rPr>
              <w:t>20</w:t>
            </w:r>
            <w:r>
              <w:rPr>
                <w:rFonts w:hint="eastAsia" w:ascii="Times New Roman" w:hAnsi="Times New Roman" w:eastAsia="宋体"/>
                <w:color w:val="auto"/>
                <w:sz w:val="24"/>
                <w:highlight w:val="none"/>
                <w:lang w:val="en-US" w:eastAsia="zh-CN"/>
              </w:rPr>
              <w:t>万吨焊管生产规模。</w:t>
            </w:r>
          </w:p>
          <w:p w14:paraId="0AB6C5E6">
            <w:pPr>
              <w:pStyle w:val="61"/>
              <w:ind w:firstLine="482"/>
              <w:rPr>
                <w:rFonts w:ascii="Times New Roman" w:hAnsi="Times New Roman" w:eastAsia="宋体"/>
                <w:b/>
                <w:bCs/>
                <w:color w:val="auto"/>
                <w:kern w:val="0"/>
                <w:szCs w:val="20"/>
              </w:rPr>
            </w:pPr>
            <w:r>
              <w:rPr>
                <w:rFonts w:hint="eastAsia" w:ascii="Times New Roman" w:hAnsi="Times New Roman" w:eastAsia="宋体"/>
                <w:b/>
                <w:bCs/>
                <w:color w:val="auto"/>
                <w:kern w:val="0"/>
                <w:szCs w:val="20"/>
                <w:lang w:val="en-US" w:eastAsia="zh-CN"/>
              </w:rPr>
              <w:t>3</w:t>
            </w:r>
            <w:r>
              <w:rPr>
                <w:rFonts w:ascii="Times New Roman" w:hAnsi="Times New Roman" w:eastAsia="宋体"/>
                <w:b/>
                <w:bCs/>
                <w:color w:val="auto"/>
                <w:kern w:val="0"/>
                <w:szCs w:val="20"/>
              </w:rPr>
              <w:t>、工程内容及规模</w:t>
            </w:r>
          </w:p>
          <w:p w14:paraId="4075B587">
            <w:pPr>
              <w:pStyle w:val="61"/>
              <w:ind w:firstLine="480"/>
              <w:rPr>
                <w:rFonts w:hint="default" w:ascii="Times New Roman" w:hAnsi="Times New Roman" w:eastAsia="宋体"/>
                <w:color w:val="auto"/>
                <w:kern w:val="1"/>
                <w:sz w:val="24"/>
                <w:szCs w:val="20"/>
                <w:lang w:val="en-US"/>
              </w:rPr>
            </w:pPr>
            <w:r>
              <w:rPr>
                <w:rFonts w:hint="eastAsia" w:ascii="Times New Roman" w:hAnsi="Times New Roman" w:eastAsia="宋体"/>
                <w:color w:val="auto"/>
                <w:sz w:val="24"/>
                <w:lang w:eastAsia="zh-CN"/>
              </w:rPr>
              <w:t>本项目占地面积</w:t>
            </w:r>
            <w:r>
              <w:rPr>
                <w:rFonts w:hint="eastAsia" w:ascii="Times New Roman" w:hAnsi="Times New Roman" w:eastAsia="宋体"/>
                <w:color w:val="auto"/>
                <w:sz w:val="24"/>
                <w:lang w:val="en-US" w:eastAsia="zh-CN"/>
              </w:rPr>
              <w:t>1</w:t>
            </w:r>
            <w:r>
              <w:rPr>
                <w:rFonts w:hint="eastAsia" w:ascii="Times New Roman" w:hAnsi="Times New Roman"/>
                <w:color w:val="auto"/>
                <w:sz w:val="24"/>
                <w:lang w:val="en-US" w:eastAsia="zh-CN"/>
              </w:rPr>
              <w:t>65</w:t>
            </w:r>
            <w:r>
              <w:rPr>
                <w:rFonts w:hint="eastAsia" w:ascii="Times New Roman" w:hAnsi="Times New Roman" w:eastAsia="宋体"/>
                <w:color w:val="auto"/>
                <w:sz w:val="24"/>
                <w:lang w:val="en-US" w:eastAsia="zh-CN"/>
              </w:rPr>
              <w:t>00m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w:t>
            </w:r>
            <w:r>
              <w:rPr>
                <w:rFonts w:hint="eastAsia" w:ascii="Times New Roman" w:hAnsi="Times New Roman"/>
                <w:color w:val="auto"/>
                <w:sz w:val="24"/>
                <w:lang w:val="en-US" w:eastAsia="zh-CN"/>
              </w:rPr>
              <w:t>24.75</w:t>
            </w:r>
            <w:r>
              <w:rPr>
                <w:rFonts w:hint="eastAsia" w:ascii="Times New Roman" w:hAnsi="Times New Roman" w:eastAsia="宋体"/>
                <w:color w:val="auto"/>
                <w:sz w:val="24"/>
                <w:lang w:val="en-US" w:eastAsia="zh-CN"/>
              </w:rPr>
              <w:t>亩），厂房为钢结构厂房，</w:t>
            </w:r>
            <w:r>
              <w:rPr>
                <w:rFonts w:hint="eastAsia" w:ascii="Times New Roman" w:hAnsi="Times New Roman" w:eastAsia="宋体"/>
                <w:color w:val="auto"/>
                <w:sz w:val="24"/>
                <w:lang w:eastAsia="zh-CN"/>
              </w:rPr>
              <w:t>本项目在原有</w:t>
            </w:r>
            <w:r>
              <w:rPr>
                <w:rFonts w:hint="eastAsia" w:ascii="Times New Roman" w:hAnsi="Times New Roman"/>
                <w:color w:val="auto"/>
                <w:sz w:val="24"/>
                <w:lang w:eastAsia="zh-CN"/>
              </w:rPr>
              <w:t>闲置</w:t>
            </w:r>
            <w:r>
              <w:rPr>
                <w:rFonts w:hint="eastAsia" w:ascii="Times New Roman" w:hAnsi="Times New Roman" w:eastAsia="宋体"/>
                <w:color w:val="auto"/>
                <w:sz w:val="24"/>
                <w:lang w:eastAsia="zh-CN"/>
              </w:rPr>
              <w:t>厂区内进行改造，沿用原有</w:t>
            </w:r>
            <w:r>
              <w:rPr>
                <w:rFonts w:hint="eastAsia" w:ascii="Times New Roman" w:hAnsi="Times New Roman"/>
                <w:color w:val="auto"/>
                <w:sz w:val="24"/>
                <w:lang w:val="en-US" w:eastAsia="zh-CN"/>
              </w:rPr>
              <w:t>4</w:t>
            </w:r>
            <w:r>
              <w:rPr>
                <w:rFonts w:hint="eastAsia" w:ascii="Times New Roman" w:hAnsi="Times New Roman" w:eastAsia="宋体"/>
                <w:color w:val="auto"/>
                <w:sz w:val="24"/>
                <w:lang w:val="en-US" w:eastAsia="zh-CN"/>
              </w:rPr>
              <w:t>个生产车间，</w:t>
            </w:r>
            <w:r>
              <w:rPr>
                <w:rFonts w:hint="eastAsia" w:ascii="Times New Roman" w:hAnsi="Times New Roman"/>
                <w:color w:val="auto"/>
                <w:sz w:val="24"/>
                <w:lang w:val="en-US" w:eastAsia="zh-CN"/>
              </w:rPr>
              <w:t>建设8</w:t>
            </w:r>
            <w:r>
              <w:rPr>
                <w:rFonts w:hint="eastAsia" w:ascii="Times New Roman" w:hAnsi="Times New Roman" w:eastAsia="宋体"/>
                <w:color w:val="auto"/>
                <w:sz w:val="24"/>
                <w:lang w:val="en-US" w:eastAsia="zh-CN"/>
              </w:rPr>
              <w:t>条高频焊管生产线，同时配套循环冷却水、变压供配电系统、压缩空气系统、道路运输系统等</w:t>
            </w:r>
            <w:r>
              <w:rPr>
                <w:rFonts w:hint="eastAsia" w:ascii="Times New Roman" w:hAnsi="Times New Roman"/>
                <w:color w:val="auto"/>
                <w:kern w:val="0"/>
                <w:sz w:val="24"/>
                <w:lang w:eastAsia="zh-CN"/>
              </w:rPr>
              <w:t>，</w:t>
            </w:r>
            <w:r>
              <w:rPr>
                <w:rFonts w:hint="eastAsia" w:ascii="Times New Roman" w:hAnsi="Times New Roman" w:eastAsia="宋体"/>
                <w:color w:val="auto"/>
                <w:kern w:val="0"/>
                <w:sz w:val="24"/>
              </w:rPr>
              <w:t>项目主要建设工程内容见下</w:t>
            </w:r>
            <w:r>
              <w:rPr>
                <w:rFonts w:hint="eastAsia" w:ascii="Times New Roman" w:hAnsi="Times New Roman" w:eastAsia="宋体"/>
                <w:color w:val="auto"/>
                <w:sz w:val="24"/>
                <w:szCs w:val="20"/>
              </w:rPr>
              <w:t>表</w:t>
            </w:r>
            <w:r>
              <w:rPr>
                <w:rFonts w:hint="eastAsia" w:ascii="Times New Roman" w:hAnsi="Times New Roman" w:eastAsia="宋体"/>
                <w:color w:val="auto"/>
                <w:sz w:val="24"/>
                <w:highlight w:val="none"/>
                <w:lang w:val="en-US" w:eastAsia="zh-CN"/>
              </w:rPr>
              <w:t>。</w:t>
            </w:r>
          </w:p>
          <w:p w14:paraId="5F309233">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表2-1本项目工程组成一览表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426"/>
              <w:gridCol w:w="832"/>
              <w:gridCol w:w="5417"/>
              <w:gridCol w:w="679"/>
            </w:tblGrid>
            <w:tr w14:paraId="06DB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pct"/>
                  <w:gridSpan w:val="3"/>
                  <w:shd w:val="clear" w:color="auto" w:fill="D9D9D9"/>
                  <w:noWrap w:val="0"/>
                  <w:vAlign w:val="top"/>
                </w:tcPr>
                <w:p w14:paraId="3F08569E">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名称</w:t>
                  </w:r>
                </w:p>
              </w:tc>
              <w:tc>
                <w:tcPr>
                  <w:tcW w:w="3376" w:type="pct"/>
                  <w:shd w:val="clear" w:color="auto" w:fill="D9D9D9"/>
                  <w:noWrap w:val="0"/>
                  <w:vAlign w:val="top"/>
                </w:tcPr>
                <w:p w14:paraId="7AEEA2D3">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建设内容及规模</w:t>
                  </w:r>
                </w:p>
              </w:tc>
              <w:tc>
                <w:tcPr>
                  <w:tcW w:w="423" w:type="pct"/>
                  <w:shd w:val="clear" w:color="auto" w:fill="D9D9D9"/>
                  <w:noWrap w:val="0"/>
                  <w:vAlign w:val="top"/>
                </w:tcPr>
                <w:p w14:paraId="3F0BA578">
                  <w:pPr>
                    <w:tabs>
                      <w:tab w:val="left" w:pos="5220"/>
                    </w:tabs>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备注</w:t>
                  </w:r>
                </w:p>
              </w:tc>
            </w:tr>
            <w:tr w14:paraId="4478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16" w:type="pct"/>
                  <w:vMerge w:val="restart"/>
                  <w:noWrap w:val="0"/>
                  <w:vAlign w:val="center"/>
                </w:tcPr>
                <w:p w14:paraId="38D2A9AF">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主体工程</w:t>
                  </w:r>
                </w:p>
              </w:tc>
              <w:tc>
                <w:tcPr>
                  <w:tcW w:w="784" w:type="pct"/>
                  <w:gridSpan w:val="2"/>
                  <w:noWrap w:val="0"/>
                  <w:vAlign w:val="center"/>
                </w:tcPr>
                <w:p w14:paraId="590A7C56">
                  <w:pPr>
                    <w:adjustRightInd w:val="0"/>
                    <w:snapToGrid w:val="0"/>
                    <w:jc w:val="center"/>
                    <w:rPr>
                      <w:rFonts w:ascii="Times New Roman" w:hAnsi="Times New Roman" w:eastAsia="宋体"/>
                      <w:color w:val="auto"/>
                      <w:kern w:val="1"/>
                      <w:szCs w:val="21"/>
                    </w:rPr>
                  </w:pPr>
                  <w:r>
                    <w:rPr>
                      <w:rFonts w:hint="eastAsia" w:ascii="Times New Roman" w:hAnsi="Times New Roman" w:eastAsia="宋体"/>
                      <w:color w:val="auto"/>
                      <w:kern w:val="1"/>
                      <w:szCs w:val="21"/>
                      <w:lang w:val="en-US" w:eastAsia="zh-CN"/>
                    </w:rPr>
                    <w:t>1#生产车间</w:t>
                  </w:r>
                </w:p>
              </w:tc>
              <w:tc>
                <w:tcPr>
                  <w:tcW w:w="3376" w:type="pct"/>
                  <w:tcBorders>
                    <w:bottom w:val="single" w:color="auto" w:sz="4" w:space="0"/>
                  </w:tcBorders>
                  <w:noWrap w:val="0"/>
                  <w:vAlign w:val="center"/>
                </w:tcPr>
                <w:p w14:paraId="2E5D17EF">
                  <w:pPr>
                    <w:adjustRightInd w:val="0"/>
                    <w:snapToGrid w:val="0"/>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3975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color w:val="auto"/>
                      <w:lang w:val="en-US" w:eastAsia="zh-CN"/>
                    </w:rPr>
                    <w:t>2</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p>
              </w:tc>
              <w:tc>
                <w:tcPr>
                  <w:tcW w:w="423" w:type="pct"/>
                  <w:vMerge w:val="restart"/>
                  <w:noWrap w:val="0"/>
                  <w:vAlign w:val="center"/>
                </w:tcPr>
                <w:p w14:paraId="38BDB96C">
                  <w:pPr>
                    <w:adjustRightInd w:val="0"/>
                    <w:snapToGrid w:val="0"/>
                    <w:jc w:val="center"/>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1442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16" w:type="pct"/>
                  <w:vMerge w:val="continue"/>
                  <w:noWrap w:val="0"/>
                  <w:vAlign w:val="center"/>
                </w:tcPr>
                <w:p w14:paraId="13E000E8">
                  <w:pPr>
                    <w:tabs>
                      <w:tab w:val="left" w:pos="5220"/>
                    </w:tabs>
                    <w:adjustRightInd w:val="0"/>
                    <w:snapToGrid w:val="0"/>
                    <w:jc w:val="center"/>
                    <w:rPr>
                      <w:rFonts w:ascii="Times New Roman" w:hAnsi="Times New Roman" w:eastAsia="宋体"/>
                      <w:color w:val="auto"/>
                      <w:szCs w:val="21"/>
                    </w:rPr>
                  </w:pPr>
                </w:p>
              </w:tc>
              <w:tc>
                <w:tcPr>
                  <w:tcW w:w="784" w:type="pct"/>
                  <w:gridSpan w:val="2"/>
                  <w:noWrap w:val="0"/>
                  <w:vAlign w:val="center"/>
                </w:tcPr>
                <w:p w14:paraId="0A904A0A">
                  <w:pPr>
                    <w:adjustRightInd w:val="0"/>
                    <w:snapToGrid w:val="0"/>
                    <w:jc w:val="center"/>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2#生产车间</w:t>
                  </w:r>
                </w:p>
              </w:tc>
              <w:tc>
                <w:tcPr>
                  <w:tcW w:w="3376" w:type="pct"/>
                  <w:tcBorders>
                    <w:bottom w:val="single" w:color="auto" w:sz="4" w:space="0"/>
                  </w:tcBorders>
                  <w:noWrap w:val="0"/>
                  <w:vAlign w:val="center"/>
                </w:tcPr>
                <w:p w14:paraId="518690B0">
                  <w:pPr>
                    <w:adjustRightInd w:val="0"/>
                    <w:snapToGrid w:val="0"/>
                    <w:rPr>
                      <w:rFonts w:hint="default" w:ascii="Times New Roman" w:hAnsi="Times New Roman" w:eastAsia="宋体"/>
                      <w:color w:val="auto"/>
                      <w:kern w:val="1"/>
                      <w:szCs w:val="21"/>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4175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ascii="Times New Roman" w:hAnsi="Times New Roman" w:eastAsia="宋体"/>
                      <w:color w:val="auto"/>
                      <w:lang w:val="en-US" w:eastAsia="zh-CN"/>
                    </w:rPr>
                    <w:t>2</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p>
              </w:tc>
              <w:tc>
                <w:tcPr>
                  <w:tcW w:w="423" w:type="pct"/>
                  <w:vMerge w:val="continue"/>
                  <w:noWrap w:val="0"/>
                  <w:vAlign w:val="center"/>
                </w:tcPr>
                <w:p w14:paraId="1C0AE216">
                  <w:pPr>
                    <w:adjustRightInd w:val="0"/>
                    <w:snapToGrid w:val="0"/>
                    <w:jc w:val="center"/>
                    <w:rPr>
                      <w:rFonts w:hint="eastAsia" w:ascii="Times New Roman" w:hAnsi="Times New Roman" w:eastAsia="宋体"/>
                      <w:color w:val="auto"/>
                      <w:kern w:val="1"/>
                      <w:szCs w:val="21"/>
                      <w:lang w:val="en-US" w:eastAsia="zh-CN"/>
                    </w:rPr>
                  </w:pPr>
                </w:p>
              </w:tc>
            </w:tr>
            <w:tr w14:paraId="2B82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16" w:type="pct"/>
                  <w:vMerge w:val="continue"/>
                  <w:noWrap w:val="0"/>
                  <w:vAlign w:val="center"/>
                </w:tcPr>
                <w:p w14:paraId="3547E63C">
                  <w:pPr>
                    <w:tabs>
                      <w:tab w:val="left" w:pos="5220"/>
                    </w:tabs>
                    <w:adjustRightInd w:val="0"/>
                    <w:snapToGrid w:val="0"/>
                    <w:jc w:val="center"/>
                    <w:rPr>
                      <w:rFonts w:ascii="Times New Roman" w:hAnsi="Times New Roman" w:eastAsia="宋体"/>
                      <w:color w:val="auto"/>
                      <w:szCs w:val="21"/>
                    </w:rPr>
                  </w:pPr>
                </w:p>
              </w:tc>
              <w:tc>
                <w:tcPr>
                  <w:tcW w:w="784" w:type="pct"/>
                  <w:gridSpan w:val="2"/>
                  <w:noWrap w:val="0"/>
                  <w:vAlign w:val="center"/>
                </w:tcPr>
                <w:p w14:paraId="42270FA6">
                  <w:pPr>
                    <w:adjustRightInd w:val="0"/>
                    <w:snapToGrid w:val="0"/>
                    <w:jc w:val="center"/>
                    <w:rPr>
                      <w:rFonts w:hint="default"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3#生产车间</w:t>
                  </w:r>
                </w:p>
              </w:tc>
              <w:tc>
                <w:tcPr>
                  <w:tcW w:w="3376" w:type="pct"/>
                  <w:tcBorders>
                    <w:bottom w:val="single" w:color="auto" w:sz="4" w:space="0"/>
                  </w:tcBorders>
                  <w:noWrap w:val="0"/>
                  <w:vAlign w:val="center"/>
                </w:tcPr>
                <w:p w14:paraId="0661646A">
                  <w:pPr>
                    <w:adjustRightInd w:val="0"/>
                    <w:snapToGrid w:val="0"/>
                    <w:rPr>
                      <w:rFonts w:hint="eastAsia" w:ascii="Times New Roman" w:hAnsi="Times New Roman" w:eastAsia="宋体"/>
                      <w:color w:val="auto"/>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4175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ascii="Times New Roman" w:hAnsi="Times New Roman" w:eastAsia="宋体"/>
                      <w:color w:val="auto"/>
                      <w:lang w:val="en-US" w:eastAsia="zh-CN"/>
                    </w:rPr>
                    <w:t>2</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p>
              </w:tc>
              <w:tc>
                <w:tcPr>
                  <w:tcW w:w="423" w:type="pct"/>
                  <w:vMerge w:val="continue"/>
                  <w:noWrap w:val="0"/>
                  <w:vAlign w:val="center"/>
                </w:tcPr>
                <w:p w14:paraId="11617315">
                  <w:pPr>
                    <w:adjustRightInd w:val="0"/>
                    <w:snapToGrid w:val="0"/>
                    <w:jc w:val="center"/>
                    <w:rPr>
                      <w:rFonts w:hint="eastAsia" w:ascii="Times New Roman" w:hAnsi="Times New Roman" w:eastAsia="宋体"/>
                      <w:color w:val="auto"/>
                      <w:kern w:val="1"/>
                      <w:szCs w:val="21"/>
                      <w:lang w:val="en-US" w:eastAsia="zh-CN"/>
                    </w:rPr>
                  </w:pPr>
                </w:p>
              </w:tc>
            </w:tr>
            <w:tr w14:paraId="1D22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416" w:type="pct"/>
                  <w:vMerge w:val="continue"/>
                  <w:noWrap w:val="0"/>
                  <w:vAlign w:val="center"/>
                </w:tcPr>
                <w:p w14:paraId="25ECD398">
                  <w:pPr>
                    <w:tabs>
                      <w:tab w:val="left" w:pos="5220"/>
                    </w:tabs>
                    <w:adjustRightInd w:val="0"/>
                    <w:snapToGrid w:val="0"/>
                    <w:jc w:val="center"/>
                    <w:rPr>
                      <w:rFonts w:ascii="Times New Roman" w:hAnsi="Times New Roman" w:eastAsia="宋体"/>
                      <w:color w:val="auto"/>
                      <w:szCs w:val="21"/>
                    </w:rPr>
                  </w:pPr>
                </w:p>
              </w:tc>
              <w:tc>
                <w:tcPr>
                  <w:tcW w:w="784" w:type="pct"/>
                  <w:gridSpan w:val="2"/>
                  <w:noWrap w:val="0"/>
                  <w:vAlign w:val="center"/>
                </w:tcPr>
                <w:p w14:paraId="74346302">
                  <w:pPr>
                    <w:adjustRightInd w:val="0"/>
                    <w:snapToGrid w:val="0"/>
                    <w:jc w:val="center"/>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4#生产车间</w:t>
                  </w:r>
                </w:p>
              </w:tc>
              <w:tc>
                <w:tcPr>
                  <w:tcW w:w="3376" w:type="pct"/>
                  <w:tcBorders>
                    <w:bottom w:val="single" w:color="auto" w:sz="4" w:space="0"/>
                  </w:tcBorders>
                  <w:noWrap w:val="0"/>
                  <w:vAlign w:val="center"/>
                </w:tcPr>
                <w:p w14:paraId="22A705FF">
                  <w:pPr>
                    <w:adjustRightInd w:val="0"/>
                    <w:snapToGrid w:val="0"/>
                    <w:rPr>
                      <w:rFonts w:hint="eastAsia" w:ascii="Times New Roman" w:hAnsi="Times New Roman" w:eastAsia="宋体"/>
                      <w:color w:val="auto"/>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4175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，生产车间由</w:t>
                  </w:r>
                  <w:r>
                    <w:rPr>
                      <w:rFonts w:hint="eastAsia" w:ascii="Times New Roman" w:hAnsi="Times New Roman" w:eastAsia="宋体"/>
                      <w:color w:val="auto"/>
                      <w:lang w:eastAsia="zh-CN"/>
                    </w:rPr>
                    <w:t>西</w:t>
                  </w:r>
                  <w:r>
                    <w:rPr>
                      <w:rFonts w:hint="eastAsia" w:ascii="Times New Roman" w:hAnsi="Times New Roman" w:eastAsia="宋体"/>
                      <w:color w:val="auto"/>
                    </w:rPr>
                    <w:t>至</w:t>
                  </w:r>
                  <w:r>
                    <w:rPr>
                      <w:rFonts w:hint="eastAsia" w:ascii="Times New Roman" w:hAnsi="Times New Roman" w:eastAsia="宋体"/>
                      <w:color w:val="auto"/>
                      <w:lang w:eastAsia="zh-CN"/>
                    </w:rPr>
                    <w:t>东</w:t>
                  </w:r>
                  <w:r>
                    <w:rPr>
                      <w:rFonts w:hint="eastAsia" w:ascii="Times New Roman" w:hAnsi="Times New Roman" w:eastAsia="宋体"/>
                      <w:color w:val="auto"/>
                    </w:rPr>
                    <w:t>依次布设</w:t>
                  </w:r>
                  <w:r>
                    <w:rPr>
                      <w:rFonts w:hint="eastAsia" w:ascii="Times New Roman" w:hAnsi="Times New Roman" w:eastAsia="宋体"/>
                      <w:color w:val="auto"/>
                      <w:lang w:val="en-US" w:eastAsia="zh-CN"/>
                    </w:rPr>
                    <w:t>2</w:t>
                  </w:r>
                  <w:r>
                    <w:rPr>
                      <w:rFonts w:hint="eastAsia" w:ascii="Times New Roman" w:hAnsi="Times New Roman" w:eastAsia="宋体"/>
                      <w:color w:val="auto"/>
                    </w:rPr>
                    <w:t>条</w:t>
                  </w:r>
                  <w:r>
                    <w:rPr>
                      <w:rFonts w:hint="eastAsia" w:ascii="Times New Roman" w:hAnsi="Times New Roman" w:eastAsia="宋体"/>
                      <w:color w:val="auto"/>
                      <w:lang w:eastAsia="zh-CN"/>
                    </w:rPr>
                    <w:t>高频焊管</w:t>
                  </w:r>
                  <w:r>
                    <w:rPr>
                      <w:rFonts w:hint="eastAsia" w:ascii="Times New Roman" w:hAnsi="Times New Roman" w:eastAsia="宋体"/>
                      <w:color w:val="auto"/>
                    </w:rPr>
                    <w:t>生产线</w:t>
                  </w:r>
                  <w:r>
                    <w:rPr>
                      <w:rFonts w:hint="eastAsia" w:ascii="Times New Roman" w:hAnsi="Times New Roman" w:eastAsia="宋体"/>
                      <w:color w:val="auto"/>
                      <w:kern w:val="1"/>
                      <w:szCs w:val="21"/>
                      <w:vertAlign w:val="baseline"/>
                      <w:lang w:val="en-US" w:eastAsia="zh-CN"/>
                    </w:rPr>
                    <w:t>。</w:t>
                  </w:r>
                </w:p>
              </w:tc>
              <w:tc>
                <w:tcPr>
                  <w:tcW w:w="423" w:type="pct"/>
                  <w:vMerge w:val="continue"/>
                  <w:tcBorders>
                    <w:bottom w:val="single" w:color="auto" w:sz="4" w:space="0"/>
                  </w:tcBorders>
                  <w:noWrap w:val="0"/>
                  <w:vAlign w:val="center"/>
                </w:tcPr>
                <w:p w14:paraId="1E8D4747">
                  <w:pPr>
                    <w:adjustRightInd w:val="0"/>
                    <w:snapToGrid w:val="0"/>
                    <w:jc w:val="center"/>
                    <w:rPr>
                      <w:rFonts w:hint="eastAsia" w:ascii="Times New Roman" w:hAnsi="Times New Roman" w:eastAsia="宋体"/>
                      <w:color w:val="auto"/>
                      <w:kern w:val="1"/>
                      <w:szCs w:val="21"/>
                      <w:lang w:val="en-US" w:eastAsia="zh-CN"/>
                    </w:rPr>
                  </w:pPr>
                </w:p>
              </w:tc>
            </w:tr>
            <w:tr w14:paraId="796A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pct"/>
                  <w:vMerge w:val="restart"/>
                  <w:noWrap w:val="0"/>
                  <w:vAlign w:val="center"/>
                </w:tcPr>
                <w:p w14:paraId="7FC68C38">
                  <w:pPr>
                    <w:tabs>
                      <w:tab w:val="left" w:pos="5220"/>
                    </w:tabs>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储运工程</w:t>
                  </w:r>
                </w:p>
              </w:tc>
              <w:tc>
                <w:tcPr>
                  <w:tcW w:w="784" w:type="pct"/>
                  <w:gridSpan w:val="2"/>
                  <w:noWrap w:val="0"/>
                  <w:vAlign w:val="center"/>
                </w:tcPr>
                <w:p w14:paraId="66A3697A">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1#产品库</w:t>
                  </w:r>
                </w:p>
              </w:tc>
              <w:tc>
                <w:tcPr>
                  <w:tcW w:w="3376" w:type="pct"/>
                  <w:noWrap w:val="0"/>
                  <w:vAlign w:val="center"/>
                </w:tcPr>
                <w:p w14:paraId="1DFAF87F">
                  <w:pPr>
                    <w:tabs>
                      <w:tab w:val="left" w:pos="5220"/>
                    </w:tabs>
                    <w:adjustRightInd w:val="0"/>
                    <w:snapToGrid w:val="0"/>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607.5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主要用于存储生产的成品。</w:t>
                  </w:r>
                </w:p>
              </w:tc>
              <w:tc>
                <w:tcPr>
                  <w:tcW w:w="423" w:type="pct"/>
                  <w:vMerge w:val="restart"/>
                  <w:noWrap w:val="0"/>
                  <w:vAlign w:val="center"/>
                </w:tcPr>
                <w:p w14:paraId="45909881">
                  <w:pPr>
                    <w:jc w:val="center"/>
                    <w:rPr>
                      <w:rFonts w:hint="eastAsia" w:ascii="Times New Roman" w:hAnsi="Times New Roman" w:eastAsia="宋体"/>
                      <w:color w:val="auto"/>
                      <w:lang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已建成厂房</w:t>
                  </w:r>
                </w:p>
              </w:tc>
            </w:tr>
            <w:tr w14:paraId="1F8A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6" w:type="pct"/>
                  <w:vMerge w:val="continue"/>
                  <w:noWrap w:val="0"/>
                  <w:vAlign w:val="center"/>
                </w:tcPr>
                <w:p w14:paraId="70D18628">
                  <w:pPr>
                    <w:tabs>
                      <w:tab w:val="left" w:pos="5220"/>
                    </w:tabs>
                    <w:adjustRightInd w:val="0"/>
                    <w:snapToGrid w:val="0"/>
                    <w:jc w:val="center"/>
                    <w:rPr>
                      <w:rFonts w:hint="eastAsia" w:ascii="Times New Roman" w:hAnsi="Times New Roman" w:eastAsia="宋体"/>
                      <w:color w:val="auto"/>
                      <w:szCs w:val="21"/>
                    </w:rPr>
                  </w:pPr>
                </w:p>
              </w:tc>
              <w:tc>
                <w:tcPr>
                  <w:tcW w:w="784" w:type="pct"/>
                  <w:gridSpan w:val="2"/>
                  <w:noWrap w:val="0"/>
                  <w:vAlign w:val="center"/>
                </w:tcPr>
                <w:p w14:paraId="08DC655F">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2#产品库</w:t>
                  </w:r>
                </w:p>
              </w:tc>
              <w:tc>
                <w:tcPr>
                  <w:tcW w:w="3376" w:type="pct"/>
                  <w:noWrap w:val="0"/>
                  <w:vAlign w:val="center"/>
                </w:tcPr>
                <w:p w14:paraId="1F56C3EC">
                  <w:pPr>
                    <w:tabs>
                      <w:tab w:val="left" w:pos="5220"/>
                    </w:tabs>
                    <w:adjustRightInd w:val="0"/>
                    <w:snapToGrid w:val="0"/>
                    <w:rPr>
                      <w:rFonts w:hint="eastAsia"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810</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主要用于存储生产的成品。</w:t>
                  </w:r>
                </w:p>
              </w:tc>
              <w:tc>
                <w:tcPr>
                  <w:tcW w:w="423" w:type="pct"/>
                  <w:vMerge w:val="continue"/>
                  <w:noWrap w:val="0"/>
                  <w:vAlign w:val="center"/>
                </w:tcPr>
                <w:p w14:paraId="00AC34E2">
                  <w:pPr>
                    <w:jc w:val="center"/>
                    <w:rPr>
                      <w:rFonts w:hint="eastAsia" w:ascii="Times New Roman" w:hAnsi="Times New Roman" w:eastAsia="宋体"/>
                      <w:color w:val="auto"/>
                      <w:kern w:val="1"/>
                      <w:szCs w:val="21"/>
                      <w:lang w:val="en-US" w:eastAsia="zh-CN"/>
                    </w:rPr>
                  </w:pPr>
                </w:p>
              </w:tc>
            </w:tr>
            <w:tr w14:paraId="3808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16" w:type="pct"/>
                  <w:vMerge w:val="continue"/>
                  <w:noWrap w:val="0"/>
                  <w:vAlign w:val="center"/>
                </w:tcPr>
                <w:p w14:paraId="449E6F47">
                  <w:pPr>
                    <w:tabs>
                      <w:tab w:val="left" w:pos="5220"/>
                    </w:tabs>
                    <w:adjustRightInd w:val="0"/>
                    <w:snapToGrid w:val="0"/>
                    <w:jc w:val="center"/>
                    <w:rPr>
                      <w:rFonts w:hint="eastAsia" w:ascii="Times New Roman" w:hAnsi="Times New Roman" w:eastAsia="宋体"/>
                      <w:color w:val="auto"/>
                      <w:szCs w:val="21"/>
                    </w:rPr>
                  </w:pPr>
                </w:p>
              </w:tc>
              <w:tc>
                <w:tcPr>
                  <w:tcW w:w="784" w:type="pct"/>
                  <w:gridSpan w:val="2"/>
                  <w:noWrap w:val="0"/>
                  <w:vAlign w:val="center"/>
                </w:tcPr>
                <w:p w14:paraId="591F096D">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1#</w:t>
                  </w:r>
                  <w:r>
                    <w:rPr>
                      <w:rFonts w:hint="eastAsia" w:ascii="Times New Roman" w:hAnsi="Times New Roman" w:eastAsia="宋体"/>
                      <w:color w:val="auto"/>
                      <w:szCs w:val="21"/>
                      <w:lang w:val="en-US" w:eastAsia="zh-CN"/>
                    </w:rPr>
                    <w:t>原料库</w:t>
                  </w:r>
                </w:p>
              </w:tc>
              <w:tc>
                <w:tcPr>
                  <w:tcW w:w="3376" w:type="pct"/>
                  <w:noWrap w:val="0"/>
                  <w:vAlign w:val="center"/>
                </w:tcPr>
                <w:p w14:paraId="57109CA8">
                  <w:pPr>
                    <w:tabs>
                      <w:tab w:val="left" w:pos="5220"/>
                    </w:tabs>
                    <w:adjustRightInd w:val="0"/>
                    <w:snapToGrid w:val="0"/>
                    <w:rPr>
                      <w:rFonts w:hint="default" w:ascii="Times New Roman" w:hAnsi="Times New Roman" w:eastAsia="宋体"/>
                      <w:color w:val="auto"/>
                      <w:szCs w:val="21"/>
                      <w:vertAlign w:val="baseline"/>
                      <w:lang w:val="en-US" w:eastAsia="zh-CN"/>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color w:val="auto"/>
                      <w:lang w:val="en-US" w:eastAsia="zh-CN"/>
                    </w:rPr>
                    <w:t>405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主要用于存储生产原料钢带。</w:t>
                  </w:r>
                </w:p>
              </w:tc>
              <w:tc>
                <w:tcPr>
                  <w:tcW w:w="423" w:type="pct"/>
                  <w:vMerge w:val="continue"/>
                  <w:noWrap w:val="0"/>
                  <w:vAlign w:val="center"/>
                </w:tcPr>
                <w:p w14:paraId="0C1DF2E7">
                  <w:pPr>
                    <w:jc w:val="center"/>
                    <w:rPr>
                      <w:rFonts w:hint="eastAsia" w:ascii="Times New Roman" w:hAnsi="Times New Roman" w:eastAsia="宋体"/>
                      <w:color w:val="auto"/>
                      <w:kern w:val="1"/>
                      <w:szCs w:val="21"/>
                      <w:lang w:val="en-US" w:eastAsia="zh-CN"/>
                    </w:rPr>
                  </w:pPr>
                </w:p>
              </w:tc>
            </w:tr>
            <w:tr w14:paraId="515F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16" w:type="pct"/>
                  <w:vMerge w:val="continue"/>
                  <w:noWrap w:val="0"/>
                  <w:vAlign w:val="center"/>
                </w:tcPr>
                <w:p w14:paraId="18F86EE9">
                  <w:pPr>
                    <w:tabs>
                      <w:tab w:val="left" w:pos="5220"/>
                    </w:tabs>
                    <w:adjustRightInd w:val="0"/>
                    <w:snapToGrid w:val="0"/>
                    <w:jc w:val="center"/>
                    <w:rPr>
                      <w:rFonts w:hint="eastAsia" w:ascii="Times New Roman" w:hAnsi="Times New Roman" w:eastAsia="宋体"/>
                      <w:color w:val="auto"/>
                      <w:szCs w:val="21"/>
                    </w:rPr>
                  </w:pPr>
                </w:p>
              </w:tc>
              <w:tc>
                <w:tcPr>
                  <w:tcW w:w="784" w:type="pct"/>
                  <w:gridSpan w:val="2"/>
                  <w:noWrap w:val="0"/>
                  <w:vAlign w:val="center"/>
                </w:tcPr>
                <w:p w14:paraId="0FA92011">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2#</w:t>
                  </w:r>
                  <w:r>
                    <w:rPr>
                      <w:rFonts w:hint="eastAsia" w:ascii="Times New Roman" w:hAnsi="Times New Roman" w:eastAsia="宋体"/>
                      <w:color w:val="auto"/>
                      <w:szCs w:val="21"/>
                      <w:lang w:val="en-US" w:eastAsia="zh-CN"/>
                    </w:rPr>
                    <w:t>原料库</w:t>
                  </w:r>
                </w:p>
              </w:tc>
              <w:tc>
                <w:tcPr>
                  <w:tcW w:w="3376" w:type="pct"/>
                  <w:noWrap w:val="0"/>
                  <w:vAlign w:val="center"/>
                </w:tcPr>
                <w:p w14:paraId="7C1B9A3D">
                  <w:pPr>
                    <w:tabs>
                      <w:tab w:val="left" w:pos="5220"/>
                    </w:tabs>
                    <w:adjustRightInd w:val="0"/>
                    <w:snapToGrid w:val="0"/>
                    <w:rPr>
                      <w:rFonts w:hint="eastAsia" w:ascii="Times New Roman" w:hAnsi="Times New Roman" w:eastAsia="宋体"/>
                      <w:color w:val="auto"/>
                    </w:rPr>
                  </w:pPr>
                  <w:r>
                    <w:rPr>
                      <w:rFonts w:hint="eastAsia" w:ascii="Times New Roman" w:hAnsi="Times New Roman" w:eastAsia="宋体"/>
                      <w:color w:val="auto"/>
                    </w:rPr>
                    <w:t>采用钢结构形式，彩钢瓦覆顶，占地</w:t>
                  </w:r>
                  <w:r>
                    <w:rPr>
                      <w:rFonts w:hint="eastAsia" w:ascii="Times New Roman" w:hAnsi="Times New Roman" w:eastAsia="宋体"/>
                      <w:color w:val="auto"/>
                      <w:lang w:eastAsia="zh-CN"/>
                    </w:rPr>
                    <w:t>面积</w:t>
                  </w:r>
                  <w:r>
                    <w:rPr>
                      <w:rFonts w:hint="eastAsia" w:ascii="Times New Roman" w:hAnsi="Times New Roman" w:eastAsia="宋体"/>
                      <w:color w:val="auto"/>
                      <w:lang w:val="en-US" w:eastAsia="zh-CN"/>
                    </w:rPr>
                    <w:t>405</w:t>
                  </w:r>
                  <w:r>
                    <w:rPr>
                      <w:rFonts w:hint="eastAsia" w:ascii="Times New Roman" w:hAnsi="Times New Roman" w:eastAsia="宋体"/>
                      <w:color w:val="auto"/>
                    </w:rPr>
                    <w:t>m</w:t>
                  </w:r>
                  <w:r>
                    <w:rPr>
                      <w:rFonts w:hint="eastAsia" w:ascii="Times New Roman" w:hAnsi="Times New Roman" w:eastAsia="宋体"/>
                      <w:color w:val="auto"/>
                      <w:vertAlign w:val="superscript"/>
                    </w:rPr>
                    <w:t>2</w:t>
                  </w:r>
                  <w:r>
                    <w:rPr>
                      <w:rFonts w:hint="eastAsia" w:ascii="Times New Roman" w:hAnsi="Times New Roman" w:eastAsia="宋体"/>
                      <w:color w:val="auto"/>
                    </w:rPr>
                    <w:t>，1层</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H=1</w:t>
                  </w:r>
                  <w:r>
                    <w:rPr>
                      <w:rFonts w:hint="eastAsia"/>
                      <w:color w:val="auto"/>
                      <w:lang w:val="en-US" w:eastAsia="zh-CN"/>
                    </w:rPr>
                    <w:t>5</w:t>
                  </w:r>
                  <w:r>
                    <w:rPr>
                      <w:rFonts w:hint="eastAsia" w:ascii="Times New Roman" w:hAnsi="Times New Roman" w:eastAsia="宋体"/>
                      <w:color w:val="auto"/>
                      <w:lang w:val="en-US" w:eastAsia="zh-CN"/>
                    </w:rPr>
                    <w:t>m</w:t>
                  </w:r>
                  <w:r>
                    <w:rPr>
                      <w:rFonts w:hint="eastAsia" w:ascii="Times New Roman" w:hAnsi="Times New Roman" w:eastAsia="宋体"/>
                      <w:color w:val="auto"/>
                    </w:rPr>
                    <w:t>，</w:t>
                  </w:r>
                  <w:r>
                    <w:rPr>
                      <w:rFonts w:hint="eastAsia" w:ascii="Times New Roman" w:hAnsi="Times New Roman" w:eastAsia="宋体"/>
                      <w:color w:val="auto"/>
                      <w:lang w:val="en-US" w:eastAsia="zh-CN"/>
                    </w:rPr>
                    <w:t>主要用于存储生产原料钢带。</w:t>
                  </w:r>
                </w:p>
              </w:tc>
              <w:tc>
                <w:tcPr>
                  <w:tcW w:w="423" w:type="pct"/>
                  <w:vMerge w:val="continue"/>
                  <w:noWrap w:val="0"/>
                  <w:vAlign w:val="center"/>
                </w:tcPr>
                <w:p w14:paraId="4CB3EFA5">
                  <w:pPr>
                    <w:jc w:val="center"/>
                    <w:rPr>
                      <w:rFonts w:hint="eastAsia" w:ascii="Times New Roman" w:hAnsi="Times New Roman" w:eastAsia="宋体"/>
                      <w:color w:val="auto"/>
                      <w:kern w:val="1"/>
                      <w:szCs w:val="21"/>
                      <w:lang w:val="en-US" w:eastAsia="zh-CN"/>
                    </w:rPr>
                  </w:pPr>
                </w:p>
              </w:tc>
            </w:tr>
            <w:tr w14:paraId="2E51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16" w:type="pct"/>
                  <w:vMerge w:val="restart"/>
                  <w:noWrap w:val="0"/>
                  <w:vAlign w:val="center"/>
                </w:tcPr>
                <w:p w14:paraId="4EA11E2A">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辅助工程</w:t>
                  </w:r>
                </w:p>
              </w:tc>
              <w:tc>
                <w:tcPr>
                  <w:tcW w:w="784" w:type="pct"/>
                  <w:gridSpan w:val="2"/>
                  <w:noWrap w:val="0"/>
                  <w:vAlign w:val="center"/>
                </w:tcPr>
                <w:p w14:paraId="6FE971B5">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办公室</w:t>
                  </w:r>
                </w:p>
              </w:tc>
              <w:tc>
                <w:tcPr>
                  <w:tcW w:w="3376" w:type="pct"/>
                  <w:noWrap w:val="0"/>
                  <w:vAlign w:val="center"/>
                </w:tcPr>
                <w:p w14:paraId="214ED28C">
                  <w:pPr>
                    <w:adjustRightInd w:val="0"/>
                    <w:snapToGrid w:val="0"/>
                    <w:textAlignment w:val="baseline"/>
                    <w:rPr>
                      <w:rFonts w:hint="eastAsia" w:ascii="Times New Roman" w:hAnsi="Times New Roman" w:eastAsia="宋体"/>
                      <w:color w:val="auto"/>
                      <w:kern w:val="1"/>
                      <w:szCs w:val="21"/>
                      <w:vertAlign w:val="baseline"/>
                      <w:lang w:val="en-US" w:eastAsia="zh-CN"/>
                    </w:rPr>
                  </w:pPr>
                  <w:r>
                    <w:rPr>
                      <w:rFonts w:hint="eastAsia"/>
                      <w:color w:val="auto"/>
                      <w:kern w:val="1"/>
                      <w:szCs w:val="21"/>
                      <w:lang w:val="en-US" w:eastAsia="zh-CN"/>
                    </w:rPr>
                    <w:t>砖混结构</w:t>
                  </w:r>
                  <w:r>
                    <w:rPr>
                      <w:rFonts w:hint="eastAsia" w:ascii="Times New Roman" w:hAnsi="Times New Roman" w:eastAsia="宋体"/>
                      <w:color w:val="auto"/>
                    </w:rPr>
                    <w:t>，1层</w:t>
                  </w:r>
                  <w:r>
                    <w:rPr>
                      <w:rFonts w:hint="eastAsia"/>
                      <w:color w:val="auto"/>
                      <w:lang w:eastAsia="zh-CN"/>
                    </w:rPr>
                    <w:t>。</w:t>
                  </w:r>
                </w:p>
              </w:tc>
              <w:tc>
                <w:tcPr>
                  <w:tcW w:w="423" w:type="pct"/>
                  <w:vMerge w:val="restart"/>
                  <w:noWrap w:val="0"/>
                  <w:vAlign w:val="center"/>
                </w:tcPr>
                <w:p w14:paraId="7426DBA6">
                  <w:pPr>
                    <w:adjustRightInd w:val="0"/>
                    <w:snapToGrid w:val="0"/>
                    <w:jc w:val="center"/>
                    <w:textAlignment w:val="baseline"/>
                    <w:rPr>
                      <w:rFonts w:hint="eastAsia" w:ascii="Times New Roman" w:hAnsi="Times New Roman" w:eastAsia="宋体"/>
                      <w:color w:val="auto"/>
                      <w:kern w:val="1"/>
                      <w:szCs w:val="21"/>
                      <w:lang w:val="en-US" w:eastAsia="zh-CN"/>
                    </w:rPr>
                  </w:pPr>
                  <w:r>
                    <w:rPr>
                      <w:rFonts w:hint="eastAsia" w:ascii="Times New Roman" w:hAnsi="Times New Roman" w:eastAsia="宋体"/>
                      <w:color w:val="auto"/>
                      <w:kern w:val="1"/>
                      <w:szCs w:val="21"/>
                      <w:lang w:val="en-US" w:eastAsia="zh-CN"/>
                    </w:rPr>
                    <w:t>依托</w:t>
                  </w:r>
                  <w:r>
                    <w:rPr>
                      <w:rFonts w:hint="eastAsia" w:ascii="Times New Roman" w:hAnsi="Times New Roman" w:eastAsia="宋体"/>
                      <w:color w:val="auto"/>
                      <w:kern w:val="1"/>
                      <w:szCs w:val="21"/>
                    </w:rPr>
                    <w:t>已建</w:t>
                  </w:r>
                </w:p>
              </w:tc>
            </w:tr>
            <w:tr w14:paraId="302D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16" w:type="pct"/>
                  <w:vMerge w:val="continue"/>
                  <w:noWrap w:val="0"/>
                  <w:vAlign w:val="center"/>
                </w:tcPr>
                <w:p w14:paraId="75D166B1">
                  <w:pPr>
                    <w:tabs>
                      <w:tab w:val="left" w:pos="5220"/>
                    </w:tabs>
                    <w:adjustRightInd w:val="0"/>
                    <w:snapToGrid w:val="0"/>
                    <w:jc w:val="center"/>
                    <w:rPr>
                      <w:rFonts w:ascii="Times New Roman" w:hAnsi="Times New Roman" w:eastAsia="宋体"/>
                      <w:color w:val="auto"/>
                      <w:szCs w:val="21"/>
                    </w:rPr>
                  </w:pPr>
                </w:p>
              </w:tc>
              <w:tc>
                <w:tcPr>
                  <w:tcW w:w="784" w:type="pct"/>
                  <w:gridSpan w:val="2"/>
                  <w:noWrap w:val="0"/>
                  <w:vAlign w:val="center"/>
                </w:tcPr>
                <w:p w14:paraId="397DCABB">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厕所</w:t>
                  </w:r>
                </w:p>
              </w:tc>
              <w:tc>
                <w:tcPr>
                  <w:tcW w:w="3376" w:type="pct"/>
                  <w:noWrap w:val="0"/>
                  <w:vAlign w:val="center"/>
                </w:tcPr>
                <w:p w14:paraId="19BF0D98">
                  <w:pPr>
                    <w:adjustRightInd w:val="0"/>
                    <w:snapToGrid w:val="0"/>
                    <w:textAlignment w:val="baseline"/>
                    <w:rPr>
                      <w:rFonts w:hint="default" w:ascii="Times New Roman" w:hAnsi="Times New Roman" w:eastAsia="宋体"/>
                      <w:color w:val="auto"/>
                      <w:kern w:val="1"/>
                      <w:szCs w:val="21"/>
                      <w:vertAlign w:val="baseline"/>
                      <w:lang w:val="en-US" w:eastAsia="zh-CN"/>
                    </w:rPr>
                  </w:pPr>
                  <w:r>
                    <w:rPr>
                      <w:rFonts w:hint="eastAsia" w:ascii="Times New Roman" w:hAnsi="Times New Roman" w:eastAsia="宋体"/>
                      <w:color w:val="auto"/>
                      <w:kern w:val="1"/>
                      <w:szCs w:val="21"/>
                      <w:vertAlign w:val="baseline"/>
                      <w:lang w:val="en-US" w:eastAsia="zh-CN"/>
                    </w:rPr>
                    <w:t>水冲式厕所，位于项目区</w:t>
                  </w:r>
                  <w:r>
                    <w:rPr>
                      <w:rFonts w:hint="eastAsia"/>
                      <w:color w:val="auto"/>
                      <w:kern w:val="1"/>
                      <w:szCs w:val="21"/>
                      <w:vertAlign w:val="baseline"/>
                      <w:lang w:val="en-US" w:eastAsia="zh-CN"/>
                    </w:rPr>
                    <w:t>外</w:t>
                  </w:r>
                  <w:r>
                    <w:rPr>
                      <w:rFonts w:hint="eastAsia" w:ascii="Times New Roman" w:hAnsi="Times New Roman" w:eastAsia="宋体"/>
                      <w:color w:val="auto"/>
                      <w:kern w:val="1"/>
                      <w:szCs w:val="21"/>
                      <w:vertAlign w:val="baseline"/>
                      <w:lang w:val="en-US" w:eastAsia="zh-CN"/>
                    </w:rPr>
                    <w:t>入口旁。</w:t>
                  </w:r>
                </w:p>
              </w:tc>
              <w:tc>
                <w:tcPr>
                  <w:tcW w:w="423" w:type="pct"/>
                  <w:vMerge w:val="continue"/>
                  <w:noWrap w:val="0"/>
                  <w:vAlign w:val="center"/>
                </w:tcPr>
                <w:p w14:paraId="1BEAE509">
                  <w:pPr>
                    <w:adjustRightInd w:val="0"/>
                    <w:snapToGrid w:val="0"/>
                    <w:jc w:val="center"/>
                    <w:textAlignment w:val="baseline"/>
                    <w:rPr>
                      <w:rFonts w:hint="eastAsia" w:ascii="Times New Roman" w:hAnsi="Times New Roman" w:eastAsia="宋体"/>
                      <w:color w:val="auto"/>
                      <w:kern w:val="1"/>
                      <w:szCs w:val="21"/>
                      <w:lang w:val="en-US" w:eastAsia="zh-CN"/>
                    </w:rPr>
                  </w:pPr>
                </w:p>
              </w:tc>
            </w:tr>
            <w:tr w14:paraId="355C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restart"/>
                  <w:noWrap w:val="0"/>
                  <w:vAlign w:val="center"/>
                </w:tcPr>
                <w:p w14:paraId="26C4D9F2">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公用工程</w:t>
                  </w:r>
                </w:p>
              </w:tc>
              <w:tc>
                <w:tcPr>
                  <w:tcW w:w="784" w:type="pct"/>
                  <w:gridSpan w:val="2"/>
                  <w:noWrap w:val="0"/>
                  <w:vAlign w:val="center"/>
                </w:tcPr>
                <w:p w14:paraId="4702D1B4">
                  <w:pPr>
                    <w:adjustRightInd w:val="0"/>
                    <w:snapToGrid w:val="0"/>
                    <w:jc w:val="center"/>
                    <w:rPr>
                      <w:rFonts w:ascii="Times New Roman" w:hAnsi="Times New Roman" w:eastAsia="宋体"/>
                      <w:color w:val="auto"/>
                      <w:kern w:val="1"/>
                      <w:szCs w:val="21"/>
                    </w:rPr>
                  </w:pPr>
                  <w:r>
                    <w:rPr>
                      <w:rFonts w:ascii="Times New Roman" w:hAnsi="Times New Roman" w:eastAsia="宋体"/>
                      <w:color w:val="auto"/>
                      <w:kern w:val="1"/>
                      <w:szCs w:val="21"/>
                    </w:rPr>
                    <w:t>供配电系统</w:t>
                  </w:r>
                </w:p>
              </w:tc>
              <w:tc>
                <w:tcPr>
                  <w:tcW w:w="3376" w:type="pct"/>
                  <w:noWrap w:val="0"/>
                  <w:vAlign w:val="center"/>
                </w:tcPr>
                <w:p w14:paraId="5D6B6C49">
                  <w:pPr>
                    <w:tabs>
                      <w:tab w:val="left" w:pos="5220"/>
                    </w:tabs>
                    <w:adjustRightInd w:val="0"/>
                    <w:snapToGrid w:val="0"/>
                    <w:rPr>
                      <w:rFonts w:hint="eastAsia" w:ascii="Times New Roman" w:hAnsi="Times New Roman" w:eastAsia="宋体"/>
                      <w:color w:val="auto"/>
                      <w:kern w:val="1"/>
                      <w:szCs w:val="21"/>
                      <w:lang w:eastAsia="zh-CN"/>
                    </w:rPr>
                  </w:pPr>
                  <w:r>
                    <w:rPr>
                      <w:rFonts w:hint="default" w:ascii="Times New Roman" w:hAnsi="Times New Roman" w:eastAsia="宋体" w:cs="Times New Roman"/>
                      <w:color w:val="auto"/>
                      <w:sz w:val="21"/>
                      <w:szCs w:val="21"/>
                    </w:rPr>
                    <w:t>由</w:t>
                  </w:r>
                  <w:r>
                    <w:rPr>
                      <w:rFonts w:hint="eastAsia" w:ascii="Times New Roman" w:hAnsi="Times New Roman" w:eastAsia="宋体" w:cs="Times New Roman"/>
                      <w:color w:val="auto"/>
                      <w:sz w:val="21"/>
                      <w:szCs w:val="21"/>
                      <w:lang w:val="en-US" w:eastAsia="zh-CN"/>
                    </w:rPr>
                    <w:t>区域</w:t>
                  </w:r>
                  <w:r>
                    <w:rPr>
                      <w:rFonts w:hint="default" w:ascii="Times New Roman" w:hAnsi="Times New Roman" w:eastAsia="宋体" w:cs="Times New Roman"/>
                      <w:color w:val="auto"/>
                      <w:sz w:val="21"/>
                      <w:szCs w:val="21"/>
                    </w:rPr>
                    <w:t>市政电网供给</w:t>
                  </w:r>
                  <w:r>
                    <w:rPr>
                      <w:rFonts w:hint="eastAsia" w:cs="Times New Roman"/>
                      <w:color w:val="auto"/>
                      <w:sz w:val="21"/>
                      <w:szCs w:val="21"/>
                      <w:lang w:eastAsia="zh-CN"/>
                    </w:rPr>
                    <w:t>。</w:t>
                  </w:r>
                </w:p>
              </w:tc>
              <w:tc>
                <w:tcPr>
                  <w:tcW w:w="423" w:type="pct"/>
                  <w:noWrap w:val="0"/>
                  <w:vAlign w:val="center"/>
                </w:tcPr>
                <w:p w14:paraId="54040A03">
                  <w:pPr>
                    <w:tabs>
                      <w:tab w:val="left" w:pos="5220"/>
                    </w:tabs>
                    <w:adjustRightInd w:val="0"/>
                    <w:snapToGrid w:val="0"/>
                    <w:jc w:val="center"/>
                    <w:rPr>
                      <w:rFonts w:ascii="Times New Roman" w:hAnsi="Times New Roman" w:eastAsia="宋体"/>
                      <w:bCs/>
                      <w:color w:val="auto"/>
                      <w:szCs w:val="21"/>
                    </w:rPr>
                  </w:pPr>
                  <w:r>
                    <w:rPr>
                      <w:rFonts w:hint="eastAsia" w:ascii="Times New Roman" w:hAnsi="Times New Roman" w:eastAsia="宋体"/>
                      <w:bCs/>
                      <w:color w:val="auto"/>
                      <w:szCs w:val="21"/>
                    </w:rPr>
                    <w:t>依托</w:t>
                  </w:r>
                </w:p>
              </w:tc>
            </w:tr>
            <w:tr w14:paraId="1070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14:paraId="4AED8E24">
                  <w:pPr>
                    <w:tabs>
                      <w:tab w:val="left" w:pos="5220"/>
                    </w:tabs>
                    <w:adjustRightInd w:val="0"/>
                    <w:snapToGrid w:val="0"/>
                    <w:jc w:val="center"/>
                    <w:rPr>
                      <w:rFonts w:ascii="Times New Roman" w:hAnsi="Times New Roman" w:eastAsia="宋体"/>
                      <w:color w:val="auto"/>
                      <w:szCs w:val="21"/>
                    </w:rPr>
                  </w:pPr>
                </w:p>
              </w:tc>
              <w:tc>
                <w:tcPr>
                  <w:tcW w:w="784" w:type="pct"/>
                  <w:gridSpan w:val="2"/>
                  <w:noWrap w:val="0"/>
                  <w:vAlign w:val="center"/>
                </w:tcPr>
                <w:p w14:paraId="4CE07040">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给水系统</w:t>
                  </w:r>
                </w:p>
              </w:tc>
              <w:tc>
                <w:tcPr>
                  <w:tcW w:w="3376" w:type="pct"/>
                  <w:noWrap w:val="0"/>
                  <w:vAlign w:val="center"/>
                </w:tcPr>
                <w:p w14:paraId="45B39A4D">
                  <w:pPr>
                    <w:adjustRightInd w:val="0"/>
                    <w:snapToGrid w:val="0"/>
                    <w:textAlignment w:val="baseline"/>
                    <w:rPr>
                      <w:rFonts w:ascii="Times New Roman" w:hAnsi="Times New Roman" w:eastAsia="宋体"/>
                      <w:color w:val="auto"/>
                      <w:kern w:val="0"/>
                      <w:szCs w:val="21"/>
                    </w:rPr>
                  </w:pPr>
                  <w:r>
                    <w:rPr>
                      <w:rFonts w:hint="eastAsia"/>
                      <w:color w:val="auto"/>
                      <w:lang w:eastAsia="zh-CN"/>
                    </w:rPr>
                    <w:t>本项目生产用水、生活用水均由通海县纳古镇自来水管网提供</w:t>
                  </w:r>
                  <w:r>
                    <w:rPr>
                      <w:rFonts w:ascii="Times New Roman" w:hAnsi="Times New Roman" w:eastAsia="宋体"/>
                      <w:color w:val="auto"/>
                      <w:lang w:val="en-US"/>
                    </w:rPr>
                    <w:t>。</w:t>
                  </w:r>
                </w:p>
              </w:tc>
              <w:tc>
                <w:tcPr>
                  <w:tcW w:w="423" w:type="pct"/>
                  <w:noWrap w:val="0"/>
                  <w:vAlign w:val="center"/>
                </w:tcPr>
                <w:p w14:paraId="3081A8A8">
                  <w:pPr>
                    <w:adjustRightInd w:val="0"/>
                    <w:snapToGrid w:val="0"/>
                    <w:jc w:val="center"/>
                    <w:textAlignment w:val="baseline"/>
                    <w:rPr>
                      <w:rFonts w:hint="eastAsia" w:ascii="Times New Roman" w:hAnsi="Times New Roman" w:eastAsia="宋体"/>
                      <w:color w:val="auto"/>
                      <w:kern w:val="0"/>
                      <w:szCs w:val="21"/>
                    </w:rPr>
                  </w:pPr>
                  <w:r>
                    <w:rPr>
                      <w:rFonts w:hint="eastAsia" w:ascii="Times New Roman" w:hAnsi="Times New Roman" w:eastAsia="宋体"/>
                      <w:color w:val="auto"/>
                      <w:kern w:val="0"/>
                      <w:szCs w:val="21"/>
                    </w:rPr>
                    <w:t>依托</w:t>
                  </w:r>
                </w:p>
              </w:tc>
            </w:tr>
            <w:tr w14:paraId="38AB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14:paraId="4BD84EB1">
                  <w:pPr>
                    <w:adjustRightInd w:val="0"/>
                    <w:snapToGrid w:val="0"/>
                    <w:jc w:val="center"/>
                    <w:rPr>
                      <w:rFonts w:ascii="Times New Roman" w:hAnsi="Times New Roman" w:eastAsia="宋体"/>
                      <w:color w:val="auto"/>
                      <w:szCs w:val="21"/>
                    </w:rPr>
                  </w:pPr>
                </w:p>
              </w:tc>
              <w:tc>
                <w:tcPr>
                  <w:tcW w:w="784" w:type="pct"/>
                  <w:gridSpan w:val="2"/>
                  <w:noWrap w:val="0"/>
                  <w:vAlign w:val="center"/>
                </w:tcPr>
                <w:p w14:paraId="4B965654">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排水系统</w:t>
                  </w:r>
                </w:p>
              </w:tc>
              <w:tc>
                <w:tcPr>
                  <w:tcW w:w="3376" w:type="pct"/>
                  <w:noWrap w:val="0"/>
                  <w:vAlign w:val="center"/>
                </w:tcPr>
                <w:p w14:paraId="67DA0F68">
                  <w:pPr>
                    <w:adjustRightInd w:val="0"/>
                    <w:snapToGrid w:val="0"/>
                    <w:textAlignment w:val="baseline"/>
                    <w:rPr>
                      <w:rFonts w:hint="eastAsia" w:ascii="Times New Roman" w:hAnsi="Times New Roman" w:eastAsia="宋体"/>
                      <w:color w:val="auto"/>
                      <w:kern w:val="0"/>
                      <w:szCs w:val="21"/>
                    </w:rPr>
                  </w:pPr>
                  <w:r>
                    <w:rPr>
                      <w:rFonts w:ascii="Times New Roman" w:hAnsi="Times New Roman" w:eastAsia="宋体" w:cs="Times New Roman"/>
                      <w:color w:val="auto"/>
                      <w:kern w:val="0"/>
                      <w:szCs w:val="21"/>
                    </w:rPr>
                    <w:t>项目厂区排水采用雨污分流的排水体制</w:t>
                  </w:r>
                  <w:r>
                    <w:rPr>
                      <w:rFonts w:hint="eastAsia" w:ascii="Times New Roman" w:hAnsi="Times New Roman" w:eastAsia="宋体" w:cs="Times New Roman"/>
                      <w:color w:val="auto"/>
                      <w:kern w:val="0"/>
                      <w:szCs w:val="21"/>
                      <w:lang w:eastAsia="zh-CN"/>
                    </w:rPr>
                    <w:t>，</w:t>
                  </w:r>
                  <w:r>
                    <w:rPr>
                      <w:rFonts w:hint="eastAsia"/>
                      <w:color w:val="auto"/>
                      <w:szCs w:val="21"/>
                    </w:rPr>
                    <w:t>雨水经雨水沟收集后排入周边雨水沟渠</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本项目</w:t>
                  </w:r>
                  <w:r>
                    <w:rPr>
                      <w:rFonts w:ascii="Times New Roman" w:hAnsi="Times New Roman" w:eastAsia="宋体"/>
                      <w:color w:val="auto"/>
                    </w:rPr>
                    <w:t>生产废水</w:t>
                  </w:r>
                  <w:r>
                    <w:rPr>
                      <w:rFonts w:hint="eastAsia" w:ascii="Times New Roman" w:hAnsi="Times New Roman" w:eastAsia="宋体"/>
                      <w:color w:val="auto"/>
                      <w:lang w:eastAsia="zh-CN"/>
                    </w:rPr>
                    <w:t>处理后</w:t>
                  </w:r>
                  <w:r>
                    <w:rPr>
                      <w:rFonts w:ascii="Times New Roman" w:hAnsi="Times New Roman" w:eastAsia="宋体"/>
                      <w:color w:val="auto"/>
                    </w:rPr>
                    <w:t>循环使用，不外排；生活污水</w:t>
                  </w:r>
                  <w:r>
                    <w:rPr>
                      <w:rFonts w:hint="eastAsia" w:ascii="Times New Roman" w:hAnsi="Times New Roman" w:eastAsia="宋体"/>
                      <w:color w:val="auto"/>
                      <w:lang w:eastAsia="zh-CN"/>
                    </w:rPr>
                    <w:t>经</w:t>
                  </w:r>
                  <w:r>
                    <w:rPr>
                      <w:rFonts w:ascii="Times New Roman" w:hAnsi="Times New Roman" w:eastAsia="宋体"/>
                      <w:color w:val="auto"/>
                    </w:rPr>
                    <w:t>化粪池</w:t>
                  </w:r>
                  <w:r>
                    <w:rPr>
                      <w:rFonts w:hint="eastAsia" w:ascii="Times New Roman" w:hAnsi="Times New Roman" w:eastAsia="宋体"/>
                      <w:color w:val="auto"/>
                      <w:lang w:eastAsia="zh-CN"/>
                    </w:rPr>
                    <w:t>处理</w:t>
                  </w:r>
                  <w:r>
                    <w:rPr>
                      <w:rFonts w:ascii="Times New Roman" w:hAnsi="Times New Roman" w:eastAsia="宋体"/>
                      <w:color w:val="auto"/>
                    </w:rPr>
                    <w:t>后，</w:t>
                  </w:r>
                  <w:r>
                    <w:rPr>
                      <w:rFonts w:hint="eastAsia" w:cs="Times New Roman"/>
                      <w:color w:val="auto"/>
                      <w:sz w:val="21"/>
                      <w:szCs w:val="21"/>
                      <w:lang w:val="en-US" w:eastAsia="zh-CN"/>
                    </w:rPr>
                    <w:t>利用罐车拉运至纳古镇污水处理站处理，属于间接排放</w:t>
                  </w:r>
                  <w:r>
                    <w:rPr>
                      <w:rFonts w:ascii="Times New Roman" w:hAnsi="Times New Roman" w:eastAsia="宋体"/>
                      <w:color w:val="auto"/>
                    </w:rPr>
                    <w:t>。</w:t>
                  </w:r>
                </w:p>
              </w:tc>
              <w:tc>
                <w:tcPr>
                  <w:tcW w:w="423" w:type="pct"/>
                  <w:noWrap w:val="0"/>
                  <w:vAlign w:val="center"/>
                </w:tcPr>
                <w:p w14:paraId="5EF3F595">
                  <w:pPr>
                    <w:adjustRightInd w:val="0"/>
                    <w:snapToGrid w:val="0"/>
                    <w:jc w:val="center"/>
                    <w:textAlignment w:val="baseline"/>
                    <w:rPr>
                      <w:rFonts w:hint="default"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依托</w:t>
                  </w:r>
                </w:p>
              </w:tc>
            </w:tr>
            <w:tr w14:paraId="7E48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16" w:type="pct"/>
                  <w:vMerge w:val="restart"/>
                  <w:noWrap w:val="0"/>
                  <w:vAlign w:val="center"/>
                </w:tcPr>
                <w:p w14:paraId="12E84CBD">
                  <w:pPr>
                    <w:tabs>
                      <w:tab w:val="left" w:pos="5220"/>
                    </w:tabs>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环保工程</w:t>
                  </w:r>
                </w:p>
              </w:tc>
              <w:tc>
                <w:tcPr>
                  <w:tcW w:w="265" w:type="pct"/>
                  <w:vMerge w:val="restart"/>
                  <w:noWrap w:val="0"/>
                  <w:vAlign w:val="center"/>
                </w:tcPr>
                <w:p w14:paraId="6356617A">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废水</w:t>
                  </w:r>
                </w:p>
              </w:tc>
              <w:tc>
                <w:tcPr>
                  <w:tcW w:w="518" w:type="pct"/>
                  <w:tcBorders>
                    <w:bottom w:val="single" w:color="auto" w:sz="4" w:space="0"/>
                  </w:tcBorders>
                  <w:noWrap w:val="0"/>
                  <w:vAlign w:val="center"/>
                </w:tcPr>
                <w:p w14:paraId="2CCF8DCA">
                  <w:pPr>
                    <w:adjustRightInd w:val="0"/>
                    <w:snapToGrid w:val="0"/>
                    <w:jc w:val="both"/>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循环水池</w:t>
                  </w:r>
                </w:p>
              </w:tc>
              <w:tc>
                <w:tcPr>
                  <w:tcW w:w="3376" w:type="pct"/>
                  <w:tcBorders>
                    <w:bottom w:val="single" w:color="auto" w:sz="4" w:space="0"/>
                  </w:tcBorders>
                  <w:noWrap w:val="0"/>
                  <w:vAlign w:val="center"/>
                </w:tcPr>
                <w:p w14:paraId="4B306993">
                  <w:pPr>
                    <w:adjustRightInd w:val="0"/>
                    <w:snapToGrid w:val="0"/>
                    <w:rPr>
                      <w:rFonts w:hint="default" w:ascii="Times New Roman" w:hAnsi="Times New Roman" w:eastAsia="宋体"/>
                      <w:color w:val="auto"/>
                      <w:lang w:val="en-US" w:eastAsia="zh-CN"/>
                    </w:rPr>
                  </w:pPr>
                  <w:r>
                    <w:rPr>
                      <w:rFonts w:hint="eastAsia"/>
                      <w:color w:val="auto"/>
                      <w:szCs w:val="21"/>
                      <w:lang w:val="en-US" w:eastAsia="zh-CN"/>
                    </w:rPr>
                    <w:t>生产车间外西侧设置2个沉淀池（各300m</w:t>
                  </w:r>
                  <w:r>
                    <w:rPr>
                      <w:rFonts w:hint="eastAsia"/>
                      <w:color w:val="auto"/>
                      <w:szCs w:val="21"/>
                      <w:vertAlign w:val="superscript"/>
                      <w:lang w:val="en-US" w:eastAsia="zh-CN"/>
                    </w:rPr>
                    <w:t>3</w:t>
                  </w:r>
                  <w:r>
                    <w:rPr>
                      <w:rFonts w:hint="eastAsia"/>
                      <w:color w:val="auto"/>
                      <w:szCs w:val="21"/>
                      <w:lang w:val="en-US" w:eastAsia="zh-CN"/>
                    </w:rPr>
                    <w:t>）。</w:t>
                  </w:r>
                </w:p>
              </w:tc>
              <w:tc>
                <w:tcPr>
                  <w:tcW w:w="423" w:type="pct"/>
                  <w:tcBorders>
                    <w:bottom w:val="single" w:color="auto" w:sz="4" w:space="0"/>
                  </w:tcBorders>
                  <w:noWrap w:val="0"/>
                  <w:vAlign w:val="center"/>
                </w:tcPr>
                <w:p w14:paraId="7FD47592">
                  <w:pPr>
                    <w:adjustRightInd w:val="0"/>
                    <w:snapToGrid w:val="0"/>
                    <w:jc w:val="center"/>
                    <w:rPr>
                      <w:rFonts w:ascii="Times New Roman" w:hAnsi="Times New Roman" w:eastAsia="宋体"/>
                      <w:color w:val="auto"/>
                      <w:szCs w:val="21"/>
                    </w:rPr>
                  </w:pPr>
                  <w:r>
                    <w:rPr>
                      <w:rFonts w:hint="eastAsia" w:ascii="Times New Roman" w:hAnsi="Times New Roman" w:eastAsia="宋体"/>
                      <w:bCs/>
                      <w:color w:val="auto"/>
                      <w:kern w:val="0"/>
                      <w:szCs w:val="21"/>
                      <w:lang w:val="en-US" w:eastAsia="zh-CN"/>
                    </w:rPr>
                    <w:t>依托</w:t>
                  </w:r>
                </w:p>
              </w:tc>
            </w:tr>
            <w:tr w14:paraId="519A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16" w:type="pct"/>
                  <w:vMerge w:val="continue"/>
                  <w:noWrap w:val="0"/>
                  <w:vAlign w:val="center"/>
                </w:tcPr>
                <w:p w14:paraId="55CBFDA4">
                  <w:pPr>
                    <w:tabs>
                      <w:tab w:val="left" w:pos="5220"/>
                    </w:tabs>
                    <w:adjustRightInd w:val="0"/>
                    <w:snapToGrid w:val="0"/>
                    <w:jc w:val="center"/>
                    <w:rPr>
                      <w:rFonts w:ascii="Times New Roman" w:hAnsi="Times New Roman" w:eastAsia="宋体"/>
                      <w:color w:val="auto"/>
                      <w:szCs w:val="21"/>
                    </w:rPr>
                  </w:pPr>
                </w:p>
              </w:tc>
              <w:tc>
                <w:tcPr>
                  <w:tcW w:w="265" w:type="pct"/>
                  <w:vMerge w:val="continue"/>
                  <w:noWrap w:val="0"/>
                  <w:vAlign w:val="center"/>
                </w:tcPr>
                <w:p w14:paraId="29C5D01A">
                  <w:pPr>
                    <w:adjustRightInd w:val="0"/>
                    <w:snapToGrid w:val="0"/>
                    <w:jc w:val="center"/>
                    <w:textAlignment w:val="baseline"/>
                    <w:rPr>
                      <w:rFonts w:ascii="Times New Roman" w:hAnsi="Times New Roman" w:eastAsia="宋体"/>
                      <w:color w:val="auto"/>
                      <w:kern w:val="0"/>
                      <w:szCs w:val="21"/>
                    </w:rPr>
                  </w:pPr>
                </w:p>
              </w:tc>
              <w:tc>
                <w:tcPr>
                  <w:tcW w:w="518" w:type="pct"/>
                  <w:noWrap w:val="0"/>
                  <w:vAlign w:val="center"/>
                </w:tcPr>
                <w:p w14:paraId="0E5D5254">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生活污水</w:t>
                  </w:r>
                </w:p>
              </w:tc>
              <w:tc>
                <w:tcPr>
                  <w:tcW w:w="3376" w:type="pct"/>
                  <w:noWrap w:val="0"/>
                  <w:vAlign w:val="center"/>
                </w:tcPr>
                <w:p w14:paraId="1886D140">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地埋式</w:t>
                  </w:r>
                  <w:r>
                    <w:rPr>
                      <w:rFonts w:hint="eastAsia" w:ascii="Times New Roman" w:hAnsi="Times New Roman" w:eastAsia="宋体" w:cs="Times New Roman"/>
                      <w:color w:val="auto"/>
                      <w:sz w:val="21"/>
                      <w:szCs w:val="21"/>
                      <w:lang w:val="en-US" w:eastAsia="zh-CN"/>
                    </w:rPr>
                    <w:t>化粪池</w:t>
                  </w:r>
                  <w:r>
                    <w:rPr>
                      <w:rFonts w:hint="default" w:ascii="Times New Roman" w:hAnsi="Times New Roman" w:eastAsia="宋体" w:cs="Times New Roman"/>
                      <w:color w:val="auto"/>
                      <w:sz w:val="21"/>
                      <w:szCs w:val="21"/>
                    </w:rPr>
                    <w:t>，1个（</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cs="Times New Roman"/>
                      <w:color w:val="auto"/>
                      <w:sz w:val="21"/>
                      <w:szCs w:val="21"/>
                      <w:lang w:val="en-US" w:eastAsia="zh-CN"/>
                    </w:rPr>
                    <w:t>处理后利用罐车拉运至纳古镇污水处理站处理。</w:t>
                  </w:r>
                </w:p>
              </w:tc>
              <w:tc>
                <w:tcPr>
                  <w:tcW w:w="423" w:type="pct"/>
                  <w:tcBorders>
                    <w:bottom w:val="single" w:color="auto" w:sz="4" w:space="0"/>
                  </w:tcBorders>
                  <w:noWrap w:val="0"/>
                  <w:vAlign w:val="center"/>
                </w:tcPr>
                <w:p w14:paraId="05E76B5C">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依托</w:t>
                  </w:r>
                </w:p>
              </w:tc>
            </w:tr>
            <w:tr w14:paraId="1AF9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16" w:type="pct"/>
                  <w:vMerge w:val="continue"/>
                  <w:noWrap w:val="0"/>
                  <w:vAlign w:val="center"/>
                </w:tcPr>
                <w:p w14:paraId="6CC69F4C">
                  <w:pPr>
                    <w:adjustRightInd w:val="0"/>
                    <w:snapToGrid w:val="0"/>
                    <w:jc w:val="center"/>
                    <w:rPr>
                      <w:rFonts w:ascii="Times New Roman" w:hAnsi="Times New Roman" w:eastAsia="宋体"/>
                      <w:color w:val="auto"/>
                      <w:szCs w:val="21"/>
                    </w:rPr>
                  </w:pPr>
                </w:p>
              </w:tc>
              <w:tc>
                <w:tcPr>
                  <w:tcW w:w="265" w:type="pct"/>
                  <w:noWrap w:val="0"/>
                  <w:vAlign w:val="center"/>
                </w:tcPr>
                <w:p w14:paraId="35501C56">
                  <w:pPr>
                    <w:adjustRightInd w:val="0"/>
                    <w:snapToGrid w:val="0"/>
                    <w:jc w:val="center"/>
                    <w:textAlignment w:val="baseline"/>
                    <w:rPr>
                      <w:rFonts w:hint="eastAsia"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废气</w:t>
                  </w:r>
                </w:p>
              </w:tc>
              <w:tc>
                <w:tcPr>
                  <w:tcW w:w="518" w:type="pct"/>
                  <w:noWrap w:val="0"/>
                  <w:vAlign w:val="center"/>
                </w:tcPr>
                <w:p w14:paraId="25479DF4">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b w:val="0"/>
                      <w:bCs w:val="0"/>
                      <w:color w:val="auto"/>
                      <w:sz w:val="21"/>
                      <w:szCs w:val="21"/>
                      <w:lang w:val="en-US" w:eastAsia="zh-CN"/>
                    </w:rPr>
                    <w:t>焊接</w:t>
                  </w:r>
                  <w:r>
                    <w:rPr>
                      <w:rFonts w:hint="eastAsia"/>
                      <w:b w:val="0"/>
                      <w:bCs w:val="0"/>
                      <w:color w:val="auto"/>
                      <w:sz w:val="21"/>
                      <w:szCs w:val="21"/>
                      <w:lang w:val="en-US" w:eastAsia="zh-CN"/>
                    </w:rPr>
                    <w:t>废气</w:t>
                  </w:r>
                  <w:r>
                    <w:rPr>
                      <w:rFonts w:hint="eastAsia"/>
                      <w:b w:val="0"/>
                      <w:bCs w:val="0"/>
                      <w:color w:val="auto"/>
                      <w:sz w:val="21"/>
                      <w:szCs w:val="21"/>
                      <w:lang w:eastAsia="zh-CN"/>
                    </w:rPr>
                    <w:t>、切割废气</w:t>
                  </w:r>
                </w:p>
              </w:tc>
              <w:tc>
                <w:tcPr>
                  <w:tcW w:w="3376" w:type="pct"/>
                  <w:noWrap w:val="0"/>
                  <w:vAlign w:val="center"/>
                </w:tcPr>
                <w:p w14:paraId="4C556156">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65222997">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1#、2#、3#、4#生产车间8条生产线</w:t>
                  </w:r>
                  <w:r>
                    <w:rPr>
                      <w:rFonts w:hint="eastAsia" w:ascii="Times New Roman" w:hAnsi="Times New Roman" w:eastAsia="宋体"/>
                      <w:color w:val="auto"/>
                      <w:lang w:val="en-US" w:eastAsia="zh-CN"/>
                    </w:rPr>
                    <w:t>各设置1个集气罩对产生的焊接切割废气进行收集，</w:t>
                  </w:r>
                  <w:r>
                    <w:rPr>
                      <w:rFonts w:hint="eastAsia"/>
                      <w:color w:val="auto"/>
                      <w:lang w:val="en-US" w:eastAsia="zh-CN"/>
                    </w:rPr>
                    <w:t>1#、2#、3#、4#生产车间</w:t>
                  </w:r>
                  <w:r>
                    <w:rPr>
                      <w:rFonts w:hint="eastAsia" w:ascii="Times New Roman" w:hAnsi="Times New Roman" w:eastAsia="宋体"/>
                      <w:color w:val="auto"/>
                      <w:lang w:val="en-US" w:eastAsia="zh-CN"/>
                    </w:rPr>
                    <w:t>共计</w:t>
                  </w:r>
                  <w:r>
                    <w:rPr>
                      <w:rFonts w:hint="eastAsia"/>
                      <w:color w:val="auto"/>
                      <w:lang w:val="en-US" w:eastAsia="zh-CN"/>
                    </w:rPr>
                    <w:t>8</w:t>
                  </w:r>
                  <w:r>
                    <w:rPr>
                      <w:rFonts w:hint="eastAsia" w:ascii="Times New Roman" w:hAnsi="Times New Roman" w:eastAsia="宋体"/>
                      <w:color w:val="auto"/>
                      <w:lang w:val="en-US" w:eastAsia="zh-CN"/>
                    </w:rPr>
                    <w:t>套集气罩</w:t>
                  </w:r>
                  <w:r>
                    <w:rPr>
                      <w:rFonts w:hint="eastAsia"/>
                      <w:color w:val="auto"/>
                      <w:lang w:val="en-US" w:eastAsia="zh-CN"/>
                    </w:rPr>
                    <w:t>；</w:t>
                  </w:r>
                </w:p>
                <w:p w14:paraId="05E178CB">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1#、2#、3#、4#生产车间8条生产线各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w:t>
                  </w:r>
                  <w:r>
                    <w:rPr>
                      <w:rFonts w:hint="eastAsia"/>
                      <w:color w:val="auto"/>
                      <w:lang w:val="en-US" w:eastAsia="zh-CN"/>
                    </w:rPr>
                    <w:t>烟尘净化</w:t>
                  </w:r>
                  <w:r>
                    <w:rPr>
                      <w:rFonts w:hint="eastAsia" w:ascii="Times New Roman" w:hAnsi="Times New Roman" w:eastAsia="宋体"/>
                      <w:color w:val="auto"/>
                      <w:lang w:val="en-US" w:eastAsia="zh-CN"/>
                    </w:rPr>
                    <w:t>除尘”装置处理，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3</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w:t>
                  </w:r>
                  <w:r>
                    <w:rPr>
                      <w:rFonts w:hint="eastAsia"/>
                      <w:color w:val="auto"/>
                      <w:vertAlign w:val="baseline"/>
                      <w:lang w:val="en-US" w:eastAsia="zh-CN"/>
                    </w:rPr>
                    <w:t>5</w:t>
                  </w:r>
                  <w:r>
                    <w:rPr>
                      <w:rFonts w:hint="eastAsia" w:ascii="Times New Roman" w:hAnsi="Times New Roman" w:eastAsia="宋体"/>
                      <w:color w:val="auto"/>
                      <w:vertAlign w:val="baseline"/>
                      <w:lang w:val="en-US" w:eastAsia="zh-CN"/>
                    </w:rPr>
                    <w:t>%；</w:t>
                  </w:r>
                </w:p>
                <w:p w14:paraId="2B700779">
                  <w:pPr>
                    <w:adjustRightInd w:val="0"/>
                    <w:snapToGrid w:val="0"/>
                    <w:rPr>
                      <w:rFonts w:hint="default" w:ascii="Times New Roman" w:hAnsi="Times New Roman" w:eastAsia="宋体"/>
                      <w:color w:val="auto"/>
                      <w:vertAlign w:val="baseline"/>
                      <w:lang w:val="en-US" w:eastAsia="zh-CN"/>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w:t>
                  </w:r>
                  <w:r>
                    <w:rPr>
                      <w:rFonts w:hint="eastAsia"/>
                      <w:color w:val="auto"/>
                      <w:vertAlign w:val="baseline"/>
                      <w:lang w:val="en-US" w:eastAsia="zh-CN"/>
                    </w:rPr>
                    <w:t>无组织排放到厂房内</w:t>
                  </w:r>
                  <w:r>
                    <w:rPr>
                      <w:rFonts w:hint="eastAsia" w:ascii="Times New Roman" w:hAnsi="Times New Roman" w:eastAsia="宋体"/>
                      <w:color w:val="auto"/>
                      <w:vertAlign w:val="baseline"/>
                      <w:lang w:val="en-US" w:eastAsia="zh-CN"/>
                    </w:rPr>
                    <w:t>。</w:t>
                  </w:r>
                </w:p>
              </w:tc>
              <w:tc>
                <w:tcPr>
                  <w:tcW w:w="423" w:type="pct"/>
                  <w:noWrap w:val="0"/>
                  <w:vAlign w:val="center"/>
                </w:tcPr>
                <w:p w14:paraId="392E8269">
                  <w:pPr>
                    <w:adjustRightInd w:val="0"/>
                    <w:snapToGrid w:val="0"/>
                    <w:jc w:val="center"/>
                    <w:rPr>
                      <w:rFonts w:hint="eastAsia" w:ascii="Times New Roman" w:hAnsi="Times New Roman" w:eastAsia="宋体"/>
                      <w:color w:val="auto"/>
                      <w:szCs w:val="21"/>
                      <w:lang w:eastAsia="zh-CN"/>
                    </w:rPr>
                  </w:pPr>
                  <w:r>
                    <w:rPr>
                      <w:rFonts w:hint="eastAsia"/>
                      <w:color w:val="auto"/>
                      <w:szCs w:val="21"/>
                      <w:lang w:eastAsia="zh-CN"/>
                    </w:rPr>
                    <w:t>环评新增</w:t>
                  </w:r>
                </w:p>
              </w:tc>
            </w:tr>
            <w:tr w14:paraId="7E5D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14:paraId="3ABD9B0E">
                  <w:pPr>
                    <w:adjustRightInd w:val="0"/>
                    <w:snapToGrid w:val="0"/>
                    <w:jc w:val="center"/>
                    <w:rPr>
                      <w:rFonts w:ascii="Times New Roman" w:hAnsi="Times New Roman" w:eastAsia="宋体"/>
                      <w:color w:val="auto"/>
                      <w:szCs w:val="21"/>
                    </w:rPr>
                  </w:pPr>
                </w:p>
              </w:tc>
              <w:tc>
                <w:tcPr>
                  <w:tcW w:w="265" w:type="pct"/>
                  <w:vMerge w:val="restart"/>
                  <w:noWrap w:val="0"/>
                  <w:vAlign w:val="center"/>
                </w:tcPr>
                <w:p w14:paraId="0F8153CE">
                  <w:pPr>
                    <w:adjustRightInd w:val="0"/>
                    <w:snapToGrid w:val="0"/>
                    <w:jc w:val="center"/>
                    <w:textAlignment w:val="baseline"/>
                    <w:rPr>
                      <w:rFonts w:ascii="Times New Roman" w:hAnsi="Times New Roman" w:eastAsia="宋体"/>
                      <w:color w:val="auto"/>
                      <w:kern w:val="0"/>
                      <w:szCs w:val="21"/>
                    </w:rPr>
                  </w:pPr>
                  <w:r>
                    <w:rPr>
                      <w:rFonts w:ascii="Times New Roman" w:hAnsi="Times New Roman" w:eastAsia="宋体"/>
                      <w:color w:val="auto"/>
                      <w:kern w:val="0"/>
                      <w:szCs w:val="21"/>
                    </w:rPr>
                    <w:t>固废</w:t>
                  </w:r>
                </w:p>
              </w:tc>
              <w:tc>
                <w:tcPr>
                  <w:tcW w:w="518" w:type="pct"/>
                  <w:noWrap w:val="0"/>
                  <w:vAlign w:val="center"/>
                </w:tcPr>
                <w:p w14:paraId="2FEFB402">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一般固废</w:t>
                  </w:r>
                </w:p>
              </w:tc>
              <w:tc>
                <w:tcPr>
                  <w:tcW w:w="3376" w:type="pct"/>
                  <w:noWrap w:val="0"/>
                  <w:vAlign w:val="center"/>
                </w:tcPr>
                <w:p w14:paraId="32DCB2D3">
                  <w:pPr>
                    <w:adjustRightInd w:val="0"/>
                    <w:snapToGrid w:val="0"/>
                    <w:rPr>
                      <w:rFonts w:hint="default" w:ascii="Times New Roman" w:hAnsi="Times New Roman" w:eastAsia="宋体"/>
                      <w:color w:val="auto"/>
                      <w:szCs w:val="21"/>
                      <w:lang w:val="en-US"/>
                    </w:rPr>
                  </w:pPr>
                  <w:r>
                    <w:rPr>
                      <w:rFonts w:hint="eastAsia" w:ascii="Times New Roman" w:hAnsi="Times New Roman" w:eastAsia="宋体"/>
                      <w:color w:val="auto"/>
                      <w:sz w:val="21"/>
                      <w:szCs w:val="21"/>
                      <w:lang w:val="en-US" w:eastAsia="zh-CN"/>
                    </w:rPr>
                    <w:t>不合格品、金属碎屑、焊渣、除尘灰等</w:t>
                  </w:r>
                  <w:r>
                    <w:rPr>
                      <w:rFonts w:hint="eastAsia" w:ascii="Times New Roman" w:hAnsi="Times New Roman" w:eastAsia="宋体" w:cs="Times New Roman"/>
                      <w:color w:val="auto"/>
                      <w:lang w:val="en-US" w:eastAsia="zh-CN"/>
                    </w:rPr>
                    <w:t>一般固废暂存间，占地面积50m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，定期外售给废旧物资回收单位</w:t>
                  </w:r>
                  <w:r>
                    <w:rPr>
                      <w:rFonts w:hint="eastAsia" w:cs="Times New Roman"/>
                      <w:color w:val="auto"/>
                      <w:lang w:val="en-US" w:eastAsia="zh-CN"/>
                    </w:rPr>
                    <w:t>，不合格品回用于产品打包带。</w:t>
                  </w:r>
                </w:p>
              </w:tc>
              <w:tc>
                <w:tcPr>
                  <w:tcW w:w="423" w:type="pct"/>
                  <w:noWrap w:val="0"/>
                  <w:vAlign w:val="center"/>
                </w:tcPr>
                <w:p w14:paraId="28E0A968">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环评新增</w:t>
                  </w:r>
                </w:p>
              </w:tc>
            </w:tr>
            <w:tr w14:paraId="4DE6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14:paraId="4276EABB">
                  <w:pPr>
                    <w:adjustRightInd w:val="0"/>
                    <w:snapToGrid w:val="0"/>
                    <w:jc w:val="center"/>
                    <w:rPr>
                      <w:rFonts w:ascii="Times New Roman" w:hAnsi="Times New Roman" w:eastAsia="宋体"/>
                      <w:color w:val="auto"/>
                      <w:szCs w:val="21"/>
                    </w:rPr>
                  </w:pPr>
                </w:p>
              </w:tc>
              <w:tc>
                <w:tcPr>
                  <w:tcW w:w="265" w:type="pct"/>
                  <w:vMerge w:val="continue"/>
                  <w:noWrap w:val="0"/>
                  <w:vAlign w:val="center"/>
                </w:tcPr>
                <w:p w14:paraId="795F0B59">
                  <w:pPr>
                    <w:adjustRightInd w:val="0"/>
                    <w:snapToGrid w:val="0"/>
                    <w:jc w:val="center"/>
                    <w:textAlignment w:val="baseline"/>
                    <w:rPr>
                      <w:rFonts w:ascii="Times New Roman" w:hAnsi="Times New Roman" w:eastAsia="宋体"/>
                      <w:color w:val="auto"/>
                      <w:kern w:val="0"/>
                      <w:szCs w:val="21"/>
                    </w:rPr>
                  </w:pPr>
                </w:p>
              </w:tc>
              <w:tc>
                <w:tcPr>
                  <w:tcW w:w="518" w:type="pct"/>
                  <w:noWrap w:val="0"/>
                  <w:vAlign w:val="center"/>
                </w:tcPr>
                <w:p w14:paraId="39799D4E">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危险废物</w:t>
                  </w:r>
                </w:p>
              </w:tc>
              <w:tc>
                <w:tcPr>
                  <w:tcW w:w="3376" w:type="pct"/>
                  <w:noWrap w:val="0"/>
                  <w:vAlign w:val="center"/>
                </w:tcPr>
                <w:p w14:paraId="46C15557">
                  <w:pPr>
                    <w:adjustRightInd w:val="0"/>
                    <w:snapToGrid w:val="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lang w:val="en-US" w:eastAsia="zh-CN"/>
                    </w:rPr>
                    <w:t>危险废物暂存间1间，占地面积10m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vertAlign w:val="baseline"/>
                      <w:lang w:val="en-US" w:eastAsia="zh-CN"/>
                    </w:rPr>
                    <w:t>，定期委托有资质单位处置清运处置</w:t>
                  </w:r>
                  <w:r>
                    <w:rPr>
                      <w:rFonts w:hint="eastAsia" w:cs="Times New Roman"/>
                      <w:color w:val="auto"/>
                      <w:vertAlign w:val="baseline"/>
                      <w:lang w:val="en-US" w:eastAsia="zh-CN"/>
                    </w:rPr>
                    <w:t>。</w:t>
                  </w:r>
                </w:p>
              </w:tc>
              <w:tc>
                <w:tcPr>
                  <w:tcW w:w="423" w:type="pct"/>
                  <w:noWrap w:val="0"/>
                  <w:vAlign w:val="center"/>
                </w:tcPr>
                <w:p w14:paraId="4AE22411">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r w14:paraId="3C41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14:paraId="0976D886">
                  <w:pPr>
                    <w:adjustRightInd w:val="0"/>
                    <w:snapToGrid w:val="0"/>
                    <w:jc w:val="center"/>
                    <w:rPr>
                      <w:rFonts w:ascii="Times New Roman" w:hAnsi="Times New Roman" w:eastAsia="宋体"/>
                      <w:color w:val="auto"/>
                      <w:szCs w:val="21"/>
                    </w:rPr>
                  </w:pPr>
                </w:p>
              </w:tc>
              <w:tc>
                <w:tcPr>
                  <w:tcW w:w="265" w:type="pct"/>
                  <w:vMerge w:val="continue"/>
                  <w:noWrap w:val="0"/>
                  <w:vAlign w:val="center"/>
                </w:tcPr>
                <w:p w14:paraId="4C9A0A84">
                  <w:pPr>
                    <w:adjustRightInd w:val="0"/>
                    <w:snapToGrid w:val="0"/>
                    <w:jc w:val="center"/>
                    <w:textAlignment w:val="baseline"/>
                    <w:rPr>
                      <w:rFonts w:ascii="Times New Roman" w:hAnsi="Times New Roman" w:eastAsia="宋体"/>
                      <w:color w:val="auto"/>
                      <w:kern w:val="0"/>
                      <w:szCs w:val="21"/>
                    </w:rPr>
                  </w:pPr>
                </w:p>
              </w:tc>
              <w:tc>
                <w:tcPr>
                  <w:tcW w:w="518" w:type="pct"/>
                  <w:noWrap w:val="0"/>
                  <w:vAlign w:val="center"/>
                </w:tcPr>
                <w:p w14:paraId="67FCE67A">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生活垃圾</w:t>
                  </w:r>
                </w:p>
              </w:tc>
              <w:tc>
                <w:tcPr>
                  <w:tcW w:w="3376" w:type="pct"/>
                  <w:noWrap w:val="0"/>
                  <w:vAlign w:val="center"/>
                </w:tcPr>
                <w:p w14:paraId="04C15283">
                  <w:pPr>
                    <w:adjustRightInd w:val="0"/>
                    <w:snapToGrid w:val="0"/>
                    <w:rPr>
                      <w:rFonts w:hint="default" w:ascii="Times New Roman" w:hAnsi="Times New Roman" w:eastAsia="宋体"/>
                      <w:color w:val="auto"/>
                      <w:szCs w:val="21"/>
                      <w:lang w:val="en-US" w:eastAsia="zh-CN"/>
                    </w:rPr>
                  </w:pPr>
                  <w:r>
                    <w:rPr>
                      <w:rFonts w:hint="eastAsia" w:ascii="Times New Roman" w:hAnsi="Times New Roman" w:eastAsia="宋体" w:cs="Times New Roman"/>
                      <w:color w:val="auto"/>
                      <w:lang w:val="en-US" w:eastAsia="zh-CN"/>
                    </w:rPr>
                    <w:t>用于收集生活垃圾，配套室内垃圾桶若干，定期当地环卫部门清运</w:t>
                  </w:r>
                  <w:r>
                    <w:rPr>
                      <w:rFonts w:hint="eastAsia" w:cs="Times New Roman"/>
                      <w:color w:val="auto"/>
                      <w:lang w:val="en-US" w:eastAsia="zh-CN"/>
                    </w:rPr>
                    <w:t>。</w:t>
                  </w:r>
                </w:p>
              </w:tc>
              <w:tc>
                <w:tcPr>
                  <w:tcW w:w="423" w:type="pct"/>
                  <w:noWrap w:val="0"/>
                  <w:vAlign w:val="center"/>
                </w:tcPr>
                <w:p w14:paraId="50DEF4CA">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r w14:paraId="05BF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16" w:type="pct"/>
                  <w:vMerge w:val="continue"/>
                  <w:noWrap w:val="0"/>
                  <w:vAlign w:val="center"/>
                </w:tcPr>
                <w:p w14:paraId="69C800B2">
                  <w:pPr>
                    <w:adjustRightInd w:val="0"/>
                    <w:snapToGrid w:val="0"/>
                    <w:jc w:val="center"/>
                    <w:rPr>
                      <w:rFonts w:ascii="Times New Roman" w:hAnsi="Times New Roman" w:eastAsia="宋体"/>
                      <w:color w:val="auto"/>
                      <w:szCs w:val="21"/>
                    </w:rPr>
                  </w:pPr>
                </w:p>
              </w:tc>
              <w:tc>
                <w:tcPr>
                  <w:tcW w:w="784" w:type="pct"/>
                  <w:gridSpan w:val="2"/>
                  <w:noWrap w:val="0"/>
                  <w:vAlign w:val="center"/>
                </w:tcPr>
                <w:p w14:paraId="3D0198AE">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kern w:val="0"/>
                      <w:szCs w:val="21"/>
                    </w:rPr>
                    <w:t>噪声</w:t>
                  </w:r>
                </w:p>
              </w:tc>
              <w:tc>
                <w:tcPr>
                  <w:tcW w:w="3376" w:type="pct"/>
                  <w:noWrap w:val="0"/>
                  <w:vAlign w:val="center"/>
                </w:tcPr>
                <w:p w14:paraId="26586E02">
                  <w:pPr>
                    <w:adjustRightInd w:val="0"/>
                    <w:snapToGrid w:val="0"/>
                    <w:rPr>
                      <w:rFonts w:hint="eastAsia" w:ascii="Times New Roman" w:hAnsi="Times New Roman" w:eastAsia="宋体"/>
                      <w:color w:val="auto"/>
                      <w:szCs w:val="21"/>
                      <w:lang w:eastAsia="zh-CN"/>
                    </w:rPr>
                  </w:pPr>
                  <w:r>
                    <w:rPr>
                      <w:rFonts w:hint="eastAsia" w:ascii="Times New Roman" w:hAnsi="Times New Roman" w:eastAsia="宋体"/>
                      <w:color w:val="auto"/>
                      <w:szCs w:val="21"/>
                    </w:rPr>
                    <w:t>设备安装减震垫，设备置于厂房内，采取隔声</w:t>
                  </w:r>
                  <w:r>
                    <w:rPr>
                      <w:rFonts w:hint="eastAsia"/>
                      <w:color w:val="auto"/>
                      <w:szCs w:val="21"/>
                      <w:lang w:eastAsia="zh-CN"/>
                    </w:rPr>
                    <w:t>。</w:t>
                  </w:r>
                </w:p>
              </w:tc>
              <w:tc>
                <w:tcPr>
                  <w:tcW w:w="423" w:type="pct"/>
                  <w:noWrap w:val="0"/>
                  <w:vAlign w:val="center"/>
                </w:tcPr>
                <w:p w14:paraId="3F05242A">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lang w:val="en-US" w:eastAsia="zh-CN"/>
                    </w:rPr>
                    <w:t>环评新增</w:t>
                  </w:r>
                </w:p>
              </w:tc>
            </w:tr>
            <w:tr w14:paraId="5FCA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16" w:type="pct"/>
                  <w:vMerge w:val="continue"/>
                  <w:noWrap w:val="0"/>
                  <w:vAlign w:val="center"/>
                </w:tcPr>
                <w:p w14:paraId="2FE05727">
                  <w:pPr>
                    <w:adjustRightInd w:val="0"/>
                    <w:snapToGrid w:val="0"/>
                    <w:jc w:val="center"/>
                    <w:rPr>
                      <w:rFonts w:ascii="Times New Roman" w:hAnsi="Times New Roman" w:eastAsia="宋体"/>
                      <w:color w:val="auto"/>
                      <w:szCs w:val="21"/>
                    </w:rPr>
                  </w:pPr>
                </w:p>
              </w:tc>
              <w:tc>
                <w:tcPr>
                  <w:tcW w:w="784" w:type="pct"/>
                  <w:gridSpan w:val="2"/>
                  <w:noWrap w:val="0"/>
                  <w:vAlign w:val="center"/>
                </w:tcPr>
                <w:p w14:paraId="455BB5BB">
                  <w:pPr>
                    <w:adjustRightInd w:val="0"/>
                    <w:snapToGrid w:val="0"/>
                    <w:jc w:val="center"/>
                    <w:rPr>
                      <w:rFonts w:hint="eastAsia" w:ascii="Times New Roman" w:hAnsi="Times New Roman" w:eastAsia="宋体"/>
                      <w:color w:val="auto"/>
                      <w:kern w:val="0"/>
                      <w:szCs w:val="21"/>
                      <w:lang w:eastAsia="zh-CN"/>
                    </w:rPr>
                  </w:pPr>
                  <w:r>
                    <w:rPr>
                      <w:rFonts w:hint="eastAsia"/>
                      <w:color w:val="auto"/>
                      <w:kern w:val="0"/>
                      <w:szCs w:val="21"/>
                      <w:lang w:eastAsia="zh-CN"/>
                    </w:rPr>
                    <w:t>事故水池</w:t>
                  </w:r>
                </w:p>
              </w:tc>
              <w:tc>
                <w:tcPr>
                  <w:tcW w:w="3376" w:type="pct"/>
                  <w:noWrap w:val="0"/>
                  <w:vAlign w:val="center"/>
                </w:tcPr>
                <w:p w14:paraId="112377EA">
                  <w:pPr>
                    <w:adjustRightInd w:val="0"/>
                    <w:snapToGrid w:val="0"/>
                    <w:rPr>
                      <w:rFonts w:hint="eastAsia" w:ascii="Times New Roman" w:hAnsi="Times New Roman" w:eastAsia="宋体"/>
                      <w:color w:val="auto"/>
                      <w:szCs w:val="21"/>
                    </w:rPr>
                  </w:pPr>
                  <w:r>
                    <w:rPr>
                      <w:rFonts w:hint="eastAsia"/>
                      <w:color w:val="auto"/>
                      <w:szCs w:val="21"/>
                      <w:lang w:val="en-US" w:eastAsia="zh-CN"/>
                    </w:rPr>
                    <w:t>事故水池1座，位于生产车间外西侧300m</w:t>
                  </w:r>
                  <w:r>
                    <w:rPr>
                      <w:rFonts w:hint="eastAsia"/>
                      <w:color w:val="auto"/>
                      <w:szCs w:val="21"/>
                      <w:vertAlign w:val="superscript"/>
                      <w:lang w:val="en-US" w:eastAsia="zh-CN"/>
                    </w:rPr>
                    <w:t>3</w:t>
                  </w:r>
                  <w:r>
                    <w:rPr>
                      <w:rFonts w:hint="eastAsia"/>
                      <w:color w:val="auto"/>
                      <w:szCs w:val="21"/>
                      <w:lang w:eastAsia="zh-CN"/>
                    </w:rPr>
                    <w:t>。</w:t>
                  </w:r>
                </w:p>
              </w:tc>
              <w:tc>
                <w:tcPr>
                  <w:tcW w:w="423" w:type="pct"/>
                  <w:noWrap w:val="0"/>
                  <w:vAlign w:val="center"/>
                </w:tcPr>
                <w:p w14:paraId="62EDE552">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r w14:paraId="6F92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noWrap w:val="0"/>
                  <w:vAlign w:val="center"/>
                </w:tcPr>
                <w:p w14:paraId="611C9CFD">
                  <w:pPr>
                    <w:adjustRightInd w:val="0"/>
                    <w:snapToGrid w:val="0"/>
                    <w:jc w:val="center"/>
                    <w:rPr>
                      <w:rFonts w:ascii="Times New Roman" w:hAnsi="Times New Roman" w:eastAsia="宋体"/>
                      <w:color w:val="auto"/>
                      <w:szCs w:val="21"/>
                    </w:rPr>
                  </w:pPr>
                </w:p>
              </w:tc>
              <w:tc>
                <w:tcPr>
                  <w:tcW w:w="784" w:type="pct"/>
                  <w:gridSpan w:val="2"/>
                  <w:noWrap w:val="0"/>
                  <w:vAlign w:val="center"/>
                </w:tcPr>
                <w:p w14:paraId="2F6A024B">
                  <w:pPr>
                    <w:adjustRightInd w:val="0"/>
                    <w:snapToGrid w:val="0"/>
                    <w:jc w:val="center"/>
                    <w:rPr>
                      <w:rFonts w:hint="eastAsia" w:ascii="Times New Roman" w:hAnsi="Times New Roman" w:eastAsia="宋体"/>
                      <w:color w:val="auto"/>
                      <w:kern w:val="0"/>
                      <w:szCs w:val="21"/>
                      <w:lang w:val="en-US" w:eastAsia="zh-CN"/>
                    </w:rPr>
                  </w:pPr>
                  <w:r>
                    <w:rPr>
                      <w:rFonts w:hint="eastAsia" w:ascii="Times New Roman" w:hAnsi="Times New Roman" w:eastAsia="宋体"/>
                      <w:color w:val="auto"/>
                      <w:szCs w:val="21"/>
                      <w:lang w:val="en-US" w:eastAsia="zh-CN"/>
                    </w:rPr>
                    <w:t>地下水和土壤防治措施</w:t>
                  </w:r>
                </w:p>
              </w:tc>
              <w:tc>
                <w:tcPr>
                  <w:tcW w:w="3376" w:type="pct"/>
                  <w:noWrap w:val="0"/>
                  <w:vAlign w:val="center"/>
                </w:tcPr>
                <w:p w14:paraId="3F7B2399">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eastAsia="zh-CN"/>
                    </w:rPr>
                    <w:t>厂区做好分区防渗措施：</w:t>
                  </w:r>
                  <w:r>
                    <w:rPr>
                      <w:rFonts w:hint="eastAsia" w:ascii="Times New Roman" w:hAnsi="Times New Roman" w:eastAsia="宋体"/>
                      <w:color w:val="auto"/>
                      <w:highlight w:val="none"/>
                      <w:lang w:val="en-US" w:eastAsia="zh-CN"/>
                    </w:rPr>
                    <w:t>采取分区防渗，</w:t>
                  </w:r>
                  <w:r>
                    <w:rPr>
                      <w:rFonts w:ascii="Times New Roman" w:hAnsi="Times New Roman" w:eastAsia="宋体"/>
                      <w:color w:val="auto"/>
                      <w:szCs w:val="21"/>
                    </w:rPr>
                    <w:t>重点防渗区：</w:t>
                  </w:r>
                  <w:r>
                    <w:rPr>
                      <w:rFonts w:hint="eastAsia" w:ascii="Times New Roman" w:hAnsi="Times New Roman" w:eastAsia="宋体"/>
                      <w:color w:val="auto"/>
                      <w:szCs w:val="21"/>
                    </w:rPr>
                    <w:t>危废暂存间</w:t>
                  </w:r>
                  <w:r>
                    <w:rPr>
                      <w:rFonts w:ascii="Times New Roman" w:hAnsi="Times New Roman" w:eastAsia="宋体"/>
                      <w:bCs/>
                      <w:color w:val="auto"/>
                      <w:szCs w:val="21"/>
                    </w:rPr>
                    <w:t>，</w:t>
                  </w:r>
                  <w:r>
                    <w:rPr>
                      <w:rFonts w:hint="eastAsia" w:ascii="Times New Roman" w:hAnsi="Times New Roman" w:eastAsia="宋体"/>
                      <w:color w:val="auto"/>
                      <w:szCs w:val="21"/>
                      <w:lang w:val="en-US" w:eastAsia="zh-CN"/>
                    </w:rPr>
                    <w:t>根据《危险废物贮存污染控制标准》（GB18597—2023），防渗层为至少1m厚黏土层（渗透系数不大于10</w:t>
                  </w:r>
                  <w:r>
                    <w:rPr>
                      <w:rFonts w:hint="eastAsia" w:ascii="Times New Roman" w:hAnsi="Times New Roman" w:eastAsia="宋体"/>
                      <w:color w:val="auto"/>
                      <w:szCs w:val="21"/>
                      <w:vertAlign w:val="superscript"/>
                      <w:lang w:val="en-US" w:eastAsia="zh-CN"/>
                    </w:rPr>
                    <w:t>-7</w:t>
                  </w:r>
                  <w:r>
                    <w:rPr>
                      <w:rFonts w:hint="eastAsia" w:ascii="Times New Roman" w:hAnsi="Times New Roman" w:eastAsia="宋体"/>
                      <w:color w:val="auto"/>
                      <w:szCs w:val="21"/>
                      <w:lang w:val="en-US" w:eastAsia="zh-CN"/>
                    </w:rPr>
                    <w:t>cm/s），或至少2mm厚高密度聚乙烯膜等人工防渗材料（渗透系数不大于10</w:t>
                  </w:r>
                  <w:r>
                    <w:rPr>
                      <w:rFonts w:hint="eastAsia" w:ascii="Times New Roman" w:hAnsi="Times New Roman" w:eastAsia="宋体"/>
                      <w:color w:val="auto"/>
                      <w:szCs w:val="21"/>
                      <w:vertAlign w:val="superscript"/>
                      <w:lang w:val="en-US" w:eastAsia="zh-CN"/>
                    </w:rPr>
                    <w:t>-10</w:t>
                  </w:r>
                  <w:r>
                    <w:rPr>
                      <w:rFonts w:hint="eastAsia" w:ascii="Times New Roman" w:hAnsi="Times New Roman" w:eastAsia="宋体"/>
                      <w:color w:val="auto"/>
                      <w:szCs w:val="21"/>
                      <w:lang w:val="en-US" w:eastAsia="zh-CN"/>
                    </w:rPr>
                    <w:t>cm/s）</w:t>
                  </w:r>
                  <w:r>
                    <w:rPr>
                      <w:rFonts w:ascii="Times New Roman" w:hAnsi="Times New Roman" w:eastAsia="宋体"/>
                      <w:color w:val="auto"/>
                      <w:szCs w:val="21"/>
                    </w:rPr>
                    <w:t>；</w:t>
                  </w:r>
                  <w:r>
                    <w:rPr>
                      <w:rFonts w:hint="eastAsia" w:ascii="Times New Roman" w:hAnsi="Times New Roman" w:eastAsia="宋体"/>
                      <w:color w:val="auto"/>
                      <w:szCs w:val="21"/>
                    </w:rPr>
                    <w:t>一般</w:t>
                  </w:r>
                  <w:r>
                    <w:rPr>
                      <w:rFonts w:ascii="Times New Roman" w:hAnsi="Times New Roman" w:eastAsia="宋体"/>
                      <w:color w:val="auto"/>
                      <w:szCs w:val="21"/>
                    </w:rPr>
                    <w:t>防渗区：</w:t>
                  </w:r>
                  <w:r>
                    <w:rPr>
                      <w:rFonts w:hint="eastAsia"/>
                      <w:color w:val="auto"/>
                      <w:szCs w:val="21"/>
                      <w:lang w:eastAsia="zh-CN"/>
                    </w:rPr>
                    <w:t>事故水池、</w:t>
                  </w:r>
                  <w:r>
                    <w:rPr>
                      <w:rFonts w:hint="eastAsia" w:ascii="Times New Roman" w:hAnsi="Times New Roman" w:eastAsia="宋体"/>
                      <w:color w:val="auto"/>
                      <w:szCs w:val="21"/>
                      <w:lang w:val="en-US" w:eastAsia="zh-CN"/>
                    </w:rPr>
                    <w:t>化粪池、冷却水池</w:t>
                  </w:r>
                  <w:r>
                    <w:rPr>
                      <w:rFonts w:hint="eastAsia" w:ascii="Times New Roman" w:hAnsi="Times New Roman" w:eastAsia="宋体"/>
                      <w:color w:val="auto"/>
                      <w:szCs w:val="21"/>
                    </w:rPr>
                    <w:t>，</w:t>
                  </w:r>
                  <w:r>
                    <w:rPr>
                      <w:rFonts w:hint="eastAsia" w:ascii="Times New Roman" w:hAnsi="Times New Roman" w:eastAsia="宋体"/>
                      <w:color w:val="auto"/>
                    </w:rPr>
                    <w:t>按照HJ610-2016要求</w:t>
                  </w:r>
                  <w:r>
                    <w:rPr>
                      <w:rFonts w:hint="eastAsia" w:ascii="Times New Roman" w:hAnsi="Times New Roman" w:eastAsia="宋体"/>
                      <w:color w:val="auto"/>
                      <w:lang w:eastAsia="zh-CN"/>
                    </w:rPr>
                    <w:t>：</w:t>
                  </w:r>
                  <w:r>
                    <w:rPr>
                      <w:rFonts w:hint="eastAsia" w:ascii="Times New Roman" w:hAnsi="Times New Roman" w:eastAsia="宋体"/>
                      <w:color w:val="auto"/>
                      <w:szCs w:val="21"/>
                    </w:rPr>
                    <w:t>等效黏土防渗层厚度Mb≥1</w:t>
                  </w:r>
                  <w:r>
                    <w:rPr>
                      <w:rFonts w:ascii="Times New Roman" w:hAnsi="Times New Roman" w:eastAsia="宋体"/>
                      <w:color w:val="auto"/>
                      <w:szCs w:val="21"/>
                    </w:rPr>
                    <w:t>.</w:t>
                  </w:r>
                  <w:r>
                    <w:rPr>
                      <w:rFonts w:hint="eastAsia" w:ascii="Times New Roman" w:hAnsi="Times New Roman" w:eastAsia="宋体"/>
                      <w:color w:val="auto"/>
                      <w:szCs w:val="21"/>
                    </w:rPr>
                    <w:t>5m，渗透系数K≤1.0×10</w:t>
                  </w:r>
                  <w:r>
                    <w:rPr>
                      <w:rFonts w:hint="eastAsia" w:ascii="Times New Roman" w:hAnsi="Times New Roman" w:eastAsia="宋体"/>
                      <w:color w:val="auto"/>
                      <w:szCs w:val="21"/>
                      <w:vertAlign w:val="superscript"/>
                      <w:lang w:val="en-US" w:eastAsia="zh-CN"/>
                    </w:rPr>
                    <w:t>-</w:t>
                  </w:r>
                  <w:r>
                    <w:rPr>
                      <w:rFonts w:hint="eastAsia" w:ascii="Times New Roman" w:hAnsi="Times New Roman" w:eastAsia="宋体"/>
                      <w:color w:val="auto"/>
                      <w:szCs w:val="21"/>
                      <w:vertAlign w:val="superscript"/>
                    </w:rPr>
                    <w:t>7</w:t>
                  </w:r>
                  <w:r>
                    <w:rPr>
                      <w:rFonts w:hint="eastAsia" w:ascii="Times New Roman" w:hAnsi="Times New Roman" w:eastAsia="宋体"/>
                      <w:color w:val="auto"/>
                      <w:szCs w:val="21"/>
                    </w:rPr>
                    <w:t>cm/s</w:t>
                  </w:r>
                  <w:r>
                    <w:rPr>
                      <w:rFonts w:hint="eastAsia" w:ascii="Times New Roman" w:hAnsi="Times New Roman" w:eastAsia="宋体"/>
                      <w:bCs/>
                      <w:color w:val="auto"/>
                      <w:szCs w:val="21"/>
                    </w:rPr>
                    <w:t>。</w:t>
                  </w:r>
                  <w:r>
                    <w:rPr>
                      <w:rFonts w:ascii="Times New Roman" w:hAnsi="Times New Roman" w:eastAsia="宋体"/>
                      <w:bCs/>
                      <w:color w:val="auto"/>
                      <w:szCs w:val="21"/>
                    </w:rPr>
                    <w:t>简单防渗区：</w:t>
                  </w:r>
                  <w:r>
                    <w:rPr>
                      <w:rFonts w:hint="eastAsia" w:ascii="Times New Roman" w:hAnsi="Times New Roman" w:eastAsia="宋体"/>
                      <w:bCs/>
                      <w:color w:val="auto"/>
                      <w:szCs w:val="21"/>
                      <w:lang w:val="en-US" w:eastAsia="zh-CN"/>
                    </w:rPr>
                    <w:t>生产车间、办公室</w:t>
                  </w:r>
                  <w:r>
                    <w:rPr>
                      <w:rFonts w:hint="eastAsia" w:ascii="Times New Roman" w:hAnsi="Times New Roman" w:eastAsia="宋体"/>
                      <w:bCs/>
                      <w:color w:val="auto"/>
                      <w:szCs w:val="21"/>
                    </w:rPr>
                    <w:t>、厂区道路等除重点防渗</w:t>
                  </w:r>
                  <w:r>
                    <w:rPr>
                      <w:rFonts w:hint="eastAsia" w:ascii="Times New Roman" w:hAnsi="Times New Roman" w:eastAsia="宋体"/>
                      <w:bCs/>
                      <w:color w:val="auto"/>
                      <w:szCs w:val="21"/>
                      <w:lang w:val="en-US" w:eastAsia="zh-CN"/>
                    </w:rPr>
                    <w:t>及一般防渗区</w:t>
                  </w:r>
                  <w:r>
                    <w:rPr>
                      <w:rFonts w:hint="eastAsia" w:ascii="Times New Roman" w:hAnsi="Times New Roman" w:eastAsia="宋体"/>
                      <w:bCs/>
                      <w:color w:val="auto"/>
                      <w:szCs w:val="21"/>
                    </w:rPr>
                    <w:t>外的其他区域。</w:t>
                  </w:r>
                </w:p>
              </w:tc>
              <w:tc>
                <w:tcPr>
                  <w:tcW w:w="423" w:type="pct"/>
                  <w:noWrap w:val="0"/>
                  <w:vAlign w:val="center"/>
                </w:tcPr>
                <w:p w14:paraId="304E6318">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环评新增</w:t>
                  </w:r>
                </w:p>
              </w:tc>
            </w:tr>
          </w:tbl>
          <w:p w14:paraId="1A443D73">
            <w:pPr>
              <w:adjustRightInd w:val="0"/>
              <w:snapToGrid w:val="0"/>
              <w:spacing w:before="158" w:beforeLines="50" w:line="360" w:lineRule="auto"/>
              <w:rPr>
                <w:rFonts w:ascii="Times New Roman" w:hAnsi="Times New Roman" w:eastAsia="宋体"/>
                <w:b/>
                <w:color w:val="auto"/>
                <w:sz w:val="24"/>
              </w:rPr>
            </w:pPr>
            <w:r>
              <w:rPr>
                <w:rFonts w:hint="eastAsia" w:ascii="Times New Roman" w:hAnsi="Times New Roman" w:eastAsia="宋体"/>
                <w:b/>
                <w:color w:val="auto"/>
                <w:sz w:val="24"/>
                <w:lang w:val="en-US" w:eastAsia="zh-CN"/>
              </w:rPr>
              <w:t>二</w:t>
            </w:r>
            <w:r>
              <w:rPr>
                <w:rFonts w:ascii="Times New Roman" w:hAnsi="Times New Roman" w:eastAsia="宋体"/>
                <w:b/>
                <w:color w:val="auto"/>
                <w:sz w:val="24"/>
              </w:rPr>
              <w:t>、产品方案</w:t>
            </w:r>
          </w:p>
          <w:p w14:paraId="61CB9930">
            <w:pPr>
              <w:adjustRightInd w:val="0"/>
              <w:snapToGrid w:val="0"/>
              <w:spacing w:line="360" w:lineRule="auto"/>
              <w:ind w:firstLine="480" w:firstLineChars="200"/>
              <w:rPr>
                <w:rFonts w:ascii="Times New Roman" w:hAnsi="Times New Roman" w:eastAsia="宋体"/>
                <w:bCs/>
                <w:color w:val="auto"/>
                <w:sz w:val="24"/>
                <w:szCs w:val="20"/>
              </w:rPr>
            </w:pPr>
            <w:r>
              <w:rPr>
                <w:rFonts w:hint="eastAsia" w:ascii="Times New Roman" w:hAnsi="Times New Roman" w:eastAsia="宋体"/>
                <w:bCs/>
                <w:color w:val="auto"/>
                <w:sz w:val="24"/>
                <w:szCs w:val="20"/>
              </w:rPr>
              <w:t>本项目产品方案为年产</w:t>
            </w:r>
            <w:r>
              <w:rPr>
                <w:rFonts w:hint="eastAsia"/>
                <w:bCs/>
                <w:color w:val="auto"/>
                <w:sz w:val="24"/>
                <w:szCs w:val="20"/>
                <w:lang w:val="en-US" w:eastAsia="zh-CN"/>
              </w:rPr>
              <w:t>20</w:t>
            </w:r>
            <w:r>
              <w:rPr>
                <w:rFonts w:hint="eastAsia" w:ascii="Times New Roman" w:hAnsi="Times New Roman" w:eastAsia="宋体"/>
                <w:bCs/>
                <w:color w:val="auto"/>
                <w:sz w:val="24"/>
                <w:szCs w:val="20"/>
              </w:rPr>
              <w:t>万吨高频直缝焊管。项目建成后，项目产品方案见下表：</w:t>
            </w:r>
          </w:p>
          <w:p w14:paraId="2414FB0F">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表2-2   项目产品方案一览表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814"/>
              <w:gridCol w:w="546"/>
              <w:gridCol w:w="5639"/>
            </w:tblGrid>
            <w:tr w14:paraId="1011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shd w:val="clear" w:color="auto" w:fill="D7D7D7" w:themeFill="background1" w:themeFillShade="D8"/>
                  <w:vAlign w:val="center"/>
                </w:tcPr>
                <w:p w14:paraId="13280215">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rPr>
                  </w:pPr>
                  <w:r>
                    <w:rPr>
                      <w:rFonts w:ascii="Times New Roman" w:hAnsi="Times New Roman" w:eastAsia="宋体"/>
                      <w:color w:val="auto"/>
                    </w:rPr>
                    <w:t>产品名称</w:t>
                  </w:r>
                </w:p>
              </w:tc>
              <w:tc>
                <w:tcPr>
                  <w:tcW w:w="507" w:type="pct"/>
                  <w:shd w:val="clear" w:color="auto" w:fill="D7D7D7" w:themeFill="background1" w:themeFillShade="D8"/>
                  <w:vAlign w:val="center"/>
                </w:tcPr>
                <w:p w14:paraId="7EC5CFD0">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单位</w:t>
                  </w:r>
                </w:p>
              </w:tc>
              <w:tc>
                <w:tcPr>
                  <w:tcW w:w="340" w:type="pct"/>
                  <w:shd w:val="clear" w:color="auto" w:fill="D7D7D7" w:themeFill="background1" w:themeFillShade="D8"/>
                  <w:vAlign w:val="center"/>
                </w:tcPr>
                <w:p w14:paraId="61642ACE">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数量</w:t>
                  </w:r>
                </w:p>
              </w:tc>
              <w:tc>
                <w:tcPr>
                  <w:tcW w:w="3514" w:type="pct"/>
                  <w:shd w:val="clear" w:color="auto" w:fill="D7D7D7" w:themeFill="background1" w:themeFillShade="D8"/>
                  <w:vAlign w:val="center"/>
                </w:tcPr>
                <w:p w14:paraId="7E0CFB2B">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规格及型号</w:t>
                  </w:r>
                </w:p>
              </w:tc>
            </w:tr>
            <w:tr w14:paraId="5905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vAlign w:val="center"/>
                </w:tcPr>
                <w:p w14:paraId="40B48C2F">
                  <w:pPr>
                    <w:pStyle w:val="31"/>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lang w:eastAsia="zh-CN"/>
                    </w:rPr>
                  </w:pPr>
                  <w:r>
                    <w:rPr>
                      <w:rFonts w:hint="eastAsia" w:ascii="Times New Roman" w:hAnsi="Times New Roman" w:eastAsia="宋体"/>
                      <w:color w:val="auto"/>
                      <w:lang w:eastAsia="zh-CN"/>
                    </w:rPr>
                    <w:t>高频直缝焊管</w:t>
                  </w:r>
                </w:p>
              </w:tc>
              <w:tc>
                <w:tcPr>
                  <w:tcW w:w="507" w:type="pct"/>
                  <w:vAlign w:val="center"/>
                </w:tcPr>
                <w:p w14:paraId="7762C0D5">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万t/a</w:t>
                  </w:r>
                </w:p>
              </w:tc>
              <w:tc>
                <w:tcPr>
                  <w:tcW w:w="340" w:type="pct"/>
                  <w:vAlign w:val="center"/>
                </w:tcPr>
                <w:p w14:paraId="03D89956">
                  <w:pPr>
                    <w:pStyle w:val="3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lang w:val="en-US" w:eastAsia="zh-CN"/>
                    </w:rPr>
                  </w:pPr>
                  <w:r>
                    <w:rPr>
                      <w:rFonts w:hint="eastAsia"/>
                      <w:color w:val="auto"/>
                      <w:lang w:val="en-US" w:eastAsia="zh-CN"/>
                    </w:rPr>
                    <w:t>20</w:t>
                  </w:r>
                </w:p>
              </w:tc>
              <w:tc>
                <w:tcPr>
                  <w:tcW w:w="3514" w:type="pct"/>
                  <w:vAlign w:val="center"/>
                </w:tcPr>
                <w:p w14:paraId="1C12AF2D">
                  <w:pPr>
                    <w:pStyle w:val="31"/>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olor w:val="auto"/>
                    </w:rPr>
                  </w:pPr>
                  <w:r>
                    <w:rPr>
                      <w:rFonts w:hint="default" w:ascii="Times New Roman" w:hAnsi="Times New Roman" w:eastAsia="宋体"/>
                      <w:color w:val="auto"/>
                    </w:rPr>
                    <w:t>方管：</w:t>
                  </w:r>
                </w:p>
                <w:p w14:paraId="1AE4BAF5">
                  <w:pPr>
                    <w:pStyle w:val="31"/>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olor w:val="auto"/>
                      <w:lang w:eastAsia="zh-CN"/>
                    </w:rPr>
                  </w:pPr>
                  <w:r>
                    <w:rPr>
                      <w:rFonts w:hint="eastAsia" w:ascii="Times New Roman" w:hAnsi="Times New Roman" w:eastAsia="宋体"/>
                      <w:color w:val="auto"/>
                      <w:lang w:val="en-US" w:eastAsia="zh-CN"/>
                    </w:rPr>
                    <w:t>20</w:t>
                  </w:r>
                  <w:r>
                    <w:rPr>
                      <w:rFonts w:hint="default" w:ascii="Times New Roman" w:hAnsi="Times New Roman" w:eastAsia="宋体"/>
                      <w:color w:val="auto"/>
                    </w:rPr>
                    <w:t>mm×</w:t>
                  </w:r>
                  <w:r>
                    <w:rPr>
                      <w:rFonts w:hint="eastAsia" w:ascii="Times New Roman" w:hAnsi="Times New Roman" w:eastAsia="宋体"/>
                      <w:color w:val="auto"/>
                      <w:lang w:val="en-US" w:eastAsia="zh-CN"/>
                    </w:rPr>
                    <w:t>20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val="en-US" w:eastAsia="zh-CN"/>
                    </w:rPr>
                    <w:t>50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60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40</w:t>
                  </w:r>
                  <w:r>
                    <w:rPr>
                      <w:rFonts w:hint="default" w:ascii="Times New Roman" w:hAnsi="Times New Roman" w:eastAsia="宋体"/>
                      <w:color w:val="auto"/>
                    </w:rPr>
                    <w:t>mm×</w:t>
                  </w:r>
                  <w:r>
                    <w:rPr>
                      <w:rFonts w:hint="eastAsia" w:ascii="Times New Roman" w:hAnsi="Times New Roman" w:eastAsia="宋体"/>
                      <w:color w:val="auto"/>
                      <w:lang w:val="en-US" w:eastAsia="zh-CN"/>
                    </w:rPr>
                    <w:t>80</w:t>
                  </w:r>
                  <w:r>
                    <w:rPr>
                      <w:rFonts w:hint="default" w:ascii="Times New Roman" w:hAnsi="Times New Roman" w:eastAsia="宋体"/>
                      <w:color w:val="auto"/>
                    </w:rPr>
                    <w:t>mm</w:t>
                  </w:r>
                  <w:r>
                    <w:rPr>
                      <w:rFonts w:hint="eastAsia" w:ascii="Times New Roman" w:hAnsi="Times New Roman" w:eastAsia="宋体"/>
                      <w:color w:val="auto"/>
                      <w:lang w:eastAsia="zh-CN"/>
                    </w:rPr>
                    <w:t>；</w:t>
                  </w:r>
                </w:p>
                <w:p w14:paraId="2E23DD5C">
                  <w:pPr>
                    <w:pStyle w:val="31"/>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olor w:val="auto"/>
                    </w:rPr>
                  </w:pPr>
                  <w:r>
                    <w:rPr>
                      <w:rFonts w:hint="default" w:ascii="Times New Roman" w:hAnsi="Times New Roman" w:eastAsia="宋体"/>
                      <w:color w:val="auto"/>
                    </w:rPr>
                    <w:t>圆管：</w:t>
                  </w:r>
                </w:p>
                <w:p w14:paraId="1229E039">
                  <w:pPr>
                    <w:pStyle w:val="31"/>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olor w:val="auto"/>
                      <w:lang w:eastAsia="zh-CN"/>
                    </w:rPr>
                  </w:pPr>
                  <w:r>
                    <w:rPr>
                      <w:rFonts w:hint="default" w:ascii="Times New Roman" w:hAnsi="Times New Roman" w:eastAsia="宋体"/>
                      <w:color w:val="auto"/>
                    </w:rPr>
                    <w:t>φ</w:t>
                  </w:r>
                  <w:r>
                    <w:rPr>
                      <w:rFonts w:hint="eastAsia" w:ascii="Times New Roman" w:hAnsi="Times New Roman" w:eastAsia="宋体"/>
                      <w:color w:val="auto"/>
                      <w:lang w:val="en-US" w:eastAsia="zh-CN"/>
                    </w:rPr>
                    <w:t>19</w:t>
                  </w:r>
                  <w:r>
                    <w:rPr>
                      <w:rFonts w:hint="default" w:ascii="Times New Roman" w:hAnsi="Times New Roman" w:eastAsia="宋体"/>
                      <w:color w:val="auto"/>
                    </w:rPr>
                    <w:t>mm、φ</w:t>
                  </w:r>
                  <w:r>
                    <w:rPr>
                      <w:rFonts w:hint="eastAsia" w:ascii="Times New Roman" w:hAnsi="Times New Roman" w:eastAsia="宋体"/>
                      <w:color w:val="auto"/>
                      <w:lang w:val="en-US" w:eastAsia="zh-CN"/>
                    </w:rPr>
                    <w:t>25</w:t>
                  </w:r>
                  <w:r>
                    <w:rPr>
                      <w:rFonts w:hint="default" w:ascii="Times New Roman" w:hAnsi="Times New Roman" w:eastAsia="宋体"/>
                      <w:color w:val="auto"/>
                    </w:rPr>
                    <w:t>mm、φ</w:t>
                  </w:r>
                  <w:r>
                    <w:rPr>
                      <w:rFonts w:hint="eastAsia" w:ascii="Times New Roman" w:hAnsi="Times New Roman" w:eastAsia="宋体"/>
                      <w:color w:val="auto"/>
                      <w:lang w:val="en-US" w:eastAsia="zh-CN"/>
                    </w:rPr>
                    <w:t>30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48</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60</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76</w:t>
                  </w:r>
                  <w:r>
                    <w:rPr>
                      <w:rFonts w:hint="default" w:ascii="Times New Roman" w:hAnsi="Times New Roman" w:eastAsia="宋体"/>
                      <w:color w:val="auto"/>
                    </w:rPr>
                    <w:t>mm</w:t>
                  </w:r>
                  <w:r>
                    <w:rPr>
                      <w:rFonts w:hint="eastAsia" w:ascii="Times New Roman" w:hAnsi="Times New Roman" w:eastAsia="宋体"/>
                      <w:color w:val="auto"/>
                      <w:lang w:eastAsia="zh-CN"/>
                    </w:rPr>
                    <w:t>、</w:t>
                  </w:r>
                  <w:r>
                    <w:rPr>
                      <w:rFonts w:hint="default" w:ascii="Times New Roman" w:hAnsi="Times New Roman" w:eastAsia="宋体"/>
                      <w:color w:val="auto"/>
                    </w:rPr>
                    <w:t>φ</w:t>
                  </w:r>
                  <w:r>
                    <w:rPr>
                      <w:rFonts w:hint="eastAsia" w:ascii="Times New Roman" w:hAnsi="Times New Roman" w:eastAsia="宋体"/>
                      <w:color w:val="auto"/>
                      <w:lang w:val="en-US" w:eastAsia="zh-CN"/>
                    </w:rPr>
                    <w:t>80</w:t>
                  </w:r>
                  <w:r>
                    <w:rPr>
                      <w:rFonts w:hint="default" w:ascii="Times New Roman" w:hAnsi="Times New Roman" w:eastAsia="宋体"/>
                      <w:color w:val="auto"/>
                    </w:rPr>
                    <w:t>mm</w:t>
                  </w:r>
                  <w:r>
                    <w:rPr>
                      <w:rFonts w:hint="eastAsia" w:ascii="Times New Roman" w:hAnsi="Times New Roman" w:eastAsia="宋体"/>
                      <w:color w:val="auto"/>
                      <w:lang w:eastAsia="zh-CN"/>
                    </w:rPr>
                    <w:t>。</w:t>
                  </w:r>
                </w:p>
              </w:tc>
            </w:tr>
          </w:tbl>
          <w:p w14:paraId="336D6048">
            <w:pPr>
              <w:adjustRightInd w:val="0"/>
              <w:snapToGrid w:val="0"/>
              <w:spacing w:before="158" w:beforeLines="50"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三</w:t>
            </w:r>
            <w:r>
              <w:rPr>
                <w:rFonts w:ascii="Times New Roman" w:hAnsi="Times New Roman" w:eastAsia="宋体"/>
                <w:b/>
                <w:color w:val="auto"/>
                <w:sz w:val="24"/>
              </w:rPr>
              <w:t>、原辅材料</w:t>
            </w:r>
          </w:p>
          <w:p w14:paraId="09A0F2E8">
            <w:pPr>
              <w:pStyle w:val="61"/>
              <w:ind w:firstLine="480"/>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主要原辅材料</w:t>
            </w:r>
          </w:p>
          <w:p w14:paraId="3444E294">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rPr>
              <w:t>根据建设单位提供的资料，项目主要使用的原辅材料情况见</w:t>
            </w:r>
            <w:r>
              <w:rPr>
                <w:rFonts w:hint="eastAsia" w:ascii="Times New Roman" w:hAnsi="Times New Roman" w:eastAsia="宋体"/>
                <w:color w:val="auto"/>
                <w:lang w:val="en-US" w:eastAsia="zh-CN"/>
              </w:rPr>
              <w:t>下表。</w:t>
            </w:r>
          </w:p>
          <w:p w14:paraId="1212DC04">
            <w:pPr>
              <w:pStyle w:val="57"/>
              <w:rPr>
                <w:rFonts w:hint="default" w:ascii="Times New Roman" w:hAnsi="Times New Roman" w:eastAsia="宋体" w:cs="宋体"/>
                <w:b/>
                <w:bCs/>
                <w:color w:val="auto"/>
                <w:spacing w:val="0"/>
                <w:kern w:val="0"/>
                <w:sz w:val="21"/>
                <w:szCs w:val="21"/>
                <w:lang w:val="en-US" w:eastAsia="zh-CN" w:bidi="ar-SA"/>
              </w:rPr>
            </w:pPr>
            <w:r>
              <w:rPr>
                <w:rFonts w:hint="default" w:ascii="Times New Roman" w:hAnsi="Times New Roman" w:eastAsia="宋体" w:cs="宋体"/>
                <w:b/>
                <w:bCs/>
                <w:color w:val="auto"/>
                <w:spacing w:val="0"/>
                <w:kern w:val="0"/>
                <w:sz w:val="21"/>
                <w:szCs w:val="21"/>
                <w:lang w:val="en-US" w:eastAsia="zh-CN" w:bidi="ar-SA"/>
              </w:rPr>
              <w:t>表</w:t>
            </w:r>
            <w:r>
              <w:rPr>
                <w:rFonts w:hint="eastAsia" w:ascii="Times New Roman" w:hAnsi="Times New Roman" w:eastAsia="宋体" w:cs="宋体"/>
                <w:b/>
                <w:bCs/>
                <w:color w:val="auto"/>
                <w:spacing w:val="0"/>
                <w:kern w:val="0"/>
                <w:sz w:val="21"/>
                <w:szCs w:val="21"/>
                <w:lang w:val="en-US" w:eastAsia="zh-CN" w:bidi="ar-SA"/>
              </w:rPr>
              <w:t>2-3</w:t>
            </w:r>
            <w:r>
              <w:rPr>
                <w:rFonts w:hint="default" w:ascii="Times New Roman" w:hAnsi="Times New Roman" w:eastAsia="宋体" w:cs="宋体"/>
                <w:b/>
                <w:bCs/>
                <w:color w:val="auto"/>
                <w:spacing w:val="0"/>
                <w:kern w:val="0"/>
                <w:sz w:val="21"/>
                <w:szCs w:val="21"/>
                <w:lang w:val="en-US" w:eastAsia="zh-CN" w:bidi="ar-SA"/>
              </w:rPr>
              <w:t xml:space="preserve"> 主要原辅材料一览表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16"/>
              <w:gridCol w:w="612"/>
              <w:gridCol w:w="1109"/>
              <w:gridCol w:w="684"/>
              <w:gridCol w:w="929"/>
              <w:gridCol w:w="950"/>
              <w:gridCol w:w="2195"/>
            </w:tblGrid>
            <w:tr w14:paraId="1BD5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shd w:val="clear" w:color="auto" w:fill="D7D7D7" w:themeFill="background1" w:themeFillShade="D8"/>
                  <w:vAlign w:val="center"/>
                </w:tcPr>
                <w:p w14:paraId="0E86684C">
                  <w:pPr>
                    <w:pStyle w:val="31"/>
                    <w:rPr>
                      <w:rFonts w:hint="eastAsia" w:ascii="Times New Roman" w:hAnsi="Times New Roman" w:eastAsia="宋体"/>
                      <w:color w:val="auto"/>
                      <w:lang w:eastAsia="zh-CN"/>
                    </w:rPr>
                  </w:pPr>
                  <w:r>
                    <w:rPr>
                      <w:rFonts w:hint="eastAsia" w:ascii="Times New Roman" w:hAnsi="Times New Roman" w:eastAsia="宋体"/>
                      <w:color w:val="auto"/>
                      <w:lang w:eastAsia="zh-CN"/>
                    </w:rPr>
                    <w:t>原辅材料</w:t>
                  </w:r>
                </w:p>
              </w:tc>
            </w:tr>
            <w:tr w14:paraId="049C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shd w:val="clear" w:color="auto" w:fill="D7D7D7" w:themeFill="background1" w:themeFillShade="D8"/>
                  <w:vAlign w:val="center"/>
                </w:tcPr>
                <w:p w14:paraId="30B340F2">
                  <w:pPr>
                    <w:pStyle w:val="31"/>
                    <w:rPr>
                      <w:rFonts w:hint="default" w:ascii="Times New Roman" w:hAnsi="Times New Roman" w:eastAsia="宋体"/>
                      <w:color w:val="auto"/>
                    </w:rPr>
                  </w:pPr>
                  <w:r>
                    <w:rPr>
                      <w:rFonts w:ascii="Times New Roman" w:hAnsi="Times New Roman" w:eastAsia="宋体"/>
                      <w:color w:val="auto"/>
                    </w:rPr>
                    <w:t>序号</w:t>
                  </w:r>
                </w:p>
              </w:tc>
              <w:tc>
                <w:tcPr>
                  <w:tcW w:w="696" w:type="pct"/>
                  <w:shd w:val="clear" w:color="auto" w:fill="D7D7D7" w:themeFill="background1" w:themeFillShade="D8"/>
                  <w:vAlign w:val="center"/>
                </w:tcPr>
                <w:p w14:paraId="57ABD97C">
                  <w:pPr>
                    <w:pStyle w:val="31"/>
                    <w:rPr>
                      <w:rFonts w:hint="default" w:ascii="Times New Roman" w:hAnsi="Times New Roman" w:eastAsia="宋体"/>
                      <w:color w:val="auto"/>
                    </w:rPr>
                  </w:pPr>
                  <w:r>
                    <w:rPr>
                      <w:rFonts w:ascii="Times New Roman" w:hAnsi="Times New Roman" w:eastAsia="宋体"/>
                      <w:color w:val="auto"/>
                    </w:rPr>
                    <w:t>名称</w:t>
                  </w:r>
                </w:p>
              </w:tc>
              <w:tc>
                <w:tcPr>
                  <w:tcW w:w="382" w:type="pct"/>
                  <w:shd w:val="clear" w:color="auto" w:fill="D7D7D7" w:themeFill="background1" w:themeFillShade="D8"/>
                  <w:vAlign w:val="center"/>
                </w:tcPr>
                <w:p w14:paraId="03BBCF5C">
                  <w:pPr>
                    <w:pStyle w:val="31"/>
                    <w:rPr>
                      <w:rFonts w:hint="default" w:ascii="Times New Roman" w:hAnsi="Times New Roman" w:eastAsia="宋体"/>
                      <w:color w:val="auto"/>
                    </w:rPr>
                  </w:pPr>
                  <w:r>
                    <w:rPr>
                      <w:rFonts w:ascii="Times New Roman" w:hAnsi="Times New Roman" w:eastAsia="宋体"/>
                      <w:color w:val="auto"/>
                    </w:rPr>
                    <w:t>单位</w:t>
                  </w:r>
                </w:p>
              </w:tc>
              <w:tc>
                <w:tcPr>
                  <w:tcW w:w="691" w:type="pct"/>
                  <w:shd w:val="clear" w:color="auto" w:fill="D7D7D7" w:themeFill="background1" w:themeFillShade="D8"/>
                  <w:vAlign w:val="center"/>
                </w:tcPr>
                <w:p w14:paraId="6DB28B31">
                  <w:pPr>
                    <w:pStyle w:val="31"/>
                    <w:rPr>
                      <w:rFonts w:hint="eastAsia" w:ascii="Times New Roman" w:hAnsi="Times New Roman" w:eastAsia="宋体"/>
                      <w:color w:val="auto"/>
                      <w:lang w:eastAsia="zh-CN"/>
                    </w:rPr>
                  </w:pPr>
                  <w:r>
                    <w:rPr>
                      <w:rFonts w:hint="eastAsia" w:ascii="Times New Roman" w:hAnsi="Times New Roman" w:eastAsia="宋体"/>
                      <w:color w:val="auto"/>
                      <w:lang w:eastAsia="zh-CN"/>
                    </w:rPr>
                    <w:t>消耗量</w:t>
                  </w:r>
                </w:p>
              </w:tc>
              <w:tc>
                <w:tcPr>
                  <w:tcW w:w="427" w:type="pct"/>
                  <w:shd w:val="clear" w:color="auto" w:fill="D7D7D7" w:themeFill="background1" w:themeFillShade="D8"/>
                  <w:vAlign w:val="center"/>
                </w:tcPr>
                <w:p w14:paraId="300761C9">
                  <w:pPr>
                    <w:pStyle w:val="31"/>
                    <w:rPr>
                      <w:rFonts w:hint="eastAsia" w:ascii="Times New Roman" w:hAnsi="Times New Roman" w:eastAsia="宋体"/>
                      <w:color w:val="auto"/>
                      <w:lang w:eastAsia="zh-CN"/>
                    </w:rPr>
                  </w:pPr>
                  <w:r>
                    <w:rPr>
                      <w:rFonts w:hint="eastAsia" w:ascii="Times New Roman" w:hAnsi="Times New Roman" w:eastAsia="宋体"/>
                      <w:color w:val="auto"/>
                      <w:lang w:eastAsia="zh-CN"/>
                    </w:rPr>
                    <w:t>形态</w:t>
                  </w:r>
                </w:p>
              </w:tc>
              <w:tc>
                <w:tcPr>
                  <w:tcW w:w="579" w:type="pct"/>
                  <w:shd w:val="clear" w:color="auto" w:fill="D7D7D7" w:themeFill="background1" w:themeFillShade="D8"/>
                  <w:vAlign w:val="center"/>
                </w:tcPr>
                <w:p w14:paraId="57F828CF">
                  <w:pPr>
                    <w:pStyle w:val="31"/>
                    <w:ind w:firstLine="0" w:firstLineChars="0"/>
                    <w:rPr>
                      <w:rFonts w:hint="eastAsia" w:ascii="Times New Roman" w:hAnsi="Times New Roman" w:eastAsia="宋体" w:cs="黑体"/>
                      <w:b w:val="0"/>
                      <w:color w:val="auto"/>
                      <w:kern w:val="2"/>
                      <w:sz w:val="21"/>
                      <w:szCs w:val="24"/>
                      <w:lang w:val="en-US" w:eastAsia="zh-CN" w:bidi="ar-SA"/>
                    </w:rPr>
                  </w:pPr>
                  <w:r>
                    <w:rPr>
                      <w:rFonts w:hint="eastAsia" w:ascii="Times New Roman" w:hAnsi="Times New Roman" w:eastAsia="宋体"/>
                      <w:color w:val="auto"/>
                      <w:lang w:eastAsia="zh-CN"/>
                    </w:rPr>
                    <w:t>最大存储量</w:t>
                  </w:r>
                  <w:r>
                    <w:rPr>
                      <w:rFonts w:hint="eastAsia" w:ascii="Times New Roman" w:hAnsi="Times New Roman" w:eastAsia="宋体"/>
                      <w:color w:val="auto"/>
                      <w:lang w:val="en-US" w:eastAsia="zh-CN"/>
                    </w:rPr>
                    <w:t>(t)</w:t>
                  </w:r>
                </w:p>
              </w:tc>
              <w:tc>
                <w:tcPr>
                  <w:tcW w:w="592" w:type="pct"/>
                  <w:shd w:val="clear" w:color="auto" w:fill="D7D7D7" w:themeFill="background1" w:themeFillShade="D8"/>
                  <w:vAlign w:val="center"/>
                </w:tcPr>
                <w:p w14:paraId="24342C3A">
                  <w:pPr>
                    <w:pStyle w:val="31"/>
                    <w:ind w:firstLine="0" w:firstLineChars="0"/>
                    <w:rPr>
                      <w:rFonts w:hint="eastAsia" w:ascii="Times New Roman" w:hAnsi="Times New Roman" w:eastAsia="宋体" w:cs="黑体"/>
                      <w:b w:val="0"/>
                      <w:color w:val="auto"/>
                      <w:kern w:val="2"/>
                      <w:sz w:val="21"/>
                      <w:szCs w:val="24"/>
                      <w:lang w:val="en-US" w:eastAsia="zh-CN" w:bidi="ar-SA"/>
                    </w:rPr>
                  </w:pPr>
                  <w:r>
                    <w:rPr>
                      <w:rFonts w:hint="eastAsia" w:ascii="Times New Roman" w:hAnsi="Times New Roman" w:eastAsia="宋体"/>
                      <w:color w:val="auto"/>
                      <w:lang w:eastAsia="zh-CN"/>
                    </w:rPr>
                    <w:t>存储位置</w:t>
                  </w:r>
                </w:p>
              </w:tc>
              <w:tc>
                <w:tcPr>
                  <w:tcW w:w="1366" w:type="pct"/>
                  <w:shd w:val="clear" w:color="auto" w:fill="D7D7D7" w:themeFill="background1" w:themeFillShade="D8"/>
                  <w:vAlign w:val="center"/>
                </w:tcPr>
                <w:p w14:paraId="2AFF8DCD">
                  <w:pPr>
                    <w:pStyle w:val="31"/>
                    <w:rPr>
                      <w:rFonts w:hint="eastAsia" w:ascii="Times New Roman" w:hAnsi="Times New Roman" w:eastAsia="宋体"/>
                      <w:color w:val="auto"/>
                      <w:lang w:eastAsia="zh-CN"/>
                    </w:rPr>
                  </w:pPr>
                  <w:r>
                    <w:rPr>
                      <w:rFonts w:hint="eastAsia" w:ascii="Times New Roman" w:hAnsi="Times New Roman" w:eastAsia="宋体"/>
                      <w:color w:val="auto"/>
                      <w:lang w:eastAsia="zh-CN"/>
                    </w:rPr>
                    <w:t>备注</w:t>
                  </w:r>
                </w:p>
              </w:tc>
            </w:tr>
            <w:tr w14:paraId="476D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20E2958F">
                  <w:pPr>
                    <w:pStyle w:val="31"/>
                    <w:rPr>
                      <w:rFonts w:hint="default" w:ascii="Times New Roman" w:hAnsi="Times New Roman" w:eastAsia="宋体"/>
                      <w:color w:val="auto"/>
                    </w:rPr>
                  </w:pPr>
                  <w:r>
                    <w:rPr>
                      <w:rFonts w:ascii="Times New Roman" w:hAnsi="Times New Roman" w:eastAsia="宋体"/>
                      <w:color w:val="auto"/>
                    </w:rPr>
                    <w:t>1</w:t>
                  </w:r>
                </w:p>
              </w:tc>
              <w:tc>
                <w:tcPr>
                  <w:tcW w:w="696" w:type="pct"/>
                  <w:vAlign w:val="center"/>
                </w:tcPr>
                <w:p w14:paraId="3AA12CE6">
                  <w:pPr>
                    <w:pStyle w:val="31"/>
                    <w:rPr>
                      <w:rFonts w:hint="eastAsia" w:ascii="Times New Roman" w:hAnsi="Times New Roman" w:eastAsia="宋体"/>
                      <w:color w:val="auto"/>
                      <w:lang w:eastAsia="zh-CN"/>
                    </w:rPr>
                  </w:pPr>
                  <w:r>
                    <w:rPr>
                      <w:rFonts w:hint="eastAsia"/>
                      <w:color w:val="auto"/>
                      <w:lang w:eastAsia="zh-CN"/>
                    </w:rPr>
                    <w:t>钢带</w:t>
                  </w:r>
                </w:p>
              </w:tc>
              <w:tc>
                <w:tcPr>
                  <w:tcW w:w="382" w:type="pct"/>
                  <w:vAlign w:val="center"/>
                </w:tcPr>
                <w:p w14:paraId="510A12B4">
                  <w:pPr>
                    <w:pStyle w:val="31"/>
                    <w:rPr>
                      <w:rFonts w:hint="default" w:ascii="Times New Roman" w:hAnsi="Times New Roman" w:eastAsia="宋体"/>
                      <w:color w:val="auto"/>
                    </w:rPr>
                  </w:pPr>
                  <w:r>
                    <w:rPr>
                      <w:rFonts w:ascii="Times New Roman" w:hAnsi="Times New Roman" w:eastAsia="宋体"/>
                      <w:color w:val="auto"/>
                    </w:rPr>
                    <w:t>t/a</w:t>
                  </w:r>
                </w:p>
              </w:tc>
              <w:tc>
                <w:tcPr>
                  <w:tcW w:w="691" w:type="pct"/>
                  <w:vAlign w:val="center"/>
                </w:tcPr>
                <w:p w14:paraId="541C4696">
                  <w:pPr>
                    <w:pStyle w:val="31"/>
                    <w:rPr>
                      <w:rFonts w:hint="default" w:ascii="Times New Roman" w:hAnsi="Times New Roman" w:eastAsia="宋体"/>
                      <w:color w:val="auto"/>
                      <w:lang w:val="en-US" w:eastAsia="zh-CN"/>
                    </w:rPr>
                  </w:pPr>
                  <w:r>
                    <w:rPr>
                      <w:rFonts w:hint="eastAsia" w:cs="Times New Roman"/>
                      <w:color w:val="auto"/>
                      <w:lang w:val="en-US" w:eastAsia="zh-CN"/>
                    </w:rPr>
                    <w:t>200942.30</w:t>
                  </w:r>
                </w:p>
              </w:tc>
              <w:tc>
                <w:tcPr>
                  <w:tcW w:w="427" w:type="pct"/>
                  <w:vAlign w:val="center"/>
                </w:tcPr>
                <w:p w14:paraId="387F4FC5">
                  <w:pPr>
                    <w:pStyle w:val="3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固</w:t>
                  </w:r>
                </w:p>
              </w:tc>
              <w:tc>
                <w:tcPr>
                  <w:tcW w:w="579" w:type="pct"/>
                  <w:vAlign w:val="center"/>
                </w:tcPr>
                <w:p w14:paraId="67FCF070">
                  <w:pPr>
                    <w:pStyle w:val="3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592" w:type="pct"/>
                  <w:vAlign w:val="center"/>
                </w:tcPr>
                <w:p w14:paraId="38B13A26">
                  <w:pPr>
                    <w:pStyle w:val="3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6" w:type="pct"/>
                  <w:vAlign w:val="center"/>
                </w:tcPr>
                <w:p w14:paraId="5024BE0A">
                  <w:pPr>
                    <w:pStyle w:val="3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外购；用于焊管生产</w:t>
                  </w:r>
                </w:p>
              </w:tc>
            </w:tr>
            <w:tr w14:paraId="0C2B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5" w:type="pct"/>
                  <w:vAlign w:val="center"/>
                </w:tcPr>
                <w:p w14:paraId="226198E7">
                  <w:pPr>
                    <w:pStyle w:val="31"/>
                    <w:rPr>
                      <w:rFonts w:hint="default" w:ascii="Times New Roman" w:hAnsi="Times New Roman" w:eastAsia="宋体"/>
                      <w:color w:val="auto"/>
                      <w:lang w:val="en-US" w:eastAsia="zh-CN"/>
                    </w:rPr>
                  </w:pPr>
                  <w:r>
                    <w:rPr>
                      <w:rFonts w:hint="eastAsia"/>
                      <w:color w:val="auto"/>
                      <w:lang w:val="en-US" w:eastAsia="zh-CN"/>
                    </w:rPr>
                    <w:t>2</w:t>
                  </w:r>
                </w:p>
              </w:tc>
              <w:tc>
                <w:tcPr>
                  <w:tcW w:w="696" w:type="pct"/>
                  <w:shd w:val="clear" w:color="auto" w:fill="auto"/>
                  <w:vAlign w:val="center"/>
                </w:tcPr>
                <w:p w14:paraId="62EE1AE9">
                  <w:pPr>
                    <w:pStyle w:val="31"/>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eastAsia="zh-CN"/>
                    </w:rPr>
                    <w:t>乙炔</w:t>
                  </w:r>
                </w:p>
              </w:tc>
              <w:tc>
                <w:tcPr>
                  <w:tcW w:w="382" w:type="pct"/>
                  <w:shd w:val="clear" w:color="auto" w:fill="auto"/>
                  <w:vAlign w:val="center"/>
                </w:tcPr>
                <w:p w14:paraId="778FA42E">
                  <w:pPr>
                    <w:pStyle w:val="31"/>
                    <w:ind w:firstLine="0" w:firstLineChars="0"/>
                    <w:rPr>
                      <w:rFonts w:hint="default" w:ascii="Times New Roman" w:hAnsi="Times New Roman" w:eastAsia="宋体" w:cs="Times New Roman"/>
                      <w:b w:val="0"/>
                      <w:color w:val="auto"/>
                      <w:kern w:val="2"/>
                      <w:sz w:val="21"/>
                      <w:szCs w:val="24"/>
                      <w:lang w:val="en-US" w:eastAsia="zh-CN" w:bidi="ar-SA"/>
                    </w:rPr>
                  </w:pPr>
                  <w:r>
                    <w:rPr>
                      <w:color w:val="auto"/>
                    </w:rPr>
                    <w:t>t/a</w:t>
                  </w:r>
                </w:p>
              </w:tc>
              <w:tc>
                <w:tcPr>
                  <w:tcW w:w="691" w:type="pct"/>
                  <w:vAlign w:val="center"/>
                </w:tcPr>
                <w:p w14:paraId="6233FA1E">
                  <w:pPr>
                    <w:pStyle w:val="31"/>
                    <w:rPr>
                      <w:rFonts w:hint="default" w:ascii="Times New Roman" w:hAnsi="Times New Roman" w:eastAsia="宋体"/>
                      <w:color w:val="auto"/>
                      <w:lang w:val="en-US" w:eastAsia="zh-CN"/>
                    </w:rPr>
                  </w:pPr>
                  <w:r>
                    <w:rPr>
                      <w:rFonts w:hint="eastAsia"/>
                      <w:color w:val="auto"/>
                      <w:lang w:val="en-US" w:eastAsia="zh-CN"/>
                    </w:rPr>
                    <w:t>1.2</w:t>
                  </w:r>
                </w:p>
              </w:tc>
              <w:tc>
                <w:tcPr>
                  <w:tcW w:w="427" w:type="pct"/>
                  <w:vAlign w:val="center"/>
                </w:tcPr>
                <w:p w14:paraId="22BD0479">
                  <w:pPr>
                    <w:pStyle w:val="31"/>
                    <w:rPr>
                      <w:rFonts w:hint="eastAsia" w:ascii="Times New Roman" w:hAnsi="Times New Roman" w:eastAsia="宋体"/>
                      <w:color w:val="auto"/>
                      <w:lang w:val="en-US" w:eastAsia="zh-CN"/>
                    </w:rPr>
                  </w:pPr>
                  <w:r>
                    <w:rPr>
                      <w:rFonts w:hint="eastAsia"/>
                      <w:color w:val="auto"/>
                      <w:lang w:val="en-US" w:eastAsia="zh-CN"/>
                    </w:rPr>
                    <w:t>气</w:t>
                  </w:r>
                </w:p>
              </w:tc>
              <w:tc>
                <w:tcPr>
                  <w:tcW w:w="579" w:type="pct"/>
                  <w:vAlign w:val="center"/>
                </w:tcPr>
                <w:p w14:paraId="152379EF">
                  <w:pPr>
                    <w:pStyle w:val="31"/>
                    <w:rPr>
                      <w:rFonts w:hint="default" w:ascii="Times New Roman" w:hAnsi="Times New Roman" w:eastAsia="宋体"/>
                      <w:color w:val="auto"/>
                      <w:lang w:val="en-US" w:eastAsia="zh-CN"/>
                    </w:rPr>
                  </w:pPr>
                  <w:r>
                    <w:rPr>
                      <w:rFonts w:hint="eastAsia"/>
                      <w:color w:val="auto"/>
                      <w:lang w:val="en-US" w:eastAsia="zh-CN"/>
                    </w:rPr>
                    <w:t>0.3</w:t>
                  </w:r>
                </w:p>
              </w:tc>
              <w:tc>
                <w:tcPr>
                  <w:tcW w:w="592" w:type="pct"/>
                  <w:vAlign w:val="center"/>
                </w:tcPr>
                <w:p w14:paraId="5C0E4435">
                  <w:pPr>
                    <w:pStyle w:val="31"/>
                    <w:rPr>
                      <w:rFonts w:hint="eastAsia" w:ascii="Times New Roman" w:hAnsi="Times New Roman" w:eastAsia="宋体"/>
                      <w:color w:val="auto"/>
                      <w:lang w:val="en-US" w:eastAsia="zh-CN"/>
                    </w:rPr>
                  </w:pPr>
                  <w:r>
                    <w:rPr>
                      <w:rFonts w:hint="eastAsia"/>
                      <w:color w:val="auto"/>
                      <w:lang w:val="en-US" w:eastAsia="zh-CN"/>
                    </w:rPr>
                    <w:t>原料库</w:t>
                  </w:r>
                </w:p>
              </w:tc>
              <w:tc>
                <w:tcPr>
                  <w:tcW w:w="1366" w:type="pct"/>
                  <w:vAlign w:val="center"/>
                </w:tcPr>
                <w:p w14:paraId="3BF7009D">
                  <w:pPr>
                    <w:pStyle w:val="3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用于</w:t>
                  </w:r>
                  <w:r>
                    <w:rPr>
                      <w:rFonts w:hint="eastAsia"/>
                      <w:color w:val="auto"/>
                      <w:lang w:val="en-US" w:eastAsia="zh-CN"/>
                    </w:rPr>
                    <w:t>机修检查</w:t>
                  </w:r>
                  <w:r>
                    <w:rPr>
                      <w:rFonts w:hint="eastAsia" w:ascii="Times New Roman" w:hAnsi="Times New Roman" w:eastAsia="宋体"/>
                      <w:color w:val="auto"/>
                      <w:lang w:val="en-US" w:eastAsia="zh-CN"/>
                    </w:rPr>
                    <w:t>，60L/瓶，最大存储5瓶，每年用</w:t>
                  </w:r>
                  <w:r>
                    <w:rPr>
                      <w:rFonts w:hint="eastAsia"/>
                      <w:color w:val="auto"/>
                      <w:lang w:val="en-US" w:eastAsia="zh-CN"/>
                    </w:rPr>
                    <w:t>20</w:t>
                  </w:r>
                  <w:r>
                    <w:rPr>
                      <w:rFonts w:hint="eastAsia" w:ascii="Times New Roman" w:hAnsi="Times New Roman" w:eastAsia="宋体"/>
                      <w:color w:val="auto"/>
                      <w:lang w:val="en-US" w:eastAsia="zh-CN"/>
                    </w:rPr>
                    <w:t>瓶</w:t>
                  </w:r>
                </w:p>
              </w:tc>
            </w:tr>
            <w:tr w14:paraId="271F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2FC3C8A4">
                  <w:pPr>
                    <w:pStyle w:val="31"/>
                    <w:rPr>
                      <w:rFonts w:hint="default" w:ascii="Times New Roman" w:hAnsi="Times New Roman" w:eastAsia="宋体"/>
                      <w:color w:val="auto"/>
                      <w:lang w:val="en-US" w:eastAsia="zh-CN"/>
                    </w:rPr>
                  </w:pPr>
                  <w:r>
                    <w:rPr>
                      <w:rFonts w:hint="eastAsia"/>
                      <w:color w:val="auto"/>
                      <w:lang w:val="en-US" w:eastAsia="zh-CN"/>
                    </w:rPr>
                    <w:t>3</w:t>
                  </w:r>
                </w:p>
              </w:tc>
              <w:tc>
                <w:tcPr>
                  <w:tcW w:w="696" w:type="pct"/>
                  <w:shd w:val="clear" w:color="auto" w:fill="auto"/>
                  <w:vAlign w:val="center"/>
                </w:tcPr>
                <w:p w14:paraId="59EC2EF9">
                  <w:pPr>
                    <w:pStyle w:val="31"/>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eastAsia="zh-CN"/>
                    </w:rPr>
                    <w:t>氧气</w:t>
                  </w:r>
                </w:p>
              </w:tc>
              <w:tc>
                <w:tcPr>
                  <w:tcW w:w="382" w:type="pct"/>
                  <w:shd w:val="clear" w:color="auto" w:fill="auto"/>
                  <w:vAlign w:val="center"/>
                </w:tcPr>
                <w:p w14:paraId="03CF4026">
                  <w:pPr>
                    <w:pStyle w:val="31"/>
                    <w:ind w:firstLine="0" w:firstLineChars="0"/>
                    <w:rPr>
                      <w:rFonts w:hint="default" w:ascii="Times New Roman" w:hAnsi="Times New Roman" w:eastAsia="宋体" w:cs="Times New Roman"/>
                      <w:b w:val="0"/>
                      <w:color w:val="auto"/>
                      <w:kern w:val="2"/>
                      <w:sz w:val="21"/>
                      <w:szCs w:val="24"/>
                      <w:lang w:val="en-US" w:eastAsia="zh-CN" w:bidi="ar-SA"/>
                    </w:rPr>
                  </w:pPr>
                  <w:r>
                    <w:rPr>
                      <w:color w:val="auto"/>
                    </w:rPr>
                    <w:t>t/a</w:t>
                  </w:r>
                </w:p>
              </w:tc>
              <w:tc>
                <w:tcPr>
                  <w:tcW w:w="691" w:type="pct"/>
                  <w:vAlign w:val="center"/>
                </w:tcPr>
                <w:p w14:paraId="08083AAA">
                  <w:pPr>
                    <w:pStyle w:val="31"/>
                    <w:rPr>
                      <w:rFonts w:hint="default" w:ascii="Times New Roman" w:hAnsi="Times New Roman" w:eastAsia="宋体"/>
                      <w:color w:val="auto"/>
                      <w:lang w:val="en-US" w:eastAsia="zh-CN"/>
                    </w:rPr>
                  </w:pPr>
                  <w:r>
                    <w:rPr>
                      <w:rFonts w:hint="eastAsia"/>
                      <w:color w:val="auto"/>
                      <w:lang w:val="en-US" w:eastAsia="zh-CN"/>
                    </w:rPr>
                    <w:t>4.8</w:t>
                  </w:r>
                </w:p>
              </w:tc>
              <w:tc>
                <w:tcPr>
                  <w:tcW w:w="427" w:type="pct"/>
                  <w:vAlign w:val="center"/>
                </w:tcPr>
                <w:p w14:paraId="3D89254A">
                  <w:pPr>
                    <w:pStyle w:val="31"/>
                    <w:rPr>
                      <w:rFonts w:hint="eastAsia" w:ascii="Times New Roman" w:hAnsi="Times New Roman" w:eastAsia="宋体"/>
                      <w:color w:val="auto"/>
                      <w:lang w:val="en-US" w:eastAsia="zh-CN"/>
                    </w:rPr>
                  </w:pPr>
                  <w:r>
                    <w:rPr>
                      <w:rFonts w:hint="eastAsia"/>
                      <w:color w:val="auto"/>
                      <w:lang w:val="en-US" w:eastAsia="zh-CN"/>
                    </w:rPr>
                    <w:t>气</w:t>
                  </w:r>
                </w:p>
              </w:tc>
              <w:tc>
                <w:tcPr>
                  <w:tcW w:w="579" w:type="pct"/>
                  <w:vAlign w:val="center"/>
                </w:tcPr>
                <w:p w14:paraId="386C40C1">
                  <w:pPr>
                    <w:pStyle w:val="31"/>
                    <w:rPr>
                      <w:rFonts w:hint="default" w:ascii="Times New Roman" w:hAnsi="Times New Roman" w:eastAsia="宋体"/>
                      <w:color w:val="auto"/>
                      <w:lang w:val="en-US" w:eastAsia="zh-CN"/>
                    </w:rPr>
                  </w:pPr>
                  <w:r>
                    <w:rPr>
                      <w:rFonts w:hint="eastAsia"/>
                      <w:color w:val="auto"/>
                      <w:lang w:val="en-US" w:eastAsia="zh-CN"/>
                    </w:rPr>
                    <w:t>0.3</w:t>
                  </w:r>
                </w:p>
              </w:tc>
              <w:tc>
                <w:tcPr>
                  <w:tcW w:w="592" w:type="pct"/>
                  <w:vAlign w:val="center"/>
                </w:tcPr>
                <w:p w14:paraId="09C757E5">
                  <w:pPr>
                    <w:pStyle w:val="31"/>
                    <w:rPr>
                      <w:rFonts w:hint="eastAsia" w:ascii="Times New Roman" w:hAnsi="Times New Roman" w:eastAsia="宋体"/>
                      <w:color w:val="auto"/>
                      <w:lang w:val="en-US" w:eastAsia="zh-CN"/>
                    </w:rPr>
                  </w:pPr>
                  <w:r>
                    <w:rPr>
                      <w:rFonts w:hint="eastAsia"/>
                      <w:color w:val="auto"/>
                      <w:lang w:val="en-US" w:eastAsia="zh-CN"/>
                    </w:rPr>
                    <w:t>原料库</w:t>
                  </w:r>
                </w:p>
              </w:tc>
              <w:tc>
                <w:tcPr>
                  <w:tcW w:w="1366" w:type="pct"/>
                  <w:vAlign w:val="center"/>
                </w:tcPr>
                <w:p w14:paraId="208FA067">
                  <w:pPr>
                    <w:pStyle w:val="3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用于焊接保护气，60L/瓶，最大存储5瓶，每年用80瓶</w:t>
                  </w:r>
                </w:p>
              </w:tc>
            </w:tr>
            <w:tr w14:paraId="5FC4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58E8310C">
                  <w:pPr>
                    <w:pStyle w:val="31"/>
                    <w:rPr>
                      <w:rFonts w:hint="default" w:ascii="Times New Roman" w:hAnsi="Times New Roman" w:eastAsia="宋体"/>
                      <w:color w:val="auto"/>
                      <w:lang w:val="en-US" w:eastAsia="zh-CN"/>
                    </w:rPr>
                  </w:pPr>
                  <w:r>
                    <w:rPr>
                      <w:rFonts w:hint="eastAsia"/>
                      <w:color w:val="auto"/>
                      <w:lang w:val="en-US" w:eastAsia="zh-CN"/>
                    </w:rPr>
                    <w:t>4</w:t>
                  </w:r>
                </w:p>
              </w:tc>
              <w:tc>
                <w:tcPr>
                  <w:tcW w:w="696" w:type="pct"/>
                  <w:vAlign w:val="center"/>
                </w:tcPr>
                <w:p w14:paraId="3E7982F5">
                  <w:pPr>
                    <w:pStyle w:val="3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氩气</w:t>
                  </w:r>
                </w:p>
              </w:tc>
              <w:tc>
                <w:tcPr>
                  <w:tcW w:w="382" w:type="pct"/>
                  <w:vAlign w:val="center"/>
                </w:tcPr>
                <w:p w14:paraId="5B7E7F14">
                  <w:pPr>
                    <w:pStyle w:val="31"/>
                    <w:rPr>
                      <w:rFonts w:ascii="Times New Roman" w:hAnsi="Times New Roman" w:eastAsia="宋体"/>
                      <w:color w:val="auto"/>
                    </w:rPr>
                  </w:pPr>
                  <w:r>
                    <w:rPr>
                      <w:rFonts w:ascii="Times New Roman" w:hAnsi="Times New Roman" w:eastAsia="宋体"/>
                      <w:color w:val="auto"/>
                    </w:rPr>
                    <w:t>t/a</w:t>
                  </w:r>
                </w:p>
              </w:tc>
              <w:tc>
                <w:tcPr>
                  <w:tcW w:w="691" w:type="pct"/>
                  <w:vAlign w:val="center"/>
                </w:tcPr>
                <w:p w14:paraId="63FDAA71">
                  <w:pPr>
                    <w:pStyle w:val="31"/>
                    <w:rPr>
                      <w:rFonts w:hint="default" w:ascii="Times New Roman" w:hAnsi="Times New Roman" w:eastAsia="宋体"/>
                      <w:color w:val="auto"/>
                      <w:lang w:val="en-US" w:eastAsia="zh-CN"/>
                    </w:rPr>
                  </w:pPr>
                  <w:r>
                    <w:rPr>
                      <w:rFonts w:hint="eastAsia"/>
                      <w:color w:val="auto"/>
                      <w:lang w:val="en-US" w:eastAsia="zh-CN"/>
                    </w:rPr>
                    <w:t>9</w:t>
                  </w:r>
                </w:p>
              </w:tc>
              <w:tc>
                <w:tcPr>
                  <w:tcW w:w="427" w:type="pct"/>
                  <w:vAlign w:val="center"/>
                </w:tcPr>
                <w:p w14:paraId="23E0AAD1">
                  <w:pPr>
                    <w:pStyle w:val="3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气</w:t>
                  </w:r>
                </w:p>
              </w:tc>
              <w:tc>
                <w:tcPr>
                  <w:tcW w:w="579" w:type="pct"/>
                  <w:vAlign w:val="center"/>
                </w:tcPr>
                <w:p w14:paraId="74BC5EB3">
                  <w:pPr>
                    <w:pStyle w:val="31"/>
                    <w:rPr>
                      <w:rFonts w:hint="default" w:ascii="Times New Roman" w:hAnsi="Times New Roman" w:eastAsia="宋体"/>
                      <w:color w:val="auto"/>
                      <w:lang w:val="en-US" w:eastAsia="zh-CN"/>
                    </w:rPr>
                  </w:pPr>
                  <w:r>
                    <w:rPr>
                      <w:rFonts w:hint="eastAsia"/>
                      <w:color w:val="auto"/>
                      <w:lang w:val="en-US" w:eastAsia="zh-CN"/>
                    </w:rPr>
                    <w:t>0.3</w:t>
                  </w:r>
                </w:p>
              </w:tc>
              <w:tc>
                <w:tcPr>
                  <w:tcW w:w="592" w:type="pct"/>
                  <w:vAlign w:val="center"/>
                </w:tcPr>
                <w:p w14:paraId="5ACB0D80">
                  <w:pPr>
                    <w:pStyle w:val="3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原料库</w:t>
                  </w:r>
                </w:p>
              </w:tc>
              <w:tc>
                <w:tcPr>
                  <w:tcW w:w="1366" w:type="pct"/>
                  <w:vAlign w:val="center"/>
                </w:tcPr>
                <w:p w14:paraId="0B3D5115">
                  <w:pPr>
                    <w:pStyle w:val="31"/>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用于焊接保护气，60L/瓶，最大存储5瓶，每年用</w:t>
                  </w:r>
                  <w:r>
                    <w:rPr>
                      <w:rFonts w:hint="eastAsia"/>
                      <w:color w:val="auto"/>
                      <w:lang w:val="en-US" w:eastAsia="zh-CN"/>
                    </w:rPr>
                    <w:t>150</w:t>
                  </w:r>
                  <w:r>
                    <w:rPr>
                      <w:rFonts w:hint="eastAsia" w:ascii="Times New Roman" w:hAnsi="Times New Roman" w:eastAsia="宋体"/>
                      <w:color w:val="auto"/>
                      <w:lang w:val="en-US" w:eastAsia="zh-CN"/>
                    </w:rPr>
                    <w:t>瓶</w:t>
                  </w:r>
                </w:p>
              </w:tc>
            </w:tr>
            <w:tr w14:paraId="78D6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6491E39C">
                  <w:pPr>
                    <w:pStyle w:val="31"/>
                    <w:rPr>
                      <w:rFonts w:hint="default" w:ascii="Times New Roman" w:hAnsi="Times New Roman" w:eastAsia="宋体"/>
                      <w:color w:val="auto"/>
                      <w:lang w:val="en-US" w:eastAsia="zh-CN"/>
                    </w:rPr>
                  </w:pPr>
                  <w:r>
                    <w:rPr>
                      <w:rFonts w:hint="eastAsia"/>
                      <w:color w:val="auto"/>
                      <w:lang w:val="en-US" w:eastAsia="zh-CN"/>
                    </w:rPr>
                    <w:t>5</w:t>
                  </w:r>
                </w:p>
              </w:tc>
              <w:tc>
                <w:tcPr>
                  <w:tcW w:w="696" w:type="pct"/>
                  <w:vAlign w:val="center"/>
                </w:tcPr>
                <w:p w14:paraId="105BA9A5">
                  <w:pPr>
                    <w:pStyle w:val="31"/>
                    <w:rPr>
                      <w:rFonts w:hint="default" w:ascii="Times New Roman" w:hAnsi="Times New Roman" w:eastAsia="宋体"/>
                      <w:color w:val="auto"/>
                      <w:lang w:val="en-US" w:eastAsia="zh-CN"/>
                    </w:rPr>
                  </w:pPr>
                  <w:r>
                    <w:rPr>
                      <w:rFonts w:hint="eastAsia"/>
                      <w:color w:val="auto"/>
                      <w:lang w:val="en-US" w:eastAsia="zh-CN"/>
                    </w:rPr>
                    <w:t>肥皂</w:t>
                  </w:r>
                </w:p>
              </w:tc>
              <w:tc>
                <w:tcPr>
                  <w:tcW w:w="382" w:type="pct"/>
                  <w:vAlign w:val="center"/>
                </w:tcPr>
                <w:p w14:paraId="3033CE48">
                  <w:pPr>
                    <w:pStyle w:val="31"/>
                    <w:rPr>
                      <w:rFonts w:ascii="Times New Roman" w:hAnsi="Times New Roman" w:eastAsia="宋体"/>
                      <w:color w:val="auto"/>
                    </w:rPr>
                  </w:pPr>
                  <w:r>
                    <w:rPr>
                      <w:rFonts w:ascii="Times New Roman" w:hAnsi="Times New Roman" w:eastAsia="宋体"/>
                      <w:color w:val="auto"/>
                    </w:rPr>
                    <w:t>t/a</w:t>
                  </w:r>
                </w:p>
              </w:tc>
              <w:tc>
                <w:tcPr>
                  <w:tcW w:w="691" w:type="pct"/>
                  <w:vAlign w:val="center"/>
                </w:tcPr>
                <w:p w14:paraId="4C6E76DB">
                  <w:pPr>
                    <w:pStyle w:val="31"/>
                    <w:rPr>
                      <w:rFonts w:hint="default" w:ascii="Times New Roman" w:hAnsi="Times New Roman" w:eastAsia="宋体"/>
                      <w:color w:val="auto"/>
                      <w:lang w:val="en-US" w:eastAsia="zh-CN"/>
                    </w:rPr>
                  </w:pPr>
                  <w:r>
                    <w:rPr>
                      <w:rFonts w:hint="eastAsia"/>
                      <w:color w:val="auto"/>
                      <w:lang w:val="en-US" w:eastAsia="zh-CN"/>
                    </w:rPr>
                    <w:t>0.5</w:t>
                  </w:r>
                </w:p>
              </w:tc>
              <w:tc>
                <w:tcPr>
                  <w:tcW w:w="427" w:type="pct"/>
                  <w:vAlign w:val="center"/>
                </w:tcPr>
                <w:p w14:paraId="601CAE1A">
                  <w:pPr>
                    <w:pStyle w:val="31"/>
                    <w:rPr>
                      <w:rFonts w:hint="default" w:ascii="Times New Roman" w:hAnsi="Times New Roman" w:eastAsia="宋体"/>
                      <w:color w:val="auto"/>
                      <w:lang w:val="en-US" w:eastAsia="zh-CN"/>
                    </w:rPr>
                  </w:pPr>
                  <w:r>
                    <w:rPr>
                      <w:rFonts w:hint="eastAsia"/>
                      <w:color w:val="auto"/>
                      <w:lang w:val="en-US" w:eastAsia="zh-CN"/>
                    </w:rPr>
                    <w:t>固</w:t>
                  </w:r>
                </w:p>
              </w:tc>
              <w:tc>
                <w:tcPr>
                  <w:tcW w:w="579" w:type="pct"/>
                  <w:vAlign w:val="center"/>
                </w:tcPr>
                <w:p w14:paraId="5472CD58">
                  <w:pPr>
                    <w:pStyle w:val="31"/>
                    <w:rPr>
                      <w:rFonts w:hint="default" w:ascii="Times New Roman" w:hAnsi="Times New Roman" w:eastAsia="宋体"/>
                      <w:color w:val="auto"/>
                      <w:lang w:val="en-US" w:eastAsia="zh-CN"/>
                    </w:rPr>
                  </w:pPr>
                  <w:r>
                    <w:rPr>
                      <w:rFonts w:hint="eastAsia"/>
                      <w:color w:val="auto"/>
                      <w:lang w:val="en-US" w:eastAsia="zh-CN"/>
                    </w:rPr>
                    <w:t>0.2</w:t>
                  </w:r>
                </w:p>
              </w:tc>
              <w:tc>
                <w:tcPr>
                  <w:tcW w:w="592" w:type="pct"/>
                  <w:vAlign w:val="center"/>
                </w:tcPr>
                <w:p w14:paraId="3C428493">
                  <w:pPr>
                    <w:pStyle w:val="31"/>
                    <w:rPr>
                      <w:rFonts w:hint="default" w:ascii="Times New Roman" w:hAnsi="Times New Roman" w:eastAsia="宋体"/>
                      <w:color w:val="auto"/>
                      <w:lang w:val="en-US" w:eastAsia="zh-CN"/>
                    </w:rPr>
                  </w:pPr>
                  <w:r>
                    <w:rPr>
                      <w:rFonts w:hint="eastAsia"/>
                      <w:color w:val="auto"/>
                      <w:lang w:val="en-US" w:eastAsia="zh-CN"/>
                    </w:rPr>
                    <w:t>原料库</w:t>
                  </w:r>
                </w:p>
              </w:tc>
              <w:tc>
                <w:tcPr>
                  <w:tcW w:w="1366" w:type="pct"/>
                  <w:vAlign w:val="center"/>
                </w:tcPr>
                <w:p w14:paraId="0FCA6812">
                  <w:pPr>
                    <w:pStyle w:val="31"/>
                    <w:rPr>
                      <w:rFonts w:hint="eastAsia" w:ascii="Times New Roman" w:hAnsi="Times New Roman" w:eastAsia="宋体"/>
                      <w:color w:val="auto"/>
                      <w:lang w:eastAsia="zh-CN"/>
                    </w:rPr>
                  </w:pPr>
                  <w:r>
                    <w:rPr>
                      <w:rFonts w:hint="eastAsia"/>
                      <w:color w:val="auto"/>
                      <w:kern w:val="24"/>
                      <w:szCs w:val="21"/>
                    </w:rPr>
                    <w:t>用于直接冷却水，做润滑作用</w:t>
                  </w:r>
                </w:p>
              </w:tc>
            </w:tr>
            <w:tr w14:paraId="626F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0018F9C4">
                  <w:pPr>
                    <w:pStyle w:val="31"/>
                    <w:rPr>
                      <w:rFonts w:hint="default" w:ascii="Times New Roman" w:hAnsi="Times New Roman" w:eastAsia="宋体"/>
                      <w:color w:val="auto"/>
                      <w:lang w:val="en-US" w:eastAsia="zh-CN"/>
                    </w:rPr>
                  </w:pPr>
                  <w:r>
                    <w:rPr>
                      <w:rFonts w:hint="eastAsia"/>
                      <w:color w:val="auto"/>
                      <w:lang w:val="en-US" w:eastAsia="zh-CN"/>
                    </w:rPr>
                    <w:t>6</w:t>
                  </w:r>
                </w:p>
              </w:tc>
              <w:tc>
                <w:tcPr>
                  <w:tcW w:w="696" w:type="pct"/>
                  <w:vAlign w:val="center"/>
                </w:tcPr>
                <w:p w14:paraId="74A23795">
                  <w:pPr>
                    <w:pStyle w:val="31"/>
                    <w:rPr>
                      <w:rFonts w:hint="eastAsia" w:ascii="Times New Roman" w:hAnsi="Times New Roman" w:eastAsia="宋体"/>
                      <w:color w:val="auto"/>
                      <w:lang w:eastAsia="zh-CN"/>
                    </w:rPr>
                  </w:pPr>
                  <w:r>
                    <w:rPr>
                      <w:rFonts w:hint="eastAsia" w:ascii="Times New Roman" w:hAnsi="Times New Roman" w:eastAsia="宋体"/>
                      <w:color w:val="auto"/>
                      <w:lang w:eastAsia="zh-CN"/>
                    </w:rPr>
                    <w:t>液压油</w:t>
                  </w:r>
                </w:p>
              </w:tc>
              <w:tc>
                <w:tcPr>
                  <w:tcW w:w="382" w:type="pct"/>
                  <w:vAlign w:val="center"/>
                </w:tcPr>
                <w:p w14:paraId="78E42452">
                  <w:pPr>
                    <w:pStyle w:val="31"/>
                    <w:rPr>
                      <w:rFonts w:ascii="Times New Roman" w:hAnsi="Times New Roman" w:eastAsia="宋体"/>
                      <w:color w:val="auto"/>
                    </w:rPr>
                  </w:pPr>
                  <w:r>
                    <w:rPr>
                      <w:rFonts w:ascii="Times New Roman" w:hAnsi="Times New Roman" w:eastAsia="宋体"/>
                      <w:color w:val="auto"/>
                    </w:rPr>
                    <w:t>t/a</w:t>
                  </w:r>
                </w:p>
              </w:tc>
              <w:tc>
                <w:tcPr>
                  <w:tcW w:w="691" w:type="pct"/>
                  <w:vAlign w:val="center"/>
                </w:tcPr>
                <w:p w14:paraId="22E885F4">
                  <w:pPr>
                    <w:pStyle w:val="31"/>
                    <w:rPr>
                      <w:rFonts w:hint="default" w:ascii="Times New Roman" w:hAnsi="Times New Roman" w:eastAsia="宋体"/>
                      <w:color w:val="auto"/>
                      <w:lang w:val="en-US" w:eastAsia="zh-CN"/>
                    </w:rPr>
                  </w:pPr>
                  <w:r>
                    <w:rPr>
                      <w:rFonts w:hint="eastAsia"/>
                      <w:color w:val="auto"/>
                      <w:lang w:val="en-US" w:eastAsia="zh-CN"/>
                    </w:rPr>
                    <w:t>0.36</w:t>
                  </w:r>
                </w:p>
              </w:tc>
              <w:tc>
                <w:tcPr>
                  <w:tcW w:w="427" w:type="pct"/>
                  <w:vAlign w:val="center"/>
                </w:tcPr>
                <w:p w14:paraId="60126F21">
                  <w:pPr>
                    <w:pStyle w:val="31"/>
                    <w:rPr>
                      <w:rFonts w:hint="eastAsia" w:ascii="Times New Roman" w:hAnsi="Times New Roman" w:eastAsia="宋体"/>
                      <w:color w:val="auto"/>
                      <w:lang w:eastAsia="zh-CN"/>
                    </w:rPr>
                  </w:pPr>
                  <w:r>
                    <w:rPr>
                      <w:rFonts w:hint="eastAsia" w:ascii="Times New Roman" w:hAnsi="Times New Roman" w:eastAsia="宋体"/>
                      <w:color w:val="auto"/>
                      <w:lang w:eastAsia="zh-CN"/>
                    </w:rPr>
                    <w:t>液</w:t>
                  </w:r>
                </w:p>
              </w:tc>
              <w:tc>
                <w:tcPr>
                  <w:tcW w:w="579" w:type="pct"/>
                  <w:vAlign w:val="center"/>
                </w:tcPr>
                <w:p w14:paraId="6D60F03B">
                  <w:pPr>
                    <w:pStyle w:val="31"/>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w:t>
                  </w:r>
                  <w:r>
                    <w:rPr>
                      <w:rFonts w:hint="eastAsia"/>
                      <w:color w:val="auto"/>
                      <w:lang w:val="en-US" w:eastAsia="zh-CN"/>
                    </w:rPr>
                    <w:t>2</w:t>
                  </w:r>
                </w:p>
              </w:tc>
              <w:tc>
                <w:tcPr>
                  <w:tcW w:w="592" w:type="pct"/>
                  <w:vAlign w:val="center"/>
                </w:tcPr>
                <w:p w14:paraId="3098979C">
                  <w:pPr>
                    <w:pStyle w:val="31"/>
                    <w:rPr>
                      <w:rFonts w:hint="eastAsia" w:ascii="Times New Roman" w:hAnsi="Times New Roman" w:eastAsia="宋体"/>
                      <w:color w:val="auto"/>
                      <w:lang w:eastAsia="zh-CN"/>
                    </w:rPr>
                  </w:pPr>
                  <w:r>
                    <w:rPr>
                      <w:rFonts w:hint="eastAsia" w:ascii="Times New Roman" w:hAnsi="Times New Roman" w:eastAsia="宋体"/>
                      <w:color w:val="auto"/>
                      <w:lang w:val="en-US" w:eastAsia="zh-CN"/>
                    </w:rPr>
                    <w:t>原料库</w:t>
                  </w:r>
                </w:p>
              </w:tc>
              <w:tc>
                <w:tcPr>
                  <w:tcW w:w="1366" w:type="pct"/>
                  <w:vAlign w:val="center"/>
                </w:tcPr>
                <w:p w14:paraId="194E8F4A">
                  <w:pPr>
                    <w:pStyle w:val="31"/>
                    <w:rPr>
                      <w:rFonts w:hint="default" w:ascii="Times New Roman" w:hAnsi="Times New Roman" w:eastAsia="宋体"/>
                      <w:color w:val="auto"/>
                      <w:lang w:val="en-US" w:eastAsia="zh-CN"/>
                    </w:rPr>
                  </w:pPr>
                  <w:r>
                    <w:rPr>
                      <w:rFonts w:hint="eastAsia" w:ascii="Times New Roman" w:hAnsi="Times New Roman" w:eastAsia="宋体"/>
                      <w:color w:val="auto"/>
                      <w:lang w:eastAsia="zh-CN"/>
                    </w:rPr>
                    <w:t>外购；</w:t>
                  </w:r>
                  <w:r>
                    <w:rPr>
                      <w:rFonts w:hint="eastAsia"/>
                      <w:color w:val="auto"/>
                      <w:lang w:val="en-US" w:eastAsia="zh-CN"/>
                    </w:rPr>
                    <w:t>200</w:t>
                  </w:r>
                  <w:r>
                    <w:rPr>
                      <w:rFonts w:hint="eastAsia" w:ascii="Times New Roman" w:hAnsi="Times New Roman" w:eastAsia="宋体"/>
                      <w:color w:val="auto"/>
                      <w:lang w:val="en-US" w:eastAsia="zh-CN"/>
                    </w:rPr>
                    <w:t>kg铁桶装</w:t>
                  </w:r>
                </w:p>
              </w:tc>
            </w:tr>
          </w:tbl>
          <w:p w14:paraId="0133383E">
            <w:pPr>
              <w:pStyle w:val="61"/>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主要原辅材料理化性质</w:t>
            </w:r>
          </w:p>
          <w:p w14:paraId="284B6E70">
            <w:pPr>
              <w:pStyle w:val="87"/>
              <w:bidi w:val="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项目主要原辅材料理化性质详见下表。</w:t>
            </w:r>
          </w:p>
          <w:p w14:paraId="14C065E6">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表2-4   项目主要原辅材料理化性质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7119"/>
            </w:tblGrid>
            <w:tr w14:paraId="22A7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shd w:val="clear" w:color="auto" w:fill="D7D7D7" w:themeFill="background1" w:themeFillShade="D8"/>
                  <w:noWrap w:val="0"/>
                  <w:vAlign w:val="center"/>
                </w:tcPr>
                <w:p w14:paraId="21924872">
                  <w:pPr>
                    <w:pStyle w:val="88"/>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名称</w:t>
                  </w:r>
                </w:p>
              </w:tc>
              <w:tc>
                <w:tcPr>
                  <w:tcW w:w="4436" w:type="pct"/>
                  <w:shd w:val="clear" w:color="auto" w:fill="D7D7D7" w:themeFill="background1" w:themeFillShade="D8"/>
                  <w:noWrap w:val="0"/>
                  <w:vAlign w:val="center"/>
                </w:tcPr>
                <w:p w14:paraId="6D9A18F8">
                  <w:pPr>
                    <w:pStyle w:val="88"/>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理化性质</w:t>
                  </w:r>
                </w:p>
              </w:tc>
            </w:tr>
            <w:tr w14:paraId="0D4D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noWrap w:val="0"/>
                  <w:vAlign w:val="center"/>
                </w:tcPr>
                <w:p w14:paraId="3750BACB">
                  <w:pPr>
                    <w:pStyle w:val="88"/>
                    <w:bidi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乙炔</w:t>
                  </w:r>
                </w:p>
              </w:tc>
              <w:tc>
                <w:tcPr>
                  <w:tcW w:w="4436" w:type="pct"/>
                  <w:noWrap w:val="0"/>
                  <w:vAlign w:val="center"/>
                </w:tcPr>
                <w:p w14:paraId="1EAA0352">
                  <w:pPr>
                    <w:pStyle w:val="88"/>
                    <w:bidi w:val="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乙炔是一种无色、无味的易燃气体，微溶于水，易溶于乙醇、丙酮等有机溶剂。其分子量为26.4，气体比重0.91kg/m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，熔点-81.8℃，沸点-83.8℃，相对密度(水=1)为0.62，饱和蒸气压为4053kPa(16.8℃)。能起加成、氧化、聚合及金属取代等反应。</w:t>
                  </w:r>
                  <w:r>
                    <w:rPr>
                      <w:rFonts w:hint="default" w:ascii="Times New Roman" w:hAnsi="Times New Roman" w:eastAsia="宋体" w:cs="Times New Roman"/>
                      <w:color w:val="auto"/>
                      <w:lang w:val="en-US" w:eastAsia="zh-CN"/>
                    </w:rPr>
                    <w:t>乙炔在工业上常用于氧炔焊割，也是制造乙醛、醋酸、苯、合成橡胶、合成纤维等的基本原料。然而，乙炔是可燃物、危险品，达到一定浓度会爆炸，不能用于灭火。此外，乙炔与空气混合能形成爆炸性混合物，遇明火、高热能引起燃烧爆炸，与氧化剂接触猛烈反应，与氟、氯等接触会发生剧烈的化学反应，能与铜、银、汞等的化合物生成爆炸性物质</w:t>
                  </w:r>
                  <w:r>
                    <w:rPr>
                      <w:rFonts w:hint="eastAsia" w:ascii="Times New Roman" w:hAnsi="Times New Roman" w:eastAsia="宋体" w:cs="Times New Roman"/>
                      <w:color w:val="auto"/>
                      <w:lang w:val="en-US" w:eastAsia="zh-CN"/>
                    </w:rPr>
                    <w:t>。</w:t>
                  </w:r>
                </w:p>
              </w:tc>
            </w:tr>
            <w:tr w14:paraId="669B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noWrap w:val="0"/>
                  <w:vAlign w:val="center"/>
                </w:tcPr>
                <w:p w14:paraId="5D3482A6">
                  <w:pPr>
                    <w:pStyle w:val="88"/>
                    <w:bidi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氩气</w:t>
                  </w:r>
                </w:p>
              </w:tc>
              <w:tc>
                <w:tcPr>
                  <w:tcW w:w="4436" w:type="pct"/>
                  <w:noWrap w:val="0"/>
                  <w:vAlign w:val="center"/>
                </w:tcPr>
                <w:p w14:paraId="59C2BC90">
                  <w:pPr>
                    <w:pStyle w:val="88"/>
                    <w:bidi w:val="0"/>
                    <w:jc w:val="both"/>
                    <w:rPr>
                      <w:rFonts w:hint="eastAsia" w:ascii="Times New Roman" w:hAnsi="Times New Roman" w:eastAsia="宋体"/>
                      <w:color w:val="auto"/>
                      <w:lang w:val="en-US" w:eastAsia="zh-CN"/>
                    </w:rPr>
                  </w:pPr>
                  <w:r>
                    <w:rPr>
                      <w:rFonts w:hint="eastAsia" w:ascii="Times New Roman" w:hAnsi="Times New Roman" w:eastAsia="宋体" w:cs="Times New Roman"/>
                      <w:color w:val="auto"/>
                      <w:lang w:val="en-US" w:eastAsia="zh-CN"/>
                    </w:rPr>
                    <w:t>氩气（化学符号Ar）是无色无味无毒的惰性气体，标准状况下密度1.784kg/m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难溶于水，熔点-189.2℃、沸点-185.7℃，不燃不助燃且化学性质极稳定，不易与其他物质发生反应。其核心用途包括：作为焊接保护气（如高频直缝焊、氩弧焊），隔绝空气防止金属氧化以保障焊缝质量，适配碳钢、不锈钢等多种材质；用于特种钢及有色金属冶炼，减少金属氧化损耗、提升纯度；填充霓虹灯、荧光灯避免灯丝氧化，或作为半导体制造的惰性环境气体；此外还可用于科研领域的惰性保护氛围，以及医疗辅助冷冻治疗等场景。</w:t>
                  </w:r>
                </w:p>
              </w:tc>
            </w:tr>
            <w:tr w14:paraId="04FE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noWrap w:val="0"/>
                  <w:vAlign w:val="center"/>
                </w:tcPr>
                <w:p w14:paraId="36106F58">
                  <w:pPr>
                    <w:pStyle w:val="88"/>
                    <w:bidi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lang w:val="en-US" w:eastAsia="zh-CN"/>
                    </w:rPr>
                    <w:t>液压油</w:t>
                  </w:r>
                </w:p>
              </w:tc>
              <w:tc>
                <w:tcPr>
                  <w:tcW w:w="4436" w:type="pct"/>
                  <w:noWrap w:val="0"/>
                  <w:vAlign w:val="center"/>
                </w:tcPr>
                <w:p w14:paraId="6C30AFB5">
                  <w:pPr>
                    <w:pStyle w:val="88"/>
                    <w:bidi w:val="0"/>
                    <w:jc w:val="both"/>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液压油就是利用液体压力能的液压系统使用的液压介质，在液压系统中起着能量传递、抗磨、系统润滑、防腐、防锈、冷却等作用。液压油的种类繁多，分类方法各异，长期以来，习惯以用途进行分类，也有根据油品类型、化学组分或可燃性分类的。</w:t>
                  </w:r>
                </w:p>
              </w:tc>
            </w:tr>
          </w:tbl>
          <w:p w14:paraId="368B1FB7">
            <w:pPr>
              <w:pStyle w:val="61"/>
              <w:keepNext w:val="0"/>
              <w:keepLines w:val="0"/>
              <w:pageBreakBefore w:val="0"/>
              <w:widowControl w:val="0"/>
              <w:kinsoku/>
              <w:wordWrap/>
              <w:overflowPunct/>
              <w:topLinePunct w:val="0"/>
              <w:autoSpaceDE/>
              <w:autoSpaceDN/>
              <w:bidi w:val="0"/>
              <w:adjustRightInd w:val="0"/>
              <w:snapToGrid w:val="0"/>
              <w:spacing w:before="160" w:beforeLines="5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3</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主要能耗</w:t>
            </w:r>
          </w:p>
          <w:p w14:paraId="13C485D3">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表2-5 主要能源消耗一览表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0" w:type="dxa"/>
                <w:bottom w:w="0" w:type="dxa"/>
                <w:right w:w="0" w:type="dxa"/>
              </w:tblCellMar>
            </w:tblPr>
            <w:tblGrid>
              <w:gridCol w:w="1260"/>
              <w:gridCol w:w="2985"/>
              <w:gridCol w:w="3776"/>
            </w:tblGrid>
            <w:tr w14:paraId="1BD37A2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785" w:type="pct"/>
                  <w:shd w:val="clear" w:color="auto" w:fill="D9D9D9"/>
                  <w:noWrap w:val="0"/>
                  <w:vAlign w:val="center"/>
                </w:tcPr>
                <w:p w14:paraId="2DBF8BA4">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序号</w:t>
                  </w:r>
                </w:p>
              </w:tc>
              <w:tc>
                <w:tcPr>
                  <w:tcW w:w="1860" w:type="pct"/>
                  <w:shd w:val="clear" w:color="auto" w:fill="D9D9D9"/>
                  <w:noWrap w:val="0"/>
                  <w:vAlign w:val="center"/>
                </w:tcPr>
                <w:p w14:paraId="64DFE6F7">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项目</w:t>
                  </w:r>
                </w:p>
              </w:tc>
              <w:tc>
                <w:tcPr>
                  <w:tcW w:w="2353" w:type="pct"/>
                  <w:shd w:val="clear" w:color="auto" w:fill="D9D9D9"/>
                  <w:noWrap w:val="0"/>
                  <w:vAlign w:val="center"/>
                </w:tcPr>
                <w:p w14:paraId="153C71E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用量</w:t>
                  </w:r>
                </w:p>
              </w:tc>
            </w:tr>
            <w:tr w14:paraId="2AD78CC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785" w:type="pct"/>
                  <w:noWrap w:val="0"/>
                  <w:vAlign w:val="center"/>
                </w:tcPr>
                <w:p w14:paraId="13F09DF0">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1</w:t>
                  </w:r>
                </w:p>
              </w:tc>
              <w:tc>
                <w:tcPr>
                  <w:tcW w:w="1860" w:type="pct"/>
                  <w:noWrap w:val="0"/>
                  <w:vAlign w:val="center"/>
                </w:tcPr>
                <w:p w14:paraId="098239F8">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电</w:t>
                  </w:r>
                </w:p>
              </w:tc>
              <w:tc>
                <w:tcPr>
                  <w:tcW w:w="2353" w:type="pct"/>
                  <w:noWrap w:val="0"/>
                  <w:vAlign w:val="center"/>
                </w:tcPr>
                <w:p w14:paraId="77CFE339">
                  <w:pPr>
                    <w:adjustRightInd w:val="0"/>
                    <w:snapToGrid w:val="0"/>
                    <w:jc w:val="center"/>
                    <w:rPr>
                      <w:rFonts w:ascii="Times New Roman" w:hAnsi="Times New Roman" w:eastAsia="宋体"/>
                      <w:color w:val="auto"/>
                      <w:szCs w:val="21"/>
                    </w:rPr>
                  </w:pPr>
                  <w:r>
                    <w:rPr>
                      <w:rFonts w:hint="eastAsia"/>
                      <w:color w:val="auto"/>
                      <w:szCs w:val="21"/>
                      <w:lang w:val="en-US" w:eastAsia="zh-CN"/>
                    </w:rPr>
                    <w:t>800</w:t>
                  </w:r>
                  <w:r>
                    <w:rPr>
                      <w:rFonts w:ascii="Times New Roman" w:hAnsi="Times New Roman" w:eastAsia="宋体"/>
                      <w:color w:val="auto"/>
                      <w:szCs w:val="21"/>
                    </w:rPr>
                    <w:t>万kWh/a</w:t>
                  </w:r>
                </w:p>
              </w:tc>
            </w:tr>
            <w:tr w14:paraId="7D85E9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jc w:val="center"/>
              </w:trPr>
              <w:tc>
                <w:tcPr>
                  <w:tcW w:w="785" w:type="pct"/>
                  <w:noWrap w:val="0"/>
                  <w:vAlign w:val="center"/>
                </w:tcPr>
                <w:p w14:paraId="385FD4D9">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2</w:t>
                  </w:r>
                </w:p>
              </w:tc>
              <w:tc>
                <w:tcPr>
                  <w:tcW w:w="1860" w:type="pct"/>
                  <w:noWrap w:val="0"/>
                  <w:vAlign w:val="center"/>
                </w:tcPr>
                <w:p w14:paraId="1709B0B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水</w:t>
                  </w:r>
                </w:p>
              </w:tc>
              <w:tc>
                <w:tcPr>
                  <w:tcW w:w="2353" w:type="pct"/>
                  <w:noWrap w:val="0"/>
                  <w:vAlign w:val="center"/>
                </w:tcPr>
                <w:p w14:paraId="36CA5370">
                  <w:pPr>
                    <w:adjustRightInd w:val="0"/>
                    <w:snapToGrid w:val="0"/>
                    <w:jc w:val="center"/>
                    <w:rPr>
                      <w:rFonts w:ascii="Times New Roman" w:hAnsi="Times New Roman" w:eastAsia="宋体"/>
                      <w:color w:val="auto"/>
                      <w:szCs w:val="21"/>
                    </w:rPr>
                  </w:pPr>
                  <w:r>
                    <w:rPr>
                      <w:rFonts w:hint="eastAsia"/>
                      <w:color w:val="auto"/>
                      <w:szCs w:val="21"/>
                      <w:lang w:val="en-US" w:eastAsia="zh-CN"/>
                    </w:rPr>
                    <w:t>1455</w:t>
                  </w:r>
                  <w:r>
                    <w:rPr>
                      <w:rFonts w:ascii="Times New Roman" w:hAnsi="Times New Roman" w:eastAsia="宋体"/>
                      <w:color w:val="auto"/>
                      <w:szCs w:val="21"/>
                    </w:rPr>
                    <w:t>m</w:t>
                  </w:r>
                  <w:r>
                    <w:rPr>
                      <w:rFonts w:ascii="Times New Roman" w:hAnsi="Times New Roman" w:eastAsia="宋体"/>
                      <w:color w:val="auto"/>
                      <w:szCs w:val="21"/>
                      <w:vertAlign w:val="superscript"/>
                    </w:rPr>
                    <w:t>3</w:t>
                  </w:r>
                  <w:r>
                    <w:rPr>
                      <w:rFonts w:ascii="Times New Roman" w:hAnsi="Times New Roman" w:eastAsia="宋体"/>
                      <w:color w:val="auto"/>
                      <w:szCs w:val="21"/>
                    </w:rPr>
                    <w:t>/a</w:t>
                  </w:r>
                </w:p>
              </w:tc>
            </w:tr>
          </w:tbl>
          <w:p w14:paraId="374FDE13">
            <w:pPr>
              <w:adjustRightInd w:val="0"/>
              <w:snapToGrid w:val="0"/>
              <w:spacing w:before="158" w:beforeLines="50"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四</w:t>
            </w:r>
            <w:r>
              <w:rPr>
                <w:rFonts w:ascii="Times New Roman" w:hAnsi="Times New Roman" w:eastAsia="宋体"/>
                <w:b/>
                <w:color w:val="auto"/>
                <w:sz w:val="24"/>
              </w:rPr>
              <w:t>、</w:t>
            </w:r>
            <w:r>
              <w:rPr>
                <w:rFonts w:hint="eastAsia" w:ascii="Times New Roman" w:hAnsi="Times New Roman" w:eastAsia="宋体"/>
                <w:b/>
                <w:color w:val="auto"/>
                <w:sz w:val="24"/>
              </w:rPr>
              <w:t>主要生产设备</w:t>
            </w:r>
          </w:p>
          <w:p w14:paraId="49C3B2AA">
            <w:pPr>
              <w:adjustRightInd w:val="0"/>
              <w:snapToGrid w:val="0"/>
              <w:spacing w:line="360" w:lineRule="auto"/>
              <w:ind w:firstLine="480" w:firstLineChars="200"/>
              <w:rPr>
                <w:rFonts w:ascii="Times New Roman" w:hAnsi="Times New Roman" w:eastAsia="宋体"/>
                <w:color w:val="auto"/>
                <w:sz w:val="24"/>
              </w:rPr>
            </w:pPr>
            <w:r>
              <w:rPr>
                <w:rFonts w:hint="eastAsia" w:ascii="Times New Roman" w:hAnsi="Times New Roman" w:eastAsia="宋体"/>
                <w:color w:val="auto"/>
                <w:sz w:val="24"/>
                <w:lang w:val="en-US" w:eastAsia="zh-CN"/>
              </w:rPr>
              <w:t>（1）</w:t>
            </w:r>
            <w:r>
              <w:rPr>
                <w:rFonts w:ascii="Times New Roman" w:hAnsi="Times New Roman" w:eastAsia="宋体"/>
                <w:color w:val="auto"/>
                <w:sz w:val="24"/>
              </w:rPr>
              <w:t>本项目的生产设备具体见下表所示。</w:t>
            </w:r>
          </w:p>
          <w:p w14:paraId="20B52A4F">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表2-6主要生产设备一览表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146"/>
              <w:gridCol w:w="1477"/>
              <w:gridCol w:w="761"/>
              <w:gridCol w:w="1740"/>
              <w:gridCol w:w="1183"/>
            </w:tblGrid>
            <w:tr w14:paraId="3D5D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shd w:val="clear" w:color="auto" w:fill="D9D9D9"/>
                  <w:noWrap w:val="0"/>
                  <w:vAlign w:val="center"/>
                </w:tcPr>
                <w:p w14:paraId="12244971">
                  <w:pPr>
                    <w:widowControl/>
                    <w:adjustRightInd w:val="0"/>
                    <w:snapToGrid w:val="0"/>
                    <w:jc w:val="center"/>
                    <w:rPr>
                      <w:rFonts w:ascii="Times New Roman" w:hAnsi="Times New Roman" w:eastAsia="宋体"/>
                      <w:color w:val="auto"/>
                      <w:kern w:val="0"/>
                      <w:sz w:val="21"/>
                      <w:szCs w:val="21"/>
                    </w:rPr>
                  </w:pPr>
                  <w:r>
                    <w:rPr>
                      <w:rFonts w:ascii="Times New Roman" w:hAnsi="Times New Roman" w:eastAsia="宋体"/>
                      <w:color w:val="auto"/>
                      <w:kern w:val="0"/>
                      <w:sz w:val="21"/>
                      <w:szCs w:val="21"/>
                    </w:rPr>
                    <w:t>序号</w:t>
                  </w:r>
                </w:p>
              </w:tc>
              <w:tc>
                <w:tcPr>
                  <w:tcW w:w="1337" w:type="pct"/>
                  <w:shd w:val="clear" w:color="auto" w:fill="D9D9D9"/>
                  <w:noWrap w:val="0"/>
                  <w:vAlign w:val="center"/>
                </w:tcPr>
                <w:p w14:paraId="25D41F90">
                  <w:pPr>
                    <w:pStyle w:val="31"/>
                    <w:bidi w:val="0"/>
                    <w:ind w:firstLine="0" w:firstLineChars="0"/>
                    <w:rPr>
                      <w:rFonts w:ascii="Times New Roman" w:hAnsi="Times New Roman" w:eastAsia="宋体"/>
                      <w:color w:val="auto"/>
                      <w:kern w:val="0"/>
                      <w:sz w:val="21"/>
                      <w:szCs w:val="21"/>
                    </w:rPr>
                  </w:pPr>
                  <w:r>
                    <w:rPr>
                      <w:rFonts w:ascii="Times New Roman" w:hAnsi="Times New Roman" w:eastAsia="宋体"/>
                      <w:color w:val="auto"/>
                    </w:rPr>
                    <w:t>设备名称</w:t>
                  </w:r>
                </w:p>
              </w:tc>
              <w:tc>
                <w:tcPr>
                  <w:tcW w:w="920" w:type="pct"/>
                  <w:shd w:val="clear" w:color="auto" w:fill="D9D9D9"/>
                  <w:noWrap w:val="0"/>
                  <w:vAlign w:val="center"/>
                </w:tcPr>
                <w:p w14:paraId="1E808EB6">
                  <w:pPr>
                    <w:pStyle w:val="31"/>
                    <w:bidi w:val="0"/>
                    <w:ind w:firstLine="0" w:firstLineChars="0"/>
                    <w:rPr>
                      <w:rFonts w:ascii="Times New Roman" w:hAnsi="Times New Roman" w:eastAsia="宋体"/>
                      <w:color w:val="auto"/>
                      <w:kern w:val="0"/>
                      <w:sz w:val="21"/>
                      <w:szCs w:val="21"/>
                    </w:rPr>
                  </w:pPr>
                  <w:r>
                    <w:rPr>
                      <w:rFonts w:ascii="Times New Roman" w:hAnsi="Times New Roman" w:eastAsia="宋体"/>
                      <w:color w:val="auto"/>
                    </w:rPr>
                    <w:t>规格型号</w:t>
                  </w:r>
                </w:p>
              </w:tc>
              <w:tc>
                <w:tcPr>
                  <w:tcW w:w="474" w:type="pct"/>
                  <w:shd w:val="clear" w:color="auto" w:fill="D9D9D9"/>
                  <w:noWrap w:val="0"/>
                  <w:vAlign w:val="center"/>
                </w:tcPr>
                <w:p w14:paraId="4CA7858B">
                  <w:pPr>
                    <w:pStyle w:val="3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eastAsia="zh-CN"/>
                    </w:rPr>
                    <w:t>数量</w:t>
                  </w:r>
                </w:p>
              </w:tc>
              <w:tc>
                <w:tcPr>
                  <w:tcW w:w="1084" w:type="pct"/>
                  <w:shd w:val="clear" w:color="auto" w:fill="D9D9D9"/>
                  <w:noWrap w:val="0"/>
                  <w:vAlign w:val="center"/>
                </w:tcPr>
                <w:p w14:paraId="4FB49087">
                  <w:pPr>
                    <w:pStyle w:val="3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eastAsia="zh-CN"/>
                    </w:rPr>
                    <w:t>安装地点</w:t>
                  </w:r>
                </w:p>
              </w:tc>
              <w:tc>
                <w:tcPr>
                  <w:tcW w:w="737" w:type="pct"/>
                  <w:shd w:val="clear" w:color="auto" w:fill="D9D9D9"/>
                  <w:noWrap w:val="0"/>
                  <w:vAlign w:val="center"/>
                </w:tcPr>
                <w:p w14:paraId="6BDB8567">
                  <w:pPr>
                    <w:pStyle w:val="31"/>
                    <w:bidi w:val="0"/>
                    <w:ind w:firstLine="0" w:firstLineChars="0"/>
                    <w:rPr>
                      <w:rFonts w:ascii="Times New Roman" w:hAnsi="Times New Roman" w:eastAsia="宋体"/>
                      <w:color w:val="auto"/>
                      <w:kern w:val="0"/>
                      <w:sz w:val="21"/>
                      <w:szCs w:val="21"/>
                    </w:rPr>
                  </w:pPr>
                  <w:r>
                    <w:rPr>
                      <w:rFonts w:hint="eastAsia" w:ascii="Times New Roman" w:hAnsi="Times New Roman" w:eastAsia="宋体"/>
                      <w:color w:val="auto"/>
                      <w:lang w:eastAsia="zh-CN"/>
                    </w:rPr>
                    <w:t>备注</w:t>
                  </w:r>
                </w:p>
              </w:tc>
            </w:tr>
            <w:tr w14:paraId="60CA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4105ECB">
                  <w:pPr>
                    <w:pStyle w:val="31"/>
                    <w:bidi w:val="0"/>
                    <w:ind w:firstLine="0" w:firstLineChars="0"/>
                    <w:rPr>
                      <w:rFonts w:hint="default" w:ascii="Times New Roman" w:hAnsi="Times New Roman" w:eastAsia="宋体"/>
                      <w:color w:val="auto"/>
                      <w:sz w:val="21"/>
                      <w:szCs w:val="21"/>
                      <w:lang w:val="en-US" w:eastAsia="zh-CN"/>
                    </w:rPr>
                  </w:pPr>
                  <w:r>
                    <w:rPr>
                      <w:rFonts w:hint="eastAsia" w:ascii="Times New Roman" w:hAnsi="Times New Roman" w:eastAsia="宋体"/>
                      <w:color w:val="auto"/>
                      <w:lang w:val="en-US" w:eastAsia="zh-CN"/>
                    </w:rPr>
                    <w:t>1</w:t>
                  </w:r>
                </w:p>
              </w:tc>
              <w:tc>
                <w:tcPr>
                  <w:tcW w:w="1337" w:type="pct"/>
                  <w:noWrap w:val="0"/>
                  <w:vAlign w:val="center"/>
                </w:tcPr>
                <w:p w14:paraId="296B4614">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开卷1</w:t>
                  </w:r>
                </w:p>
              </w:tc>
              <w:tc>
                <w:tcPr>
                  <w:tcW w:w="920" w:type="pct"/>
                  <w:noWrap w:val="0"/>
                  <w:vAlign w:val="center"/>
                </w:tcPr>
                <w:p w14:paraId="5D196219">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w:t>
                  </w:r>
                </w:p>
              </w:tc>
              <w:tc>
                <w:tcPr>
                  <w:tcW w:w="474" w:type="pct"/>
                  <w:noWrap w:val="0"/>
                  <w:vAlign w:val="center"/>
                </w:tcPr>
                <w:p w14:paraId="31286DE1">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restart"/>
                  <w:noWrap w:val="0"/>
                  <w:vAlign w:val="center"/>
                </w:tcPr>
                <w:p w14:paraId="1A888E0F">
                  <w:pPr>
                    <w:pStyle w:val="31"/>
                    <w:bidi w:val="0"/>
                    <w:ind w:firstLine="0" w:firstLineChars="0"/>
                    <w:rPr>
                      <w:rFonts w:hint="default" w:ascii="Times New Roman" w:hAnsi="Times New Roman" w:eastAsia="宋体"/>
                      <w:color w:val="auto"/>
                      <w:sz w:val="21"/>
                      <w:szCs w:val="21"/>
                      <w:lang w:val="en-US" w:eastAsia="zh-CN"/>
                    </w:rPr>
                  </w:pPr>
                  <w:r>
                    <w:rPr>
                      <w:rFonts w:hint="eastAsia" w:cs="黑体"/>
                      <w:b w:val="0"/>
                      <w:color w:val="auto"/>
                      <w:kern w:val="2"/>
                      <w:sz w:val="21"/>
                      <w:szCs w:val="24"/>
                      <w:lang w:val="en-US" w:eastAsia="zh-CN" w:bidi="ar-SA"/>
                    </w:rPr>
                    <w:t>1#生产车间</w:t>
                  </w:r>
                </w:p>
              </w:tc>
              <w:tc>
                <w:tcPr>
                  <w:tcW w:w="737" w:type="pct"/>
                  <w:noWrap w:val="0"/>
                  <w:vAlign w:val="center"/>
                </w:tcPr>
                <w:p w14:paraId="51604FE9">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新建</w:t>
                  </w:r>
                </w:p>
              </w:tc>
            </w:tr>
            <w:tr w14:paraId="1066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58E33144">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w:t>
                  </w:r>
                </w:p>
              </w:tc>
              <w:tc>
                <w:tcPr>
                  <w:tcW w:w="1337" w:type="pct"/>
                  <w:shd w:val="clear" w:color="auto" w:fill="auto"/>
                  <w:noWrap w:val="0"/>
                  <w:vAlign w:val="center"/>
                </w:tcPr>
                <w:p w14:paraId="6E38EA9C">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高频直缝焊管机1</w:t>
                  </w:r>
                </w:p>
              </w:tc>
              <w:tc>
                <w:tcPr>
                  <w:tcW w:w="920" w:type="pct"/>
                  <w:shd w:val="clear" w:color="auto" w:fill="auto"/>
                  <w:noWrap w:val="0"/>
                  <w:vAlign w:val="center"/>
                </w:tcPr>
                <w:p w14:paraId="2580CBF9">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color w:val="auto"/>
                      <w:lang w:val="en-US" w:eastAsia="zh-CN"/>
                    </w:rPr>
                    <w:t>ZG</w:t>
                  </w:r>
                  <w:r>
                    <w:rPr>
                      <w:rFonts w:hint="eastAsia"/>
                      <w:color w:val="auto"/>
                      <w:lang w:val="en-US" w:eastAsia="zh-CN"/>
                    </w:rPr>
                    <w:t>60</w:t>
                  </w:r>
                </w:p>
              </w:tc>
              <w:tc>
                <w:tcPr>
                  <w:tcW w:w="474" w:type="pct"/>
                  <w:shd w:val="clear" w:color="auto" w:fill="auto"/>
                  <w:noWrap w:val="0"/>
                  <w:vAlign w:val="center"/>
                </w:tcPr>
                <w:p w14:paraId="2525BA08">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5347072F">
                  <w:pPr>
                    <w:pStyle w:val="31"/>
                    <w:bidi w:val="0"/>
                    <w:ind w:firstLine="0" w:firstLineChars="0"/>
                    <w:rPr>
                      <w:rFonts w:hint="eastAsia" w:ascii="Times New Roman" w:hAnsi="Times New Roman" w:eastAsia="宋体" w:cs="黑体"/>
                      <w:b w:val="0"/>
                      <w:color w:val="auto"/>
                      <w:kern w:val="2"/>
                      <w:sz w:val="21"/>
                      <w:szCs w:val="24"/>
                      <w:lang w:val="en-US" w:eastAsia="zh-CN" w:bidi="ar-SA"/>
                    </w:rPr>
                  </w:pPr>
                </w:p>
              </w:tc>
              <w:tc>
                <w:tcPr>
                  <w:tcW w:w="737" w:type="pct"/>
                  <w:noWrap w:val="0"/>
                  <w:vAlign w:val="center"/>
                </w:tcPr>
                <w:p w14:paraId="0DA135C5">
                  <w:pPr>
                    <w:pStyle w:val="31"/>
                    <w:bidi w:val="0"/>
                    <w:ind w:firstLine="0" w:firstLineChars="0"/>
                    <w:rPr>
                      <w:rFonts w:hint="eastAsia"/>
                      <w:color w:val="auto"/>
                      <w:lang w:val="en-US" w:eastAsia="zh-CN"/>
                    </w:rPr>
                  </w:pPr>
                  <w:r>
                    <w:rPr>
                      <w:rFonts w:hint="eastAsia"/>
                      <w:color w:val="auto"/>
                      <w:lang w:val="en-US" w:eastAsia="zh-CN"/>
                    </w:rPr>
                    <w:t>新建</w:t>
                  </w:r>
                </w:p>
              </w:tc>
            </w:tr>
            <w:tr w14:paraId="5662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232A0131">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3</w:t>
                  </w:r>
                </w:p>
              </w:tc>
              <w:tc>
                <w:tcPr>
                  <w:tcW w:w="1337" w:type="pct"/>
                  <w:shd w:val="clear" w:color="auto" w:fill="auto"/>
                  <w:noWrap w:val="0"/>
                  <w:vAlign w:val="center"/>
                </w:tcPr>
                <w:p w14:paraId="5B3D0E62">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olor w:val="auto"/>
                      <w:lang w:val="en-US" w:eastAsia="zh-CN"/>
                    </w:rPr>
                    <w:t>高频</w:t>
                  </w:r>
                  <w:r>
                    <w:rPr>
                      <w:rFonts w:hint="eastAsia"/>
                      <w:color w:val="auto"/>
                      <w:lang w:val="en-US" w:eastAsia="zh-CN"/>
                    </w:rPr>
                    <w:t>1</w:t>
                  </w:r>
                </w:p>
              </w:tc>
              <w:tc>
                <w:tcPr>
                  <w:tcW w:w="920" w:type="pct"/>
                  <w:shd w:val="clear" w:color="auto" w:fill="auto"/>
                  <w:noWrap w:val="0"/>
                  <w:vAlign w:val="center"/>
                </w:tcPr>
                <w:p w14:paraId="66E64944">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olor w:val="auto"/>
                      <w:lang w:val="en-US" w:eastAsia="zh-CN"/>
                    </w:rPr>
                    <w:t>/</w:t>
                  </w:r>
                </w:p>
              </w:tc>
              <w:tc>
                <w:tcPr>
                  <w:tcW w:w="474" w:type="pct"/>
                  <w:shd w:val="clear" w:color="auto" w:fill="auto"/>
                  <w:noWrap w:val="0"/>
                  <w:vAlign w:val="center"/>
                </w:tcPr>
                <w:p w14:paraId="51400713">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3B3EB3E4">
                  <w:pPr>
                    <w:pStyle w:val="31"/>
                    <w:bidi w:val="0"/>
                    <w:ind w:firstLine="0" w:firstLineChars="0"/>
                    <w:rPr>
                      <w:rFonts w:hint="eastAsia" w:ascii="Times New Roman" w:hAnsi="Times New Roman" w:eastAsia="宋体" w:cs="黑体"/>
                      <w:b w:val="0"/>
                      <w:color w:val="auto"/>
                      <w:kern w:val="2"/>
                      <w:sz w:val="21"/>
                      <w:szCs w:val="24"/>
                      <w:lang w:val="en-US" w:eastAsia="zh-CN" w:bidi="ar-SA"/>
                    </w:rPr>
                  </w:pPr>
                </w:p>
              </w:tc>
              <w:tc>
                <w:tcPr>
                  <w:tcW w:w="737" w:type="pct"/>
                  <w:noWrap w:val="0"/>
                  <w:vAlign w:val="center"/>
                </w:tcPr>
                <w:p w14:paraId="0BBB7673">
                  <w:pPr>
                    <w:pStyle w:val="31"/>
                    <w:bidi w:val="0"/>
                    <w:ind w:firstLine="0" w:firstLineChars="0"/>
                    <w:rPr>
                      <w:rFonts w:hint="eastAsia"/>
                      <w:color w:val="auto"/>
                      <w:lang w:val="en-US" w:eastAsia="zh-CN"/>
                    </w:rPr>
                  </w:pPr>
                  <w:r>
                    <w:rPr>
                      <w:rFonts w:hint="eastAsia"/>
                      <w:color w:val="auto"/>
                      <w:lang w:val="en-US" w:eastAsia="zh-CN"/>
                    </w:rPr>
                    <w:t>新建</w:t>
                  </w:r>
                </w:p>
              </w:tc>
            </w:tr>
            <w:tr w14:paraId="47AD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269E0400">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4</w:t>
                  </w:r>
                </w:p>
              </w:tc>
              <w:tc>
                <w:tcPr>
                  <w:tcW w:w="1337" w:type="pct"/>
                  <w:shd w:val="clear" w:color="auto" w:fill="auto"/>
                  <w:noWrap w:val="0"/>
                  <w:vAlign w:val="center"/>
                </w:tcPr>
                <w:p w14:paraId="2CEA1334">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olor w:val="auto"/>
                      <w:lang w:val="en-US" w:eastAsia="zh-CN"/>
                    </w:rPr>
                    <w:t>飞锯1</w:t>
                  </w:r>
                </w:p>
              </w:tc>
              <w:tc>
                <w:tcPr>
                  <w:tcW w:w="920" w:type="pct"/>
                  <w:shd w:val="clear" w:color="auto" w:fill="auto"/>
                  <w:noWrap w:val="0"/>
                  <w:vAlign w:val="center"/>
                </w:tcPr>
                <w:p w14:paraId="4BF1D2AB">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olor w:val="auto"/>
                      <w:lang w:val="en-US" w:eastAsia="zh-CN"/>
                    </w:rPr>
                    <w:t>/</w:t>
                  </w:r>
                </w:p>
              </w:tc>
              <w:tc>
                <w:tcPr>
                  <w:tcW w:w="474" w:type="pct"/>
                  <w:shd w:val="clear" w:color="auto" w:fill="auto"/>
                  <w:noWrap w:val="0"/>
                  <w:vAlign w:val="center"/>
                </w:tcPr>
                <w:p w14:paraId="1A4E977A">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5E53932F">
                  <w:pPr>
                    <w:pStyle w:val="31"/>
                    <w:bidi w:val="0"/>
                    <w:ind w:firstLine="0" w:firstLineChars="0"/>
                    <w:rPr>
                      <w:rFonts w:hint="eastAsia" w:ascii="Times New Roman" w:hAnsi="Times New Roman" w:eastAsia="宋体" w:cs="黑体"/>
                      <w:b w:val="0"/>
                      <w:color w:val="auto"/>
                      <w:kern w:val="2"/>
                      <w:sz w:val="21"/>
                      <w:szCs w:val="24"/>
                      <w:lang w:val="en-US" w:eastAsia="zh-CN" w:bidi="ar-SA"/>
                    </w:rPr>
                  </w:pPr>
                </w:p>
              </w:tc>
              <w:tc>
                <w:tcPr>
                  <w:tcW w:w="737" w:type="pct"/>
                  <w:noWrap w:val="0"/>
                  <w:vAlign w:val="center"/>
                </w:tcPr>
                <w:p w14:paraId="570B0B39">
                  <w:pPr>
                    <w:pStyle w:val="31"/>
                    <w:bidi w:val="0"/>
                    <w:ind w:firstLine="0" w:firstLineChars="0"/>
                    <w:rPr>
                      <w:rFonts w:hint="eastAsia"/>
                      <w:color w:val="auto"/>
                      <w:lang w:val="en-US" w:eastAsia="zh-CN"/>
                    </w:rPr>
                  </w:pPr>
                  <w:r>
                    <w:rPr>
                      <w:rFonts w:hint="eastAsia"/>
                      <w:color w:val="auto"/>
                      <w:lang w:val="en-US" w:eastAsia="zh-CN"/>
                    </w:rPr>
                    <w:t>新建</w:t>
                  </w:r>
                </w:p>
              </w:tc>
            </w:tr>
            <w:tr w14:paraId="0D1D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5B0738C6">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5</w:t>
                  </w:r>
                </w:p>
              </w:tc>
              <w:tc>
                <w:tcPr>
                  <w:tcW w:w="1337" w:type="pct"/>
                  <w:noWrap w:val="0"/>
                  <w:vAlign w:val="center"/>
                </w:tcPr>
                <w:p w14:paraId="1EB4762C">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开卷2</w:t>
                  </w:r>
                </w:p>
              </w:tc>
              <w:tc>
                <w:tcPr>
                  <w:tcW w:w="920" w:type="pct"/>
                  <w:noWrap w:val="0"/>
                  <w:vAlign w:val="center"/>
                </w:tcPr>
                <w:p w14:paraId="2BCA609A">
                  <w:pPr>
                    <w:pStyle w:val="31"/>
                    <w:bidi w:val="0"/>
                    <w:ind w:firstLine="0" w:firstLineChars="0"/>
                    <w:rPr>
                      <w:rFonts w:hint="eastAsia" w:ascii="Times New Roman" w:hAnsi="Times New Roman" w:eastAsia="宋体"/>
                      <w:color w:val="auto"/>
                      <w:sz w:val="21"/>
                      <w:szCs w:val="21"/>
                    </w:rPr>
                  </w:pPr>
                  <w:r>
                    <w:rPr>
                      <w:rFonts w:hint="eastAsia"/>
                      <w:color w:val="auto"/>
                      <w:lang w:val="en-US" w:eastAsia="zh-CN"/>
                    </w:rPr>
                    <w:t>/</w:t>
                  </w:r>
                </w:p>
              </w:tc>
              <w:tc>
                <w:tcPr>
                  <w:tcW w:w="474" w:type="pct"/>
                  <w:noWrap w:val="0"/>
                  <w:vAlign w:val="center"/>
                </w:tcPr>
                <w:p w14:paraId="2B3A4DF7">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4A759B65">
                  <w:pPr>
                    <w:pStyle w:val="31"/>
                    <w:bidi w:val="0"/>
                    <w:ind w:firstLine="0" w:firstLineChars="0"/>
                    <w:rPr>
                      <w:rFonts w:hint="default" w:ascii="Times New Roman" w:hAnsi="Times New Roman" w:eastAsia="宋体"/>
                      <w:color w:val="auto"/>
                      <w:sz w:val="21"/>
                      <w:szCs w:val="21"/>
                      <w:lang w:val="en-US" w:eastAsia="zh-CN"/>
                    </w:rPr>
                  </w:pPr>
                </w:p>
              </w:tc>
              <w:tc>
                <w:tcPr>
                  <w:tcW w:w="737" w:type="pct"/>
                  <w:noWrap w:val="0"/>
                  <w:vAlign w:val="center"/>
                </w:tcPr>
                <w:p w14:paraId="10C11437">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新建</w:t>
                  </w:r>
                </w:p>
              </w:tc>
            </w:tr>
            <w:tr w14:paraId="3A42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04F299E2">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6</w:t>
                  </w:r>
                </w:p>
              </w:tc>
              <w:tc>
                <w:tcPr>
                  <w:tcW w:w="1337" w:type="pct"/>
                  <w:noWrap w:val="0"/>
                  <w:vAlign w:val="center"/>
                </w:tcPr>
                <w:p w14:paraId="4C190671">
                  <w:pPr>
                    <w:pStyle w:val="31"/>
                    <w:bidi w:val="0"/>
                    <w:ind w:firstLine="0" w:firstLineChars="0"/>
                    <w:rPr>
                      <w:rFonts w:hint="default"/>
                      <w:color w:val="auto"/>
                      <w:lang w:val="en-US" w:eastAsia="zh-CN"/>
                    </w:rPr>
                  </w:pPr>
                  <w:r>
                    <w:rPr>
                      <w:rFonts w:hint="eastAsia"/>
                      <w:color w:val="auto"/>
                      <w:lang w:val="en-US" w:eastAsia="zh-CN"/>
                    </w:rPr>
                    <w:t>高频直缝焊管机2</w:t>
                  </w:r>
                </w:p>
              </w:tc>
              <w:tc>
                <w:tcPr>
                  <w:tcW w:w="920" w:type="pct"/>
                  <w:noWrap w:val="0"/>
                  <w:vAlign w:val="center"/>
                </w:tcPr>
                <w:p w14:paraId="5D1E0862">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76</w:t>
                  </w:r>
                </w:p>
              </w:tc>
              <w:tc>
                <w:tcPr>
                  <w:tcW w:w="474" w:type="pct"/>
                  <w:noWrap w:val="0"/>
                  <w:vAlign w:val="center"/>
                </w:tcPr>
                <w:p w14:paraId="6820FB91">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66B6A2B3">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308D457D">
                  <w:pPr>
                    <w:pStyle w:val="31"/>
                    <w:bidi w:val="0"/>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50C6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2ECE9B5F">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7</w:t>
                  </w:r>
                </w:p>
              </w:tc>
              <w:tc>
                <w:tcPr>
                  <w:tcW w:w="1337" w:type="pct"/>
                  <w:noWrap w:val="0"/>
                  <w:vAlign w:val="center"/>
                </w:tcPr>
                <w:p w14:paraId="699B5143">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w:t>
                  </w:r>
                  <w:r>
                    <w:rPr>
                      <w:rFonts w:hint="eastAsia"/>
                      <w:color w:val="auto"/>
                      <w:lang w:val="en-US" w:eastAsia="zh-CN"/>
                    </w:rPr>
                    <w:t>2</w:t>
                  </w:r>
                </w:p>
              </w:tc>
              <w:tc>
                <w:tcPr>
                  <w:tcW w:w="920" w:type="pct"/>
                  <w:noWrap w:val="0"/>
                  <w:vAlign w:val="center"/>
                </w:tcPr>
                <w:p w14:paraId="61F91155">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556F47B6">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67C84405">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55E3D968">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4BED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256332B6">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8</w:t>
                  </w:r>
                </w:p>
              </w:tc>
              <w:tc>
                <w:tcPr>
                  <w:tcW w:w="1337" w:type="pct"/>
                  <w:noWrap w:val="0"/>
                  <w:vAlign w:val="center"/>
                </w:tcPr>
                <w:p w14:paraId="02D4C4DF">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飞锯2</w:t>
                  </w:r>
                </w:p>
              </w:tc>
              <w:tc>
                <w:tcPr>
                  <w:tcW w:w="920" w:type="pct"/>
                  <w:noWrap w:val="0"/>
                  <w:vAlign w:val="center"/>
                </w:tcPr>
                <w:p w14:paraId="5057F055">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66A70800">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00687BB2">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0AA48EF8">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s="Times New Roman"/>
                      <w:b w:val="0"/>
                      <w:color w:val="auto"/>
                      <w:kern w:val="2"/>
                      <w:sz w:val="21"/>
                      <w:szCs w:val="24"/>
                      <w:lang w:val="en-US" w:eastAsia="zh-CN" w:bidi="ar-SA"/>
                    </w:rPr>
                    <w:t>新建</w:t>
                  </w:r>
                </w:p>
              </w:tc>
            </w:tr>
            <w:tr w14:paraId="70D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D755009">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9</w:t>
                  </w:r>
                </w:p>
              </w:tc>
              <w:tc>
                <w:tcPr>
                  <w:tcW w:w="2146" w:type="dxa"/>
                  <w:noWrap w:val="0"/>
                  <w:vAlign w:val="center"/>
                </w:tcPr>
                <w:p w14:paraId="7F252369">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开卷3</w:t>
                  </w:r>
                </w:p>
              </w:tc>
              <w:tc>
                <w:tcPr>
                  <w:tcW w:w="920" w:type="pct"/>
                  <w:noWrap w:val="0"/>
                  <w:vAlign w:val="center"/>
                </w:tcPr>
                <w:p w14:paraId="1DF92603">
                  <w:pPr>
                    <w:pStyle w:val="31"/>
                    <w:bidi w:val="0"/>
                    <w:ind w:firstLine="0" w:firstLineChars="0"/>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74" w:type="pct"/>
                  <w:noWrap w:val="0"/>
                  <w:vAlign w:val="center"/>
                </w:tcPr>
                <w:p w14:paraId="58AA7875">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restart"/>
                  <w:noWrap w:val="0"/>
                  <w:vAlign w:val="center"/>
                </w:tcPr>
                <w:p w14:paraId="322635EC">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2#生产车间</w:t>
                  </w:r>
                </w:p>
              </w:tc>
              <w:tc>
                <w:tcPr>
                  <w:tcW w:w="737" w:type="pct"/>
                  <w:shd w:val="clear" w:color="auto" w:fill="auto"/>
                  <w:noWrap w:val="0"/>
                  <w:vAlign w:val="center"/>
                </w:tcPr>
                <w:p w14:paraId="3DAE5E97">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4AA9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644CBBB6">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10</w:t>
                  </w:r>
                </w:p>
              </w:tc>
              <w:tc>
                <w:tcPr>
                  <w:tcW w:w="2146" w:type="dxa"/>
                  <w:noWrap w:val="0"/>
                  <w:vAlign w:val="center"/>
                </w:tcPr>
                <w:p w14:paraId="5C977416">
                  <w:pPr>
                    <w:pStyle w:val="31"/>
                    <w:bidi w:val="0"/>
                    <w:ind w:firstLine="0" w:firstLineChars="0"/>
                    <w:rPr>
                      <w:rFonts w:hint="default"/>
                      <w:color w:val="auto"/>
                      <w:lang w:val="en-US" w:eastAsia="zh-CN"/>
                    </w:rPr>
                  </w:pPr>
                  <w:r>
                    <w:rPr>
                      <w:rFonts w:hint="eastAsia"/>
                      <w:color w:val="auto"/>
                      <w:lang w:val="en-US" w:eastAsia="zh-CN"/>
                    </w:rPr>
                    <w:t>高频直缝焊管机3</w:t>
                  </w:r>
                </w:p>
              </w:tc>
              <w:tc>
                <w:tcPr>
                  <w:tcW w:w="920" w:type="pct"/>
                  <w:noWrap w:val="0"/>
                  <w:vAlign w:val="center"/>
                </w:tcPr>
                <w:p w14:paraId="052001A6">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76扩127</w:t>
                  </w:r>
                </w:p>
              </w:tc>
              <w:tc>
                <w:tcPr>
                  <w:tcW w:w="474" w:type="pct"/>
                  <w:noWrap w:val="0"/>
                  <w:vAlign w:val="center"/>
                </w:tcPr>
                <w:p w14:paraId="552E5416">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30410B97">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40538D09">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20DA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pct"/>
                  <w:noWrap w:val="0"/>
                  <w:vAlign w:val="center"/>
                </w:tcPr>
                <w:p w14:paraId="7BD6351A">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11</w:t>
                  </w:r>
                </w:p>
              </w:tc>
              <w:tc>
                <w:tcPr>
                  <w:tcW w:w="2146" w:type="dxa"/>
                  <w:noWrap w:val="0"/>
                  <w:vAlign w:val="center"/>
                </w:tcPr>
                <w:p w14:paraId="424D30B0">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高频3</w:t>
                  </w:r>
                </w:p>
              </w:tc>
              <w:tc>
                <w:tcPr>
                  <w:tcW w:w="920" w:type="pct"/>
                  <w:noWrap w:val="0"/>
                  <w:vAlign w:val="center"/>
                </w:tcPr>
                <w:p w14:paraId="52057892">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7FF0F88E">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3A8EAECC">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308F70BF">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42C5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42DDCD4">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12</w:t>
                  </w:r>
                </w:p>
              </w:tc>
              <w:tc>
                <w:tcPr>
                  <w:tcW w:w="2146" w:type="dxa"/>
                  <w:noWrap w:val="0"/>
                  <w:vAlign w:val="center"/>
                </w:tcPr>
                <w:p w14:paraId="2E49ECE0">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飞锯3</w:t>
                  </w:r>
                </w:p>
              </w:tc>
              <w:tc>
                <w:tcPr>
                  <w:tcW w:w="920" w:type="pct"/>
                  <w:noWrap w:val="0"/>
                  <w:vAlign w:val="center"/>
                </w:tcPr>
                <w:p w14:paraId="5D9BE104">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3711B883">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2461E94C">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11D9D162">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62A1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69CFE67C">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13</w:t>
                  </w:r>
                </w:p>
              </w:tc>
              <w:tc>
                <w:tcPr>
                  <w:tcW w:w="2146" w:type="dxa"/>
                  <w:noWrap w:val="0"/>
                  <w:vAlign w:val="center"/>
                </w:tcPr>
                <w:p w14:paraId="08826A95">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开卷4</w:t>
                  </w:r>
                </w:p>
              </w:tc>
              <w:tc>
                <w:tcPr>
                  <w:tcW w:w="920" w:type="pct"/>
                  <w:noWrap w:val="0"/>
                  <w:vAlign w:val="center"/>
                </w:tcPr>
                <w:p w14:paraId="2D7D2B36">
                  <w:pPr>
                    <w:pStyle w:val="31"/>
                    <w:bidi w:val="0"/>
                    <w:ind w:firstLine="0" w:firstLineChars="0"/>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74" w:type="pct"/>
                  <w:noWrap w:val="0"/>
                  <w:vAlign w:val="center"/>
                </w:tcPr>
                <w:p w14:paraId="6C44ACBD">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0ADC34E2">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61AF4C5D">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213B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71627E7E">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14</w:t>
                  </w:r>
                </w:p>
              </w:tc>
              <w:tc>
                <w:tcPr>
                  <w:tcW w:w="2146" w:type="dxa"/>
                  <w:noWrap w:val="0"/>
                  <w:vAlign w:val="center"/>
                </w:tcPr>
                <w:p w14:paraId="2F8751F4">
                  <w:pPr>
                    <w:pStyle w:val="31"/>
                    <w:bidi w:val="0"/>
                    <w:ind w:firstLine="0" w:firstLineChars="0"/>
                    <w:rPr>
                      <w:rFonts w:hint="default"/>
                      <w:color w:val="auto"/>
                      <w:lang w:val="en-US" w:eastAsia="zh-CN"/>
                    </w:rPr>
                  </w:pPr>
                  <w:r>
                    <w:rPr>
                      <w:rFonts w:hint="eastAsia"/>
                      <w:color w:val="auto"/>
                      <w:lang w:val="en-US" w:eastAsia="zh-CN"/>
                    </w:rPr>
                    <w:t>高频直缝焊管机4</w:t>
                  </w:r>
                </w:p>
              </w:tc>
              <w:tc>
                <w:tcPr>
                  <w:tcW w:w="920" w:type="pct"/>
                  <w:noWrap w:val="0"/>
                  <w:vAlign w:val="center"/>
                </w:tcPr>
                <w:p w14:paraId="5327FB0B">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89</w:t>
                  </w:r>
                </w:p>
              </w:tc>
              <w:tc>
                <w:tcPr>
                  <w:tcW w:w="474" w:type="pct"/>
                  <w:noWrap w:val="0"/>
                  <w:vAlign w:val="center"/>
                </w:tcPr>
                <w:p w14:paraId="0EF35C11">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3037D360">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4C217AC9">
                  <w:pPr>
                    <w:pStyle w:val="31"/>
                    <w:bidi w:val="0"/>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10CA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EA5AF33">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15</w:t>
                  </w:r>
                </w:p>
              </w:tc>
              <w:tc>
                <w:tcPr>
                  <w:tcW w:w="2146" w:type="dxa"/>
                  <w:noWrap w:val="0"/>
                  <w:vAlign w:val="center"/>
                </w:tcPr>
                <w:p w14:paraId="59CBDAC1">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高频4</w:t>
                  </w:r>
                </w:p>
              </w:tc>
              <w:tc>
                <w:tcPr>
                  <w:tcW w:w="920" w:type="pct"/>
                  <w:noWrap w:val="0"/>
                  <w:vAlign w:val="center"/>
                </w:tcPr>
                <w:p w14:paraId="37E2401E">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254E7C0C">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029694BA">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45E6D978">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3ED2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1499C96">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16</w:t>
                  </w:r>
                </w:p>
              </w:tc>
              <w:tc>
                <w:tcPr>
                  <w:tcW w:w="2146" w:type="dxa"/>
                  <w:noWrap w:val="0"/>
                  <w:vAlign w:val="center"/>
                </w:tcPr>
                <w:p w14:paraId="23D01E77">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飞锯4</w:t>
                  </w:r>
                </w:p>
              </w:tc>
              <w:tc>
                <w:tcPr>
                  <w:tcW w:w="920" w:type="pct"/>
                  <w:noWrap w:val="0"/>
                  <w:vAlign w:val="center"/>
                </w:tcPr>
                <w:p w14:paraId="6D3375B9">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44B76787">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5A46F4DF">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5CD0FE8F">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s="Times New Roman"/>
                      <w:b w:val="0"/>
                      <w:color w:val="auto"/>
                      <w:kern w:val="2"/>
                      <w:sz w:val="21"/>
                      <w:szCs w:val="24"/>
                      <w:lang w:val="en-US" w:eastAsia="zh-CN" w:bidi="ar-SA"/>
                    </w:rPr>
                    <w:t>新建</w:t>
                  </w:r>
                </w:p>
              </w:tc>
            </w:tr>
            <w:tr w14:paraId="66CC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4421E887">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17</w:t>
                  </w:r>
                </w:p>
              </w:tc>
              <w:tc>
                <w:tcPr>
                  <w:tcW w:w="2146" w:type="dxa"/>
                  <w:noWrap w:val="0"/>
                  <w:vAlign w:val="center"/>
                </w:tcPr>
                <w:p w14:paraId="4084755F">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开卷5</w:t>
                  </w:r>
                </w:p>
              </w:tc>
              <w:tc>
                <w:tcPr>
                  <w:tcW w:w="920" w:type="pct"/>
                  <w:noWrap w:val="0"/>
                  <w:vAlign w:val="center"/>
                </w:tcPr>
                <w:p w14:paraId="0D5FA540">
                  <w:pPr>
                    <w:pStyle w:val="31"/>
                    <w:bidi w:val="0"/>
                    <w:ind w:firstLine="0" w:firstLineChars="0"/>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74" w:type="pct"/>
                  <w:noWrap w:val="0"/>
                  <w:vAlign w:val="center"/>
                </w:tcPr>
                <w:p w14:paraId="2C6ACD43">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restart"/>
                  <w:noWrap w:val="0"/>
                  <w:vAlign w:val="center"/>
                </w:tcPr>
                <w:p w14:paraId="770243EE">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3#生产车间</w:t>
                  </w:r>
                </w:p>
              </w:tc>
              <w:tc>
                <w:tcPr>
                  <w:tcW w:w="737" w:type="pct"/>
                  <w:shd w:val="clear" w:color="auto" w:fill="auto"/>
                  <w:noWrap w:val="0"/>
                  <w:vAlign w:val="center"/>
                </w:tcPr>
                <w:p w14:paraId="414D85B5">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2263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6243CE3D">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18</w:t>
                  </w:r>
                </w:p>
              </w:tc>
              <w:tc>
                <w:tcPr>
                  <w:tcW w:w="2146" w:type="dxa"/>
                  <w:noWrap w:val="0"/>
                  <w:vAlign w:val="center"/>
                </w:tcPr>
                <w:p w14:paraId="3F2C1B53">
                  <w:pPr>
                    <w:pStyle w:val="31"/>
                    <w:bidi w:val="0"/>
                    <w:ind w:firstLine="0" w:firstLineChars="0"/>
                    <w:rPr>
                      <w:rFonts w:hint="default"/>
                      <w:color w:val="auto"/>
                      <w:lang w:val="en-US" w:eastAsia="zh-CN"/>
                    </w:rPr>
                  </w:pPr>
                  <w:r>
                    <w:rPr>
                      <w:rFonts w:hint="eastAsia"/>
                      <w:color w:val="auto"/>
                      <w:lang w:val="en-US" w:eastAsia="zh-CN"/>
                    </w:rPr>
                    <w:t>高频直缝焊管机5</w:t>
                  </w:r>
                </w:p>
              </w:tc>
              <w:tc>
                <w:tcPr>
                  <w:tcW w:w="920" w:type="pct"/>
                  <w:noWrap w:val="0"/>
                  <w:vAlign w:val="center"/>
                </w:tcPr>
                <w:p w14:paraId="19FC23C6">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114</w:t>
                  </w:r>
                </w:p>
              </w:tc>
              <w:tc>
                <w:tcPr>
                  <w:tcW w:w="474" w:type="pct"/>
                  <w:noWrap w:val="0"/>
                  <w:vAlign w:val="center"/>
                </w:tcPr>
                <w:p w14:paraId="335A3D1E">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4AB3934B">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336FF476">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0491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483B21A2">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19</w:t>
                  </w:r>
                </w:p>
              </w:tc>
              <w:tc>
                <w:tcPr>
                  <w:tcW w:w="2146" w:type="dxa"/>
                  <w:noWrap w:val="0"/>
                  <w:vAlign w:val="center"/>
                </w:tcPr>
                <w:p w14:paraId="27FA1A97">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高频5</w:t>
                  </w:r>
                </w:p>
              </w:tc>
              <w:tc>
                <w:tcPr>
                  <w:tcW w:w="920" w:type="pct"/>
                  <w:noWrap w:val="0"/>
                  <w:vAlign w:val="center"/>
                </w:tcPr>
                <w:p w14:paraId="61A6AD89">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3960CC29">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1F255B94">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686C71BE">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2A7B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53A90850">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20</w:t>
                  </w:r>
                </w:p>
              </w:tc>
              <w:tc>
                <w:tcPr>
                  <w:tcW w:w="2146" w:type="dxa"/>
                  <w:noWrap w:val="0"/>
                  <w:vAlign w:val="center"/>
                </w:tcPr>
                <w:p w14:paraId="79DC966F">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飞锯5</w:t>
                  </w:r>
                </w:p>
              </w:tc>
              <w:tc>
                <w:tcPr>
                  <w:tcW w:w="920" w:type="pct"/>
                  <w:noWrap w:val="0"/>
                  <w:vAlign w:val="center"/>
                </w:tcPr>
                <w:p w14:paraId="6B62EEF6">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0E59954D">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0A9A8CBB">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08B1E38C">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0FE4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43BFA964">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21</w:t>
                  </w:r>
                </w:p>
              </w:tc>
              <w:tc>
                <w:tcPr>
                  <w:tcW w:w="2146" w:type="dxa"/>
                  <w:noWrap w:val="0"/>
                  <w:vAlign w:val="center"/>
                </w:tcPr>
                <w:p w14:paraId="1FB86378">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开卷6</w:t>
                  </w:r>
                </w:p>
              </w:tc>
              <w:tc>
                <w:tcPr>
                  <w:tcW w:w="920" w:type="pct"/>
                  <w:noWrap w:val="0"/>
                  <w:vAlign w:val="center"/>
                </w:tcPr>
                <w:p w14:paraId="757F6C33">
                  <w:pPr>
                    <w:pStyle w:val="31"/>
                    <w:bidi w:val="0"/>
                    <w:ind w:firstLine="0" w:firstLineChars="0"/>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74" w:type="pct"/>
                  <w:noWrap w:val="0"/>
                  <w:vAlign w:val="center"/>
                </w:tcPr>
                <w:p w14:paraId="1E209604">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6EF27104">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49D19C2E">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5CB8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4E6A785D">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22</w:t>
                  </w:r>
                </w:p>
              </w:tc>
              <w:tc>
                <w:tcPr>
                  <w:tcW w:w="2146" w:type="dxa"/>
                  <w:noWrap w:val="0"/>
                  <w:vAlign w:val="center"/>
                </w:tcPr>
                <w:p w14:paraId="0CD0728A">
                  <w:pPr>
                    <w:pStyle w:val="31"/>
                    <w:bidi w:val="0"/>
                    <w:ind w:firstLine="0" w:firstLineChars="0"/>
                    <w:rPr>
                      <w:rFonts w:hint="default"/>
                      <w:color w:val="auto"/>
                      <w:lang w:val="en-US" w:eastAsia="zh-CN"/>
                    </w:rPr>
                  </w:pPr>
                  <w:r>
                    <w:rPr>
                      <w:rFonts w:hint="eastAsia"/>
                      <w:color w:val="auto"/>
                      <w:lang w:val="en-US" w:eastAsia="zh-CN"/>
                    </w:rPr>
                    <w:t>高频直缝焊管机6</w:t>
                  </w:r>
                </w:p>
              </w:tc>
              <w:tc>
                <w:tcPr>
                  <w:tcW w:w="920" w:type="pct"/>
                  <w:noWrap w:val="0"/>
                  <w:vAlign w:val="center"/>
                </w:tcPr>
                <w:p w14:paraId="1EFA9DBC">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127</w:t>
                  </w:r>
                </w:p>
              </w:tc>
              <w:tc>
                <w:tcPr>
                  <w:tcW w:w="474" w:type="pct"/>
                  <w:noWrap w:val="0"/>
                  <w:vAlign w:val="center"/>
                </w:tcPr>
                <w:p w14:paraId="4546362B">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1BC7D985">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1E1530CD">
                  <w:pPr>
                    <w:pStyle w:val="31"/>
                    <w:bidi w:val="0"/>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0741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7834A4EC">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23</w:t>
                  </w:r>
                </w:p>
              </w:tc>
              <w:tc>
                <w:tcPr>
                  <w:tcW w:w="2146" w:type="dxa"/>
                  <w:noWrap w:val="0"/>
                  <w:vAlign w:val="center"/>
                </w:tcPr>
                <w:p w14:paraId="0CBD3352">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高频6</w:t>
                  </w:r>
                </w:p>
              </w:tc>
              <w:tc>
                <w:tcPr>
                  <w:tcW w:w="920" w:type="pct"/>
                  <w:noWrap w:val="0"/>
                  <w:vAlign w:val="center"/>
                </w:tcPr>
                <w:p w14:paraId="4EF17B34">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0F3ABA29">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2727B3B5">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7F5B27ED">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385E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531C4D22">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24</w:t>
                  </w:r>
                </w:p>
              </w:tc>
              <w:tc>
                <w:tcPr>
                  <w:tcW w:w="2146" w:type="dxa"/>
                  <w:noWrap w:val="0"/>
                  <w:vAlign w:val="center"/>
                </w:tcPr>
                <w:p w14:paraId="3063220D">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飞锯6</w:t>
                  </w:r>
                </w:p>
              </w:tc>
              <w:tc>
                <w:tcPr>
                  <w:tcW w:w="920" w:type="pct"/>
                  <w:noWrap w:val="0"/>
                  <w:vAlign w:val="center"/>
                </w:tcPr>
                <w:p w14:paraId="59FD90BF">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68A8811D">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2721E6FD">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0227E9A7">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s="Times New Roman"/>
                      <w:b w:val="0"/>
                      <w:color w:val="auto"/>
                      <w:kern w:val="2"/>
                      <w:sz w:val="21"/>
                      <w:szCs w:val="24"/>
                      <w:lang w:val="en-US" w:eastAsia="zh-CN" w:bidi="ar-SA"/>
                    </w:rPr>
                    <w:t>新建</w:t>
                  </w:r>
                </w:p>
              </w:tc>
            </w:tr>
            <w:tr w14:paraId="27DF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2D57B40C">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25</w:t>
                  </w:r>
                </w:p>
              </w:tc>
              <w:tc>
                <w:tcPr>
                  <w:tcW w:w="2146" w:type="dxa"/>
                  <w:noWrap w:val="0"/>
                  <w:vAlign w:val="center"/>
                </w:tcPr>
                <w:p w14:paraId="28B5E475">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开卷7</w:t>
                  </w:r>
                </w:p>
              </w:tc>
              <w:tc>
                <w:tcPr>
                  <w:tcW w:w="920" w:type="pct"/>
                  <w:noWrap w:val="0"/>
                  <w:vAlign w:val="center"/>
                </w:tcPr>
                <w:p w14:paraId="0E465E27">
                  <w:pPr>
                    <w:pStyle w:val="31"/>
                    <w:bidi w:val="0"/>
                    <w:ind w:firstLine="0" w:firstLineChars="0"/>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74" w:type="pct"/>
                  <w:noWrap w:val="0"/>
                  <w:vAlign w:val="center"/>
                </w:tcPr>
                <w:p w14:paraId="13B993EA">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restart"/>
                  <w:noWrap w:val="0"/>
                  <w:vAlign w:val="center"/>
                </w:tcPr>
                <w:p w14:paraId="28BE8AD1">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4#生产车间</w:t>
                  </w:r>
                </w:p>
              </w:tc>
              <w:tc>
                <w:tcPr>
                  <w:tcW w:w="737" w:type="pct"/>
                  <w:shd w:val="clear" w:color="auto" w:fill="auto"/>
                  <w:noWrap w:val="0"/>
                  <w:vAlign w:val="center"/>
                </w:tcPr>
                <w:p w14:paraId="6647A77C">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2902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85A835D">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26</w:t>
                  </w:r>
                </w:p>
              </w:tc>
              <w:tc>
                <w:tcPr>
                  <w:tcW w:w="2146" w:type="dxa"/>
                  <w:noWrap w:val="0"/>
                  <w:vAlign w:val="center"/>
                </w:tcPr>
                <w:p w14:paraId="6FA168E9">
                  <w:pPr>
                    <w:pStyle w:val="31"/>
                    <w:bidi w:val="0"/>
                    <w:ind w:firstLine="0" w:firstLineChars="0"/>
                    <w:rPr>
                      <w:rFonts w:hint="default"/>
                      <w:color w:val="auto"/>
                      <w:lang w:val="en-US" w:eastAsia="zh-CN"/>
                    </w:rPr>
                  </w:pPr>
                  <w:r>
                    <w:rPr>
                      <w:rFonts w:hint="eastAsia"/>
                      <w:color w:val="auto"/>
                      <w:lang w:val="en-US" w:eastAsia="zh-CN"/>
                    </w:rPr>
                    <w:t>高频直缝焊管机7</w:t>
                  </w:r>
                </w:p>
              </w:tc>
              <w:tc>
                <w:tcPr>
                  <w:tcW w:w="920" w:type="pct"/>
                  <w:noWrap w:val="0"/>
                  <w:vAlign w:val="center"/>
                </w:tcPr>
                <w:p w14:paraId="22E4A295">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219</w:t>
                  </w:r>
                </w:p>
              </w:tc>
              <w:tc>
                <w:tcPr>
                  <w:tcW w:w="474" w:type="pct"/>
                  <w:noWrap w:val="0"/>
                  <w:vAlign w:val="center"/>
                </w:tcPr>
                <w:p w14:paraId="2CD0F7ED">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2BA1CA79">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6EB6E06C">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5244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60763323">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27</w:t>
                  </w:r>
                </w:p>
              </w:tc>
              <w:tc>
                <w:tcPr>
                  <w:tcW w:w="2146" w:type="dxa"/>
                  <w:noWrap w:val="0"/>
                  <w:vAlign w:val="center"/>
                </w:tcPr>
                <w:p w14:paraId="56586F0F">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高频7</w:t>
                  </w:r>
                </w:p>
              </w:tc>
              <w:tc>
                <w:tcPr>
                  <w:tcW w:w="920" w:type="pct"/>
                  <w:noWrap w:val="0"/>
                  <w:vAlign w:val="center"/>
                </w:tcPr>
                <w:p w14:paraId="70E3EC56">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229C2062">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29764A45">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49393B29">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42DA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147683A7">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28</w:t>
                  </w:r>
                </w:p>
              </w:tc>
              <w:tc>
                <w:tcPr>
                  <w:tcW w:w="2146" w:type="dxa"/>
                  <w:noWrap w:val="0"/>
                  <w:vAlign w:val="center"/>
                </w:tcPr>
                <w:p w14:paraId="6C67659B">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飞锯7</w:t>
                  </w:r>
                </w:p>
              </w:tc>
              <w:tc>
                <w:tcPr>
                  <w:tcW w:w="920" w:type="pct"/>
                  <w:noWrap w:val="0"/>
                  <w:vAlign w:val="center"/>
                </w:tcPr>
                <w:p w14:paraId="5B6BF8D2">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0E6A62FD">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5D40D3F1">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53EFFFA8">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669C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7A4A170B">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29</w:t>
                  </w:r>
                </w:p>
              </w:tc>
              <w:tc>
                <w:tcPr>
                  <w:tcW w:w="2146" w:type="dxa"/>
                  <w:noWrap w:val="0"/>
                  <w:vAlign w:val="center"/>
                </w:tcPr>
                <w:p w14:paraId="777BBEF2">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lang w:val="en-US" w:eastAsia="zh-CN"/>
                    </w:rPr>
                    <w:t>开卷8</w:t>
                  </w:r>
                </w:p>
              </w:tc>
              <w:tc>
                <w:tcPr>
                  <w:tcW w:w="920" w:type="pct"/>
                  <w:noWrap w:val="0"/>
                  <w:vAlign w:val="center"/>
                </w:tcPr>
                <w:p w14:paraId="0EA9D486">
                  <w:pPr>
                    <w:pStyle w:val="31"/>
                    <w:bidi w:val="0"/>
                    <w:ind w:firstLine="0" w:firstLineChars="0"/>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474" w:type="pct"/>
                  <w:noWrap w:val="0"/>
                  <w:vAlign w:val="center"/>
                </w:tcPr>
                <w:p w14:paraId="54867D6E">
                  <w:pPr>
                    <w:pStyle w:val="31"/>
                    <w:bidi w:val="0"/>
                    <w:ind w:firstLine="0" w:firstLineChars="0"/>
                    <w:rPr>
                      <w:rFonts w:hint="default" w:ascii="Times New Roman" w:hAnsi="Times New Roman" w:eastAsia="宋体"/>
                      <w:color w:val="auto"/>
                      <w:sz w:val="21"/>
                      <w:szCs w:val="21"/>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5C4085F2">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0EE4536B">
                  <w:pPr>
                    <w:pStyle w:val="31"/>
                    <w:bidi w:val="0"/>
                    <w:ind w:firstLine="0" w:firstLineChars="0"/>
                    <w:rPr>
                      <w:rFonts w:hint="default"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4EA3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63ADDC63">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30</w:t>
                  </w:r>
                </w:p>
              </w:tc>
              <w:tc>
                <w:tcPr>
                  <w:tcW w:w="2146" w:type="dxa"/>
                  <w:noWrap w:val="0"/>
                  <w:vAlign w:val="center"/>
                </w:tcPr>
                <w:p w14:paraId="3EAF784F">
                  <w:pPr>
                    <w:pStyle w:val="31"/>
                    <w:bidi w:val="0"/>
                    <w:ind w:firstLine="0" w:firstLineChars="0"/>
                    <w:rPr>
                      <w:rFonts w:hint="default"/>
                      <w:color w:val="auto"/>
                      <w:lang w:val="en-US" w:eastAsia="zh-CN"/>
                    </w:rPr>
                  </w:pPr>
                  <w:r>
                    <w:rPr>
                      <w:rFonts w:hint="eastAsia"/>
                      <w:color w:val="auto"/>
                      <w:lang w:val="en-US" w:eastAsia="zh-CN"/>
                    </w:rPr>
                    <w:t>高频直缝焊管机8</w:t>
                  </w:r>
                </w:p>
              </w:tc>
              <w:tc>
                <w:tcPr>
                  <w:tcW w:w="920" w:type="pct"/>
                  <w:noWrap w:val="0"/>
                  <w:vAlign w:val="center"/>
                </w:tcPr>
                <w:p w14:paraId="5082D880">
                  <w:pPr>
                    <w:pStyle w:val="31"/>
                    <w:bidi w:val="0"/>
                    <w:ind w:firstLine="0" w:firstLineChars="0"/>
                    <w:rPr>
                      <w:rFonts w:hint="default"/>
                      <w:color w:val="auto"/>
                      <w:lang w:val="en-US" w:eastAsia="zh-CN"/>
                    </w:rPr>
                  </w:pPr>
                  <w:r>
                    <w:rPr>
                      <w:rFonts w:hint="default"/>
                      <w:color w:val="auto"/>
                      <w:lang w:val="en-US" w:eastAsia="zh-CN"/>
                    </w:rPr>
                    <w:t>ZG</w:t>
                  </w:r>
                  <w:r>
                    <w:rPr>
                      <w:rFonts w:hint="eastAsia"/>
                      <w:color w:val="auto"/>
                      <w:lang w:val="en-US" w:eastAsia="zh-CN"/>
                    </w:rPr>
                    <w:t>325</w:t>
                  </w:r>
                </w:p>
              </w:tc>
              <w:tc>
                <w:tcPr>
                  <w:tcW w:w="474" w:type="pct"/>
                  <w:noWrap w:val="0"/>
                  <w:vAlign w:val="center"/>
                </w:tcPr>
                <w:p w14:paraId="551CEA8B">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383439AE">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4F362D08">
                  <w:pPr>
                    <w:pStyle w:val="31"/>
                    <w:bidi w:val="0"/>
                    <w:ind w:firstLine="0" w:firstLineChars="0"/>
                    <w:rPr>
                      <w:rFonts w:hint="eastAsia" w:ascii="Times New Roman" w:hAnsi="Times New Roman" w:eastAsia="宋体" w:cs="Times New Roman"/>
                      <w:b w:val="0"/>
                      <w:color w:val="auto"/>
                      <w:kern w:val="2"/>
                      <w:sz w:val="21"/>
                      <w:szCs w:val="21"/>
                      <w:lang w:val="en-US" w:eastAsia="zh-CN" w:bidi="ar-SA"/>
                    </w:rPr>
                  </w:pPr>
                  <w:r>
                    <w:rPr>
                      <w:rFonts w:hint="eastAsia"/>
                      <w:color w:val="auto"/>
                      <w:lang w:val="en-US" w:eastAsia="zh-CN"/>
                    </w:rPr>
                    <w:t>新建</w:t>
                  </w:r>
                </w:p>
              </w:tc>
            </w:tr>
            <w:tr w14:paraId="1490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2ABF6263">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31</w:t>
                  </w:r>
                </w:p>
              </w:tc>
              <w:tc>
                <w:tcPr>
                  <w:tcW w:w="2146" w:type="dxa"/>
                  <w:noWrap w:val="0"/>
                  <w:vAlign w:val="center"/>
                </w:tcPr>
                <w:p w14:paraId="22A02E81">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高频8</w:t>
                  </w:r>
                </w:p>
              </w:tc>
              <w:tc>
                <w:tcPr>
                  <w:tcW w:w="920" w:type="pct"/>
                  <w:noWrap w:val="0"/>
                  <w:vAlign w:val="center"/>
                </w:tcPr>
                <w:p w14:paraId="434E0E75">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7C821F9F">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58348325">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13C8A10E">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olor w:val="auto"/>
                      <w:lang w:val="en-US" w:eastAsia="zh-CN"/>
                    </w:rPr>
                    <w:t>新建</w:t>
                  </w:r>
                </w:p>
              </w:tc>
            </w:tr>
            <w:tr w14:paraId="7E9B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0467FA98">
                  <w:pPr>
                    <w:pStyle w:val="31"/>
                    <w:bidi w:val="0"/>
                    <w:ind w:firstLine="0" w:firstLineChars="0"/>
                    <w:rPr>
                      <w:rFonts w:hint="default" w:ascii="Times New Roman" w:hAnsi="Times New Roman" w:eastAsia="宋体"/>
                      <w:color w:val="auto"/>
                      <w:lang w:val="en-US" w:eastAsia="zh-CN"/>
                    </w:rPr>
                  </w:pPr>
                  <w:r>
                    <w:rPr>
                      <w:rFonts w:hint="eastAsia"/>
                      <w:color w:val="auto"/>
                      <w:lang w:val="en-US" w:eastAsia="zh-CN"/>
                    </w:rPr>
                    <w:t>32</w:t>
                  </w:r>
                </w:p>
              </w:tc>
              <w:tc>
                <w:tcPr>
                  <w:tcW w:w="2146" w:type="dxa"/>
                  <w:noWrap w:val="0"/>
                  <w:vAlign w:val="center"/>
                </w:tcPr>
                <w:p w14:paraId="5AFC058C">
                  <w:pPr>
                    <w:pStyle w:val="31"/>
                    <w:bidi w:val="0"/>
                    <w:ind w:firstLine="0" w:firstLineChars="0"/>
                    <w:rPr>
                      <w:rFonts w:hint="default"/>
                      <w:color w:val="auto"/>
                      <w:lang w:val="en-US" w:eastAsia="zh-CN"/>
                    </w:rPr>
                  </w:pPr>
                  <w:r>
                    <w:rPr>
                      <w:rFonts w:hint="eastAsia" w:ascii="Times New Roman" w:hAnsi="Times New Roman" w:eastAsia="宋体"/>
                      <w:color w:val="auto"/>
                      <w:lang w:val="en-US" w:eastAsia="zh-CN"/>
                    </w:rPr>
                    <w:t>飞锯8</w:t>
                  </w:r>
                </w:p>
              </w:tc>
              <w:tc>
                <w:tcPr>
                  <w:tcW w:w="920" w:type="pct"/>
                  <w:noWrap w:val="0"/>
                  <w:vAlign w:val="center"/>
                </w:tcPr>
                <w:p w14:paraId="4C5F467D">
                  <w:pPr>
                    <w:pStyle w:val="31"/>
                    <w:bidi w:val="0"/>
                    <w:ind w:firstLine="0" w:firstLineChars="0"/>
                    <w:rPr>
                      <w:rFonts w:hint="default"/>
                      <w:color w:val="auto"/>
                      <w:lang w:val="en-US" w:eastAsia="zh-CN"/>
                    </w:rPr>
                  </w:pPr>
                  <w:r>
                    <w:rPr>
                      <w:rFonts w:hint="default" w:ascii="Times New Roman" w:hAnsi="Times New Roman" w:eastAsia="宋体"/>
                      <w:color w:val="auto"/>
                      <w:lang w:val="en-US" w:eastAsia="zh-CN"/>
                    </w:rPr>
                    <w:t>/</w:t>
                  </w:r>
                </w:p>
              </w:tc>
              <w:tc>
                <w:tcPr>
                  <w:tcW w:w="474" w:type="pct"/>
                  <w:noWrap w:val="0"/>
                  <w:vAlign w:val="center"/>
                </w:tcPr>
                <w:p w14:paraId="33E6EBB0">
                  <w:pPr>
                    <w:pStyle w:val="31"/>
                    <w:bidi w:val="0"/>
                    <w:ind w:firstLine="0" w:firstLineChars="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1</w:t>
                  </w:r>
                  <w:r>
                    <w:rPr>
                      <w:rFonts w:hint="eastAsia" w:ascii="Times New Roman" w:hAnsi="Times New Roman" w:eastAsia="宋体"/>
                      <w:color w:val="auto"/>
                      <w:lang w:val="en-US" w:eastAsia="zh-CN"/>
                    </w:rPr>
                    <w:t>台</w:t>
                  </w:r>
                </w:p>
              </w:tc>
              <w:tc>
                <w:tcPr>
                  <w:tcW w:w="1084" w:type="pct"/>
                  <w:vMerge w:val="continue"/>
                  <w:noWrap w:val="0"/>
                  <w:vAlign w:val="center"/>
                </w:tcPr>
                <w:p w14:paraId="76DC5B42">
                  <w:pPr>
                    <w:pStyle w:val="31"/>
                    <w:bidi w:val="0"/>
                    <w:ind w:firstLine="0" w:firstLineChars="0"/>
                    <w:rPr>
                      <w:rFonts w:hint="default" w:ascii="Times New Roman" w:hAnsi="Times New Roman" w:eastAsia="宋体"/>
                      <w:color w:val="auto"/>
                      <w:sz w:val="21"/>
                      <w:szCs w:val="21"/>
                      <w:lang w:val="en-US" w:eastAsia="zh-CN"/>
                    </w:rPr>
                  </w:pPr>
                </w:p>
              </w:tc>
              <w:tc>
                <w:tcPr>
                  <w:tcW w:w="737" w:type="pct"/>
                  <w:shd w:val="clear" w:color="auto" w:fill="auto"/>
                  <w:noWrap w:val="0"/>
                  <w:vAlign w:val="center"/>
                </w:tcPr>
                <w:p w14:paraId="6AFE29C2">
                  <w:pPr>
                    <w:pStyle w:val="31"/>
                    <w:bidi w:val="0"/>
                    <w:ind w:firstLine="0" w:firstLineChars="0"/>
                    <w:rPr>
                      <w:rFonts w:hint="eastAsia" w:ascii="Times New Roman" w:hAnsi="Times New Roman" w:eastAsia="宋体" w:cs="Times New Roman"/>
                      <w:b w:val="0"/>
                      <w:color w:val="auto"/>
                      <w:kern w:val="2"/>
                      <w:sz w:val="21"/>
                      <w:szCs w:val="24"/>
                      <w:lang w:val="en-US" w:eastAsia="zh-CN" w:bidi="ar-SA"/>
                    </w:rPr>
                  </w:pPr>
                  <w:r>
                    <w:rPr>
                      <w:rFonts w:hint="eastAsia" w:cs="Times New Roman"/>
                      <w:b w:val="0"/>
                      <w:color w:val="auto"/>
                      <w:kern w:val="2"/>
                      <w:sz w:val="21"/>
                      <w:szCs w:val="24"/>
                      <w:lang w:val="en-US" w:eastAsia="zh-CN" w:bidi="ar-SA"/>
                    </w:rPr>
                    <w:t>新建</w:t>
                  </w:r>
                </w:p>
              </w:tc>
            </w:tr>
            <w:tr w14:paraId="3268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5C46BE3B">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33</w:t>
                  </w:r>
                </w:p>
              </w:tc>
              <w:tc>
                <w:tcPr>
                  <w:tcW w:w="1337" w:type="pct"/>
                  <w:noWrap w:val="0"/>
                  <w:vAlign w:val="center"/>
                </w:tcPr>
                <w:p w14:paraId="022C1B70">
                  <w:pPr>
                    <w:pStyle w:val="31"/>
                    <w:bidi w:val="0"/>
                    <w:ind w:firstLine="0" w:firstLineChars="0"/>
                    <w:rPr>
                      <w:rFonts w:hint="eastAsia" w:ascii="Times New Roman" w:hAnsi="Times New Roman" w:eastAsia="宋体" w:cs="Times New Roman"/>
                      <w:color w:val="auto"/>
                      <w:sz w:val="21"/>
                      <w:szCs w:val="21"/>
                      <w:lang w:val="en-US" w:eastAsia="zh-CN"/>
                    </w:rPr>
                  </w:pPr>
                  <w:r>
                    <w:rPr>
                      <w:rFonts w:hint="eastAsia"/>
                      <w:color w:val="auto"/>
                      <w:lang w:val="en-US" w:eastAsia="zh-CN"/>
                    </w:rPr>
                    <w:t>螺杆式空压机</w:t>
                  </w:r>
                </w:p>
              </w:tc>
              <w:tc>
                <w:tcPr>
                  <w:tcW w:w="920" w:type="pct"/>
                  <w:noWrap w:val="0"/>
                  <w:vAlign w:val="center"/>
                </w:tcPr>
                <w:p w14:paraId="6930AD34">
                  <w:pPr>
                    <w:pStyle w:val="31"/>
                    <w:bidi w:val="0"/>
                    <w:ind w:firstLine="0" w:firstLineChars="0"/>
                    <w:rPr>
                      <w:rFonts w:hint="eastAsia" w:ascii="Times New Roman" w:hAnsi="Times New Roman" w:eastAsia="宋体"/>
                      <w:color w:val="auto"/>
                      <w:sz w:val="21"/>
                      <w:szCs w:val="21"/>
                    </w:rPr>
                  </w:pPr>
                  <w:r>
                    <w:rPr>
                      <w:rFonts w:hint="eastAsia"/>
                      <w:color w:val="auto"/>
                      <w:lang w:val="en-US" w:eastAsia="zh-CN"/>
                    </w:rPr>
                    <w:t>SY37-8A</w:t>
                  </w:r>
                </w:p>
              </w:tc>
              <w:tc>
                <w:tcPr>
                  <w:tcW w:w="474" w:type="pct"/>
                  <w:noWrap w:val="0"/>
                  <w:vAlign w:val="center"/>
                </w:tcPr>
                <w:p w14:paraId="5E201FA7">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8</w:t>
                  </w:r>
                  <w:r>
                    <w:rPr>
                      <w:rFonts w:hint="eastAsia" w:ascii="Times New Roman" w:hAnsi="Times New Roman" w:eastAsia="宋体"/>
                      <w:color w:val="auto"/>
                      <w:lang w:val="en-US" w:eastAsia="zh-CN"/>
                    </w:rPr>
                    <w:t>台</w:t>
                  </w:r>
                </w:p>
              </w:tc>
              <w:tc>
                <w:tcPr>
                  <w:tcW w:w="1084" w:type="pct"/>
                  <w:vMerge w:val="restart"/>
                  <w:noWrap w:val="0"/>
                  <w:vAlign w:val="center"/>
                </w:tcPr>
                <w:p w14:paraId="70ED4932">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1#、2#、3#、4#生产车间</w:t>
                  </w:r>
                </w:p>
              </w:tc>
              <w:tc>
                <w:tcPr>
                  <w:tcW w:w="737" w:type="pct"/>
                  <w:noWrap w:val="0"/>
                  <w:vAlign w:val="center"/>
                </w:tcPr>
                <w:p w14:paraId="787FAC20">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新建</w:t>
                  </w:r>
                </w:p>
              </w:tc>
            </w:tr>
            <w:tr w14:paraId="000C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BCADED2">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34</w:t>
                  </w:r>
                </w:p>
              </w:tc>
              <w:tc>
                <w:tcPr>
                  <w:tcW w:w="1337" w:type="pct"/>
                  <w:noWrap w:val="0"/>
                  <w:vAlign w:val="center"/>
                </w:tcPr>
                <w:p w14:paraId="035A4F3C">
                  <w:pPr>
                    <w:pStyle w:val="31"/>
                    <w:bidi w:val="0"/>
                    <w:ind w:firstLine="0" w:firstLineChars="0"/>
                    <w:rPr>
                      <w:rFonts w:hint="eastAsia" w:ascii="Times New Roman" w:hAnsi="Times New Roman" w:eastAsia="宋体" w:cs="Times New Roman"/>
                      <w:color w:val="auto"/>
                      <w:sz w:val="21"/>
                      <w:szCs w:val="21"/>
                      <w:lang w:val="en-US" w:eastAsia="zh-CN"/>
                    </w:rPr>
                  </w:pPr>
                  <w:r>
                    <w:rPr>
                      <w:rFonts w:hint="eastAsia"/>
                      <w:color w:val="auto"/>
                      <w:lang w:val="en-US" w:eastAsia="zh-CN"/>
                    </w:rPr>
                    <w:t>行车</w:t>
                  </w:r>
                </w:p>
              </w:tc>
              <w:tc>
                <w:tcPr>
                  <w:tcW w:w="920" w:type="pct"/>
                  <w:noWrap w:val="0"/>
                  <w:vAlign w:val="center"/>
                </w:tcPr>
                <w:p w14:paraId="657F6924">
                  <w:pPr>
                    <w:pStyle w:val="31"/>
                    <w:bidi w:val="0"/>
                    <w:ind w:firstLine="0" w:firstLineChars="0"/>
                    <w:rPr>
                      <w:rFonts w:hint="eastAsia" w:ascii="Times New Roman" w:hAnsi="Times New Roman" w:eastAsia="宋体"/>
                      <w:color w:val="auto"/>
                      <w:sz w:val="21"/>
                      <w:szCs w:val="21"/>
                    </w:rPr>
                  </w:pPr>
                  <w:r>
                    <w:rPr>
                      <w:rFonts w:hint="eastAsia"/>
                      <w:color w:val="auto"/>
                      <w:lang w:val="en-US" w:eastAsia="zh-CN"/>
                    </w:rPr>
                    <w:t>2</w:t>
                  </w:r>
                  <w:r>
                    <w:rPr>
                      <w:rFonts w:hint="default"/>
                      <w:color w:val="auto"/>
                      <w:lang w:val="en-US" w:eastAsia="zh-CN"/>
                    </w:rPr>
                    <w:t>5t</w:t>
                  </w:r>
                </w:p>
              </w:tc>
              <w:tc>
                <w:tcPr>
                  <w:tcW w:w="474" w:type="pct"/>
                  <w:noWrap w:val="0"/>
                  <w:vAlign w:val="center"/>
                </w:tcPr>
                <w:p w14:paraId="42B61C0D">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4</w:t>
                  </w:r>
                  <w:r>
                    <w:rPr>
                      <w:rFonts w:hint="eastAsia" w:ascii="Times New Roman" w:hAnsi="Times New Roman" w:eastAsia="宋体"/>
                      <w:color w:val="auto"/>
                      <w:lang w:val="en-US" w:eastAsia="zh-CN"/>
                    </w:rPr>
                    <w:t>台</w:t>
                  </w:r>
                </w:p>
              </w:tc>
              <w:tc>
                <w:tcPr>
                  <w:tcW w:w="1084" w:type="pct"/>
                  <w:vMerge w:val="continue"/>
                  <w:noWrap w:val="0"/>
                  <w:vAlign w:val="center"/>
                </w:tcPr>
                <w:p w14:paraId="330162E8">
                  <w:pPr>
                    <w:pStyle w:val="31"/>
                    <w:bidi w:val="0"/>
                    <w:ind w:firstLine="0" w:firstLineChars="0"/>
                    <w:rPr>
                      <w:rFonts w:hint="default" w:ascii="Times New Roman" w:hAnsi="Times New Roman" w:eastAsia="宋体"/>
                      <w:color w:val="auto"/>
                      <w:sz w:val="21"/>
                      <w:szCs w:val="21"/>
                      <w:lang w:val="en-US" w:eastAsia="zh-CN"/>
                    </w:rPr>
                  </w:pPr>
                </w:p>
              </w:tc>
              <w:tc>
                <w:tcPr>
                  <w:tcW w:w="737" w:type="pct"/>
                  <w:noWrap w:val="0"/>
                  <w:vAlign w:val="center"/>
                </w:tcPr>
                <w:p w14:paraId="436B907D">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利用原有</w:t>
                  </w:r>
                </w:p>
              </w:tc>
            </w:tr>
            <w:tr w14:paraId="3FA0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1AC731AD">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35</w:t>
                  </w:r>
                </w:p>
              </w:tc>
              <w:tc>
                <w:tcPr>
                  <w:tcW w:w="1337" w:type="pct"/>
                  <w:noWrap w:val="0"/>
                  <w:vAlign w:val="center"/>
                </w:tcPr>
                <w:p w14:paraId="16E31AFF">
                  <w:pPr>
                    <w:pStyle w:val="31"/>
                    <w:bidi w:val="0"/>
                    <w:ind w:firstLine="0" w:firstLineChars="0"/>
                    <w:rPr>
                      <w:rFonts w:hint="eastAsia" w:ascii="Times New Roman" w:hAnsi="Times New Roman" w:eastAsia="宋体" w:cs="Times New Roman"/>
                      <w:color w:val="auto"/>
                      <w:sz w:val="21"/>
                      <w:szCs w:val="21"/>
                      <w:lang w:val="en-US" w:eastAsia="zh-CN"/>
                    </w:rPr>
                  </w:pPr>
                  <w:r>
                    <w:rPr>
                      <w:rFonts w:hint="eastAsia"/>
                      <w:color w:val="auto"/>
                      <w:lang w:val="en-US" w:eastAsia="zh-CN"/>
                    </w:rPr>
                    <w:t>行车</w:t>
                  </w:r>
                </w:p>
              </w:tc>
              <w:tc>
                <w:tcPr>
                  <w:tcW w:w="920" w:type="pct"/>
                  <w:noWrap w:val="0"/>
                  <w:vAlign w:val="center"/>
                </w:tcPr>
                <w:p w14:paraId="292F984B">
                  <w:pPr>
                    <w:pStyle w:val="31"/>
                    <w:bidi w:val="0"/>
                    <w:ind w:firstLine="0" w:firstLineChars="0"/>
                    <w:rPr>
                      <w:rFonts w:hint="eastAsia" w:ascii="Times New Roman" w:hAnsi="Times New Roman" w:eastAsia="宋体"/>
                      <w:color w:val="auto"/>
                      <w:sz w:val="21"/>
                      <w:szCs w:val="21"/>
                    </w:rPr>
                  </w:pPr>
                  <w:r>
                    <w:rPr>
                      <w:rFonts w:hint="eastAsia"/>
                      <w:color w:val="auto"/>
                      <w:lang w:val="en-US" w:eastAsia="zh-CN"/>
                    </w:rPr>
                    <w:t>15</w:t>
                  </w:r>
                  <w:r>
                    <w:rPr>
                      <w:rFonts w:hint="default"/>
                      <w:color w:val="auto"/>
                      <w:lang w:val="en-US" w:eastAsia="zh-CN"/>
                    </w:rPr>
                    <w:t>t</w:t>
                  </w:r>
                </w:p>
              </w:tc>
              <w:tc>
                <w:tcPr>
                  <w:tcW w:w="474" w:type="pct"/>
                  <w:noWrap w:val="0"/>
                  <w:vAlign w:val="center"/>
                </w:tcPr>
                <w:p w14:paraId="171B9991">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8</w:t>
                  </w:r>
                  <w:r>
                    <w:rPr>
                      <w:rFonts w:hint="eastAsia" w:ascii="Times New Roman" w:hAnsi="Times New Roman" w:eastAsia="宋体"/>
                      <w:color w:val="auto"/>
                      <w:lang w:val="en-US" w:eastAsia="zh-CN"/>
                    </w:rPr>
                    <w:t>台</w:t>
                  </w:r>
                </w:p>
              </w:tc>
              <w:tc>
                <w:tcPr>
                  <w:tcW w:w="1084" w:type="pct"/>
                  <w:vMerge w:val="continue"/>
                  <w:noWrap w:val="0"/>
                  <w:vAlign w:val="center"/>
                </w:tcPr>
                <w:p w14:paraId="247E86DC">
                  <w:pPr>
                    <w:pStyle w:val="31"/>
                    <w:bidi w:val="0"/>
                    <w:ind w:firstLine="0" w:firstLineChars="0"/>
                    <w:rPr>
                      <w:rFonts w:hint="default" w:ascii="Times New Roman" w:hAnsi="Times New Roman" w:eastAsia="宋体"/>
                      <w:color w:val="auto"/>
                      <w:sz w:val="21"/>
                      <w:szCs w:val="21"/>
                      <w:lang w:val="en-US" w:eastAsia="zh-CN"/>
                    </w:rPr>
                  </w:pPr>
                </w:p>
              </w:tc>
              <w:tc>
                <w:tcPr>
                  <w:tcW w:w="737" w:type="pct"/>
                  <w:noWrap w:val="0"/>
                  <w:vAlign w:val="center"/>
                </w:tcPr>
                <w:p w14:paraId="35204533">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利用原有</w:t>
                  </w:r>
                </w:p>
              </w:tc>
            </w:tr>
            <w:tr w14:paraId="245D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7B9F68BA">
                  <w:pPr>
                    <w:pStyle w:val="31"/>
                    <w:bidi w:val="0"/>
                    <w:ind w:firstLine="0" w:firstLineChars="0"/>
                    <w:rPr>
                      <w:rFonts w:hint="default"/>
                      <w:color w:val="auto"/>
                      <w:lang w:val="en-US" w:eastAsia="zh-CN"/>
                    </w:rPr>
                  </w:pPr>
                  <w:r>
                    <w:rPr>
                      <w:rFonts w:hint="eastAsia"/>
                      <w:color w:val="auto"/>
                      <w:lang w:val="en-US" w:eastAsia="zh-CN"/>
                    </w:rPr>
                    <w:t>36</w:t>
                  </w:r>
                </w:p>
              </w:tc>
              <w:tc>
                <w:tcPr>
                  <w:tcW w:w="1337" w:type="pct"/>
                  <w:noWrap w:val="0"/>
                  <w:vAlign w:val="center"/>
                </w:tcPr>
                <w:p w14:paraId="0710BA6F">
                  <w:pPr>
                    <w:pStyle w:val="31"/>
                    <w:bidi w:val="0"/>
                    <w:ind w:firstLine="0" w:firstLineChars="0"/>
                    <w:rPr>
                      <w:rFonts w:hint="default"/>
                      <w:color w:val="auto"/>
                      <w:lang w:val="en-US" w:eastAsia="zh-CN"/>
                    </w:rPr>
                  </w:pPr>
                  <w:r>
                    <w:rPr>
                      <w:rFonts w:hint="eastAsia"/>
                      <w:color w:val="auto"/>
                      <w:lang w:val="en-US" w:eastAsia="zh-CN"/>
                    </w:rPr>
                    <w:t>数控激光飞锯机</w:t>
                  </w:r>
                </w:p>
              </w:tc>
              <w:tc>
                <w:tcPr>
                  <w:tcW w:w="920" w:type="pct"/>
                  <w:noWrap w:val="0"/>
                  <w:vAlign w:val="center"/>
                </w:tcPr>
                <w:p w14:paraId="0054D5EC">
                  <w:pPr>
                    <w:pStyle w:val="31"/>
                    <w:bidi w:val="0"/>
                    <w:ind w:firstLine="0" w:firstLineChars="0"/>
                    <w:rPr>
                      <w:rFonts w:hint="default" w:ascii="Times New Roman" w:hAnsi="Times New Roman" w:eastAsia="楷体"/>
                      <w:color w:val="auto"/>
                      <w:sz w:val="24"/>
                      <w:lang w:val="en-US" w:eastAsia="zh-CN"/>
                    </w:rPr>
                  </w:pPr>
                  <w:r>
                    <w:rPr>
                      <w:rFonts w:hint="eastAsia" w:ascii="Times New Roman" w:hAnsi="Times New Roman" w:eastAsia="宋体" w:cs="Times New Roman"/>
                      <w:color w:val="auto"/>
                      <w:lang w:val="en-US" w:eastAsia="zh-CN"/>
                    </w:rPr>
                    <w:t>F300</w:t>
                  </w:r>
                </w:p>
              </w:tc>
              <w:tc>
                <w:tcPr>
                  <w:tcW w:w="474" w:type="pct"/>
                  <w:noWrap w:val="0"/>
                  <w:vAlign w:val="center"/>
                </w:tcPr>
                <w:p w14:paraId="7F882128">
                  <w:pPr>
                    <w:pStyle w:val="31"/>
                    <w:bidi w:val="0"/>
                    <w:ind w:firstLine="0" w:firstLineChars="0"/>
                    <w:rPr>
                      <w:rFonts w:hint="default"/>
                      <w:color w:val="auto"/>
                      <w:lang w:val="en-US" w:eastAsia="zh-CN"/>
                    </w:rPr>
                  </w:pPr>
                  <w:r>
                    <w:rPr>
                      <w:rFonts w:hint="eastAsia"/>
                      <w:color w:val="auto"/>
                      <w:lang w:val="en-US" w:eastAsia="zh-CN"/>
                    </w:rPr>
                    <w:t>1台</w:t>
                  </w:r>
                </w:p>
              </w:tc>
              <w:tc>
                <w:tcPr>
                  <w:tcW w:w="1084" w:type="pct"/>
                  <w:noWrap w:val="0"/>
                  <w:vAlign w:val="center"/>
                </w:tcPr>
                <w:p w14:paraId="615962F7">
                  <w:pPr>
                    <w:pStyle w:val="31"/>
                    <w:bidi w:val="0"/>
                    <w:ind w:firstLine="0" w:firstLineChars="0"/>
                    <w:rPr>
                      <w:rFonts w:hint="default"/>
                      <w:color w:val="auto"/>
                      <w:sz w:val="21"/>
                      <w:szCs w:val="21"/>
                      <w:lang w:val="en-US" w:eastAsia="zh-CN"/>
                    </w:rPr>
                  </w:pPr>
                  <w:r>
                    <w:rPr>
                      <w:rFonts w:hint="eastAsia"/>
                      <w:color w:val="auto"/>
                      <w:sz w:val="21"/>
                      <w:szCs w:val="21"/>
                      <w:lang w:val="en-US" w:eastAsia="zh-CN"/>
                    </w:rPr>
                    <w:t>2#生产车间</w:t>
                  </w:r>
                </w:p>
              </w:tc>
              <w:tc>
                <w:tcPr>
                  <w:tcW w:w="737" w:type="pct"/>
                  <w:noWrap w:val="0"/>
                  <w:vAlign w:val="center"/>
                </w:tcPr>
                <w:p w14:paraId="27B5FB19">
                  <w:pPr>
                    <w:pStyle w:val="31"/>
                    <w:bidi w:val="0"/>
                    <w:ind w:firstLine="0" w:firstLineChars="0"/>
                    <w:rPr>
                      <w:rFonts w:hint="eastAsia"/>
                      <w:color w:val="auto"/>
                      <w:lang w:val="en-US" w:eastAsia="zh-CN"/>
                    </w:rPr>
                  </w:pPr>
                  <w:r>
                    <w:rPr>
                      <w:rFonts w:hint="eastAsia"/>
                      <w:color w:val="auto"/>
                      <w:lang w:val="en-US" w:eastAsia="zh-CN"/>
                    </w:rPr>
                    <w:t>新建</w:t>
                  </w:r>
                </w:p>
              </w:tc>
            </w:tr>
            <w:tr w14:paraId="0285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5" w:type="pct"/>
                  <w:noWrap w:val="0"/>
                  <w:vAlign w:val="center"/>
                </w:tcPr>
                <w:p w14:paraId="387E8F95">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37</w:t>
                  </w:r>
                </w:p>
              </w:tc>
              <w:tc>
                <w:tcPr>
                  <w:tcW w:w="1337" w:type="pct"/>
                  <w:noWrap w:val="0"/>
                  <w:vAlign w:val="center"/>
                </w:tcPr>
                <w:p w14:paraId="22199A81">
                  <w:pPr>
                    <w:pStyle w:val="31"/>
                    <w:bidi w:val="0"/>
                    <w:ind w:firstLine="0" w:firstLineChars="0"/>
                    <w:rPr>
                      <w:rFonts w:hint="default" w:ascii="Times New Roman" w:hAnsi="Times New Roman" w:eastAsia="宋体" w:cs="Times New Roman"/>
                      <w:color w:val="auto"/>
                      <w:sz w:val="21"/>
                      <w:szCs w:val="21"/>
                      <w:lang w:val="en-US" w:eastAsia="zh-CN"/>
                    </w:rPr>
                  </w:pPr>
                  <w:r>
                    <w:rPr>
                      <w:rFonts w:hint="eastAsia"/>
                      <w:color w:val="auto"/>
                      <w:lang w:val="en-US" w:eastAsia="zh-CN"/>
                    </w:rPr>
                    <w:t>分剪机</w:t>
                  </w:r>
                </w:p>
              </w:tc>
              <w:tc>
                <w:tcPr>
                  <w:tcW w:w="920" w:type="pct"/>
                  <w:noWrap w:val="0"/>
                  <w:vAlign w:val="center"/>
                </w:tcPr>
                <w:p w14:paraId="0EC31B70">
                  <w:pPr>
                    <w:pStyle w:val="31"/>
                    <w:bidi w:val="0"/>
                    <w:ind w:firstLine="0" w:firstLineChars="0"/>
                    <w:rPr>
                      <w:rFonts w:hint="eastAsia" w:ascii="Times New Roman" w:hAnsi="Times New Roman" w:eastAsia="宋体"/>
                      <w:color w:val="auto"/>
                      <w:sz w:val="21"/>
                      <w:szCs w:val="21"/>
                    </w:rPr>
                  </w:pPr>
                  <w:r>
                    <w:rPr>
                      <w:rFonts w:hint="eastAsia" w:ascii="Times New Roman" w:hAnsi="Times New Roman" w:eastAsia="楷体"/>
                      <w:color w:val="auto"/>
                      <w:sz w:val="24"/>
                      <w:lang w:val="en-US" w:eastAsia="zh-CN"/>
                    </w:rPr>
                    <w:t>/</w:t>
                  </w:r>
                </w:p>
              </w:tc>
              <w:tc>
                <w:tcPr>
                  <w:tcW w:w="474" w:type="pct"/>
                  <w:noWrap w:val="0"/>
                  <w:vAlign w:val="center"/>
                </w:tcPr>
                <w:p w14:paraId="5DD31364">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2</w:t>
                  </w:r>
                  <w:r>
                    <w:rPr>
                      <w:rFonts w:hint="eastAsia" w:ascii="Times New Roman" w:hAnsi="Times New Roman" w:eastAsia="宋体"/>
                      <w:color w:val="auto"/>
                      <w:lang w:val="en-US" w:eastAsia="zh-CN"/>
                    </w:rPr>
                    <w:t>台</w:t>
                  </w:r>
                </w:p>
              </w:tc>
              <w:tc>
                <w:tcPr>
                  <w:tcW w:w="1084" w:type="pct"/>
                  <w:noWrap w:val="0"/>
                  <w:vAlign w:val="center"/>
                </w:tcPr>
                <w:p w14:paraId="0586DD9A">
                  <w:pPr>
                    <w:pStyle w:val="31"/>
                    <w:bidi w:val="0"/>
                    <w:ind w:firstLine="0" w:firstLineChars="0"/>
                    <w:rPr>
                      <w:rFonts w:hint="default" w:ascii="Times New Roman" w:hAnsi="Times New Roman" w:eastAsia="宋体"/>
                      <w:color w:val="auto"/>
                      <w:sz w:val="21"/>
                      <w:szCs w:val="21"/>
                      <w:lang w:val="en-US" w:eastAsia="zh-CN"/>
                    </w:rPr>
                  </w:pPr>
                  <w:r>
                    <w:rPr>
                      <w:rFonts w:hint="eastAsia"/>
                      <w:color w:val="auto"/>
                      <w:sz w:val="21"/>
                      <w:szCs w:val="21"/>
                      <w:lang w:val="en-US" w:eastAsia="zh-CN"/>
                    </w:rPr>
                    <w:t>2#、4#生产车间</w:t>
                  </w:r>
                </w:p>
              </w:tc>
              <w:tc>
                <w:tcPr>
                  <w:tcW w:w="737" w:type="pct"/>
                  <w:noWrap w:val="0"/>
                  <w:vAlign w:val="center"/>
                </w:tcPr>
                <w:p w14:paraId="14AD9D62">
                  <w:pPr>
                    <w:pStyle w:val="31"/>
                    <w:bidi w:val="0"/>
                    <w:ind w:firstLine="0" w:firstLineChars="0"/>
                    <w:rPr>
                      <w:rFonts w:hint="default" w:ascii="Times New Roman" w:hAnsi="Times New Roman" w:eastAsia="宋体"/>
                      <w:color w:val="auto"/>
                      <w:sz w:val="21"/>
                      <w:szCs w:val="21"/>
                      <w:lang w:val="en-US" w:eastAsia="zh-CN"/>
                    </w:rPr>
                  </w:pPr>
                  <w:r>
                    <w:rPr>
                      <w:rFonts w:hint="eastAsia"/>
                      <w:color w:val="auto"/>
                      <w:lang w:val="en-US" w:eastAsia="zh-CN"/>
                    </w:rPr>
                    <w:t>新建</w:t>
                  </w:r>
                </w:p>
              </w:tc>
            </w:tr>
          </w:tbl>
          <w:p w14:paraId="0A920940">
            <w:pPr>
              <w:adjustRightInd w:val="0"/>
              <w:snapToGrid w:val="0"/>
              <w:spacing w:before="158" w:beforeLines="50" w:line="360" w:lineRule="auto"/>
              <w:outlineLvl w:val="1"/>
              <w:rPr>
                <w:rFonts w:ascii="Times New Roman" w:hAnsi="Times New Roman" w:eastAsia="宋体" w:cs="宋体"/>
                <w:b/>
                <w:color w:val="auto"/>
                <w:sz w:val="24"/>
              </w:rPr>
            </w:pPr>
            <w:r>
              <w:rPr>
                <w:rFonts w:hint="eastAsia" w:ascii="Times New Roman" w:hAnsi="Times New Roman" w:eastAsia="宋体" w:cs="宋体"/>
                <w:b/>
                <w:color w:val="auto"/>
                <w:sz w:val="24"/>
                <w:lang w:val="en-US" w:eastAsia="zh-CN"/>
              </w:rPr>
              <w:t>五</w:t>
            </w:r>
            <w:r>
              <w:rPr>
                <w:rFonts w:hint="eastAsia" w:ascii="Times New Roman" w:hAnsi="Times New Roman" w:eastAsia="宋体" w:cs="宋体"/>
                <w:b/>
                <w:color w:val="auto"/>
                <w:sz w:val="24"/>
              </w:rPr>
              <w:t>、本项目生产</w:t>
            </w:r>
            <w:r>
              <w:rPr>
                <w:rFonts w:hint="eastAsia" w:ascii="Times New Roman" w:hAnsi="Times New Roman" w:eastAsia="宋体" w:cs="宋体"/>
                <w:b/>
                <w:color w:val="auto"/>
                <w:sz w:val="24"/>
                <w:lang w:val="en-US" w:eastAsia="zh-CN"/>
              </w:rPr>
              <w:t>物料平衡</w:t>
            </w:r>
            <w:r>
              <w:rPr>
                <w:rFonts w:hint="eastAsia" w:ascii="Times New Roman" w:hAnsi="Times New Roman" w:eastAsia="宋体" w:cs="宋体"/>
                <w:b/>
                <w:color w:val="auto"/>
                <w:sz w:val="24"/>
              </w:rPr>
              <w:t>平衡</w:t>
            </w:r>
          </w:p>
          <w:p w14:paraId="7C7EE0A4">
            <w:pPr>
              <w:adjustRightInd w:val="0"/>
              <w:snapToGrid w:val="0"/>
              <w:spacing w:line="360" w:lineRule="auto"/>
              <w:ind w:firstLine="480" w:firstLineChars="200"/>
              <w:rPr>
                <w:rFonts w:hint="eastAsia" w:ascii="Times New Roman" w:hAnsi="Times New Roman" w:eastAsia="宋体" w:cs="Times New Roman"/>
                <w:b w:val="0"/>
                <w:bCs/>
                <w:color w:val="auto"/>
                <w:sz w:val="24"/>
                <w:szCs w:val="20"/>
                <w:lang w:eastAsia="zh-CN"/>
              </w:rPr>
            </w:pPr>
            <w:r>
              <w:rPr>
                <w:rFonts w:hint="eastAsia" w:ascii="Times New Roman" w:hAnsi="Times New Roman" w:eastAsia="宋体" w:cs="Times New Roman"/>
                <w:color w:val="auto"/>
                <w:sz w:val="24"/>
                <w:lang w:eastAsia="zh-CN"/>
              </w:rPr>
              <w:t>本项目年生产</w:t>
            </w:r>
            <w:r>
              <w:rPr>
                <w:rFonts w:hint="eastAsia" w:cs="Times New Roman"/>
                <w:color w:val="auto"/>
                <w:sz w:val="24"/>
                <w:lang w:val="en-US" w:eastAsia="zh-CN"/>
              </w:rPr>
              <w:t>20</w:t>
            </w:r>
            <w:r>
              <w:rPr>
                <w:rFonts w:hint="eastAsia" w:ascii="Times New Roman" w:hAnsi="Times New Roman" w:eastAsia="宋体" w:cs="Times New Roman"/>
                <w:color w:val="auto"/>
                <w:sz w:val="24"/>
                <w:lang w:val="en-US" w:eastAsia="zh-CN"/>
              </w:rPr>
              <w:t>万</w:t>
            </w:r>
            <w:r>
              <w:rPr>
                <w:rFonts w:hint="eastAsia" w:ascii="Times New Roman" w:hAnsi="Times New Roman" w:eastAsia="宋体" w:cs="Times New Roman"/>
                <w:color w:val="auto"/>
                <w:sz w:val="24"/>
                <w:lang w:val="en-GB"/>
              </w:rPr>
              <w:t>t/a</w:t>
            </w:r>
            <w:r>
              <w:rPr>
                <w:rFonts w:hint="eastAsia" w:ascii="Times New Roman" w:hAnsi="Times New Roman" w:eastAsia="宋体" w:cs="Times New Roman"/>
                <w:color w:val="auto"/>
                <w:sz w:val="24"/>
                <w:lang w:val="en-GB" w:eastAsia="zh-CN"/>
              </w:rPr>
              <w:t>高频直缝焊管，根据建设单位提供的信息，本项目焊管生产线产品率约</w:t>
            </w:r>
            <w:r>
              <w:rPr>
                <w:rFonts w:hint="eastAsia" w:cs="Times New Roman"/>
                <w:color w:val="auto"/>
                <w:sz w:val="24"/>
                <w:lang w:val="en-US" w:eastAsia="zh-CN"/>
              </w:rPr>
              <w:t>99.7</w:t>
            </w:r>
            <w:r>
              <w:rPr>
                <w:rFonts w:hint="eastAsia" w:ascii="Times New Roman" w:hAnsi="Times New Roman" w:eastAsia="宋体" w:cs="Times New Roman"/>
                <w:color w:val="auto"/>
                <w:sz w:val="24"/>
                <w:lang w:val="en-US" w:eastAsia="zh-CN"/>
              </w:rPr>
              <w:t>%左右，项</w:t>
            </w:r>
            <w:r>
              <w:rPr>
                <w:rFonts w:hint="eastAsia" w:ascii="Times New Roman" w:hAnsi="Times New Roman" w:eastAsia="宋体" w:cs="Times New Roman"/>
                <w:b w:val="0"/>
                <w:bCs/>
                <w:color w:val="auto"/>
                <w:sz w:val="24"/>
                <w:szCs w:val="20"/>
                <w:lang w:eastAsia="zh-CN"/>
              </w:rPr>
              <w:t>目生产物料平衡如下表所示：</w:t>
            </w:r>
          </w:p>
          <w:p w14:paraId="6A80DFA8">
            <w:pPr>
              <w:pStyle w:val="57"/>
              <w:rPr>
                <w:rFonts w:hint="default" w:ascii="Times New Roman" w:hAnsi="Times New Roman" w:eastAsia="宋体" w:cs="宋体"/>
                <w:b/>
                <w:bCs/>
                <w:color w:val="auto"/>
                <w:spacing w:val="0"/>
                <w:kern w:val="0"/>
                <w:sz w:val="21"/>
                <w:szCs w:val="21"/>
                <w:lang w:val="en-US" w:eastAsia="zh-CN" w:bidi="ar-SA"/>
              </w:rPr>
            </w:pPr>
            <w:r>
              <w:rPr>
                <w:rFonts w:hint="default" w:ascii="Times New Roman" w:hAnsi="Times New Roman" w:eastAsia="宋体" w:cs="宋体"/>
                <w:b/>
                <w:bCs/>
                <w:color w:val="auto"/>
                <w:spacing w:val="0"/>
                <w:kern w:val="0"/>
                <w:sz w:val="21"/>
                <w:szCs w:val="21"/>
                <w:lang w:val="en-US" w:eastAsia="zh-CN" w:bidi="ar-SA"/>
              </w:rPr>
              <w:t>表2</w:t>
            </w:r>
            <w:r>
              <w:rPr>
                <w:rFonts w:hint="eastAsia" w:ascii="Times New Roman" w:hAnsi="Times New Roman" w:eastAsia="宋体" w:cs="宋体"/>
                <w:b/>
                <w:bCs/>
                <w:color w:val="auto"/>
                <w:spacing w:val="0"/>
                <w:kern w:val="0"/>
                <w:sz w:val="21"/>
                <w:szCs w:val="21"/>
                <w:lang w:val="en-US" w:eastAsia="zh-CN" w:bidi="ar-SA"/>
              </w:rPr>
              <w:t>-7</w:t>
            </w:r>
            <w:r>
              <w:rPr>
                <w:rFonts w:hint="default" w:ascii="Times New Roman" w:hAnsi="Times New Roman" w:eastAsia="宋体" w:cs="宋体"/>
                <w:b/>
                <w:bCs/>
                <w:color w:val="auto"/>
                <w:spacing w:val="0"/>
                <w:kern w:val="0"/>
                <w:sz w:val="21"/>
                <w:szCs w:val="21"/>
                <w:lang w:val="en-US" w:eastAsia="zh-CN" w:bidi="ar-SA"/>
              </w:rPr>
              <w:t xml:space="preserve"> 物料平衡表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285"/>
              <w:gridCol w:w="1486"/>
              <w:gridCol w:w="785"/>
              <w:gridCol w:w="2189"/>
              <w:gridCol w:w="1393"/>
            </w:tblGrid>
            <w:tr w14:paraId="0723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restart"/>
                  <w:shd w:val="clear" w:color="auto" w:fill="D7D7D7" w:themeFill="background1" w:themeFillShade="D8"/>
                  <w:vAlign w:val="center"/>
                </w:tcPr>
                <w:p w14:paraId="1C312A7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车间</w:t>
                  </w:r>
                </w:p>
              </w:tc>
              <w:tc>
                <w:tcPr>
                  <w:tcW w:w="1727" w:type="pct"/>
                  <w:gridSpan w:val="2"/>
                  <w:shd w:val="clear" w:color="auto" w:fill="D7D7D7" w:themeFill="background1" w:themeFillShade="D8"/>
                  <w:vAlign w:val="center"/>
                </w:tcPr>
                <w:p w14:paraId="7147B88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投入</w:t>
                  </w:r>
                </w:p>
              </w:tc>
              <w:tc>
                <w:tcPr>
                  <w:tcW w:w="2721" w:type="pct"/>
                  <w:gridSpan w:val="3"/>
                  <w:shd w:val="clear" w:color="auto" w:fill="D7D7D7" w:themeFill="background1" w:themeFillShade="D8"/>
                  <w:vAlign w:val="center"/>
                </w:tcPr>
                <w:p w14:paraId="4C8FA3B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产出</w:t>
                  </w:r>
                </w:p>
              </w:tc>
            </w:tr>
            <w:tr w14:paraId="3AE3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shd w:val="clear" w:color="auto" w:fill="D7D7D7" w:themeFill="background1" w:themeFillShade="D8"/>
                  <w:vAlign w:val="center"/>
                </w:tcPr>
                <w:p w14:paraId="6265DE7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shd w:val="clear" w:color="auto" w:fill="D7D7D7" w:themeFill="background1" w:themeFillShade="D8"/>
                  <w:vAlign w:val="center"/>
                </w:tcPr>
                <w:p w14:paraId="1A3B67F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原料名称</w:t>
                  </w:r>
                </w:p>
              </w:tc>
              <w:tc>
                <w:tcPr>
                  <w:tcW w:w="926" w:type="pct"/>
                  <w:shd w:val="clear" w:color="auto" w:fill="D7D7D7" w:themeFill="background1" w:themeFillShade="D8"/>
                  <w:vAlign w:val="center"/>
                </w:tcPr>
                <w:p w14:paraId="0F1AA85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使用量（t/a）</w:t>
                  </w:r>
                </w:p>
              </w:tc>
              <w:tc>
                <w:tcPr>
                  <w:tcW w:w="489" w:type="pct"/>
                  <w:shd w:val="clear" w:color="auto" w:fill="D7D7D7" w:themeFill="background1" w:themeFillShade="D8"/>
                  <w:vAlign w:val="center"/>
                </w:tcPr>
                <w:p w14:paraId="553AAD1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类别</w:t>
                  </w:r>
                </w:p>
              </w:tc>
              <w:tc>
                <w:tcPr>
                  <w:tcW w:w="1364" w:type="pct"/>
                  <w:shd w:val="clear" w:color="auto" w:fill="D7D7D7" w:themeFill="background1" w:themeFillShade="D8"/>
                  <w:vAlign w:val="center"/>
                </w:tcPr>
                <w:p w14:paraId="24DD1C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867" w:type="pct"/>
                  <w:shd w:val="clear" w:color="auto" w:fill="D7D7D7" w:themeFill="background1" w:themeFillShade="D8"/>
                  <w:vAlign w:val="center"/>
                </w:tcPr>
                <w:p w14:paraId="2FA675A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产出量（t/a）</w:t>
                  </w:r>
                </w:p>
              </w:tc>
            </w:tr>
            <w:tr w14:paraId="5721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51" w:type="pct"/>
                  <w:vMerge w:val="restart"/>
                  <w:vAlign w:val="center"/>
                </w:tcPr>
                <w:p w14:paraId="23C69087">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生产区</w:t>
                  </w:r>
                </w:p>
              </w:tc>
              <w:tc>
                <w:tcPr>
                  <w:tcW w:w="801" w:type="pct"/>
                  <w:vAlign w:val="center"/>
                </w:tcPr>
                <w:p w14:paraId="4096315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olor w:val="auto"/>
                      <w:lang w:eastAsia="zh-CN"/>
                    </w:rPr>
                    <w:t>钢带</w:t>
                  </w:r>
                </w:p>
              </w:tc>
              <w:tc>
                <w:tcPr>
                  <w:tcW w:w="926" w:type="pct"/>
                  <w:vAlign w:val="center"/>
                </w:tcPr>
                <w:p w14:paraId="4EB97CD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200942.30</w:t>
                  </w:r>
                </w:p>
              </w:tc>
              <w:tc>
                <w:tcPr>
                  <w:tcW w:w="489" w:type="pct"/>
                  <w:vAlign w:val="center"/>
                </w:tcPr>
                <w:p w14:paraId="4F0F8EA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产品</w:t>
                  </w:r>
                </w:p>
              </w:tc>
              <w:tc>
                <w:tcPr>
                  <w:tcW w:w="1364" w:type="pct"/>
                  <w:vAlign w:val="center"/>
                </w:tcPr>
                <w:p w14:paraId="04D8C3F0">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olor w:val="auto"/>
                      <w:lang w:eastAsia="zh-CN"/>
                    </w:rPr>
                    <w:t>高频直缝焊管</w:t>
                  </w:r>
                </w:p>
              </w:tc>
              <w:tc>
                <w:tcPr>
                  <w:tcW w:w="867" w:type="pct"/>
                  <w:vAlign w:val="center"/>
                </w:tcPr>
                <w:p w14:paraId="30F7B99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200000</w:t>
                  </w:r>
                </w:p>
              </w:tc>
            </w:tr>
            <w:tr w14:paraId="5974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vAlign w:val="center"/>
                </w:tcPr>
                <w:p w14:paraId="23EB266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5111B8A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926" w:type="pct"/>
                  <w:vAlign w:val="center"/>
                </w:tcPr>
                <w:p w14:paraId="010BC6C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89" w:type="pct"/>
                  <w:vMerge w:val="restart"/>
                  <w:vAlign w:val="center"/>
                </w:tcPr>
                <w:p w14:paraId="7C8A049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其他</w:t>
                  </w:r>
                </w:p>
              </w:tc>
              <w:tc>
                <w:tcPr>
                  <w:tcW w:w="1364" w:type="pct"/>
                  <w:vAlign w:val="center"/>
                </w:tcPr>
                <w:p w14:paraId="4710A26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焊渣</w:t>
                  </w:r>
                </w:p>
              </w:tc>
              <w:tc>
                <w:tcPr>
                  <w:tcW w:w="867" w:type="pct"/>
                  <w:vAlign w:val="center"/>
                </w:tcPr>
                <w:p w14:paraId="6E25758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r>
            <w:tr w14:paraId="130C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3CA5626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1DD7BEE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926" w:type="pct"/>
                  <w:vAlign w:val="center"/>
                </w:tcPr>
                <w:p w14:paraId="224AE50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89" w:type="pct"/>
                  <w:vMerge w:val="continue"/>
                  <w:vAlign w:val="center"/>
                </w:tcPr>
                <w:p w14:paraId="23311E9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364" w:type="pct"/>
                  <w:vAlign w:val="center"/>
                </w:tcPr>
                <w:p w14:paraId="75BF52F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循环水池沉渣</w:t>
                  </w:r>
                </w:p>
              </w:tc>
              <w:tc>
                <w:tcPr>
                  <w:tcW w:w="867" w:type="pct"/>
                  <w:vAlign w:val="center"/>
                </w:tcPr>
                <w:p w14:paraId="26DE5C2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r>
            <w:tr w14:paraId="7A25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61780CA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5724F32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olor w:val="auto"/>
                      <w:lang w:val="en-US" w:eastAsia="zh-CN"/>
                    </w:rPr>
                  </w:pPr>
                  <w:r>
                    <w:rPr>
                      <w:rFonts w:hint="eastAsia"/>
                      <w:color w:val="auto"/>
                      <w:lang w:val="en-US" w:eastAsia="zh-CN"/>
                    </w:rPr>
                    <w:t>/</w:t>
                  </w:r>
                </w:p>
              </w:tc>
              <w:tc>
                <w:tcPr>
                  <w:tcW w:w="926" w:type="pct"/>
                  <w:vAlign w:val="center"/>
                </w:tcPr>
                <w:p w14:paraId="033CF0D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89" w:type="pct"/>
                  <w:vMerge w:val="continue"/>
                  <w:vAlign w:val="center"/>
                </w:tcPr>
                <w:p w14:paraId="1B65FDE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364" w:type="pct"/>
                  <w:vAlign w:val="center"/>
                </w:tcPr>
                <w:p w14:paraId="69F1D24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边角废料及切割碎屑</w:t>
                  </w:r>
                </w:p>
              </w:tc>
              <w:tc>
                <w:tcPr>
                  <w:tcW w:w="867" w:type="pct"/>
                  <w:vAlign w:val="center"/>
                </w:tcPr>
                <w:p w14:paraId="1F7879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r>
            <w:tr w14:paraId="4C0B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59FCDF5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137B5227">
                  <w:pPr>
                    <w:widowControl/>
                    <w:tabs>
                      <w:tab w:val="left" w:pos="-2400"/>
                      <w:tab w:val="left" w:pos="1320"/>
                      <w:tab w:val="left" w:pos="3878"/>
                      <w:tab w:val="left" w:pos="6080"/>
                      <w:tab w:val="left" w:pos="6580"/>
                      <w:tab w:val="left" w:pos="8137"/>
                    </w:tabs>
                    <w:adjustRightInd w:val="0"/>
                    <w:snapToGrid w:val="0"/>
                    <w:jc w:val="center"/>
                    <w:textAlignment w:val="center"/>
                    <w:rPr>
                      <w:rFonts w:hint="default"/>
                      <w:color w:val="auto"/>
                      <w:lang w:val="en-US" w:eastAsia="zh-CN"/>
                    </w:rPr>
                  </w:pPr>
                  <w:r>
                    <w:rPr>
                      <w:rFonts w:hint="eastAsia"/>
                      <w:color w:val="auto"/>
                      <w:lang w:val="en-US" w:eastAsia="zh-CN"/>
                    </w:rPr>
                    <w:t>/</w:t>
                  </w:r>
                </w:p>
              </w:tc>
              <w:tc>
                <w:tcPr>
                  <w:tcW w:w="926" w:type="pct"/>
                  <w:vAlign w:val="center"/>
                </w:tcPr>
                <w:p w14:paraId="174EAD89">
                  <w:pPr>
                    <w:widowControl/>
                    <w:tabs>
                      <w:tab w:val="left" w:pos="-2400"/>
                      <w:tab w:val="left" w:pos="1320"/>
                      <w:tab w:val="left" w:pos="3878"/>
                      <w:tab w:val="left" w:pos="6080"/>
                      <w:tab w:val="left" w:pos="6580"/>
                      <w:tab w:val="left" w:pos="8137"/>
                    </w:tabs>
                    <w:adjustRightInd w:val="0"/>
                    <w:snapToGrid w:val="0"/>
                    <w:jc w:val="center"/>
                    <w:textAlignment w:val="center"/>
                    <w:rPr>
                      <w:rFonts w:hint="default" w:cs="Times New Roman"/>
                      <w:color w:val="auto"/>
                      <w:lang w:val="en-US" w:eastAsia="zh-CN"/>
                    </w:rPr>
                  </w:pPr>
                  <w:r>
                    <w:rPr>
                      <w:rFonts w:hint="eastAsia" w:cs="Times New Roman"/>
                      <w:color w:val="auto"/>
                      <w:lang w:val="en-US" w:eastAsia="zh-CN"/>
                    </w:rPr>
                    <w:t>/</w:t>
                  </w:r>
                </w:p>
              </w:tc>
              <w:tc>
                <w:tcPr>
                  <w:tcW w:w="489" w:type="pct"/>
                  <w:vMerge w:val="continue"/>
                  <w:vAlign w:val="center"/>
                </w:tcPr>
                <w:p w14:paraId="3C303C3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364" w:type="pct"/>
                  <w:vAlign w:val="center"/>
                </w:tcPr>
                <w:p w14:paraId="2AAF5B3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cs="Times New Roman"/>
                      <w:color w:val="auto"/>
                      <w:lang w:val="en-US" w:eastAsia="zh-CN"/>
                    </w:rPr>
                    <w:t>除尘灰</w:t>
                  </w:r>
                </w:p>
              </w:tc>
              <w:tc>
                <w:tcPr>
                  <w:tcW w:w="867" w:type="pct"/>
                  <w:vAlign w:val="center"/>
                </w:tcPr>
                <w:p w14:paraId="1E5F7F6F">
                  <w:pPr>
                    <w:widowControl/>
                    <w:tabs>
                      <w:tab w:val="left" w:pos="-2400"/>
                      <w:tab w:val="left" w:pos="1320"/>
                      <w:tab w:val="left" w:pos="3878"/>
                      <w:tab w:val="left" w:pos="6080"/>
                      <w:tab w:val="left" w:pos="6580"/>
                      <w:tab w:val="left" w:pos="8137"/>
                    </w:tabs>
                    <w:adjustRightInd w:val="0"/>
                    <w:snapToGrid w:val="0"/>
                    <w:jc w:val="center"/>
                    <w:textAlignment w:val="center"/>
                    <w:rPr>
                      <w:rFonts w:hint="default" w:cs="Times New Roman"/>
                      <w:color w:val="auto"/>
                      <w:lang w:val="en-US" w:eastAsia="zh-CN"/>
                    </w:rPr>
                  </w:pPr>
                  <w:r>
                    <w:rPr>
                      <w:rFonts w:hint="eastAsia" w:cs="Times New Roman"/>
                      <w:color w:val="auto"/>
                      <w:lang w:val="en-US" w:eastAsia="zh-CN"/>
                    </w:rPr>
                    <w:t>1.6799</w:t>
                  </w:r>
                </w:p>
              </w:tc>
            </w:tr>
            <w:tr w14:paraId="755E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1D30646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02507E0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olor w:val="auto"/>
                      <w:lang w:val="en-US" w:eastAsia="zh-CN"/>
                    </w:rPr>
                  </w:pPr>
                  <w:r>
                    <w:rPr>
                      <w:rFonts w:hint="eastAsia"/>
                      <w:color w:val="auto"/>
                      <w:lang w:val="en-US" w:eastAsia="zh-CN"/>
                    </w:rPr>
                    <w:t>/</w:t>
                  </w:r>
                </w:p>
              </w:tc>
              <w:tc>
                <w:tcPr>
                  <w:tcW w:w="926" w:type="pct"/>
                  <w:vAlign w:val="center"/>
                </w:tcPr>
                <w:p w14:paraId="62FF200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89" w:type="pct"/>
                  <w:vMerge w:val="continue"/>
                  <w:vAlign w:val="center"/>
                </w:tcPr>
                <w:p w14:paraId="31884191">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364" w:type="pct"/>
                  <w:vAlign w:val="center"/>
                </w:tcPr>
                <w:p w14:paraId="268B25A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不合格品</w:t>
                  </w:r>
                </w:p>
              </w:tc>
              <w:tc>
                <w:tcPr>
                  <w:tcW w:w="867" w:type="pct"/>
                  <w:vAlign w:val="center"/>
                </w:tcPr>
                <w:p w14:paraId="788C80B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600</w:t>
                  </w:r>
                </w:p>
              </w:tc>
            </w:tr>
            <w:tr w14:paraId="24DA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6066115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135B2F6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926" w:type="pct"/>
                  <w:vAlign w:val="center"/>
                </w:tcPr>
                <w:p w14:paraId="757114C2">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89" w:type="pct"/>
                  <w:vMerge w:val="continue"/>
                  <w:vAlign w:val="center"/>
                </w:tcPr>
                <w:p w14:paraId="58D8439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1364" w:type="pct"/>
                  <w:vAlign w:val="center"/>
                </w:tcPr>
                <w:p w14:paraId="2C639E4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废气排放</w:t>
                  </w:r>
                </w:p>
              </w:tc>
              <w:tc>
                <w:tcPr>
                  <w:tcW w:w="867" w:type="pct"/>
                  <w:vAlign w:val="center"/>
                </w:tcPr>
                <w:p w14:paraId="3B1C1C3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w:t>
                  </w:r>
                  <w:r>
                    <w:rPr>
                      <w:rFonts w:hint="eastAsia" w:cs="Times New Roman"/>
                      <w:color w:val="auto"/>
                      <w:lang w:val="en-US" w:eastAsia="zh-CN"/>
                    </w:rPr>
                    <w:t>6229</w:t>
                  </w:r>
                </w:p>
              </w:tc>
            </w:tr>
            <w:tr w14:paraId="7426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pct"/>
                  <w:vMerge w:val="continue"/>
                  <w:vAlign w:val="center"/>
                </w:tcPr>
                <w:p w14:paraId="2F554A5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p>
              </w:tc>
              <w:tc>
                <w:tcPr>
                  <w:tcW w:w="801" w:type="pct"/>
                  <w:vAlign w:val="center"/>
                </w:tcPr>
                <w:p w14:paraId="23B82A09">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926" w:type="pct"/>
                  <w:vAlign w:val="center"/>
                </w:tcPr>
                <w:p w14:paraId="1CD276E0">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200942.30</w:t>
                  </w:r>
                </w:p>
              </w:tc>
              <w:tc>
                <w:tcPr>
                  <w:tcW w:w="489" w:type="pct"/>
                  <w:vAlign w:val="center"/>
                </w:tcPr>
                <w:p w14:paraId="41B4FE03">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364" w:type="pct"/>
                  <w:vAlign w:val="center"/>
                </w:tcPr>
                <w:p w14:paraId="7B86DCFC">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7" w:type="pct"/>
                  <w:vAlign w:val="center"/>
                </w:tcPr>
                <w:p w14:paraId="694FEED5">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200942.30</w:t>
                  </w:r>
                </w:p>
              </w:tc>
            </w:tr>
          </w:tbl>
          <w:p w14:paraId="7811A788">
            <w:pPr>
              <w:adjustRightInd w:val="0"/>
              <w:snapToGrid w:val="0"/>
              <w:spacing w:before="158" w:beforeLines="50"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六</w:t>
            </w:r>
            <w:r>
              <w:rPr>
                <w:rFonts w:ascii="Times New Roman" w:hAnsi="Times New Roman" w:eastAsia="宋体"/>
                <w:b/>
                <w:color w:val="auto"/>
                <w:sz w:val="24"/>
              </w:rPr>
              <w:t>、公用工程</w:t>
            </w:r>
          </w:p>
          <w:p w14:paraId="22CA6C44">
            <w:pPr>
              <w:adjustRightInd w:val="0"/>
              <w:snapToGrid w:val="0"/>
              <w:spacing w:line="360" w:lineRule="auto"/>
              <w:ind w:left="480"/>
              <w:rPr>
                <w:rFonts w:ascii="Times New Roman" w:hAnsi="Times New Roman" w:eastAsia="宋体"/>
                <w:b/>
                <w:color w:val="auto"/>
                <w:sz w:val="24"/>
              </w:rPr>
            </w:pPr>
            <w:r>
              <w:rPr>
                <w:rFonts w:ascii="Times New Roman" w:hAnsi="Times New Roman" w:eastAsia="宋体"/>
                <w:b/>
                <w:color w:val="auto"/>
                <w:sz w:val="24"/>
              </w:rPr>
              <w:t>（1）供电</w:t>
            </w:r>
          </w:p>
          <w:p w14:paraId="440CD8EC">
            <w:pPr>
              <w:adjustRightInd w:val="0"/>
              <w:snapToGrid w:val="0"/>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本项目</w:t>
            </w:r>
            <w:r>
              <w:rPr>
                <w:rFonts w:hint="eastAsia" w:ascii="Times New Roman" w:hAnsi="Times New Roman" w:eastAsia="宋体"/>
                <w:color w:val="auto"/>
                <w:sz w:val="24"/>
              </w:rPr>
              <w:t>电源</w:t>
            </w:r>
            <w:r>
              <w:rPr>
                <w:rFonts w:hint="eastAsia" w:ascii="Times New Roman" w:hAnsi="Times New Roman" w:eastAsia="宋体"/>
                <w:color w:val="auto"/>
                <w:sz w:val="24"/>
                <w:lang w:val="en-US" w:eastAsia="zh-CN"/>
              </w:rPr>
              <w:t>由市政电网供给</w:t>
            </w:r>
            <w:r>
              <w:rPr>
                <w:rFonts w:ascii="Times New Roman" w:hAnsi="Times New Roman" w:eastAsia="宋体"/>
                <w:bCs/>
                <w:color w:val="auto"/>
                <w:sz w:val="24"/>
              </w:rPr>
              <w:t>，由配电房输送至各用电设备</w:t>
            </w:r>
            <w:r>
              <w:rPr>
                <w:rFonts w:ascii="Times New Roman" w:hAnsi="Times New Roman" w:eastAsia="宋体"/>
                <w:color w:val="auto"/>
                <w:sz w:val="24"/>
              </w:rPr>
              <w:t>。不设置其余备用能源，供电可靠，能够保证本项目的用电需求。</w:t>
            </w:r>
          </w:p>
          <w:p w14:paraId="65AAE409">
            <w:pPr>
              <w:adjustRightInd w:val="0"/>
              <w:snapToGrid w:val="0"/>
              <w:spacing w:line="360" w:lineRule="auto"/>
              <w:ind w:left="480"/>
              <w:rPr>
                <w:rFonts w:ascii="Times New Roman" w:hAnsi="Times New Roman" w:eastAsia="宋体"/>
                <w:b/>
                <w:color w:val="auto"/>
                <w:sz w:val="24"/>
              </w:rPr>
            </w:pPr>
            <w:r>
              <w:rPr>
                <w:rFonts w:ascii="Times New Roman" w:hAnsi="Times New Roman" w:eastAsia="宋体"/>
                <w:b/>
                <w:color w:val="auto"/>
                <w:sz w:val="24"/>
              </w:rPr>
              <w:t>（</w:t>
            </w:r>
            <w:r>
              <w:rPr>
                <w:rFonts w:hint="eastAsia" w:ascii="Times New Roman" w:hAnsi="Times New Roman" w:eastAsia="宋体"/>
                <w:b/>
                <w:color w:val="auto"/>
                <w:sz w:val="24"/>
                <w:lang w:val="en-US" w:eastAsia="zh-CN"/>
              </w:rPr>
              <w:t>2</w:t>
            </w:r>
            <w:r>
              <w:rPr>
                <w:rFonts w:ascii="Times New Roman" w:hAnsi="Times New Roman" w:eastAsia="宋体"/>
                <w:b/>
                <w:color w:val="auto"/>
                <w:sz w:val="24"/>
              </w:rPr>
              <w:t>）给排水</w:t>
            </w:r>
          </w:p>
          <w:p w14:paraId="5F75D191">
            <w:pPr>
              <w:adjustRightInd w:val="0"/>
              <w:snapToGrid w:val="0"/>
              <w:spacing w:line="360" w:lineRule="auto"/>
              <w:ind w:firstLine="482" w:firstLineChars="200"/>
              <w:rPr>
                <w:rFonts w:ascii="Times New Roman" w:hAnsi="Times New Roman" w:eastAsia="宋体"/>
                <w:b/>
                <w:color w:val="auto"/>
                <w:sz w:val="24"/>
              </w:rPr>
            </w:pPr>
            <w:r>
              <w:rPr>
                <w:rFonts w:hint="eastAsia" w:ascii="Times New Roman" w:hAnsi="Times New Roman" w:eastAsia="宋体" w:cs="宋体"/>
                <w:b/>
                <w:color w:val="auto"/>
                <w:sz w:val="24"/>
              </w:rPr>
              <w:t>1）</w:t>
            </w:r>
            <w:r>
              <w:rPr>
                <w:rFonts w:ascii="Times New Roman" w:hAnsi="Times New Roman" w:eastAsia="宋体"/>
                <w:b/>
                <w:color w:val="auto"/>
                <w:sz w:val="24"/>
              </w:rPr>
              <w:t>给水</w:t>
            </w:r>
          </w:p>
          <w:p w14:paraId="0C74482E">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本项目生产用水、生活用水均由通海县纳古镇自来水管网提供。</w:t>
            </w:r>
          </w:p>
          <w:p w14:paraId="59693E29">
            <w:pPr>
              <w:adjustRightInd w:val="0"/>
              <w:snapToGrid w:val="0"/>
              <w:spacing w:line="360" w:lineRule="auto"/>
              <w:ind w:firstLine="482" w:firstLineChars="200"/>
              <w:jc w:val="left"/>
              <w:rPr>
                <w:rFonts w:ascii="Times New Roman" w:hAnsi="Times New Roman" w:eastAsia="宋体"/>
                <w:b/>
                <w:color w:val="auto"/>
                <w:sz w:val="24"/>
              </w:rPr>
            </w:pPr>
            <w:r>
              <w:rPr>
                <w:rFonts w:hint="eastAsia" w:ascii="Times New Roman" w:hAnsi="Times New Roman" w:eastAsia="宋体" w:cs="宋体"/>
                <w:b/>
                <w:color w:val="auto"/>
                <w:sz w:val="24"/>
              </w:rPr>
              <w:t>2）</w:t>
            </w:r>
            <w:r>
              <w:rPr>
                <w:rFonts w:ascii="Times New Roman" w:hAnsi="Times New Roman" w:eastAsia="宋体"/>
                <w:b/>
                <w:color w:val="auto"/>
                <w:sz w:val="24"/>
              </w:rPr>
              <w:t>排水</w:t>
            </w:r>
          </w:p>
          <w:p w14:paraId="354F120C">
            <w:pPr>
              <w:pStyle w:val="61"/>
              <w:ind w:firstLine="480"/>
              <w:rPr>
                <w:rFonts w:hint="eastAsia" w:ascii="Times New Roman" w:hAnsi="Times New Roman" w:eastAsia="宋体"/>
                <w:color w:val="auto"/>
              </w:rPr>
            </w:pPr>
            <w:bookmarkStart w:id="9" w:name="_Hlk37507014"/>
            <w:r>
              <w:rPr>
                <w:rFonts w:hint="eastAsia" w:ascii="Times New Roman" w:hAnsi="Times New Roman" w:eastAsia="宋体"/>
                <w:color w:val="auto"/>
              </w:rPr>
              <w:t>项目实行雨污分流，</w:t>
            </w:r>
            <w:r>
              <w:rPr>
                <w:rFonts w:hint="eastAsia" w:ascii="Times New Roman" w:hAnsi="Times New Roman"/>
                <w:color w:val="auto"/>
                <w:lang w:val="en-US" w:eastAsia="zh-CN"/>
              </w:rPr>
              <w:t>生产设备及物料均设置于封闭的车间内，</w:t>
            </w:r>
            <w:r>
              <w:rPr>
                <w:rFonts w:hint="eastAsia"/>
                <w:bCs/>
                <w:color w:val="auto"/>
                <w:sz w:val="24"/>
              </w:rPr>
              <w:t>故雨水对厂区生产影响较小，不需设置初期雨水收集池收集雨水，</w:t>
            </w:r>
            <w:r>
              <w:rPr>
                <w:rFonts w:hint="eastAsia" w:ascii="Times New Roman" w:hAnsi="Times New Roman" w:eastAsia="宋体"/>
                <w:color w:val="auto"/>
              </w:rPr>
              <w:t>项目厂房顶雨水经厂房墙壁上雨水管道收集后排入厂房四周设置的雨水明沟</w:t>
            </w:r>
            <w:r>
              <w:rPr>
                <w:rFonts w:hint="eastAsia" w:ascii="Times New Roman" w:hAnsi="Times New Roman" w:eastAsia="宋体"/>
                <w:color w:val="auto"/>
                <w:lang w:eastAsia="zh-CN"/>
              </w:rPr>
              <w:t>，</w:t>
            </w:r>
            <w:r>
              <w:rPr>
                <w:rFonts w:hint="eastAsia" w:ascii="Times New Roman" w:hAnsi="Times New Roman" w:eastAsia="宋体"/>
                <w:color w:val="auto"/>
              </w:rPr>
              <w:t>继而进入</w:t>
            </w:r>
            <w:r>
              <w:rPr>
                <w:rFonts w:hint="eastAsia" w:ascii="Times New Roman" w:hAnsi="Times New Roman" w:eastAsia="宋体"/>
                <w:color w:val="auto"/>
                <w:lang w:val="en-US" w:eastAsia="zh-CN"/>
              </w:rPr>
              <w:t>周边</w:t>
            </w:r>
            <w:r>
              <w:rPr>
                <w:rFonts w:hint="eastAsia" w:ascii="Times New Roman" w:hAnsi="Times New Roman" w:eastAsia="宋体"/>
                <w:color w:val="auto"/>
              </w:rPr>
              <w:t>雨水管网</w:t>
            </w:r>
            <w:r>
              <w:rPr>
                <w:rFonts w:hint="eastAsia" w:ascii="Times New Roman" w:hAnsi="Times New Roman"/>
                <w:color w:val="auto"/>
                <w:lang w:eastAsia="zh-CN"/>
              </w:rPr>
              <w:t>，</w:t>
            </w:r>
            <w:r>
              <w:rPr>
                <w:rFonts w:hint="eastAsia"/>
                <w:color w:val="auto"/>
                <w:kern w:val="0"/>
                <w:sz w:val="24"/>
                <w:lang w:bidi="ar"/>
              </w:rPr>
              <w:t>本次对初期雨水量不进行核算。</w:t>
            </w:r>
          </w:p>
          <w:p w14:paraId="49E69DA6">
            <w:pPr>
              <w:pStyle w:val="61"/>
              <w:ind w:firstLine="482"/>
              <w:rPr>
                <w:rFonts w:hint="eastAsia" w:ascii="Times New Roman" w:hAnsi="Times New Roman" w:eastAsia="宋体"/>
                <w:color w:val="auto"/>
                <w:lang w:eastAsia="zh-CN"/>
              </w:rPr>
            </w:pPr>
            <w:r>
              <w:rPr>
                <w:rFonts w:hint="eastAsia" w:ascii="Times New Roman" w:hAnsi="Times New Roman" w:eastAsia="宋体"/>
                <w:color w:val="auto"/>
              </w:rPr>
              <w:t>本项目生产废水</w:t>
            </w:r>
            <w:r>
              <w:rPr>
                <w:rFonts w:hint="eastAsia" w:ascii="Times New Roman" w:hAnsi="Times New Roman" w:eastAsia="宋体"/>
                <w:color w:val="auto"/>
                <w:lang w:val="en-US" w:eastAsia="zh-CN"/>
              </w:rPr>
              <w:t>为冷却废水，</w:t>
            </w:r>
            <w:r>
              <w:rPr>
                <w:rFonts w:hint="eastAsia" w:ascii="Times New Roman" w:hAnsi="Times New Roman"/>
                <w:color w:val="auto"/>
                <w:lang w:val="en-US" w:eastAsia="zh-CN"/>
              </w:rPr>
              <w:t>经循环水池</w:t>
            </w:r>
            <w:r>
              <w:rPr>
                <w:rFonts w:hint="eastAsia" w:ascii="Times New Roman" w:hAnsi="Times New Roman" w:eastAsia="宋体"/>
                <w:color w:val="auto"/>
              </w:rPr>
              <w:t>处理后循环使用，不外排；生活污水经</w:t>
            </w:r>
            <w:r>
              <w:rPr>
                <w:rFonts w:hint="eastAsia" w:ascii="Times New Roman" w:hAnsi="Times New Roman" w:eastAsia="宋体"/>
                <w:color w:val="auto"/>
                <w:lang w:val="en-US" w:eastAsia="zh-CN"/>
              </w:rPr>
              <w:t>现有</w:t>
            </w:r>
            <w:r>
              <w:rPr>
                <w:rFonts w:hint="eastAsia" w:ascii="Times New Roman" w:hAnsi="Times New Roman" w:eastAsia="宋体"/>
                <w:color w:val="auto"/>
              </w:rPr>
              <w:t>化粪池</w:t>
            </w:r>
            <w:r>
              <w:rPr>
                <w:rFonts w:hint="eastAsia" w:ascii="Times New Roman" w:hAnsi="Times New Roman"/>
                <w:color w:val="auto"/>
                <w:lang w:eastAsia="zh-CN"/>
              </w:rPr>
              <w:t>（</w:t>
            </w:r>
            <w:r>
              <w:rPr>
                <w:rFonts w:hint="eastAsia" w:ascii="Times New Roman" w:hAnsi="Times New Roman"/>
                <w:color w:val="auto"/>
                <w:lang w:val="en-US" w:eastAsia="zh-CN"/>
              </w:rPr>
              <w:t>10</w:t>
            </w:r>
            <w:r>
              <w:rPr>
                <w:rFonts w:hint="eastAsia" w:ascii="Times New Roman" w:hAnsi="Times New Roman" w:eastAsia="宋体"/>
                <w:color w:val="auto"/>
                <w:lang w:val="en-US" w:eastAsia="zh-CN"/>
              </w:rPr>
              <w:t>m</w:t>
            </w:r>
            <w:r>
              <w:rPr>
                <w:rFonts w:hint="eastAsia" w:ascii="Times New Roman" w:hAnsi="Times New Roman" w:eastAsia="宋体"/>
                <w:color w:val="auto"/>
                <w:vertAlign w:val="superscript"/>
                <w:lang w:val="en-US" w:eastAsia="zh-CN"/>
              </w:rPr>
              <w:t>3</w:t>
            </w:r>
            <w:r>
              <w:rPr>
                <w:rFonts w:hint="eastAsia" w:ascii="Times New Roman" w:hAnsi="Times New Roman"/>
                <w:color w:val="auto"/>
                <w:lang w:eastAsia="zh-CN"/>
              </w:rPr>
              <w:t>）</w:t>
            </w:r>
            <w:r>
              <w:rPr>
                <w:rFonts w:hint="eastAsia" w:ascii="Times New Roman" w:hAnsi="Times New Roman" w:eastAsia="宋体"/>
                <w:color w:val="auto"/>
              </w:rPr>
              <w:t>处理后，</w:t>
            </w:r>
            <w:r>
              <w:rPr>
                <w:rFonts w:hint="eastAsia"/>
                <w:color w:val="auto"/>
                <w:sz w:val="24"/>
                <w:szCs w:val="24"/>
                <w:lang w:val="en-US" w:eastAsia="zh-CN"/>
              </w:rPr>
              <w:t>利用罐车拉运至纳古镇污水处理站处理，属于间接排放</w:t>
            </w:r>
            <w:r>
              <w:rPr>
                <w:rFonts w:hint="eastAsia" w:ascii="Times New Roman" w:hAnsi="Times New Roman" w:eastAsia="宋体"/>
                <w:color w:val="auto"/>
                <w:lang w:eastAsia="zh-CN"/>
              </w:rPr>
              <w:t>。</w:t>
            </w:r>
            <w:bookmarkEnd w:id="9"/>
          </w:p>
          <w:p w14:paraId="51AF8642">
            <w:pPr>
              <w:pStyle w:val="61"/>
              <w:ind w:firstLine="482"/>
              <w:rPr>
                <w:rFonts w:ascii="Times New Roman" w:hAnsi="Times New Roman" w:eastAsia="宋体"/>
                <w:b/>
                <w:bCs/>
                <w:color w:val="auto"/>
              </w:rPr>
            </w:pPr>
            <w:r>
              <w:rPr>
                <w:rFonts w:ascii="Times New Roman" w:hAnsi="Times New Roman" w:eastAsia="宋体"/>
                <w:b/>
                <w:bCs/>
                <w:color w:val="auto"/>
              </w:rPr>
              <w:t>3</w:t>
            </w:r>
            <w:r>
              <w:rPr>
                <w:rFonts w:hint="eastAsia" w:ascii="Times New Roman" w:hAnsi="Times New Roman" w:eastAsia="宋体"/>
                <w:b/>
                <w:bCs/>
                <w:color w:val="auto"/>
              </w:rPr>
              <w:t>）用排水量核算</w:t>
            </w:r>
          </w:p>
          <w:p w14:paraId="3A3AFE7F">
            <w:pPr>
              <w:pStyle w:val="61"/>
              <w:ind w:firstLine="48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①高频焊接冷却水</w:t>
            </w:r>
          </w:p>
          <w:p w14:paraId="6485348C">
            <w:pPr>
              <w:pStyle w:val="61"/>
              <w:ind w:firstLine="480"/>
              <w:rPr>
                <w:rFonts w:hint="default" w:ascii="Times New Roman" w:hAnsi="Times New Roman" w:eastAsia="宋体"/>
                <w:color w:val="auto"/>
                <w:vertAlign w:val="baseline"/>
                <w:lang w:val="en-US" w:eastAsia="zh-CN"/>
              </w:rPr>
            </w:pPr>
            <w:r>
              <w:rPr>
                <w:rFonts w:hint="eastAsia" w:ascii="Times New Roman" w:hAnsi="Times New Roman" w:eastAsia="宋体"/>
                <w:color w:val="auto"/>
              </w:rPr>
              <w:t>本项目焊管生产线使用高频焊接，焊接时候需要进行水冷却，</w:t>
            </w:r>
            <w:r>
              <w:rPr>
                <w:rFonts w:hint="eastAsia" w:ascii="Times New Roman" w:hAnsi="Times New Roman" w:eastAsia="宋体"/>
                <w:color w:val="auto"/>
                <w:lang w:val="en-US" w:eastAsia="zh-CN"/>
              </w:rPr>
              <w:t>根据企业提供的技术资料，每条生产线冷却水量为5m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/h，项目共计</w:t>
            </w:r>
            <w:r>
              <w:rPr>
                <w:rFonts w:hint="eastAsia" w:ascii="Times New Roman" w:hAnsi="Times New Roman"/>
                <w:color w:val="auto"/>
                <w:vertAlign w:val="baseline"/>
                <w:lang w:val="en-US" w:eastAsia="zh-CN"/>
              </w:rPr>
              <w:t>8</w:t>
            </w:r>
            <w:r>
              <w:rPr>
                <w:rFonts w:hint="eastAsia" w:ascii="Times New Roman" w:hAnsi="Times New Roman" w:eastAsia="宋体"/>
                <w:color w:val="auto"/>
                <w:vertAlign w:val="baseline"/>
                <w:lang w:val="en-US" w:eastAsia="zh-CN"/>
              </w:rPr>
              <w:t>条生产线，冷却水用量为</w:t>
            </w:r>
            <w:r>
              <w:rPr>
                <w:rFonts w:hint="eastAsia" w:ascii="Times New Roman" w:hAnsi="Times New Roman"/>
                <w:color w:val="auto"/>
                <w:vertAlign w:val="baseline"/>
                <w:lang w:val="en-US" w:eastAsia="zh-CN"/>
              </w:rPr>
              <w:t>40</w:t>
            </w:r>
            <w:r>
              <w:rPr>
                <w:rFonts w:hint="eastAsia" w:ascii="Times New Roman" w:hAnsi="Times New Roman" w:eastAsia="宋体"/>
                <w:color w:val="auto"/>
                <w:vertAlign w:val="baseline"/>
                <w:lang w:val="en-US" w:eastAsia="zh-CN"/>
              </w:rPr>
              <w:t>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w:t>
            </w:r>
            <w:r>
              <w:rPr>
                <w:rFonts w:hint="eastAsia" w:ascii="Times New Roman" w:hAnsi="Times New Roman"/>
                <w:color w:val="auto"/>
                <w:vertAlign w:val="baseline"/>
                <w:lang w:val="en-US" w:eastAsia="zh-CN"/>
              </w:rPr>
              <w:t>320</w:t>
            </w:r>
            <w:r>
              <w:rPr>
                <w:rFonts w:hint="eastAsia" w:ascii="Times New Roman" w:hAnsi="Times New Roman" w:eastAsia="宋体"/>
                <w:color w:val="auto"/>
                <w:vertAlign w:val="baseline"/>
                <w:lang w:val="en-US" w:eastAsia="zh-CN"/>
              </w:rPr>
              <w:t>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/d。</w:t>
            </w:r>
            <w:r>
              <w:rPr>
                <w:rFonts w:hint="eastAsia" w:ascii="Times New Roman" w:hAnsi="Times New Roman" w:eastAsia="宋体"/>
                <w:b w:val="0"/>
                <w:bCs w:val="0"/>
                <w:color w:val="auto"/>
                <w:lang w:eastAsia="zh-CN"/>
              </w:rPr>
              <w:t>直接冷却水主要是对焊管进行冷却，与物料直接接触，为直接冷却水，通过生产线下方排水沟引入循环水池，焊管直接冷却水经沉淀、冷却后循环利用，不足时定期补充，不外排。</w:t>
            </w:r>
            <w:r>
              <w:rPr>
                <w:rFonts w:hint="eastAsia" w:ascii="Times New Roman" w:hAnsi="Times New Roman" w:eastAsia="宋体"/>
                <w:b w:val="0"/>
                <w:bCs w:val="0"/>
                <w:color w:val="auto"/>
                <w:lang w:val="en-US" w:eastAsia="zh-CN"/>
              </w:rPr>
              <w:t>冷却水损失量总用水量为</w:t>
            </w:r>
            <w:r>
              <w:rPr>
                <w:rFonts w:hint="eastAsia" w:ascii="Times New Roman" w:hAnsi="Times New Roman"/>
                <w:b w:val="0"/>
                <w:bCs w:val="0"/>
                <w:color w:val="auto"/>
                <w:lang w:val="en-US" w:eastAsia="zh-CN"/>
              </w:rPr>
              <w:t>1</w:t>
            </w:r>
            <w:r>
              <w:rPr>
                <w:rFonts w:hint="eastAsia" w:ascii="Times New Roman" w:hAnsi="Times New Roman" w:eastAsia="宋体"/>
                <w:b w:val="0"/>
                <w:bCs w:val="0"/>
                <w:color w:val="auto"/>
                <w:lang w:val="en-US" w:eastAsia="zh-CN"/>
              </w:rPr>
              <w:t>%，故每天补充</w:t>
            </w:r>
            <w:r>
              <w:rPr>
                <w:rFonts w:hint="eastAsia" w:ascii="Times New Roman" w:hAnsi="Times New Roman"/>
                <w:b w:val="0"/>
                <w:bCs w:val="0"/>
                <w:color w:val="auto"/>
                <w:lang w:val="en-US" w:eastAsia="zh-CN"/>
              </w:rPr>
              <w:t>3.2</w:t>
            </w:r>
            <w:r>
              <w:rPr>
                <w:rFonts w:hint="eastAsia" w:ascii="Times New Roman" w:hAnsi="Times New Roman" w:eastAsia="宋体"/>
                <w:b w:val="0"/>
                <w:bCs w:val="0"/>
                <w:color w:val="auto"/>
                <w:lang w:val="en-US" w:eastAsia="zh-CN"/>
              </w:rPr>
              <w:t>m</w:t>
            </w:r>
            <w:r>
              <w:rPr>
                <w:rFonts w:hint="eastAsia" w:ascii="Times New Roman" w:hAnsi="Times New Roman" w:eastAsia="宋体"/>
                <w:b w:val="0"/>
                <w:bCs w:val="0"/>
                <w:color w:val="auto"/>
                <w:vertAlign w:val="superscript"/>
                <w:lang w:val="en-US" w:eastAsia="zh-CN"/>
              </w:rPr>
              <w:t>3</w:t>
            </w:r>
            <w:r>
              <w:rPr>
                <w:rFonts w:hint="eastAsia" w:ascii="Times New Roman" w:hAnsi="Times New Roman" w:eastAsia="宋体"/>
                <w:b w:val="0"/>
                <w:bCs w:val="0"/>
                <w:color w:val="auto"/>
                <w:vertAlign w:val="baseline"/>
                <w:lang w:val="en-US" w:eastAsia="zh-CN"/>
              </w:rPr>
              <w:t>。</w:t>
            </w:r>
          </w:p>
          <w:p w14:paraId="2927DB53">
            <w:pPr>
              <w:pStyle w:val="61"/>
              <w:ind w:firstLine="48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②员工生活用排水</w:t>
            </w:r>
          </w:p>
          <w:p w14:paraId="780476C6">
            <w:pPr>
              <w:adjustRightInd w:val="0"/>
              <w:snapToGrid w:val="0"/>
              <w:spacing w:line="360" w:lineRule="auto"/>
              <w:ind w:firstLine="480" w:firstLineChars="200"/>
              <w:rPr>
                <w:rFonts w:hint="default" w:ascii="Times New Roman" w:hAnsi="Times New Roman" w:eastAsia="宋体"/>
                <w:color w:val="auto"/>
                <w:sz w:val="24"/>
                <w:lang w:val="en-US"/>
              </w:rPr>
            </w:pPr>
            <w:r>
              <w:rPr>
                <w:rFonts w:hint="eastAsia" w:ascii="Times New Roman" w:hAnsi="Times New Roman" w:eastAsia="宋体" w:cs="宋体"/>
                <w:color w:val="auto"/>
                <w:sz w:val="24"/>
              </w:rPr>
              <w:t>项目劳动定员</w:t>
            </w:r>
            <w:r>
              <w:rPr>
                <w:rFonts w:hint="eastAsia" w:cs="宋体"/>
                <w:color w:val="auto"/>
                <w:sz w:val="24"/>
                <w:lang w:val="en-US" w:eastAsia="zh-CN"/>
              </w:rPr>
              <w:t>55</w:t>
            </w:r>
            <w:r>
              <w:rPr>
                <w:rFonts w:hint="eastAsia" w:ascii="Times New Roman" w:hAnsi="Times New Roman" w:eastAsia="宋体" w:cs="宋体"/>
                <w:color w:val="auto"/>
                <w:sz w:val="24"/>
              </w:rPr>
              <w:t>人，</w:t>
            </w:r>
            <w:r>
              <w:rPr>
                <w:rFonts w:hint="eastAsia" w:ascii="Times New Roman" w:hAnsi="Times New Roman" w:eastAsia="宋体" w:cs="宋体"/>
                <w:color w:val="auto"/>
                <w:sz w:val="24"/>
                <w:lang w:val="en-US" w:eastAsia="zh-CN"/>
              </w:rPr>
              <w:t>厂区内不提供饮食和住宿</w:t>
            </w:r>
            <w:r>
              <w:rPr>
                <w:rFonts w:hint="eastAsia" w:ascii="Times New Roman" w:hAnsi="Times New Roman" w:eastAsia="宋体" w:cs="宋体"/>
                <w:color w:val="auto"/>
                <w:sz w:val="24"/>
              </w:rPr>
              <w:t>。</w:t>
            </w:r>
            <w:r>
              <w:rPr>
                <w:rFonts w:ascii="Times New Roman" w:hAnsi="Times New Roman" w:eastAsia="宋体"/>
                <w:color w:val="auto"/>
                <w:sz w:val="24"/>
              </w:rPr>
              <w:t>员工生活用水量参照《云南省地方标准 用水定额》（GB53/T168-2019）中</w:t>
            </w:r>
            <w:r>
              <w:rPr>
                <w:rFonts w:hint="eastAsia" w:ascii="Times New Roman" w:hAnsi="Times New Roman" w:eastAsia="宋体"/>
                <w:color w:val="auto"/>
                <w:sz w:val="24"/>
                <w:lang w:eastAsia="zh-CN"/>
              </w:rPr>
              <w:t>无食堂行政机构办公楼人均用水量</w:t>
            </w:r>
            <w:r>
              <w:rPr>
                <w:rFonts w:hint="eastAsia" w:ascii="Times New Roman" w:hAnsi="Times New Roman" w:eastAsia="宋体"/>
                <w:color w:val="auto"/>
                <w:sz w:val="24"/>
                <w:lang w:val="en-US" w:eastAsia="zh-CN"/>
              </w:rPr>
              <w:t>30L/（人·天）计算，</w:t>
            </w:r>
            <w:r>
              <w:rPr>
                <w:rFonts w:ascii="Times New Roman" w:hAnsi="Times New Roman" w:eastAsia="宋体"/>
                <w:color w:val="auto"/>
                <w:sz w:val="24"/>
              </w:rPr>
              <w:t>则本项目员工用水量为</w:t>
            </w:r>
            <w:r>
              <w:rPr>
                <w:rFonts w:hint="eastAsia"/>
                <w:color w:val="auto"/>
                <w:sz w:val="24"/>
                <w:lang w:val="en-US" w:eastAsia="zh-CN"/>
              </w:rPr>
              <w:t>1.65</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w:t>
            </w:r>
            <w:r>
              <w:rPr>
                <w:rFonts w:hint="eastAsia" w:ascii="Times New Roman" w:hAnsi="Times New Roman" w:eastAsia="宋体"/>
                <w:color w:val="auto"/>
                <w:sz w:val="24"/>
                <w:lang w:val="en-US" w:eastAsia="zh-CN"/>
              </w:rPr>
              <w:t>，</w:t>
            </w:r>
            <w:r>
              <w:rPr>
                <w:rFonts w:hint="eastAsia"/>
                <w:color w:val="auto"/>
                <w:sz w:val="24"/>
                <w:lang w:val="en-US" w:eastAsia="zh-CN"/>
              </w:rPr>
              <w:t>495</w:t>
            </w:r>
            <w:r>
              <w:rPr>
                <w:rFonts w:hint="eastAsia" w:ascii="Times New Roman" w:hAnsi="Times New Roman" w:eastAsia="宋体"/>
                <w:color w:val="auto"/>
                <w:sz w:val="24"/>
                <w:lang w:val="en-US" w:eastAsia="zh-CN"/>
              </w:rPr>
              <w:t>m</w:t>
            </w:r>
            <w:r>
              <w:rPr>
                <w:rFonts w:hint="eastAsia" w:ascii="Times New Roman" w:hAnsi="Times New Roman" w:eastAsia="宋体"/>
                <w:color w:val="auto"/>
                <w:sz w:val="24"/>
                <w:vertAlign w:val="superscript"/>
                <w:lang w:val="en-US" w:eastAsia="zh-CN"/>
              </w:rPr>
              <w:t>3</w:t>
            </w:r>
            <w:r>
              <w:rPr>
                <w:rFonts w:hint="eastAsia" w:ascii="Times New Roman" w:hAnsi="Times New Roman" w:eastAsia="宋体"/>
                <w:color w:val="auto"/>
                <w:sz w:val="24"/>
                <w:vertAlign w:val="baseline"/>
                <w:lang w:val="en-US" w:eastAsia="zh-CN"/>
              </w:rPr>
              <w:t>/a</w:t>
            </w:r>
            <w:r>
              <w:rPr>
                <w:rFonts w:ascii="Times New Roman" w:hAnsi="Times New Roman" w:eastAsia="宋体"/>
                <w:color w:val="auto"/>
                <w:sz w:val="24"/>
              </w:rPr>
              <w:t>，产污系数按0.8计，则生活污水产生量为</w:t>
            </w:r>
            <w:r>
              <w:rPr>
                <w:rFonts w:hint="eastAsia"/>
                <w:color w:val="auto"/>
                <w:sz w:val="24"/>
                <w:lang w:val="en-US" w:eastAsia="zh-CN"/>
              </w:rPr>
              <w:t>1.32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w:t>
            </w:r>
            <w:r>
              <w:rPr>
                <w:rFonts w:hint="eastAsia" w:ascii="Times New Roman" w:hAnsi="Times New Roman" w:eastAsia="宋体"/>
                <w:color w:val="auto"/>
                <w:sz w:val="24"/>
              </w:rPr>
              <w:t>（</w:t>
            </w:r>
            <w:r>
              <w:rPr>
                <w:rFonts w:hint="eastAsia"/>
                <w:color w:val="auto"/>
                <w:sz w:val="24"/>
                <w:lang w:val="en-US" w:eastAsia="zh-CN"/>
              </w:rPr>
              <w:t>396</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/a</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依托现有化粪池</w:t>
            </w:r>
            <w:r>
              <w:rPr>
                <w:rFonts w:hint="eastAsia" w:ascii="Times New Roman" w:hAnsi="Times New Roman" w:eastAsia="宋体"/>
                <w:color w:val="auto"/>
                <w:sz w:val="24"/>
                <w:lang w:val="en-US" w:eastAsia="zh-CN"/>
              </w:rPr>
              <w:t>处理</w:t>
            </w:r>
            <w:r>
              <w:rPr>
                <w:rFonts w:hint="eastAsia" w:ascii="Times New Roman" w:hAnsi="Times New Roman" w:eastAsia="宋体"/>
                <w:color w:val="auto"/>
                <w:sz w:val="24"/>
              </w:rPr>
              <w:t>后，</w:t>
            </w:r>
            <w:r>
              <w:rPr>
                <w:rFonts w:hint="eastAsia"/>
                <w:color w:val="auto"/>
                <w:sz w:val="24"/>
                <w:szCs w:val="24"/>
                <w:lang w:val="en-US" w:eastAsia="zh-CN"/>
              </w:rPr>
              <w:t>利用罐车拉运至纳古镇污水处理站处理</w:t>
            </w:r>
            <w:r>
              <w:rPr>
                <w:rFonts w:hint="eastAsia" w:ascii="Times New Roman" w:hAnsi="Times New Roman" w:eastAsia="宋体"/>
                <w:color w:val="auto"/>
                <w:lang w:eastAsia="zh-CN"/>
              </w:rPr>
              <w:t>。</w:t>
            </w:r>
          </w:p>
          <w:p w14:paraId="0591721D">
            <w:pPr>
              <w:pStyle w:val="61"/>
              <w:ind w:firstLine="480"/>
              <w:rPr>
                <w:rFonts w:hint="eastAsia" w:ascii="Times New Roman" w:hAnsi="Times New Roman" w:eastAsia="宋体"/>
                <w:color w:val="auto"/>
                <w:lang w:val="en-US" w:eastAsia="zh-CN"/>
              </w:rPr>
            </w:pPr>
            <w:r>
              <w:rPr>
                <w:rFonts w:hint="eastAsia" w:ascii="Times New Roman" w:hAnsi="Times New Roman"/>
                <w:color w:val="auto"/>
                <w:lang w:val="en-US" w:eastAsia="zh-CN"/>
              </w:rPr>
              <w:t>③</w:t>
            </w:r>
            <w:r>
              <w:rPr>
                <w:rFonts w:hint="eastAsia" w:ascii="Times New Roman" w:hAnsi="Times New Roman" w:eastAsia="宋体"/>
                <w:color w:val="auto"/>
                <w:lang w:val="en-US" w:eastAsia="zh-CN"/>
              </w:rPr>
              <w:t>项目水平衡</w:t>
            </w:r>
          </w:p>
          <w:p w14:paraId="5ABA9326">
            <w:pPr>
              <w:pStyle w:val="61"/>
              <w:ind w:firstLine="482"/>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根据上述核算，项目用排水情况如下表。</w:t>
            </w:r>
          </w:p>
          <w:p w14:paraId="3A14D821">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表2-8   项目给排水情况一览表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063"/>
              <w:gridCol w:w="1063"/>
              <w:gridCol w:w="1034"/>
              <w:gridCol w:w="932"/>
              <w:gridCol w:w="2687"/>
            </w:tblGrid>
            <w:tr w14:paraId="3DF5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shd w:val="clear" w:color="auto" w:fill="D9D9D9"/>
                  <w:noWrap w:val="0"/>
                  <w:vAlign w:val="center"/>
                </w:tcPr>
                <w:p w14:paraId="6C57541A">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用水对象</w:t>
                  </w:r>
                </w:p>
              </w:tc>
              <w:tc>
                <w:tcPr>
                  <w:tcW w:w="2126" w:type="dxa"/>
                  <w:gridSpan w:val="2"/>
                  <w:shd w:val="clear" w:color="auto" w:fill="D9D9D9"/>
                  <w:noWrap w:val="0"/>
                  <w:vAlign w:val="center"/>
                </w:tcPr>
                <w:p w14:paraId="3FF6F8D3">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新鲜</w:t>
                  </w:r>
                  <w:r>
                    <w:rPr>
                      <w:rFonts w:hint="eastAsia" w:ascii="Times New Roman" w:hAnsi="Times New Roman" w:eastAsia="宋体"/>
                      <w:color w:val="auto"/>
                      <w:sz w:val="21"/>
                      <w:szCs w:val="21"/>
                    </w:rPr>
                    <w:t>用水量</w:t>
                  </w:r>
                </w:p>
              </w:tc>
              <w:tc>
                <w:tcPr>
                  <w:tcW w:w="1966" w:type="dxa"/>
                  <w:gridSpan w:val="2"/>
                  <w:shd w:val="clear" w:color="auto" w:fill="D9D9D9"/>
                  <w:noWrap w:val="0"/>
                  <w:vAlign w:val="center"/>
                </w:tcPr>
                <w:p w14:paraId="6EBA80E0">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废水产生量</w:t>
                  </w:r>
                </w:p>
              </w:tc>
              <w:tc>
                <w:tcPr>
                  <w:tcW w:w="2687" w:type="dxa"/>
                  <w:vMerge w:val="restart"/>
                  <w:shd w:val="clear" w:color="auto" w:fill="D9D9D9"/>
                  <w:noWrap w:val="0"/>
                  <w:vAlign w:val="center"/>
                </w:tcPr>
                <w:p w14:paraId="6D5DE79D">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排放情况</w:t>
                  </w:r>
                </w:p>
              </w:tc>
            </w:tr>
            <w:tr w14:paraId="0D89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shd w:val="clear" w:color="auto" w:fill="D9D9D9"/>
                  <w:noWrap w:val="0"/>
                  <w:vAlign w:val="center"/>
                </w:tcPr>
                <w:p w14:paraId="5E6F9698">
                  <w:pPr>
                    <w:pStyle w:val="61"/>
                    <w:spacing w:line="240" w:lineRule="auto"/>
                    <w:ind w:firstLine="0" w:firstLineChars="0"/>
                    <w:jc w:val="center"/>
                    <w:rPr>
                      <w:rFonts w:hint="eastAsia" w:ascii="Times New Roman" w:hAnsi="Times New Roman" w:eastAsia="宋体"/>
                      <w:color w:val="auto"/>
                      <w:sz w:val="21"/>
                      <w:szCs w:val="21"/>
                    </w:rPr>
                  </w:pPr>
                </w:p>
              </w:tc>
              <w:tc>
                <w:tcPr>
                  <w:tcW w:w="1063" w:type="dxa"/>
                  <w:shd w:val="clear" w:color="auto" w:fill="D9D9D9"/>
                  <w:noWrap w:val="0"/>
                  <w:vAlign w:val="center"/>
                </w:tcPr>
                <w:p w14:paraId="3B7069B3">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p>
              </w:tc>
              <w:tc>
                <w:tcPr>
                  <w:tcW w:w="1063" w:type="dxa"/>
                  <w:shd w:val="clear" w:color="auto" w:fill="D9D9D9"/>
                  <w:noWrap w:val="0"/>
                  <w:vAlign w:val="center"/>
                </w:tcPr>
                <w:p w14:paraId="43F9CC56">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/a</w:t>
                  </w:r>
                </w:p>
              </w:tc>
              <w:tc>
                <w:tcPr>
                  <w:tcW w:w="1034" w:type="dxa"/>
                  <w:shd w:val="clear" w:color="auto" w:fill="D9D9D9"/>
                  <w:noWrap w:val="0"/>
                  <w:vAlign w:val="center"/>
                </w:tcPr>
                <w:p w14:paraId="5D3D8D1B">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p>
              </w:tc>
              <w:tc>
                <w:tcPr>
                  <w:tcW w:w="932" w:type="dxa"/>
                  <w:shd w:val="clear" w:color="auto" w:fill="D9D9D9"/>
                  <w:noWrap w:val="0"/>
                  <w:vAlign w:val="center"/>
                </w:tcPr>
                <w:p w14:paraId="06BDAE4D">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/a</w:t>
                  </w:r>
                </w:p>
              </w:tc>
              <w:tc>
                <w:tcPr>
                  <w:tcW w:w="2687" w:type="dxa"/>
                  <w:vMerge w:val="continue"/>
                  <w:shd w:val="clear" w:color="auto" w:fill="D9D9D9"/>
                  <w:noWrap w:val="0"/>
                  <w:vAlign w:val="center"/>
                </w:tcPr>
                <w:p w14:paraId="2074856E">
                  <w:pPr>
                    <w:pStyle w:val="61"/>
                    <w:spacing w:line="240" w:lineRule="auto"/>
                    <w:ind w:firstLine="0" w:firstLineChars="0"/>
                    <w:jc w:val="center"/>
                    <w:rPr>
                      <w:rFonts w:hint="eastAsia" w:ascii="Times New Roman" w:hAnsi="Times New Roman" w:eastAsia="宋体"/>
                      <w:color w:val="auto"/>
                      <w:sz w:val="21"/>
                      <w:szCs w:val="21"/>
                    </w:rPr>
                  </w:pPr>
                </w:p>
              </w:tc>
            </w:tr>
            <w:tr w14:paraId="70F6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noWrap w:val="0"/>
                  <w:vAlign w:val="center"/>
                </w:tcPr>
                <w:p w14:paraId="24BCB551">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高频焊接冷却水</w:t>
                  </w:r>
                </w:p>
              </w:tc>
              <w:tc>
                <w:tcPr>
                  <w:tcW w:w="1063" w:type="dxa"/>
                  <w:noWrap w:val="0"/>
                  <w:vAlign w:val="center"/>
                </w:tcPr>
                <w:p w14:paraId="72EDD52E">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w:t>
                  </w:r>
                </w:p>
              </w:tc>
              <w:tc>
                <w:tcPr>
                  <w:tcW w:w="1063" w:type="dxa"/>
                  <w:noWrap w:val="0"/>
                  <w:vAlign w:val="center"/>
                </w:tcPr>
                <w:p w14:paraId="7A2B7758">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960</w:t>
                  </w:r>
                </w:p>
              </w:tc>
              <w:tc>
                <w:tcPr>
                  <w:tcW w:w="1034" w:type="dxa"/>
                  <w:noWrap w:val="0"/>
                  <w:vAlign w:val="center"/>
                </w:tcPr>
                <w:p w14:paraId="4513AA27">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932" w:type="dxa"/>
                  <w:noWrap w:val="0"/>
                  <w:vAlign w:val="center"/>
                </w:tcPr>
                <w:p w14:paraId="774C6024">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p>
              </w:tc>
              <w:tc>
                <w:tcPr>
                  <w:tcW w:w="2687" w:type="dxa"/>
                  <w:noWrap w:val="0"/>
                  <w:vAlign w:val="center"/>
                </w:tcPr>
                <w:p w14:paraId="38659AC1">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循环使用，不外排</w:t>
                  </w:r>
                </w:p>
              </w:tc>
            </w:tr>
            <w:tr w14:paraId="2830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245" w:type="dxa"/>
                  <w:noWrap w:val="0"/>
                  <w:vAlign w:val="center"/>
                </w:tcPr>
                <w:p w14:paraId="6A79EEB4">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员工</w:t>
                  </w:r>
                </w:p>
              </w:tc>
              <w:tc>
                <w:tcPr>
                  <w:tcW w:w="1063" w:type="dxa"/>
                  <w:noWrap w:val="0"/>
                  <w:vAlign w:val="center"/>
                </w:tcPr>
                <w:p w14:paraId="4488A729">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1.65</w:t>
                  </w:r>
                </w:p>
              </w:tc>
              <w:tc>
                <w:tcPr>
                  <w:tcW w:w="1063" w:type="dxa"/>
                  <w:noWrap w:val="0"/>
                  <w:vAlign w:val="center"/>
                </w:tcPr>
                <w:p w14:paraId="22370C8D">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495</w:t>
                  </w:r>
                </w:p>
              </w:tc>
              <w:tc>
                <w:tcPr>
                  <w:tcW w:w="1034" w:type="dxa"/>
                  <w:noWrap w:val="0"/>
                  <w:vAlign w:val="center"/>
                </w:tcPr>
                <w:p w14:paraId="59FB6893">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1.32</w:t>
                  </w:r>
                </w:p>
              </w:tc>
              <w:tc>
                <w:tcPr>
                  <w:tcW w:w="932" w:type="dxa"/>
                  <w:noWrap w:val="0"/>
                  <w:vAlign w:val="center"/>
                </w:tcPr>
                <w:p w14:paraId="3A398BBF">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396</w:t>
                  </w:r>
                </w:p>
              </w:tc>
              <w:tc>
                <w:tcPr>
                  <w:tcW w:w="2687" w:type="dxa"/>
                  <w:noWrap w:val="0"/>
                  <w:vAlign w:val="center"/>
                </w:tcPr>
                <w:p w14:paraId="154FFC5B">
                  <w:pPr>
                    <w:pStyle w:val="61"/>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依托现有化粪池处理，利用罐车拉运至纳古镇污水处理站处理，属于间接排放</w:t>
                  </w:r>
                </w:p>
              </w:tc>
            </w:tr>
            <w:tr w14:paraId="06C1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noWrap w:val="0"/>
                  <w:vAlign w:val="center"/>
                </w:tcPr>
                <w:p w14:paraId="45E4E3C4">
                  <w:pPr>
                    <w:pStyle w:val="61"/>
                    <w:spacing w:line="240" w:lineRule="auto"/>
                    <w:ind w:firstLine="0" w:firstLineChars="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合计</w:t>
                  </w:r>
                </w:p>
              </w:tc>
              <w:tc>
                <w:tcPr>
                  <w:tcW w:w="1063" w:type="dxa"/>
                  <w:noWrap w:val="0"/>
                  <w:vAlign w:val="center"/>
                </w:tcPr>
                <w:p w14:paraId="7928D559">
                  <w:pPr>
                    <w:pStyle w:val="61"/>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4.85</w:t>
                  </w:r>
                </w:p>
              </w:tc>
              <w:tc>
                <w:tcPr>
                  <w:tcW w:w="1063" w:type="dxa"/>
                  <w:noWrap w:val="0"/>
                  <w:vAlign w:val="center"/>
                </w:tcPr>
                <w:p w14:paraId="78CCFF08">
                  <w:pPr>
                    <w:pStyle w:val="61"/>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1455</w:t>
                  </w:r>
                </w:p>
              </w:tc>
              <w:tc>
                <w:tcPr>
                  <w:tcW w:w="1034" w:type="dxa"/>
                  <w:noWrap w:val="0"/>
                  <w:vAlign w:val="center"/>
                </w:tcPr>
                <w:p w14:paraId="01646DFE">
                  <w:pPr>
                    <w:pStyle w:val="61"/>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1.32</w:t>
                  </w:r>
                </w:p>
              </w:tc>
              <w:tc>
                <w:tcPr>
                  <w:tcW w:w="932" w:type="dxa"/>
                  <w:noWrap w:val="0"/>
                  <w:vAlign w:val="center"/>
                </w:tcPr>
                <w:p w14:paraId="61156306">
                  <w:pPr>
                    <w:pStyle w:val="61"/>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396</w:t>
                  </w:r>
                </w:p>
              </w:tc>
              <w:tc>
                <w:tcPr>
                  <w:tcW w:w="2687" w:type="dxa"/>
                  <w:noWrap w:val="0"/>
                  <w:vAlign w:val="center"/>
                </w:tcPr>
                <w:p w14:paraId="23E5550A">
                  <w:pPr>
                    <w:pStyle w:val="61"/>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r>
          </w:tbl>
          <w:p w14:paraId="78760E04">
            <w:pPr>
              <w:pStyle w:val="6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宋体"/>
                <w:b/>
                <w:bCs/>
                <w:color w:val="auto"/>
                <w:spacing w:val="0"/>
                <w:kern w:val="0"/>
                <w:sz w:val="21"/>
                <w:szCs w:val="21"/>
                <w:lang w:val="en-US" w:eastAsia="zh-CN" w:bidi="ar-SA"/>
              </w:rPr>
            </w:pPr>
            <w:r>
              <w:rPr>
                <w:color w:val="auto"/>
              </w:rPr>
              <mc:AlternateContent>
                <mc:Choice Requires="wpc">
                  <w:drawing>
                    <wp:anchor distT="0" distB="0" distL="114300" distR="114300" simplePos="0" relativeHeight="251660288" behindDoc="0" locked="0" layoutInCell="1" allowOverlap="1">
                      <wp:simplePos x="0" y="0"/>
                      <wp:positionH relativeFrom="column">
                        <wp:posOffset>83820</wp:posOffset>
                      </wp:positionH>
                      <wp:positionV relativeFrom="paragraph">
                        <wp:posOffset>172085</wp:posOffset>
                      </wp:positionV>
                      <wp:extent cx="4956810" cy="3275965"/>
                      <wp:effectExtent l="0" t="0" r="0" b="0"/>
                      <wp:wrapTopAndBottom/>
                      <wp:docPr id="4" name="画布 4"/>
                      <wp:cNvGraphicFramePr/>
                      <a:graphic xmlns:a="http://schemas.openxmlformats.org/drawingml/2006/main">
                        <a:graphicData uri="http://schemas.microsoft.com/office/word/2010/wordprocessingCanvas">
                          <wpc:wpc>
                            <wpc:bg/>
                            <wpc:whole/>
                            <wps:wsp>
                              <wps:cNvPr id="3" name="直接箭头连接符 7"/>
                              <wps:cNvCnPr/>
                              <wps:spPr>
                                <a:xfrm>
                                  <a:off x="138430" y="1574800"/>
                                  <a:ext cx="338455"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直接连接符 8"/>
                              <wps:cNvCnPr/>
                              <wps:spPr>
                                <a:xfrm>
                                  <a:off x="485775" y="908685"/>
                                  <a:ext cx="0" cy="1788160"/>
                                </a:xfrm>
                                <a:prstGeom prst="line">
                                  <a:avLst/>
                                </a:prstGeom>
                                <a:noFill/>
                                <a:ln w="19050" cap="flat" cmpd="sng" algn="ctr">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 name="直接箭头连接符 9"/>
                              <wps:cNvCnPr/>
                              <wps:spPr>
                                <a:xfrm>
                                  <a:off x="490855" y="918845"/>
                                  <a:ext cx="338455"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直接箭头连接符 10"/>
                              <wps:cNvCnPr>
                                <a:endCxn id="14" idx="1"/>
                              </wps:cNvCnPr>
                              <wps:spPr>
                                <a:xfrm>
                                  <a:off x="476885" y="2689860"/>
                                  <a:ext cx="415925" cy="571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矩形 11"/>
                              <wps:cNvSpPr/>
                              <wps:spPr>
                                <a:xfrm>
                                  <a:off x="806450" y="770255"/>
                                  <a:ext cx="819150"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68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员工用水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12"/>
                              <wps:cNvCnPr>
                                <a:endCxn id="15" idx="1"/>
                              </wps:cNvCnPr>
                              <wps:spPr>
                                <a:xfrm>
                                  <a:off x="1621790" y="918210"/>
                                  <a:ext cx="422910" cy="1587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矩形 13"/>
                              <wps:cNvSpPr/>
                              <wps:spPr>
                                <a:xfrm>
                                  <a:off x="892810" y="2548255"/>
                                  <a:ext cx="1004570"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AF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循环沉淀水池池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14"/>
                              <wps:cNvSpPr/>
                              <wps:spPr>
                                <a:xfrm>
                                  <a:off x="2044700" y="786765"/>
                                  <a:ext cx="819150"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D7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直接箭头连接符 20"/>
                              <wps:cNvCnPr/>
                              <wps:spPr>
                                <a:xfrm>
                                  <a:off x="2874010" y="920750"/>
                                  <a:ext cx="386715"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 name="矩形 22"/>
                              <wps:cNvSpPr/>
                              <wps:spPr>
                                <a:xfrm>
                                  <a:off x="3256915" y="786765"/>
                                  <a:ext cx="760095"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4D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罐车拉运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箭头连接符 25"/>
                              <wps:cNvCnPr/>
                              <wps:spPr>
                                <a:xfrm>
                                  <a:off x="4017645" y="938530"/>
                                  <a:ext cx="425450"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直接连接符 26"/>
                              <wps:cNvCnPr/>
                              <wps:spPr>
                                <a:xfrm>
                                  <a:off x="4424680" y="938530"/>
                                  <a:ext cx="1270" cy="517525"/>
                                </a:xfrm>
                                <a:prstGeom prst="line">
                                  <a:avLst/>
                                </a:prstGeom>
                                <a:noFill/>
                                <a:ln w="12700" cap="flat" cmpd="sng" algn="ctr">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1" name="矩形 27"/>
                              <wps:cNvSpPr/>
                              <wps:spPr>
                                <a:xfrm>
                                  <a:off x="3844925" y="1442085"/>
                                  <a:ext cx="941705" cy="5607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BB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纳古镇污水处理站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直接箭头连接符 29"/>
                              <wps:cNvCnPr>
                                <a:stCxn id="14" idx="3"/>
                                <a:endCxn id="33" idx="1"/>
                              </wps:cNvCnPr>
                              <wps:spPr>
                                <a:xfrm>
                                  <a:off x="1897380" y="2695575"/>
                                  <a:ext cx="339725" cy="825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 name="矩形 30"/>
                              <wps:cNvSpPr/>
                              <wps:spPr>
                                <a:xfrm>
                                  <a:off x="2237105" y="2556510"/>
                                  <a:ext cx="809625"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4B5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冷却用水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直接箭头连接符 32"/>
                              <wps:cNvCnPr/>
                              <wps:spPr>
                                <a:xfrm>
                                  <a:off x="1269365" y="2109470"/>
                                  <a:ext cx="1352550" cy="5715"/>
                                </a:xfrm>
                                <a:prstGeom prst="straightConnector1">
                                  <a:avLst/>
                                </a:prstGeom>
                                <a:noFill/>
                                <a:ln w="19050" cap="flat" cmpd="sng" algn="ctr">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 name="直接箭头连接符 33"/>
                              <wps:cNvCnPr/>
                              <wps:spPr>
                                <a:xfrm>
                                  <a:off x="1260475" y="2100580"/>
                                  <a:ext cx="0" cy="454660"/>
                                </a:xfrm>
                                <a:prstGeom prst="straightConnector1">
                                  <a:avLst/>
                                </a:prstGeom>
                                <a:noFill/>
                                <a:ln w="19050"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 name="直接箭头连接符 35"/>
                              <wps:cNvCnPr/>
                              <wps:spPr>
                                <a:xfrm>
                                  <a:off x="2616200" y="2113280"/>
                                  <a:ext cx="0" cy="454660"/>
                                </a:xfrm>
                                <a:prstGeom prst="straightConnector1">
                                  <a:avLst/>
                                </a:prstGeom>
                                <a:noFill/>
                                <a:ln w="19050" cap="flat" cmpd="sng" algn="ctr">
                                  <a:solidFill>
                                    <a:sysClr val="windowText" lastClr="000000"/>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4" name="矩形 31"/>
                              <wps:cNvSpPr/>
                              <wps:spPr>
                                <a:xfrm>
                                  <a:off x="250825" y="678815"/>
                                  <a:ext cx="676910" cy="29400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B7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38"/>
                              <wps:cNvSpPr/>
                              <wps:spPr>
                                <a:xfrm>
                                  <a:off x="1612265" y="603885"/>
                                  <a:ext cx="492125"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98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矩形 40"/>
                              <wps:cNvSpPr/>
                              <wps:spPr>
                                <a:xfrm>
                                  <a:off x="3872230" y="64198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5D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矩形 41"/>
                              <wps:cNvSpPr/>
                              <wps:spPr>
                                <a:xfrm>
                                  <a:off x="1577340" y="189801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E3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316.8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矩形 43"/>
                              <wps:cNvSpPr/>
                              <wps:spPr>
                                <a:xfrm>
                                  <a:off x="378460" y="2440940"/>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27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矩形 44"/>
                              <wps:cNvSpPr/>
                              <wps:spPr>
                                <a:xfrm>
                                  <a:off x="0" y="921385"/>
                                  <a:ext cx="628015" cy="94107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9EB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自来水</w:t>
                                    </w:r>
                                    <w:r>
                                      <w:rPr>
                                        <w:rFonts w:hint="eastAsia"/>
                                        <w:color w:val="0D0D0D" w:themeColor="text1" w:themeTint="F2"/>
                                        <w:lang w:val="en-US" w:eastAsia="zh-CN"/>
                                        <w14:textFill>
                                          <w14:solidFill>
                                            <w14:schemeClr w14:val="tx1">
                                              <w14:lumMod w14:val="95000"/>
                                              <w14:lumOff w14:val="5000"/>
                                            </w14:schemeClr>
                                          </w14:solidFill>
                                        </w14:textFill>
                                      </w:rPr>
                                      <w:t>4.85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矩形 46"/>
                              <wps:cNvSpPr/>
                              <wps:spPr>
                                <a:xfrm>
                                  <a:off x="974090" y="311785"/>
                                  <a:ext cx="93599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CF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损耗0.33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曲线连接符 67"/>
                              <wps:cNvCnPr/>
                              <wps:spPr>
                                <a:xfrm flipV="1">
                                  <a:off x="1183640" y="634365"/>
                                  <a:ext cx="250190" cy="133985"/>
                                </a:xfrm>
                                <a:prstGeom prst="curvedConnector3">
                                  <a:avLst>
                                    <a:gd name="adj1" fmla="val 50254"/>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曲线连接符 72"/>
                              <wps:cNvCnPr/>
                              <wps:spPr>
                                <a:xfrm flipV="1">
                                  <a:off x="2740660" y="2424430"/>
                                  <a:ext cx="250190" cy="133985"/>
                                </a:xfrm>
                                <a:prstGeom prst="curvedConnector3">
                                  <a:avLst>
                                    <a:gd name="adj1" fmla="val 50254"/>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 name="矩形 74"/>
                              <wps:cNvSpPr/>
                              <wps:spPr>
                                <a:xfrm>
                                  <a:off x="2752725" y="2143760"/>
                                  <a:ext cx="782955"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185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损耗3.2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矩形 38"/>
                              <wps:cNvSpPr/>
                              <wps:spPr>
                                <a:xfrm>
                                  <a:off x="2703830" y="60515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AE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矩形 41"/>
                              <wps:cNvSpPr/>
                              <wps:spPr>
                                <a:xfrm>
                                  <a:off x="1714500" y="244538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11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eastAsia="宋体"/>
                                        <w:color w:val="0D0D0D" w:themeColor="text1" w:themeTint="F2"/>
                                        <w:lang w:val="en-US" w:eastAsia="zh-CN"/>
                                        <w14:textFill>
                                          <w14:solidFill>
                                            <w14:schemeClr w14:val="tx1">
                                              <w14:lumMod w14:val="95000"/>
                                              <w14:lumOff w14:val="5000"/>
                                            </w14:schemeClr>
                                          </w14:solidFill>
                                        </w14:textFill>
                                      </w:rPr>
                                      <w:t>320</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6.6pt;margin-top:13.55pt;height:257.95pt;width:390.3pt;mso-wrap-distance-bottom:0pt;mso-wrap-distance-top:0pt;z-index:251660288;mso-width-relative:page;mso-height-relative:page;" coordsize="4956810,3275965" editas="canvas" o:gfxdata="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">
                      <o:lock v:ext="edit" aspectratio="f"/>
                      <v:shape id="_x0000_s1026" o:spid="_x0000_s1026" style="position:absolute;left:0;top:0;height:3275965;width:4956810;" filled="f" stroked="f" coordsize="21600,21600" o:gfxdata="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HqmtuDaAAAACQEA&#10;AA8AAAAAAAAAAQAgAAAAIgAAAGRycy9kb3ducmV2LnhtbFBLAQIUABQAAAAIAIdO4kB37WjmjQgA&#10;ACFQAAAOAAAAAAAAAAEAIAAAACkBAABkcnMvZTJvRG9jLnhtbFBLBQYAAAAABgAGAFkBAAAoDAAA&#10;AAA=&#10;">
                        <v:fill on="f" focussize="0,0"/>
                        <v:stroke on="f"/>
                        <v:imagedata o:title=""/>
                        <o:lock v:ext="edit" aspectratio="f"/>
                      </v:shape>
                      <v:shape id="直接箭头连接符 7" o:spid="_x0000_s1026" o:spt="32" type="#_x0000_t32" style="position:absolute;left:138430;top:1574800;height:0;width:338455;"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2NFM1wAAAAkBAAAPAAAAAAAAAAEAIAAAACIAAABkcnMvZG93bnJldi54bWxQSwECFAAUAAAACACH&#10;TuJArNmBMyUCAAAkBAAADgAAAAAAAAABACAAAAAmAQAAZHJzL2Uyb0RvYy54bWxQSwUGAAAAAAYA&#10;BgBZAQAAvQUAAAAA&#10;">
                        <v:fill on="f" focussize="0,0"/>
                        <v:stroke weight="0.25pt" color="#000000 [3204]" joinstyle="round" endarrow="block"/>
                        <v:imagedata o:title=""/>
                        <o:lock v:ext="edit" aspectratio="f"/>
                      </v:shape>
                      <v:line id="直接连接符 8" o:spid="_x0000_s1026" o:spt="20" style="position:absolute;left:485775;top:908685;height:1788160;width:0;" filled="f" stroked="t" coordsize="21600,21600" o:gfxdata="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5D0eNcAAAAJAQAADwAAAAAAAAABACAAAAAiAAAAZHJz&#10;L2Rvd25yZXYueG1sUEsBAhQAFAAAAAgAh07iQGQqxB4FAgAA+gMAAA4AAAAAAAAAAQAgAAAAJgEA&#10;AGRycy9lMm9Eb2MueG1sUEsFBgAAAAAGAAYAWQEAAJ0FAAAAAA==&#10;">
                        <v:fill on="f" focussize="0,0"/>
                        <v:stroke weight="1.5pt" color="#000000 [3213]" joinstyle="round"/>
                        <v:imagedata o:title=""/>
                        <o:lock v:ext="edit" aspectratio="f"/>
                      </v:line>
                      <v:shape id="直接箭头连接符 9" o:spid="_x0000_s1026" o:spt="32" type="#_x0000_t32" style="position:absolute;left:490855;top:918845;height:0;width:338455;"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jRTNcAAAAJAQAADwAAAAAAAAABACAAAAAiAAAAZHJzL2Rvd25yZXYueG1sUEsBAhQAFAAAAAgA&#10;h07iQFfMyPcmAgAAJAQAAA4AAAAAAAAAAQAgAAAAJgEAAGRycy9lMm9Eb2MueG1sUEsFBgAAAAAG&#10;AAYAWQEAAL4FAAAAAA==&#10;">
                        <v:fill on="f" focussize="0,0"/>
                        <v:stroke weight="0.25pt" color="#000000 [3204]" joinstyle="round" endarrow="block"/>
                        <v:imagedata o:title=""/>
                        <o:lock v:ext="edit" aspectratio="f"/>
                      </v:shape>
                      <v:shape id="直接箭头连接符 10" o:spid="_x0000_s1026" o:spt="32" type="#_x0000_t32" style="position:absolute;left:476885;top:2689860;height:5715;width:415925;"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92NFM1wAAAAkBAAAPAAAAAAAAAAEAIAAAACIAAABkcnMv&#10;ZG93bnJldi54bWxQSwECFAAUAAAACACHTuJA89aqoz0CAABRBAAADgAAAAAAAAABACAAAAAmAQAA&#10;ZHJzL2Uyb0RvYy54bWxQSwUGAAAAAAYABgBZAQAA1QUAAAAA&#10;">
                        <v:fill on="f" focussize="0,0"/>
                        <v:stroke weight="0.25pt" color="#000000 [3204]" joinstyle="round" endarrow="block"/>
                        <v:imagedata o:title=""/>
                        <o:lock v:ext="edit" aspectratio="f"/>
                      </v:shape>
                      <v:rect id="矩形 11" o:spid="_x0000_s1026" o:spt="1" style="position:absolute;left:806450;top:770255;height:294005;width:819150;v-text-anchor:middle;" filled="f" stroked="t" coordsize="21600,21600" o:gfxdata="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848jw2AAAAAkBAAAPAAAAAAAAAAEAIAAAACIAAABkcnMvZG93bnJldi54&#10;bWxQSwECFAAUAAAACACHTuJA/wee7GwCAADKBAAADgAAAAAAAAABACAAAAAnAQAAZHJzL2Uyb0Rv&#10;Yy54bWxQSwUGAAAAAAYABgBZAQAABQYAAAAA&#10;">
                        <v:fill on="f" focussize="0,0"/>
                        <v:stroke weight="1.5pt" color="#000000 [3213]" joinstyle="round"/>
                        <v:imagedata o:title=""/>
                        <o:lock v:ext="edit" aspectratio="f"/>
                        <v:textbox>
                          <w:txbxContent>
                            <w:p w14:paraId="45968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员工用水</w:t>
                              </w:r>
                            </w:p>
                          </w:txbxContent>
                        </v:textbox>
                      </v:rect>
                      <v:shape id="直接箭头连接符 12" o:spid="_x0000_s1026" o:spt="32" type="#_x0000_t32" style="position:absolute;left:1621790;top:918210;height:15875;width:422910;"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3Y0UzXAAAACQEAAA8AAAAAAAAAAQAgAAAAIgAAAGRy&#10;cy9kb3ducmV2LnhtbFBLAQIUABQAAAAIAIdO4kBBzD00PwIAAFIEAAAOAAAAAAAAAAEAIAAAACYB&#10;AABkcnMvZTJvRG9jLnhtbFBLBQYAAAAABgAGAFkBAADXBQAAAAA=&#10;">
                        <v:fill on="f" focussize="0,0"/>
                        <v:stroke weight="0.25pt" color="#000000 [3204]" joinstyle="round" endarrow="block"/>
                        <v:imagedata o:title=""/>
                        <o:lock v:ext="edit" aspectratio="f"/>
                      </v:shape>
                      <v:rect id="矩形 13" o:spid="_x0000_s1026" o:spt="1" style="position:absolute;left:892810;top:2548255;height:294005;width:1004570;v-text-anchor:middle;" filled="f" stroked="t" coordsize="21600,21600" o:gfxdata="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848jw2AAAAAkBAAAPAAAAAAAAAAEAIAAAACIAAABkcnMvZG93bnJl&#10;di54bWxQSwECFAAUAAAACACHTuJADkw7jG8CAADMBAAADgAAAAAAAAABACAAAAAnAQAAZHJzL2Uy&#10;b0RvYy54bWxQSwUGAAAAAAYABgBZAQAACAYAAAAA&#10;">
                        <v:fill on="f" focussize="0,0"/>
                        <v:stroke weight="1.5pt" color="#000000 [3213]" joinstyle="round"/>
                        <v:imagedata o:title=""/>
                        <o:lock v:ext="edit" aspectratio="f"/>
                        <v:textbox>
                          <w:txbxContent>
                            <w:p w14:paraId="051AF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循环沉淀水池池</w:t>
                              </w:r>
                            </w:p>
                          </w:txbxContent>
                        </v:textbox>
                      </v:rect>
                      <v:rect id="矩形 14" o:spid="_x0000_s1026" o:spt="1" style="position:absolute;left:2044700;top:786765;height:294005;width:819150;v-text-anchor:middle;" filled="f" stroked="t" coordsize="21600,21600" o:gfxdata="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848jw2AAAAAkBAAAPAAAAAAAAAAEAIAAAACIAAABkcnMvZG93bnJl&#10;di54bWxQSwECFAAUAAAACACHTuJAM/i0uG8CAADLBAAADgAAAAAAAAABACAAAAAnAQAAZHJzL2Uy&#10;b0RvYy54bWxQSwUGAAAAAAYABgBZAQAACAYAAAAA&#10;">
                        <v:fill on="f" focussize="0,0"/>
                        <v:stroke weight="1.5pt" color="#000000 [3213]" joinstyle="round"/>
                        <v:imagedata o:title=""/>
                        <o:lock v:ext="edit" aspectratio="f"/>
                        <v:textbox>
                          <w:txbxContent>
                            <w:p w14:paraId="741D7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化粪池</w:t>
                              </w:r>
                            </w:p>
                          </w:txbxContent>
                        </v:textbox>
                      </v:rect>
                      <v:shape id="直接箭头连接符 20" o:spid="_x0000_s1026" o:spt="32" type="#_x0000_t32" style="position:absolute;left:2874010;top:920750;height:0;width:386715;"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0UzXAAAACQEAAA8AAAAAAAAAAQAgAAAAIgAAAGRycy9kb3ducmV2LnhtbFBLAQIUABQAAAAI&#10;AIdO4kCoK/xSJwIAACYEAAAOAAAAAAAAAAEAIAAAACYBAABkcnMvZTJvRG9jLnhtbFBLBQYAAAAA&#10;BgAGAFkBAAC/BQAAAAA=&#10;">
                        <v:fill on="f" focussize="0,0"/>
                        <v:stroke weight="0.25pt" color="#000000 [3204]" joinstyle="round" endarrow="block"/>
                        <v:imagedata o:title=""/>
                        <o:lock v:ext="edit" aspectratio="f"/>
                      </v:shape>
                      <v:rect id="矩形 22" o:spid="_x0000_s1026" o:spt="1" style="position:absolute;left:3256915;top:786765;height:294005;width:760095;v-text-anchor:middle;" filled="f" stroked="t" coordsize="21600,21600" o:gfxdata="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zjyPDYAAAACQEAAA8AAAAAAAAAAQAgAAAAIgAAAGRycy9kb3du&#10;cmV2LnhtbFBLAQIUABQAAAAIAIdO4kCA8iOycQIAAMsEAAAOAAAAAAAAAAEAIAAAACcBAABkcnMv&#10;ZTJvRG9jLnhtbFBLBQYAAAAABgAGAFkBAAAKBgAAAAA=&#10;">
                        <v:fill on="f" focussize="0,0"/>
                        <v:stroke weight="1.5pt" color="#000000 [3213]" joinstyle="round"/>
                        <v:imagedata o:title=""/>
                        <o:lock v:ext="edit" aspectratio="f"/>
                        <v:textbox>
                          <w:txbxContent>
                            <w:p w14:paraId="6824D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罐车拉运</w:t>
                              </w:r>
                            </w:p>
                          </w:txbxContent>
                        </v:textbox>
                      </v:rect>
                      <v:shape id="直接箭头连接符 25" o:spid="_x0000_s1026" o:spt="32" type="#_x0000_t32" style="position:absolute;left:4017645;top:938530;height:0;width:425450;"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2NFM1wAAAAkBAAAPAAAAAAAAAAEAIAAAACIAAABkcnMvZG93bnJldi54bWxQSwECFAAUAAAA&#10;CACHTuJAeHApBSgCAAAmBAAADgAAAAAAAAABACAAAAAmAQAAZHJzL2Uyb0RvYy54bWxQSwUGAAAA&#10;AAYABgBZAQAAwAUAAAAA&#10;">
                        <v:fill on="f" focussize="0,0"/>
                        <v:stroke weight="0.25pt" color="#000000 [3204]" joinstyle="round" endarrow="block"/>
                        <v:imagedata o:title=""/>
                        <o:lock v:ext="edit" aspectratio="f"/>
                      </v:shape>
                      <v:line id="直接连接符 26" o:spid="_x0000_s1026" o:spt="20" style="position:absolute;left:4424680;top:938530;height:517525;width:1270;" filled="f" stroked="t" coordsize="21600,21600" o:gfxdata="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eFbePXAAAACQEAAA8AAAAAAAAAAQAgAAAA&#10;IgAAAGRycy9kb3ducmV2LnhtbFBLAQIUABQAAAAIAIdO4kCq5PRUDAIAAAIEAAAOAAAAAAAAAAEA&#10;IAAAACYBAABkcnMvZTJvRG9jLnhtbFBLBQYAAAAABgAGAFkBAACkBQAAAAA=&#10;">
                        <v:fill on="f" focussize="0,0"/>
                        <v:stroke weight="1pt" color="#000000 [3213]" joinstyle="round" endarrow="block"/>
                        <v:imagedata o:title=""/>
                        <o:lock v:ext="edit" aspectratio="f"/>
                      </v:line>
                      <v:rect id="矩形 27" o:spid="_x0000_s1026" o:spt="1" style="position:absolute;left:3844925;top:1442085;height:560705;width:941705;v-text-anchor:middle;" filled="f" stroked="t" coordsize="21600,21600" o:gfxdata="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848jw2AAAAAkBAAAPAAAAAAAAAAEAIAAAACIAAABkcnMvZG93bnJl&#10;di54bWxQSwECFAAUAAAACACHTuJAlo6Z628CAADMBAAADgAAAAAAAAABACAAAAAnAQAAZHJzL2Uy&#10;b0RvYy54bWxQSwUGAAAAAAYABgBZAQAACAYAAAAA&#10;">
                        <v:fill on="f" focussize="0,0"/>
                        <v:stroke weight="1.5pt" color="#000000 [3213]" joinstyle="round"/>
                        <v:imagedata o:title=""/>
                        <o:lock v:ext="edit" aspectratio="f"/>
                        <v:textbox>
                          <w:txbxContent>
                            <w:p w14:paraId="7A8BB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纳古镇污水处理站</w:t>
                              </w:r>
                            </w:p>
                          </w:txbxContent>
                        </v:textbox>
                      </v:rect>
                      <v:shape id="直接箭头连接符 29" o:spid="_x0000_s1026" o:spt="32" type="#_x0000_t32" style="position:absolute;left:1897380;top:2695575;height:8255;width:339725;" filled="f" stroked="t" coordsize="21600,21600" o:gfxdata="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3Y0UzXAAAACQEAAA8AAAAAAAAA&#10;AQAgAAAAIgAAAGRycy9kb3ducmV2LnhtbFBLAQIUABQAAAAIAIdO4kBpAVx6SwIAAGwEAAAOAAAA&#10;AAAAAAEAIAAAACYBAABkcnMvZTJvRG9jLnhtbFBLBQYAAAAABgAGAFkBAADjBQAAAAA=&#10;">
                        <v:fill on="f" focussize="0,0"/>
                        <v:stroke weight="0.25pt" color="#000000 [3204]" joinstyle="round" endarrow="block"/>
                        <v:imagedata o:title=""/>
                        <o:lock v:ext="edit" aspectratio="f"/>
                      </v:shape>
                      <v:rect id="矩形 30" o:spid="_x0000_s1026" o:spt="1" style="position:absolute;left:2237105;top:2556510;height:294005;width:809625;v-text-anchor:middle;" filled="f" stroked="t" coordsize="21600,21600" o:gfxdata="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848jw2AAAAAkBAAAPAAAAAAAAAAEAIAAAACIAAABkcnMvZG93bnJldi54&#10;bWxQSwECFAAUAAAACACHTuJA23Z8Y2wCAADMBAAADgAAAAAAAAABACAAAAAnAQAAZHJzL2Uyb0Rv&#10;Yy54bWxQSwUGAAAAAAYABgBZAQAABQYAAAAA&#10;">
                        <v:fill on="f" focussize="0,0"/>
                        <v:stroke weight="1.5pt" color="#000000 [3213]" joinstyle="round"/>
                        <v:imagedata o:title=""/>
                        <o:lock v:ext="edit" aspectratio="f"/>
                        <v:textbox>
                          <w:txbxContent>
                            <w:p w14:paraId="5C54B5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冷却用水</w:t>
                              </w:r>
                            </w:p>
                          </w:txbxContent>
                        </v:textbox>
                      </v:rect>
                      <v:shape id="直接箭头连接符 32" o:spid="_x0000_s1026" o:spt="32" type="#_x0000_t32" style="position:absolute;left:1269365;top:2109470;height:5715;width:1352550;" filled="f" stroked="t" coordsize="21600,21600" o:gfxdata="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WgazNcAAAAJAQAA&#10;DwAAAAAAAAABACAAAAAiAAAAZHJzL2Rvd25yZXYueG1sUEsBAhQAFAAAAAgAh07iQNqx4toaAgAA&#10;EwQAAA4AAAAAAAAAAQAgAAAAJgEAAGRycy9lMm9Eb2MueG1sUEsFBgAAAAAGAAYAWQEAALIFAAAA&#10;AA==&#10;">
                        <v:fill on="f" focussize="0,0"/>
                        <v:stroke weight="1.5pt" color="#000000 [3213]" joinstyle="round" dashstyle="dash"/>
                        <v:imagedata o:title=""/>
                        <o:lock v:ext="edit" aspectratio="f"/>
                      </v:shape>
                      <v:shape id="直接箭头连接符 33" o:spid="_x0000_s1026" o:spt="32" type="#_x0000_t32" style="position:absolute;left:1260475;top:2100580;height:454660;width:0;" filled="f" stroked="t" coordsize="21600,21600" o:gfxdata="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8+5fbYAAAACQEAAA8AAAAAAAAAAQAgAAAAIgAAAGRycy9kb3ducmV2LnhtbFBLAQIU&#10;ABQAAAAIAIdO4kCbUKD+LAIAACcEAAAOAAAAAAAAAAEAIAAAACcBAABkcnMvZTJvRG9jLnhtbFBL&#10;BQYAAAAABgAGAFkBAADFBQAAAAA=&#10;">
                        <v:fill on="f" focussize="0,0"/>
                        <v:stroke weight="1.5pt" color="#000000 [3204]" joinstyle="round" dashstyle="dash" endarrow="block"/>
                        <v:imagedata o:title=""/>
                        <o:lock v:ext="edit" aspectratio="f"/>
                      </v:shape>
                      <v:shape id="直接箭头连接符 35" o:spid="_x0000_s1026" o:spt="32" type="#_x0000_t32" style="position:absolute;left:2616200;top:2113280;height:454660;width:0;" filled="f" stroked="t" coordsize="21600,21600" o:gfxdata="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icAdgAAAAJAQAADwAAAAAAAAABACAAAAAiAAAAZHJzL2Rvd25yZXYueG1sUEsBAhQA&#10;FAAAAAgAh07iQMuYJDUrAgAAJwQAAA4AAAAAAAAAAQAgAAAAJwEAAGRycy9lMm9Eb2MueG1sUEsF&#10;BgAAAAAGAAYAWQEAAMQFAAAAAA==&#10;">
                        <v:fill on="f" focussize="0,0"/>
                        <v:stroke weight="1.5pt" color="#000000 [3204]" joinstyle="round" dashstyle="dash" startarrow="block"/>
                        <v:imagedata o:title=""/>
                        <o:lock v:ext="edit" aspectratio="f"/>
                      </v:shape>
                      <v:rect id="矩形 31" o:spid="_x0000_s1026" o:spt="1" style="position:absolute;left:250825;top:678815;height:294005;width:67691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xJDhHaAAAACQEAAA8AAAAAAAAAAQAgAAAAIgAAAGRycy9kb3ducmV2LnhtbFBLAQIUABQA&#10;AAAIAIdO4kCQzgmDYAIAAKEEAAAOAAAAAAAAAAEAIAAAACkBAABkcnMvZTJvRG9jLnhtbFBLBQYA&#10;AAAABgAGAFkBAAD7BQAAAAA=&#10;">
                        <v:fill on="f" focussize="0,0"/>
                        <v:stroke on="f" weight="1.5pt"/>
                        <v:imagedata o:title=""/>
                        <o:lock v:ext="edit" aspectratio="f"/>
                        <v:textbox>
                          <w:txbxContent>
                            <w:p w14:paraId="784B7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w:t>
                              </w:r>
                            </w:p>
                          </w:txbxContent>
                        </v:textbox>
                      </v:rect>
                      <v:rect id="矩形 38" o:spid="_x0000_s1026" o:spt="1" style="position:absolute;left:1612265;top:603885;height:285115;width:492125;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xJDhHaAAAACQEAAA8AAAAAAAAAAQAgAAAAIgAAAGRycy9kb3ducmV2LnhtbFBLAQIUABQA&#10;AAAIAIdO4kDKurHGYAIAAKIEAAAOAAAAAAAAAAEAIAAAACkBAABkcnMvZTJvRG9jLnhtbFBLBQYA&#10;AAAABgAGAFkBAAD7BQAAAAA=&#10;">
                        <v:fill on="f" focussize="0,0"/>
                        <v:stroke on="f" weight="1.5pt"/>
                        <v:imagedata o:title=""/>
                        <o:lock v:ext="edit" aspectratio="f"/>
                        <v:textbox>
                          <w:txbxContent>
                            <w:p w14:paraId="1EF98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v:textbox>
                      </v:rect>
                      <v:rect id="矩形 40" o:spid="_x0000_s1026" o:spt="1" style="position:absolute;left:3872230;top:641985;height:285115;width:67691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SQ4R2gAAAAkBAAAPAAAAAAAAAAEAIAAAACIAAABkcnMvZG93bnJldi54bWxQSwECFAAUAAAA&#10;CACHTuJAAV7kUF4CAACiBAAADgAAAAAAAAABACAAAAApAQAAZHJzL2Uyb0RvYy54bWxQSwUGAAAA&#10;AAYABgBZAQAA+QUAAAAA&#10;">
                        <v:fill on="f" focussize="0,0"/>
                        <v:stroke on="f" weight="1.5pt"/>
                        <v:imagedata o:title=""/>
                        <o:lock v:ext="edit" aspectratio="f"/>
                        <v:textbox>
                          <w:txbxContent>
                            <w:p w14:paraId="42F5D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v:textbox>
                      </v:rect>
                      <v:rect id="矩形 41" o:spid="_x0000_s1026" o:spt="1" style="position:absolute;left:1577340;top:1898015;height:285115;width:67691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xJDhHaAAAACQEAAA8AAAAAAAAAAQAgAAAAIgAAAGRycy9kb3ducmV2LnhtbFBLAQIUABQAAAAI&#10;AIdO4kBgIb/rXQIAAKMEAAAOAAAAAAAAAAEAIAAAACkBAABkcnMvZTJvRG9jLnhtbFBLBQYAAAAA&#10;BgAGAFkBAAD4BQAAAAA=&#10;">
                        <v:fill on="f" focussize="0,0"/>
                        <v:stroke on="f" weight="1.5pt"/>
                        <v:imagedata o:title=""/>
                        <o:lock v:ext="edit" aspectratio="f"/>
                        <v:textbox>
                          <w:txbxContent>
                            <w:p w14:paraId="72AE3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316.8</w:t>
                              </w:r>
                            </w:p>
                          </w:txbxContent>
                        </v:textbox>
                      </v:rect>
                      <v:rect id="矩形 43" o:spid="_x0000_s1026" o:spt="1" style="position:absolute;left:378460;top:2440940;height:285115;width:67691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SQ4R2gAAAAkBAAAPAAAAAAAAAAEAIAAAACIAAABkcnMvZG93bnJldi54bWxQSwECFAAUAAAA&#10;CACHTuJAMwUA+l4CAACiBAAADgAAAAAAAAABACAAAAApAQAAZHJzL2Uyb0RvYy54bWxQSwUGAAAA&#10;AAYABgBZAQAA+QUAAAAA&#10;">
                        <v:fill on="f" focussize="0,0"/>
                        <v:stroke on="f" weight="1.5pt"/>
                        <v:imagedata o:title=""/>
                        <o:lock v:ext="edit" aspectratio="f"/>
                        <v:textbox>
                          <w:txbxContent>
                            <w:p w14:paraId="0B927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3.2</w:t>
                              </w:r>
                            </w:p>
                          </w:txbxContent>
                        </v:textbox>
                      </v:rect>
                      <v:rect id="矩形 44" o:spid="_x0000_s1026" o:spt="1" style="position:absolute;left:0;top:921385;height:941070;width:628015;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xJ&#10;DhHaAAAACQEAAA8AAAAAAAAAAQAgAAAAIgAAAGRycy9kb3ducmV2LnhtbFBLAQIUABQAAAAIAIdO&#10;4kDcjc2rWgIAAJ0EAAAOAAAAAAAAAAEAIAAAACkBAABkcnMvZTJvRG9jLnhtbFBLBQYAAAAABgAG&#10;AFkBAAD1BQAAAAA=&#10;">
                        <v:fill on="f" focussize="0,0"/>
                        <v:stroke on="f" weight="1.5pt"/>
                        <v:imagedata o:title=""/>
                        <o:lock v:ext="edit" aspectratio="f"/>
                        <v:textbox>
                          <w:txbxContent>
                            <w:p w14:paraId="0009EB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自来水</w:t>
                              </w:r>
                              <w:r>
                                <w:rPr>
                                  <w:rFonts w:hint="eastAsia"/>
                                  <w:color w:val="0D0D0D" w:themeColor="text1" w:themeTint="F2"/>
                                  <w:lang w:val="en-US" w:eastAsia="zh-CN"/>
                                  <w14:textFill>
                                    <w14:solidFill>
                                      <w14:schemeClr w14:val="tx1">
                                        <w14:lumMod w14:val="95000"/>
                                        <w14:lumOff w14:val="5000"/>
                                      </w14:schemeClr>
                                    </w14:solidFill>
                                  </w14:textFill>
                                </w:rPr>
                                <w:t>4.85</w:t>
                              </w:r>
                            </w:p>
                          </w:txbxContent>
                        </v:textbox>
                      </v:rect>
                      <v:rect id="矩形 46" o:spid="_x0000_s1026" o:spt="1" style="position:absolute;left:974090;top:311785;height:285115;width:93599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xJDhHaAAAACQEAAA8AAAAAAAAAAQAgAAAAIgAAAGRycy9kb3ducmV2LnhtbFBLAQIUABQAAAAI&#10;AIdO4kAEJds8XQIAAKIEAAAOAAAAAAAAAAEAIAAAACkBAABkcnMvZTJvRG9jLnhtbFBLBQYAAAAA&#10;BgAGAFkBAAD4BQAAAAA=&#10;">
                        <v:fill on="f" focussize="0,0"/>
                        <v:stroke on="f" weight="1.5pt"/>
                        <v:imagedata o:title=""/>
                        <o:lock v:ext="edit" aspectratio="f"/>
                        <v:textbox>
                          <w:txbxContent>
                            <w:p w14:paraId="575CF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损耗0.33</w:t>
                              </w:r>
                            </w:p>
                          </w:txbxContent>
                        </v:textbox>
                      </v:rect>
                      <v:shape id="曲线连接符 67" o:spid="_x0000_s1026" o:spt="38" type="#_x0000_t38" style="position:absolute;left:1183640;top:634365;flip:y;height:133985;width:250190;" filled="f" stroked="t" coordsize="21600,21600" o:gfxdata="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hEVGzXAAAACQEAAA8AAAAAAAAAAQAg&#10;AAAAIgAAAGRycy9kb3ducmV2LnhtbFBLAQIUABQAAAAIAIdO4kBl7WV5SAIAAFsEAAAOAAAAAAAA&#10;AAEAIAAAACYBAABkcnMvZTJvRG9jLnhtbFBLBQYAAAAABgAGAFkBAADgBQAAAAA=&#10;" adj="10855">
                        <v:fill on="f" focussize="0,0"/>
                        <v:stroke weight="0.25pt" color="#000000 [3204]" joinstyle="round" endarrow="block"/>
                        <v:imagedata o:title=""/>
                        <o:lock v:ext="edit" aspectratio="f"/>
                      </v:shape>
                      <v:shape id="曲线连接符 72" o:spid="_x0000_s1026" o:spt="38" type="#_x0000_t38" style="position:absolute;left:2740660;top:2424430;flip:y;height:133985;width:250190;" filled="f" stroked="t" coordsize="21600,21600" o:gfxdata="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RFRs1wAAAAkBAAAPAAAAAAAAAAEA&#10;IAAAACIAAABkcnMvZG93bnJldi54bWxQSwECFAAUAAAACACHTuJA84vrv0kCAABcBAAADgAAAAAA&#10;AAABACAAAAAmAQAAZHJzL2Uyb0RvYy54bWxQSwUGAAAAAAYABgBZAQAA4QUAAAAA&#10;" adj="10855">
                        <v:fill on="f" focussize="0,0"/>
                        <v:stroke weight="0.25pt" color="#000000 [3204]" joinstyle="round" endarrow="block"/>
                        <v:imagedata o:title=""/>
                        <o:lock v:ext="edit" aspectratio="f"/>
                      </v:shape>
                      <v:rect id="矩形 74" o:spid="_x0000_s1026" o:spt="1" style="position:absolute;left:2752725;top:2143760;height:285115;width:782955;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kOEdoAAAAJAQAADwAAAAAAAAABACAAAAAiAAAAZHJzL2Rvd25yZXYueG1sUEsBAhQAFAAA&#10;AAgAh07iQNG+sqFfAgAApAQAAA4AAAAAAAAAAQAgAAAAKQEAAGRycy9lMm9Eb2MueG1sUEsFBgAA&#10;AAAGAAYAWQEAAPoFAAAAAA==&#10;">
                        <v:fill on="f" focussize="0,0"/>
                        <v:stroke on="f" weight="1.5pt"/>
                        <v:imagedata o:title=""/>
                        <o:lock v:ext="edit" aspectratio="f"/>
                        <v:textbox>
                          <w:txbxContent>
                            <w:p w14:paraId="764185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损耗3.2</w:t>
                              </w:r>
                            </w:p>
                          </w:txbxContent>
                        </v:textbox>
                      </v:rect>
                      <v:rect id="矩形 38" o:spid="_x0000_s1026" o:spt="1" style="position:absolute;left:2703830;top:605155;height:285115;width:67691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xJDhHaAAAACQEAAA8AAAAAAAAAAQAgAAAAIgAAAGRycy9kb3ducmV2LnhtbFBLAQIUABQA&#10;AAAIAIdO4kCFCCHyYAIAAKMEAAAOAAAAAAAAAAEAIAAAACkBAABkcnMvZTJvRG9jLnhtbFBLBQYA&#10;AAAABgAGAFkBAAD7BQAAAAA=&#10;">
                        <v:fill on="f" focussize="0,0"/>
                        <v:stroke on="f" weight="1.5pt"/>
                        <v:imagedata o:title=""/>
                        <o:lock v:ext="edit" aspectratio="f"/>
                        <v:textbox>
                          <w:txbxContent>
                            <w:p w14:paraId="5FAAE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v:textbox>
                      </v:rect>
                      <v:rect id="矩形 41" o:spid="_x0000_s1026" o:spt="1" style="position:absolute;left:1714500;top:2445385;height:285115;width:676910;v-text-anchor:middle;" filled="f" stroked="f" coordsize="21600,21600" o:gfxdata="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SQ4R2gAAAAkBAAAPAAAAAAAAAAEAIAAAACIAAABkcnMvZG93bnJldi54bWxQSwECFAAUAAAA&#10;CACHTuJA9Oo14V4CAACkBAAADgAAAAAAAAABACAAAAApAQAAZHJzL2Uyb0RvYy54bWxQSwUGAAAA&#10;AAYABgBZAQAA+QUAAAAA&#10;">
                        <v:fill on="f" focussize="0,0"/>
                        <v:stroke on="f" weight="1.5pt"/>
                        <v:imagedata o:title=""/>
                        <o:lock v:ext="edit" aspectratio="f"/>
                        <v:textbox>
                          <w:txbxContent>
                            <w:p w14:paraId="43E11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eastAsia="宋体"/>
                                  <w:color w:val="0D0D0D" w:themeColor="text1" w:themeTint="F2"/>
                                  <w:lang w:val="en-US" w:eastAsia="zh-CN"/>
                                  <w14:textFill>
                                    <w14:solidFill>
                                      <w14:schemeClr w14:val="tx1">
                                        <w14:lumMod w14:val="95000"/>
                                        <w14:lumOff w14:val="5000"/>
                                      </w14:schemeClr>
                                    </w14:solidFill>
                                  </w14:textFill>
                                </w:rPr>
                                <w:t>320</w:t>
                              </w:r>
                            </w:p>
                          </w:txbxContent>
                        </v:textbox>
                      </v:rect>
                      <w10:wrap type="topAndBottom"/>
                    </v:group>
                  </w:pict>
                </mc:Fallback>
              </mc:AlternateContent>
            </w:r>
            <w:r>
              <w:rPr>
                <w:rFonts w:hint="eastAsia" w:ascii="Times New Roman" w:hAnsi="Times New Roman" w:eastAsia="宋体" w:cs="宋体"/>
                <w:b/>
                <w:bCs/>
                <w:color w:val="auto"/>
                <w:spacing w:val="0"/>
                <w:kern w:val="0"/>
                <w:sz w:val="21"/>
                <w:szCs w:val="21"/>
                <w:lang w:val="en-US" w:eastAsia="zh-CN" w:bidi="ar-SA"/>
              </w:rPr>
              <w:t>图2-1 项目运营期水平衡图（晴天） 单位：m</w:t>
            </w:r>
            <w:r>
              <w:rPr>
                <w:rFonts w:hint="eastAsia" w:ascii="Times New Roman" w:hAnsi="Times New Roman" w:eastAsia="宋体" w:cs="宋体"/>
                <w:b/>
                <w:bCs/>
                <w:color w:val="auto"/>
                <w:spacing w:val="0"/>
                <w:kern w:val="0"/>
                <w:sz w:val="21"/>
                <w:szCs w:val="21"/>
                <w:vertAlign w:val="superscript"/>
                <w:lang w:val="en-US" w:eastAsia="zh-CN" w:bidi="ar-SA"/>
              </w:rPr>
              <w:t>3</w:t>
            </w:r>
            <w:r>
              <w:rPr>
                <w:rFonts w:hint="eastAsia" w:ascii="Times New Roman" w:hAnsi="Times New Roman" w:eastAsia="宋体" w:cs="宋体"/>
                <w:b/>
                <w:bCs/>
                <w:color w:val="auto"/>
                <w:spacing w:val="0"/>
                <w:kern w:val="0"/>
                <w:sz w:val="21"/>
                <w:szCs w:val="21"/>
                <w:lang w:val="en-US" w:eastAsia="zh-CN" w:bidi="ar-SA"/>
              </w:rPr>
              <w:t>/d</w:t>
            </w:r>
          </w:p>
          <w:p w14:paraId="0FBAE152">
            <w:pPr>
              <w:pStyle w:val="57"/>
              <w:rPr>
                <w:rFonts w:hint="eastAsia" w:ascii="Times New Roman" w:hAnsi="Times New Roman" w:eastAsia="宋体" w:cs="宋体"/>
                <w:b/>
                <w:bCs/>
                <w:color w:val="auto"/>
                <w:spacing w:val="0"/>
                <w:kern w:val="0"/>
                <w:sz w:val="21"/>
                <w:szCs w:val="21"/>
                <w:lang w:val="en-US" w:eastAsia="zh-CN" w:bidi="ar-SA"/>
              </w:rPr>
            </w:pPr>
            <w:r>
              <w:rPr>
                <w:color w:val="auto"/>
              </w:rPr>
              <mc:AlternateContent>
                <mc:Choice Requires="wpc">
                  <w:drawing>
                    <wp:anchor distT="0" distB="0" distL="114300" distR="114300" simplePos="0" relativeHeight="251665408" behindDoc="0" locked="0" layoutInCell="1" allowOverlap="1">
                      <wp:simplePos x="0" y="0"/>
                      <wp:positionH relativeFrom="column">
                        <wp:posOffset>83820</wp:posOffset>
                      </wp:positionH>
                      <wp:positionV relativeFrom="paragraph">
                        <wp:posOffset>106045</wp:posOffset>
                      </wp:positionV>
                      <wp:extent cx="4956810" cy="2999740"/>
                      <wp:effectExtent l="0" t="0" r="0" b="0"/>
                      <wp:wrapTopAndBottom/>
                      <wp:docPr id="147" name="画布 147"/>
                      <wp:cNvGraphicFramePr/>
                      <a:graphic xmlns:a="http://schemas.openxmlformats.org/drawingml/2006/main">
                        <a:graphicData uri="http://schemas.microsoft.com/office/word/2010/wordprocessingCanvas">
                          <wpc:wpc>
                            <wpc:bg/>
                            <wpc:whole/>
                            <wps:wsp>
                              <wps:cNvPr id="148" name="直接箭头连接符 7"/>
                              <wps:cNvCnPr/>
                              <wps:spPr>
                                <a:xfrm>
                                  <a:off x="138430" y="1574800"/>
                                  <a:ext cx="338455"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9" name="直接连接符 8"/>
                              <wps:cNvCnPr/>
                              <wps:spPr>
                                <a:xfrm flipH="1">
                                  <a:off x="485140" y="908685"/>
                                  <a:ext cx="635" cy="1370965"/>
                                </a:xfrm>
                                <a:prstGeom prst="line">
                                  <a:avLst/>
                                </a:prstGeom>
                                <a:noFill/>
                                <a:ln w="19050" cap="flat" cmpd="sng" algn="ctr">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0" name="直接箭头连接符 9"/>
                              <wps:cNvCnPr/>
                              <wps:spPr>
                                <a:xfrm>
                                  <a:off x="490855" y="918845"/>
                                  <a:ext cx="338455"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直接箭头连接符 10"/>
                              <wps:cNvCnPr/>
                              <wps:spPr>
                                <a:xfrm>
                                  <a:off x="504190" y="2273935"/>
                                  <a:ext cx="415925" cy="571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2" name="矩形 11"/>
                              <wps:cNvSpPr/>
                              <wps:spPr>
                                <a:xfrm>
                                  <a:off x="806450" y="770255"/>
                                  <a:ext cx="819150"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57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员工用水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3" name="直接箭头连接符 12"/>
                              <wps:cNvCnPr>
                                <a:endCxn id="15" idx="1"/>
                              </wps:cNvCnPr>
                              <wps:spPr>
                                <a:xfrm>
                                  <a:off x="1621790" y="918210"/>
                                  <a:ext cx="422910" cy="1587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4" name="矩形 13"/>
                              <wps:cNvSpPr/>
                              <wps:spPr>
                                <a:xfrm>
                                  <a:off x="920750" y="2104390"/>
                                  <a:ext cx="1004570"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711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循环沉淀水池池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4"/>
                              <wps:cNvSpPr/>
                              <wps:spPr>
                                <a:xfrm>
                                  <a:off x="2044700" y="786765"/>
                                  <a:ext cx="819150"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28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直接箭头连接符 20"/>
                              <wps:cNvCnPr/>
                              <wps:spPr>
                                <a:xfrm>
                                  <a:off x="2874010" y="920750"/>
                                  <a:ext cx="386715"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7" name="矩形 22"/>
                              <wps:cNvSpPr/>
                              <wps:spPr>
                                <a:xfrm>
                                  <a:off x="3256915" y="786765"/>
                                  <a:ext cx="760095"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1F4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罐车拉运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直接箭头连接符 25"/>
                              <wps:cNvCnPr/>
                              <wps:spPr>
                                <a:xfrm>
                                  <a:off x="4017645" y="938530"/>
                                  <a:ext cx="425450" cy="0"/>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9" name="直接连接符 26"/>
                              <wps:cNvCnPr/>
                              <wps:spPr>
                                <a:xfrm>
                                  <a:off x="4424680" y="938530"/>
                                  <a:ext cx="1270" cy="517525"/>
                                </a:xfrm>
                                <a:prstGeom prst="line">
                                  <a:avLst/>
                                </a:prstGeom>
                                <a:noFill/>
                                <a:ln w="12700" cap="flat" cmpd="sng" algn="ctr">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矩形 27"/>
                              <wps:cNvSpPr/>
                              <wps:spPr>
                                <a:xfrm>
                                  <a:off x="3844925" y="1442085"/>
                                  <a:ext cx="941705" cy="5607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43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纳古镇污水处理站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直接箭头连接符 29"/>
                              <wps:cNvCnPr/>
                              <wps:spPr>
                                <a:xfrm>
                                  <a:off x="1915795" y="2242185"/>
                                  <a:ext cx="339725" cy="825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矩形 30"/>
                              <wps:cNvSpPr/>
                              <wps:spPr>
                                <a:xfrm>
                                  <a:off x="2265045" y="2094230"/>
                                  <a:ext cx="809625"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8B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冷却用水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直接箭头连接符 32"/>
                              <wps:cNvCnPr/>
                              <wps:spPr>
                                <a:xfrm>
                                  <a:off x="1270000" y="1628775"/>
                                  <a:ext cx="1352550" cy="5715"/>
                                </a:xfrm>
                                <a:prstGeom prst="straightConnector1">
                                  <a:avLst/>
                                </a:prstGeom>
                                <a:noFill/>
                                <a:ln w="19050" cap="flat" cmpd="sng" algn="ctr">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4" name="直接箭头连接符 33"/>
                              <wps:cNvCnPr/>
                              <wps:spPr>
                                <a:xfrm>
                                  <a:off x="1278890" y="1629410"/>
                                  <a:ext cx="0" cy="454660"/>
                                </a:xfrm>
                                <a:prstGeom prst="straightConnector1">
                                  <a:avLst/>
                                </a:prstGeom>
                                <a:noFill/>
                                <a:ln w="19050"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5" name="直接箭头连接符 35"/>
                              <wps:cNvCnPr/>
                              <wps:spPr>
                                <a:xfrm>
                                  <a:off x="2625090" y="1651000"/>
                                  <a:ext cx="0" cy="454660"/>
                                </a:xfrm>
                                <a:prstGeom prst="straightConnector1">
                                  <a:avLst/>
                                </a:prstGeom>
                                <a:noFill/>
                                <a:ln w="19050" cap="flat" cmpd="sng" algn="ctr">
                                  <a:solidFill>
                                    <a:sysClr val="windowText" lastClr="000000"/>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6" name="矩形 31"/>
                              <wps:cNvSpPr/>
                              <wps:spPr>
                                <a:xfrm>
                                  <a:off x="250825" y="678815"/>
                                  <a:ext cx="676910" cy="29400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46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矩形 38"/>
                              <wps:cNvSpPr/>
                              <wps:spPr>
                                <a:xfrm>
                                  <a:off x="1612265" y="603885"/>
                                  <a:ext cx="492125"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BA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 name="矩形 40"/>
                              <wps:cNvSpPr/>
                              <wps:spPr>
                                <a:xfrm>
                                  <a:off x="3872230" y="64198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AB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9" name="矩形 41"/>
                              <wps:cNvSpPr/>
                              <wps:spPr>
                                <a:xfrm>
                                  <a:off x="1771650" y="193484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81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矩形 43"/>
                              <wps:cNvSpPr/>
                              <wps:spPr>
                                <a:xfrm>
                                  <a:off x="378460" y="1941830"/>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CB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矩形 44"/>
                              <wps:cNvSpPr/>
                              <wps:spPr>
                                <a:xfrm>
                                  <a:off x="0" y="921385"/>
                                  <a:ext cx="628015" cy="94107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5C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lang w:val="en-US" w:eastAsia="zh-CN"/>
                                      </w:rPr>
                                    </w:pPr>
                                    <w:r>
                                      <w:rPr>
                                        <w:rFonts w:hint="eastAsia"/>
                                        <w:color w:val="000000" w:themeColor="text1"/>
                                        <w:lang w:val="en-US" w:eastAsia="zh-CN"/>
                                        <w14:textFill>
                                          <w14:solidFill>
                                            <w14:schemeClr w14:val="tx1"/>
                                          </w14:solidFill>
                                        </w14:textFill>
                                      </w:rPr>
                                      <w:t>自来水</w:t>
                                    </w:r>
                                    <w:r>
                                      <w:rPr>
                                        <w:rFonts w:hint="eastAsia"/>
                                        <w:color w:val="0D0D0D" w:themeColor="text1" w:themeTint="F2"/>
                                        <w:lang w:val="en-US" w:eastAsia="zh-CN"/>
                                        <w14:textFill>
                                          <w14:solidFill>
                                            <w14:schemeClr w14:val="tx1">
                                              <w14:lumMod w14:val="95000"/>
                                              <w14:lumOff w14:val="5000"/>
                                            </w14:schemeClr>
                                          </w14:solidFill>
                                        </w14:textFill>
                                      </w:rPr>
                                      <w:t>4.85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矩形 46"/>
                              <wps:cNvSpPr/>
                              <wps:spPr>
                                <a:xfrm>
                                  <a:off x="974090" y="311785"/>
                                  <a:ext cx="93599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DF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损耗0.33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 name="曲线连接符 67"/>
                              <wps:cNvCnPr/>
                              <wps:spPr>
                                <a:xfrm flipV="1">
                                  <a:off x="1183640" y="634365"/>
                                  <a:ext cx="250190" cy="133985"/>
                                </a:xfrm>
                                <a:prstGeom prst="curvedConnector3">
                                  <a:avLst>
                                    <a:gd name="adj1" fmla="val 50254"/>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 name="矩形 38"/>
                              <wps:cNvSpPr/>
                              <wps:spPr>
                                <a:xfrm>
                                  <a:off x="2703830" y="60515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CD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矩形 41"/>
                              <wps:cNvSpPr/>
                              <wps:spPr>
                                <a:xfrm>
                                  <a:off x="1593850" y="1344295"/>
                                  <a:ext cx="676910"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B7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eastAsia="宋体"/>
                                        <w:color w:val="0D0D0D" w:themeColor="text1" w:themeTint="F2"/>
                                        <w:lang w:val="en-US" w:eastAsia="zh-CN"/>
                                        <w14:textFill>
                                          <w14:solidFill>
                                            <w14:schemeClr w14:val="tx1">
                                              <w14:lumMod w14:val="95000"/>
                                              <w14:lumOff w14:val="5000"/>
                                            </w14:schemeClr>
                                          </w14:solidFill>
                                        </w14:textFill>
                                      </w:rPr>
                                      <w:t>3</w:t>
                                    </w:r>
                                    <w:r>
                                      <w:rPr>
                                        <w:rFonts w:hint="eastAsia"/>
                                        <w:color w:val="0D0D0D" w:themeColor="text1" w:themeTint="F2"/>
                                        <w:lang w:val="en-US" w:eastAsia="zh-CN"/>
                                        <w14:textFill>
                                          <w14:solidFill>
                                            <w14:schemeClr w14:val="tx1">
                                              <w14:lumMod w14:val="95000"/>
                                              <w14:lumOff w14:val="5000"/>
                                            </w14:schemeClr>
                                          </w14:solidFill>
                                        </w14:textFill>
                                      </w:rPr>
                                      <w:t>16.8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 name="矩形 30"/>
                              <wps:cNvSpPr/>
                              <wps:spPr>
                                <a:xfrm>
                                  <a:off x="540385" y="2621915"/>
                                  <a:ext cx="809625"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5D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初期雨水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直接箭头连接符 29"/>
                              <wps:cNvCnPr/>
                              <wps:spPr>
                                <a:xfrm>
                                  <a:off x="1363345" y="2750820"/>
                                  <a:ext cx="339725" cy="8255"/>
                                </a:xfrm>
                                <a:prstGeom prst="straightConnector1">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8" name="矩形 30"/>
                              <wps:cNvSpPr/>
                              <wps:spPr>
                                <a:xfrm>
                                  <a:off x="1705610" y="2611755"/>
                                  <a:ext cx="2564765" cy="2940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34EAE">
                                    <w:pPr>
                                      <w:rPr>
                                        <w:rFonts w:hint="eastAsia"/>
                                        <w:lang w:eastAsia="zh-CN"/>
                                      </w:rPr>
                                    </w:pPr>
                                    <w:r>
                                      <w:rPr>
                                        <w:rFonts w:hint="eastAsia" w:ascii="Times New Roman" w:hAnsi="Times New Roman" w:cs="Times New Roman"/>
                                        <w:color w:val="000000" w:themeColor="text1"/>
                                        <w:lang w:eastAsia="zh-CN"/>
                                        <w14:textFill>
                                          <w14:solidFill>
                                            <w14:schemeClr w14:val="tx1"/>
                                          </w14:solidFill>
                                        </w14:textFill>
                                      </w:rPr>
                                      <w:t>进入</w:t>
                                    </w:r>
                                    <w:r>
                                      <w:rPr>
                                        <w:rFonts w:hint="eastAsia" w:ascii="Times New Roman" w:hAnsi="Times New Roman" w:eastAsia="宋体" w:cs="Times New Roman"/>
                                        <w:color w:val="000000" w:themeColor="text1"/>
                                        <w:lang w:eastAsia="zh-CN"/>
                                        <w14:textFill>
                                          <w14:solidFill>
                                            <w14:schemeClr w14:val="tx1"/>
                                          </w14:solidFill>
                                        </w14:textFill>
                                      </w:rPr>
                                      <w:t>雨水明沟</w:t>
                                    </w:r>
                                    <w:r>
                                      <w:rPr>
                                        <w:rFonts w:hint="eastAsia" w:ascii="Times New Roman" w:hAnsi="Times New Roman" w:cs="Times New Roman"/>
                                        <w:color w:val="000000" w:themeColor="text1"/>
                                        <w:lang w:eastAsia="zh-CN"/>
                                        <w14:textFill>
                                          <w14:solidFill>
                                            <w14:schemeClr w14:val="tx1"/>
                                          </w14:solidFill>
                                        </w14:textFill>
                                      </w:rPr>
                                      <w:t>外排至厂外周边雨水管网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矩形 46"/>
                              <wps:cNvSpPr/>
                              <wps:spPr>
                                <a:xfrm>
                                  <a:off x="0" y="2640330"/>
                                  <a:ext cx="584835" cy="27559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E5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雨天：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曲线连接符 72"/>
                              <wps:cNvCnPr/>
                              <wps:spPr>
                                <a:xfrm flipV="1">
                                  <a:off x="2898775" y="1964690"/>
                                  <a:ext cx="250190" cy="133985"/>
                                </a:xfrm>
                                <a:prstGeom prst="curvedConnector3">
                                  <a:avLst>
                                    <a:gd name="adj1" fmla="val 50254"/>
                                  </a:avLst>
                                </a:prstGeom>
                                <a:noFill/>
                                <a:ln w="3175"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2" name="矩形 74"/>
                              <wps:cNvSpPr/>
                              <wps:spPr>
                                <a:xfrm>
                                  <a:off x="2916555" y="1659890"/>
                                  <a:ext cx="782955" cy="28511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1F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损耗3.2</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6.6pt;margin-top:8.35pt;height:236.2pt;width:390.3pt;mso-wrap-distance-bottom:0pt;mso-wrap-distance-top:0pt;z-index:251665408;mso-width-relative:page;mso-height-relative:page;" coordsize="4956810,2999740" editas="canvas" o:gfxdata="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Mhws6rbAAAACQEAAA8AAAAA&#10;AAAAAQAgAAAAIgAAAGRycy9kb3ducmV2LnhtbFBLAQIUABQAAAAIAIdO4kDdzW+GMQkAAINbAAAO&#10;AAAAAAAAAAEAIAAAACoBAABkcnMvZTJvRG9jLnhtbFBLBQYAAAAABgAGAFkBAADNDAAAAAA=&#10;">
                      <o:lock v:ext="edit" aspectratio="f"/>
                      <v:shape id="_x0000_s1026" o:spid="_x0000_s1026" style="position:absolute;left:0;top:0;height:2999740;width:4956810;" filled="f" stroked="f" coordsize="21600,21600" o:gfxdata="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">
                        <v:fill on="f" focussize="0,0"/>
                        <v:stroke on="f"/>
                        <v:imagedata o:title=""/>
                        <o:lock v:ext="edit" aspectratio="f"/>
                      </v:shape>
                      <v:shape id="直接箭头连接符 7" o:spid="_x0000_s1026" o:spt="32" type="#_x0000_t32" style="position:absolute;left:138430;top:1574800;height:0;width:338455;"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8O1AbYAAAACQEAAA8AAAAAAAAAAQAgAAAAIgAAAGRycy9kb3ducmV2LnhtbFBLAQIUABQAAAAI&#10;AIdO4kDiaG2WJgIAACYEAAAOAAAAAAAAAAEAIAAAACcBAABkcnMvZTJvRG9jLnhtbFBLBQYAAAAA&#10;BgAGAFkBAAC/BQAAAAA=&#10;">
                        <v:fill on="f" focussize="0,0"/>
                        <v:stroke weight="0.25pt" color="#000000 [3204]" joinstyle="round" endarrow="block"/>
                        <v:imagedata o:title=""/>
                        <o:lock v:ext="edit" aspectratio="f"/>
                      </v:shape>
                      <v:line id="直接连接符 8" o:spid="_x0000_s1026" o:spt="20" style="position:absolute;left:485140;top:908685;flip:x;height:1370965;width:635;" filled="f" stroked="t" coordsize="21600,21600" o:gfxdata="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9dQA1gAAAAkBAAAPAAAAAAAAAAEA&#10;IAAAACIAAABkcnMvZG93bnJldi54bWxQSwECFAAUAAAACACHTuJAGAehdxECAAAHBAAADgAAAAAA&#10;AAABACAAAAAlAQAAZHJzL2Uyb0RvYy54bWxQSwUGAAAAAAYABgBZAQAAqAUAAAAA&#10;">
                        <v:fill on="f" focussize="0,0"/>
                        <v:stroke weight="1.5pt" color="#000000 [3213]" joinstyle="round"/>
                        <v:imagedata o:title=""/>
                        <o:lock v:ext="edit" aspectratio="f"/>
                      </v:line>
                      <v:shape id="直接箭头连接符 9" o:spid="_x0000_s1026" o:spt="32" type="#_x0000_t32" style="position:absolute;left:490855;top:918845;height:0;width:338455;"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DtQG2AAAAAkBAAAPAAAAAAAAAAEAIAAAACIAAABkcnMvZG93bnJldi54bWxQSwECFAAUAAAA&#10;CACHTuJAZErhIycCAAAlBAAADgAAAAAAAAABACAAAAAnAQAAZHJzL2Uyb0RvYy54bWxQSwUGAAAA&#10;AAYABgBZAQAAwAUAAAAA&#10;">
                        <v:fill on="f" focussize="0,0"/>
                        <v:stroke weight="0.25pt" color="#000000 [3204]" joinstyle="round" endarrow="block"/>
                        <v:imagedata o:title=""/>
                        <o:lock v:ext="edit" aspectratio="f"/>
                      </v:shape>
                      <v:shape id="直接箭头连接符 10" o:spid="_x0000_s1026" o:spt="32" type="#_x0000_t32" style="position:absolute;left:504190;top:2273935;height:5715;width:415925;"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DtQG2AAAAAkBAAAPAAAAAAAAAAEAIAAAACIAAABkcnMvZG93bnJldi54bWxQSwEC&#10;FAAUAAAACACHTuJAsrS5QS0CAAAqBAAADgAAAAAAAAABACAAAAAnAQAAZHJzL2Uyb0RvYy54bWxQ&#10;SwUGAAAAAAYABgBZAQAAxgUAAAAA&#10;">
                        <v:fill on="f" focussize="0,0"/>
                        <v:stroke weight="0.25pt" color="#000000 [3204]" joinstyle="round" endarrow="block"/>
                        <v:imagedata o:title=""/>
                        <o:lock v:ext="edit" aspectratio="f"/>
                      </v:shape>
                      <v:rect id="矩形 11" o:spid="_x0000_s1026" o:spt="1" style="position:absolute;left:806450;top:770255;height:294005;width:819150;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jXNutkAAAAJAQAADwAAAAAAAAABACAAAAAiAAAAZHJzL2Rvd25yZXYu&#10;eG1sUEsBAhQAFAAAAAgAh07iQOcHQtxsAgAAywQAAA4AAAAAAAAAAQAgAAAAKAEAAGRycy9lMm9E&#10;b2MueG1sUEsFBgAAAAAGAAYAWQEAAAYGAAAAAA==&#10;">
                        <v:fill on="f" focussize="0,0"/>
                        <v:stroke weight="1.5pt" color="#000000 [3213]" joinstyle="round"/>
                        <v:imagedata o:title=""/>
                        <o:lock v:ext="edit" aspectratio="f"/>
                        <v:textbox>
                          <w:txbxContent>
                            <w:p w14:paraId="3B257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员工用水</w:t>
                              </w:r>
                            </w:p>
                          </w:txbxContent>
                        </v:textbox>
                      </v:rect>
                      <v:shape id="直接箭头连接符 12" o:spid="_x0000_s1026" o:spt="32" type="#_x0000_t32" style="position:absolute;left:1621790;top:918210;height:15875;width:422910;"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&#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DtQG2AAAAAkBAAAPAAAAAAAAAAEAIAAAACIAAABk&#10;cnMvZG93bnJldi54bWxQSwECFAAUAAAACACHTuJACfoEND8CAABTBAAADgAAAAAAAAABACAAAAAn&#10;AQAAZHJzL2Uyb0RvYy54bWxQSwUGAAAAAAYABgBZAQAA2AUAAAAA&#10;">
                        <v:fill on="f" focussize="0,0"/>
                        <v:stroke weight="0.25pt" color="#000000 [3204]" joinstyle="round" endarrow="block"/>
                        <v:imagedata o:title=""/>
                        <o:lock v:ext="edit" aspectratio="f"/>
                      </v:shape>
                      <v:rect id="矩形 13" o:spid="_x0000_s1026" o:spt="1" style="position:absolute;left:920750;top:2104390;height:294005;width:1004570;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41zbrZAAAACQEAAA8AAAAAAAAAAQAgAAAAIgAAAGRycy9kb3ducmV2&#10;LnhtbFBLAQIUABQAAAAIAIdO4kBDHeKabQIAAM0EAAAOAAAAAAAAAAEAIAAAACgBAABkcnMvZTJv&#10;RG9jLnhtbFBLBQYAAAAABgAGAFkBAAAHBgAAAAA=&#10;">
                        <v:fill on="f" focussize="0,0"/>
                        <v:stroke weight="1.5pt" color="#000000 [3213]" joinstyle="round"/>
                        <v:imagedata o:title=""/>
                        <o:lock v:ext="edit" aspectratio="f"/>
                        <v:textbox>
                          <w:txbxContent>
                            <w:p w14:paraId="3F8711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循环沉淀水池池</w:t>
                              </w:r>
                            </w:p>
                          </w:txbxContent>
                        </v:textbox>
                      </v:rect>
                      <v:rect id="矩形 14" o:spid="_x0000_s1026" o:spt="1" style="position:absolute;left:2044700;top:786765;height:294005;width:819150;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jXNutkAAAAJAQAADwAAAAAAAAABACAAAAAiAAAAZHJzL2Rvd25y&#10;ZXYueG1sUEsBAhQAFAAAAAgAh07iQORIoFJvAgAAzAQAAA4AAAAAAAAAAQAgAAAAKAEAAGRycy9l&#10;Mm9Eb2MueG1sUEsFBgAAAAAGAAYAWQEAAAkGAAAAAA==&#10;">
                        <v:fill on="f" focussize="0,0"/>
                        <v:stroke weight="1.5pt" color="#000000 [3213]" joinstyle="round"/>
                        <v:imagedata o:title=""/>
                        <o:lock v:ext="edit" aspectratio="f"/>
                        <v:textbox>
                          <w:txbxContent>
                            <w:p w14:paraId="3A828C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化粪池</w:t>
                              </w:r>
                            </w:p>
                          </w:txbxContent>
                        </v:textbox>
                      </v:rect>
                      <v:shape id="直接箭头连接符 20" o:spid="_x0000_s1026" o:spt="32" type="#_x0000_t32" style="position:absolute;left:2874010;top:920750;height:0;width:386715;"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w7UBtgAAAAJAQAADwAAAAAAAAABACAAAAAiAAAAZHJzL2Rvd25yZXYueG1sUEsBAhQAFAAA&#10;AAgAh07iQK3fkSIoAgAAJwQAAA4AAAAAAAAAAQAgAAAAJwEAAGRycy9lMm9Eb2MueG1sUEsFBgAA&#10;AAAGAAYAWQEAAMEFAAAAAA==&#10;">
                        <v:fill on="f" focussize="0,0"/>
                        <v:stroke weight="0.25pt" color="#000000 [3204]" joinstyle="round" endarrow="block"/>
                        <v:imagedata o:title=""/>
                        <o:lock v:ext="edit" aspectratio="f"/>
                      </v:shape>
                      <v:rect id="矩形 22" o:spid="_x0000_s1026" o:spt="1" style="position:absolute;left:3256915;top:786765;height:294005;width:760095;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ONc262QAAAAkBAAAPAAAAAAAAAAEAIAAAACIAAABkcnMvZG93&#10;bnJldi54bWxQSwECFAAUAAAACACHTuJAeu6663ECAADMBAAADgAAAAAAAAABACAAAAAoAQAAZHJz&#10;L2Uyb0RvYy54bWxQSwUGAAAAAAYABgBZAQAACwYAAAAA&#10;">
                        <v:fill on="f" focussize="0,0"/>
                        <v:stroke weight="1.5pt" color="#000000 [3213]" joinstyle="round"/>
                        <v:imagedata o:title=""/>
                        <o:lock v:ext="edit" aspectratio="f"/>
                        <v:textbox>
                          <w:txbxContent>
                            <w:p w14:paraId="2F11F4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罐车拉运</w:t>
                              </w:r>
                            </w:p>
                          </w:txbxContent>
                        </v:textbox>
                      </v:rect>
                      <v:shape id="直接箭头连接符 25" o:spid="_x0000_s1026" o:spt="32" type="#_x0000_t32" style="position:absolute;left:4017645;top:938530;height:0;width:425450;"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DtQG2AAAAAkBAAAPAAAAAAAAAAEAIAAAACIAAABkcnMvZG93bnJldi54bWxQSwECFAAU&#10;AAAACACHTuJA4F4YFioCAAAnBAAADgAAAAAAAAABACAAAAAnAQAAZHJzL2Uyb0RvYy54bWxQSwUG&#10;AAAAAAYABgBZAQAAwwUAAAAA&#10;">
                        <v:fill on="f" focussize="0,0"/>
                        <v:stroke weight="0.25pt" color="#000000 [3204]" joinstyle="round" endarrow="block"/>
                        <v:imagedata o:title=""/>
                        <o:lock v:ext="edit" aspectratio="f"/>
                      </v:shape>
                      <v:line id="直接连接符 26" o:spid="_x0000_s1026" o:spt="20" style="position:absolute;left:4424680;top:938530;height:517525;width:1270;" filled="f" stroked="t" coordsize="21600,21600" o:gfxdata="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U2ip1wAAAAkBAAAPAAAAAAAAAAEAIAAA&#10;ACIAAABkcnMvZG93bnJldi54bWxQSwECFAAUAAAACACHTuJAm4Z+tQ0CAAADBAAADgAAAAAAAAAB&#10;ACAAAAAmAQAAZHJzL2Uyb0RvYy54bWxQSwUGAAAAAAYABgBZAQAApQUAAAAA&#10;">
                        <v:fill on="f" focussize="0,0"/>
                        <v:stroke weight="1pt" color="#000000 [3213]" joinstyle="round" endarrow="block"/>
                        <v:imagedata o:title=""/>
                        <o:lock v:ext="edit" aspectratio="f"/>
                      </v:line>
                      <v:rect id="矩形 27" o:spid="_x0000_s1026" o:spt="1" style="position:absolute;left:3844925;top:1442085;height:560705;width:941705;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ONc262QAAAAkBAAAPAAAAAAAAAAEAIAAAACIAAABkcnMvZG93bnJl&#10;di54bWxQSwECFAAUAAAACACHTuJA3e/McW4CAADNBAAADgAAAAAAAAABACAAAAAoAQAAZHJzL2Uy&#10;b0RvYy54bWxQSwUGAAAAAAYABgBZAQAACAYAAAAA&#10;">
                        <v:fill on="f" focussize="0,0"/>
                        <v:stroke weight="1.5pt" color="#000000 [3213]" joinstyle="round"/>
                        <v:imagedata o:title=""/>
                        <o:lock v:ext="edit" aspectratio="f"/>
                        <v:textbox>
                          <w:txbxContent>
                            <w:p w14:paraId="49743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纳古镇污水处理站</w:t>
                              </w:r>
                            </w:p>
                          </w:txbxContent>
                        </v:textbox>
                      </v:rect>
                      <v:shape id="直接箭头连接符 29" o:spid="_x0000_s1026" o:spt="32" type="#_x0000_t32" style="position:absolute;left:1915795;top:2242185;height:8255;width:339725;"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w7UBtgAAAAJAQAADwAAAAAAAAABACAAAAAiAAAAZHJzL2Rvd25yZXYueG1sUEsB&#10;AhQAFAAAAAgAh07iQCQdOIouAgAAKwQAAA4AAAAAAAAAAQAgAAAAJwEAAGRycy9lMm9Eb2MueG1s&#10;UEsFBgAAAAAGAAYAWQEAAMcFAAAAAA==&#10;">
                        <v:fill on="f" focussize="0,0"/>
                        <v:stroke weight="0.25pt" color="#000000 [3204]" joinstyle="round" endarrow="block"/>
                        <v:imagedata o:title=""/>
                        <o:lock v:ext="edit" aspectratio="f"/>
                      </v:shape>
                      <v:rect id="矩形 30" o:spid="_x0000_s1026" o:spt="1" style="position:absolute;left:2265045;top:2094230;height:294005;width:809625;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ONc262QAAAAkBAAAPAAAAAAAAAAEAIAAAACIAAABkcnMvZG93bnJl&#10;di54bWxQSwECFAAUAAAACACHTuJAZ3uvXW4CAADNBAAADgAAAAAAAAABACAAAAAoAQAAZHJzL2Uy&#10;b0RvYy54bWxQSwUGAAAAAAYABgBZAQAACAYAAAAA&#10;">
                        <v:fill on="f" focussize="0,0"/>
                        <v:stroke weight="1.5pt" color="#000000 [3213]" joinstyle="round"/>
                        <v:imagedata o:title=""/>
                        <o:lock v:ext="edit" aspectratio="f"/>
                        <v:textbox>
                          <w:txbxContent>
                            <w:p w14:paraId="17B8B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冷却用水</w:t>
                              </w:r>
                            </w:p>
                          </w:txbxContent>
                        </v:textbox>
                      </v:rect>
                      <v:shape id="直接箭头连接符 32" o:spid="_x0000_s1026" o:spt="32" type="#_x0000_t32" style="position:absolute;left:1270000;top:1628775;height:5715;width:1352550;" filled="f" stroked="t" coordsize="21600,21600" o:gfxdata="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H4bXAAAACQEAAA8A&#10;AAAAAAAAAQAgAAAAIgAAAGRycy9kb3ducmV2LnhtbFBLAQIUABQAAAAIAIdO4kBq/gadGAIAABQE&#10;AAAOAAAAAAAAAAEAIAAAACYBAABkcnMvZTJvRG9jLnhtbFBLBQYAAAAABgAGAFkBAACwBQAAAAA=&#10;">
                        <v:fill on="f" focussize="0,0"/>
                        <v:stroke weight="1.5pt" color="#000000 [3213]" joinstyle="round" dashstyle="dash"/>
                        <v:imagedata o:title=""/>
                        <o:lock v:ext="edit" aspectratio="f"/>
                      </v:shape>
                      <v:shape id="直接箭头连接符 33" o:spid="_x0000_s1026" o:spt="32" type="#_x0000_t32" style="position:absolute;left:1278890;top:1629410;height:454660;width:0;" filled="f" stroked="t" coordsize="21600,21600" o:gfxdata="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jgvNkAAAAJAQAADwAAAAAAAAABACAAAAAiAAAAZHJzL2Rvd25yZXYueG1sUEsBAhQA&#10;FAAAAAgAh07iQOZl2vIqAgAAKAQAAA4AAAAAAAAAAQAgAAAAKAEAAGRycy9lMm9Eb2MueG1sUEsF&#10;BgAAAAAGAAYAWQEAAMQFAAAAAA==&#10;">
                        <v:fill on="f" focussize="0,0"/>
                        <v:stroke weight="1.5pt" color="#000000 [3204]" joinstyle="round" dashstyle="dash" endarrow="block"/>
                        <v:imagedata o:title=""/>
                        <o:lock v:ext="edit" aspectratio="f"/>
                      </v:shape>
                      <v:shape id="直接箭头连接符 35" o:spid="_x0000_s1026" o:spt="32" type="#_x0000_t32" style="position:absolute;left:2625090;top:1651000;height:454660;width:0;" filled="f" stroked="t" coordsize="21600,21600" o:gfxdata="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qemUvYAAAACQEAAA8AAAAAAAAAAQAgAAAAIgAAAGRycy9kb3ducmV2LnhtbFBLAQIUABQA&#10;AAAIAIdO4kDVVE7PKQIAACgEAAAOAAAAAAAAAAEAIAAAACcBAABkcnMvZTJvRG9jLnhtbFBLBQYA&#10;AAAABgAGAFkBAADCBQAAAAA=&#10;">
                        <v:fill on="f" focussize="0,0"/>
                        <v:stroke weight="1.5pt" color="#000000 [3204]" joinstyle="round" dashstyle="dash" startarrow="block"/>
                        <v:imagedata o:title=""/>
                        <o:lock v:ext="edit" aspectratio="f"/>
                      </v:shape>
                      <v:rect id="矩形 31" o:spid="_x0000_s1026" o:spt="1" style="position:absolute;left:250825;top:678815;height:294005;width:67691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6fC1vaAAAACQEAAA8AAAAAAAAAAQAgAAAAIgAAAGRycy9kb3ducmV2LnhtbFBLAQIUABQA&#10;AAAIAIdO4kC/GkPLYAIAAKIEAAAOAAAAAAAAAAEAIAAAACkBAABkcnMvZTJvRG9jLnhtbFBLBQYA&#10;AAAABgAGAFkBAAD7BQAAAAA=&#10;">
                        <v:fill on="f" focussize="0,0"/>
                        <v:stroke on="f" weight="1.5pt"/>
                        <v:imagedata o:title=""/>
                        <o:lock v:ext="edit" aspectratio="f"/>
                        <v:textbox>
                          <w:txbxContent>
                            <w:p w14:paraId="25146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w:t>
                              </w:r>
                            </w:p>
                          </w:txbxContent>
                        </v:textbox>
                      </v:rect>
                      <v:rect id="矩形 38" o:spid="_x0000_s1026" o:spt="1" style="position:absolute;left:1612265;top:603885;height:285115;width:492125;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6fC1vaAAAACQEAAA8AAAAAAAAAAQAgAAAAIgAAAGRycy9kb3ducmV2LnhtbFBLAQIUABQA&#10;AAAIAIdO4kCixIl+YAIAAKMEAAAOAAAAAAAAAAEAIAAAACkBAABkcnMvZTJvRG9jLnhtbFBLBQYA&#10;AAAABgAGAFkBAAD7BQAAAAA=&#10;">
                        <v:fill on="f" focussize="0,0"/>
                        <v:stroke on="f" weight="1.5pt"/>
                        <v:imagedata o:title=""/>
                        <o:lock v:ext="edit" aspectratio="f"/>
                        <v:textbox>
                          <w:txbxContent>
                            <w:p w14:paraId="7EBBA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v:textbox>
                      </v:rect>
                      <v:rect id="矩形 40" o:spid="_x0000_s1026" o:spt="1" style="position:absolute;left:3872230;top:641985;height:285115;width:67691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p8LW9oAAAAJAQAADwAAAAAAAAABACAAAAAiAAAAZHJzL2Rvd25yZXYueG1sUEsBAhQAFAAA&#10;AAgAh07iQIT0tg1fAgAAowQAAA4AAAAAAAAAAQAgAAAAKQEAAGRycy9lMm9Eb2MueG1sUEsFBgAA&#10;AAAGAAYAWQEAAPoFAAAAAA==&#10;">
                        <v:fill on="f" focussize="0,0"/>
                        <v:stroke on="f" weight="1.5pt"/>
                        <v:imagedata o:title=""/>
                        <o:lock v:ext="edit" aspectratio="f"/>
                        <v:textbox>
                          <w:txbxContent>
                            <w:p w14:paraId="045AB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v:textbox>
                      </v:rect>
                      <v:rect id="矩形 41" o:spid="_x0000_s1026" o:spt="1" style="position:absolute;left:1771650;top:1934845;height:285115;width:67691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Onwtb2gAAAAkBAAAPAAAAAAAAAAEAIAAAACIAAABkcnMvZG93bnJldi54bWxQSwECFAAUAAAA&#10;CACHTuJATNmrhF4CAACkBAAADgAAAAAAAAABACAAAAApAQAAZHJzL2Uyb0RvYy54bWxQSwUGAAAA&#10;AAYABgBZAQAA+QUAAAAA&#10;">
                        <v:fill on="f" focussize="0,0"/>
                        <v:stroke on="f" weight="1.5pt"/>
                        <v:imagedata o:title=""/>
                        <o:lock v:ext="edit" aspectratio="f"/>
                        <v:textbox>
                          <w:txbxContent>
                            <w:p w14:paraId="0A481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320</w:t>
                              </w:r>
                            </w:p>
                          </w:txbxContent>
                        </v:textbox>
                      </v:rect>
                      <v:rect id="矩形 43" o:spid="_x0000_s1026" o:spt="1" style="position:absolute;left:378460;top:1941830;height:285115;width:67691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6fC1vaAAAACQEAAA8AAAAAAAAAAQAgAAAAIgAAAGRycy9kb3ducmV2LnhtbFBLAQIUABQAAAAI&#10;AIdO4kD3fRg5XQIAAKMEAAAOAAAAAAAAAAEAIAAAACkBAABkcnMvZTJvRG9jLnhtbFBLBQYAAAAA&#10;BgAGAFkBAAD4BQAAAAA=&#10;">
                        <v:fill on="f" focussize="0,0"/>
                        <v:stroke on="f" weight="1.5pt"/>
                        <v:imagedata o:title=""/>
                        <o:lock v:ext="edit" aspectratio="f"/>
                        <v:textbox>
                          <w:txbxContent>
                            <w:p w14:paraId="48ACB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3.2</w:t>
                              </w:r>
                            </w:p>
                          </w:txbxContent>
                        </v:textbox>
                      </v:rect>
                      <v:rect id="矩形 44" o:spid="_x0000_s1026" o:spt="1" style="position:absolute;left:0;top:921385;height:941070;width:628015;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6f&#10;C1vaAAAACQEAAA8AAAAAAAAAAQAgAAAAIgAAAGRycy9kb3ducmV2LnhtbFBLAQIUABQAAAAIAIdO&#10;4kCNkF4SWgIAAJ0EAAAOAAAAAAAAAAEAIAAAACkBAABkcnMvZTJvRG9jLnhtbFBLBQYAAAAABgAG&#10;AFkBAAD1BQAAAAA=&#10;">
                        <v:fill on="f" focussize="0,0"/>
                        <v:stroke on="f" weight="1.5pt"/>
                        <v:imagedata o:title=""/>
                        <o:lock v:ext="edit" aspectratio="f"/>
                        <v:textbox>
                          <w:txbxContent>
                            <w:p w14:paraId="3C55C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lang w:val="en-US" w:eastAsia="zh-CN"/>
                                </w:rPr>
                              </w:pPr>
                              <w:r>
                                <w:rPr>
                                  <w:rFonts w:hint="eastAsia"/>
                                  <w:color w:val="000000" w:themeColor="text1"/>
                                  <w:lang w:val="en-US" w:eastAsia="zh-CN"/>
                                  <w14:textFill>
                                    <w14:solidFill>
                                      <w14:schemeClr w14:val="tx1"/>
                                    </w14:solidFill>
                                  </w14:textFill>
                                </w:rPr>
                                <w:t>自来水</w:t>
                              </w:r>
                              <w:r>
                                <w:rPr>
                                  <w:rFonts w:hint="eastAsia"/>
                                  <w:color w:val="0D0D0D" w:themeColor="text1" w:themeTint="F2"/>
                                  <w:lang w:val="en-US" w:eastAsia="zh-CN"/>
                                  <w14:textFill>
                                    <w14:solidFill>
                                      <w14:schemeClr w14:val="tx1">
                                        <w14:lumMod w14:val="95000"/>
                                        <w14:lumOff w14:val="5000"/>
                                      </w14:schemeClr>
                                    </w14:solidFill>
                                  </w14:textFill>
                                </w:rPr>
                                <w:t>4.85</w:t>
                              </w:r>
                            </w:p>
                          </w:txbxContent>
                        </v:textbox>
                      </v:rect>
                      <v:rect id="矩形 46" o:spid="_x0000_s1026" o:spt="1" style="position:absolute;left:974090;top:311785;height:285115;width:93599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Onwtb2gAAAAkBAAAPAAAAAAAAAAEAIAAAACIAAABkcnMvZG93bnJldi54bWxQSwECFAAUAAAA&#10;CACHTuJASn9Hbl4CAACiBAAADgAAAAAAAAABACAAAAApAQAAZHJzL2Uyb0RvYy54bWxQSwUGAAAA&#10;AAYABgBZAQAA+QUAAAAA&#10;">
                        <v:fill on="f" focussize="0,0"/>
                        <v:stroke on="f" weight="1.5pt"/>
                        <v:imagedata o:title=""/>
                        <o:lock v:ext="edit" aspectratio="f"/>
                        <v:textbox>
                          <w:txbxContent>
                            <w:p w14:paraId="25ADF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损耗0.33</w:t>
                              </w:r>
                            </w:p>
                          </w:txbxContent>
                        </v:textbox>
                      </v:rect>
                      <v:shape id="曲线连接符 67" o:spid="_x0000_s1026" o:spt="38" type="#_x0000_t38" style="position:absolute;left:1183640;top:634365;flip:y;height:133985;width:250190;" filled="f" stroked="t" coordsize="21600,21600" o:gfxdata="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pJRJtgAAAAJAQAADwAAAAAAAAAB&#10;ACAAAAAiAAAAZHJzL2Rvd25yZXYueG1sUEsBAhQAFAAAAAgAh07iQC9JpQpJAgAAWwQAAA4AAAAA&#10;AAAAAQAgAAAAJwEAAGRycy9lMm9Eb2MueG1sUEsFBgAAAAAGAAYAWQEAAOIFAAAAAA==&#10;" adj="10855">
                        <v:fill on="f" focussize="0,0"/>
                        <v:stroke weight="0.25pt" color="#000000 [3204]" joinstyle="round" endarrow="block"/>
                        <v:imagedata o:title=""/>
                        <o:lock v:ext="edit" aspectratio="f"/>
                      </v:shape>
                      <v:rect id="矩形 38" o:spid="_x0000_s1026" o:spt="1" style="position:absolute;left:2703830;top:605155;height:285115;width:67691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6fC1vaAAAACQEAAA8AAAAAAAAAAQAgAAAAIgAAAGRycy9kb3ducmV2LnhtbFBLAQIUABQA&#10;AAAIAIdO4kBBklkiYAIAAKMEAAAOAAAAAAAAAAEAIAAAACkBAABkcnMvZTJvRG9jLnhtbFBLBQYA&#10;AAAABgAGAFkBAAD7BQAAAAA=&#10;">
                        <v:fill on="f" focussize="0,0"/>
                        <v:stroke on="f" weight="1.5pt"/>
                        <v:imagedata o:title=""/>
                        <o:lock v:ext="edit" aspectratio="f"/>
                        <v:textbox>
                          <w:txbxContent>
                            <w:p w14:paraId="04ACD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1.32</w:t>
                              </w:r>
                            </w:p>
                          </w:txbxContent>
                        </v:textbox>
                      </v:rect>
                      <v:rect id="矩形 41" o:spid="_x0000_s1026" o:spt="1" style="position:absolute;left:1593850;top:1344295;height:285115;width:676910;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p8LW9oAAAAJAQAADwAAAAAAAAABACAAAAAiAAAAZHJzL2Rvd25yZXYueG1sUEsBAhQAFAAA&#10;AAgAh07iQBossw9fAgAApAQAAA4AAAAAAAAAAQAgAAAAKQEAAGRycy9lMm9Eb2MueG1sUEsFBgAA&#10;AAAGAAYAWQEAAPoFAAAAAA==&#10;">
                        <v:fill on="f" focussize="0,0"/>
                        <v:stroke on="f" weight="1.5pt"/>
                        <v:imagedata o:title=""/>
                        <o:lock v:ext="edit" aspectratio="f"/>
                        <v:textbox>
                          <w:txbxContent>
                            <w:p w14:paraId="7E9B7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eastAsia="宋体"/>
                                  <w:color w:val="0D0D0D" w:themeColor="text1" w:themeTint="F2"/>
                                  <w:lang w:val="en-US" w:eastAsia="zh-CN"/>
                                  <w14:textFill>
                                    <w14:solidFill>
                                      <w14:schemeClr w14:val="tx1">
                                        <w14:lumMod w14:val="95000"/>
                                        <w14:lumOff w14:val="5000"/>
                                      </w14:schemeClr>
                                    </w14:solidFill>
                                  </w14:textFill>
                                </w:rPr>
                                <w:t>3</w:t>
                              </w:r>
                              <w:r>
                                <w:rPr>
                                  <w:rFonts w:hint="eastAsia"/>
                                  <w:color w:val="0D0D0D" w:themeColor="text1" w:themeTint="F2"/>
                                  <w:lang w:val="en-US" w:eastAsia="zh-CN"/>
                                  <w14:textFill>
                                    <w14:solidFill>
                                      <w14:schemeClr w14:val="tx1">
                                        <w14:lumMod w14:val="95000"/>
                                        <w14:lumOff w14:val="5000"/>
                                      </w14:schemeClr>
                                    </w14:solidFill>
                                  </w14:textFill>
                                </w:rPr>
                                <w:t>16.8</w:t>
                              </w:r>
                            </w:p>
                          </w:txbxContent>
                        </v:textbox>
                      </v:rect>
                      <v:rect id="矩形 30" o:spid="_x0000_s1026" o:spt="1" style="position:absolute;left:540385;top:2621915;height:294005;width:809625;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jXNutkAAAAJAQAADwAAAAAAAAABACAAAAAiAAAAZHJzL2Rvd25y&#10;ZXYueG1sUEsBAhQAFAAAAAgAh07iQFamCXRvAgAAzAQAAA4AAAAAAAAAAQAgAAAAKAEAAGRycy9l&#10;Mm9Eb2MueG1sUEsFBgAAAAAGAAYAWQEAAAkGAAAAAA==&#10;">
                        <v:fill on="f" focussize="0,0"/>
                        <v:stroke weight="1.5pt" color="#000000 [3213]" joinstyle="round"/>
                        <v:imagedata o:title=""/>
                        <o:lock v:ext="edit" aspectratio="f"/>
                        <v:textbox>
                          <w:txbxContent>
                            <w:p w14:paraId="3EA5D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初期雨水</w:t>
                              </w:r>
                            </w:p>
                          </w:txbxContent>
                        </v:textbox>
                      </v:rect>
                      <v:shape id="直接箭头连接符 29" o:spid="_x0000_s1026" o:spt="32" type="#_x0000_t32" style="position:absolute;left:1363345;top:2750820;height:8255;width:339725;" filled="f" stroked="t" coordsize="21600,21600" o:gfxdata="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w7UBtgAAAAJAQAADwAAAAAAAAABACAAAAAiAAAAZHJzL2Rvd25yZXYueG1sUEsB&#10;AhQAFAAAAAgAh07iQEAuKKEuAgAAKwQAAA4AAAAAAAAAAQAgAAAAJwEAAGRycy9lMm9Eb2MueG1s&#10;UEsFBgAAAAAGAAYAWQEAAMcFAAAAAA==&#10;">
                        <v:fill on="f" focussize="0,0"/>
                        <v:stroke weight="0.25pt" color="#000000 [3204]" joinstyle="round" endarrow="block"/>
                        <v:imagedata o:title=""/>
                        <o:lock v:ext="edit" aspectratio="f"/>
                      </v:shape>
                      <v:rect id="矩形 30" o:spid="_x0000_s1026" o:spt="1" style="position:absolute;left:1705610;top:2611755;height:294005;width:2564765;v-text-anchor:middle;" filled="f" stroked="t" coordsize="21600,21600" o:gfxdata="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ONc262QAAAAkBAAAPAAAAAAAAAAEAIAAAACIAAABkcnMvZG93&#10;bnJldi54bWxQSwECFAAUAAAACACHTuJAoP8HYXECAADOBAAADgAAAAAAAAABACAAAAAoAQAAZHJz&#10;L2Uyb0RvYy54bWxQSwUGAAAAAAYABgBZAQAACwYAAAAA&#10;">
                        <v:fill on="f" focussize="0,0"/>
                        <v:stroke weight="1.5pt" color="#000000 [3213]" joinstyle="round"/>
                        <v:imagedata o:title=""/>
                        <o:lock v:ext="edit" aspectratio="f"/>
                        <v:textbox>
                          <w:txbxContent>
                            <w:p w14:paraId="3FD34EAE">
                              <w:pPr>
                                <w:rPr>
                                  <w:rFonts w:hint="eastAsia"/>
                                  <w:lang w:eastAsia="zh-CN"/>
                                </w:rPr>
                              </w:pPr>
                              <w:r>
                                <w:rPr>
                                  <w:rFonts w:hint="eastAsia" w:ascii="Times New Roman" w:hAnsi="Times New Roman" w:cs="Times New Roman"/>
                                  <w:color w:val="000000" w:themeColor="text1"/>
                                  <w:lang w:eastAsia="zh-CN"/>
                                  <w14:textFill>
                                    <w14:solidFill>
                                      <w14:schemeClr w14:val="tx1"/>
                                    </w14:solidFill>
                                  </w14:textFill>
                                </w:rPr>
                                <w:t>进入</w:t>
                              </w:r>
                              <w:r>
                                <w:rPr>
                                  <w:rFonts w:hint="eastAsia" w:ascii="Times New Roman" w:hAnsi="Times New Roman" w:eastAsia="宋体" w:cs="Times New Roman"/>
                                  <w:color w:val="000000" w:themeColor="text1"/>
                                  <w:lang w:eastAsia="zh-CN"/>
                                  <w14:textFill>
                                    <w14:solidFill>
                                      <w14:schemeClr w14:val="tx1"/>
                                    </w14:solidFill>
                                  </w14:textFill>
                                </w:rPr>
                                <w:t>雨水明沟</w:t>
                              </w:r>
                              <w:r>
                                <w:rPr>
                                  <w:rFonts w:hint="eastAsia" w:ascii="Times New Roman" w:hAnsi="Times New Roman" w:cs="Times New Roman"/>
                                  <w:color w:val="000000" w:themeColor="text1"/>
                                  <w:lang w:eastAsia="zh-CN"/>
                                  <w14:textFill>
                                    <w14:solidFill>
                                      <w14:schemeClr w14:val="tx1"/>
                                    </w14:solidFill>
                                  </w14:textFill>
                                </w:rPr>
                                <w:t>外排至厂外周边雨水管网</w:t>
                              </w:r>
                            </w:p>
                          </w:txbxContent>
                        </v:textbox>
                      </v:rect>
                      <v:rect id="矩形 46" o:spid="_x0000_s1026" o:spt="1" style="position:absolute;left:0;top:2640330;height:275590;width:584835;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nwtb&#10;2gAAAAkBAAAPAAAAAAAAAAEAIAAAACIAAABkcnMvZG93bnJldi54bWxQSwECFAAUAAAACACHTuJA&#10;NpgOC1gCAACeBAAADgAAAAAAAAABACAAAAApAQAAZHJzL2Uyb0RvYy54bWxQSwUGAAAAAAYABgBZ&#10;AQAA8wUAAAAA&#10;">
                        <v:fill on="f" focussize="0,0"/>
                        <v:stroke on="f" weight="1.5pt"/>
                        <v:imagedata o:title=""/>
                        <o:lock v:ext="edit" aspectratio="f"/>
                        <v:textbox>
                          <w:txbxContent>
                            <w:p w14:paraId="60DE5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雨天：</w:t>
                              </w:r>
                            </w:p>
                          </w:txbxContent>
                        </v:textbox>
                      </v:rect>
                      <v:shape id="曲线连接符 72" o:spid="_x0000_s1026" o:spt="38" type="#_x0000_t38" style="position:absolute;left:2898775;top:1964690;flip:y;height:133985;width:250190;" filled="f" stroked="t" coordsize="21600,21600" o:gfxdata="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pJRJtgAAAAJAQAADwAAAAAAAAABACAA&#10;AAAiAAAAZHJzL2Rvd25yZXYueG1sUEsBAhQAFAAAAAgAh07iQEQCwORGAgAAXAQAAA4AAAAAAAAA&#10;AQAgAAAAJwEAAGRycy9lMm9Eb2MueG1sUEsFBgAAAAAGAAYAWQEAAN8FAAAAAA==&#10;" adj="10855">
                        <v:fill on="f" focussize="0,0"/>
                        <v:stroke weight="0.25pt" color="#000000 [3204]" joinstyle="round" endarrow="block"/>
                        <v:imagedata o:title=""/>
                        <o:lock v:ext="edit" aspectratio="f"/>
                      </v:shape>
                      <v:rect id="矩形 74" o:spid="_x0000_s1026" o:spt="1" style="position:absolute;left:2916555;top:1659890;height:285115;width:782955;v-text-anchor:middle;" filled="f" stroked="f" coordsize="21600,21600" o:gfxdata="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p8LW9oAAAAJAQAADwAAAAAAAAABACAAAAAiAAAAZHJzL2Rvd25yZXYueG1sUEsBAhQAFAAA&#10;AAgAh07iQEifqa5fAgAApAQAAA4AAAAAAAAAAQAgAAAAKQEAAGRycy9lMm9Eb2MueG1sUEsFBgAA&#10;AAAGAAYAWQEAAPoFAAAAAA==&#10;">
                        <v:fill on="f" focussize="0,0"/>
                        <v:stroke on="f" weight="1.5pt"/>
                        <v:imagedata o:title=""/>
                        <o:lock v:ext="edit" aspectratio="f"/>
                        <v:textbox>
                          <w:txbxContent>
                            <w:p w14:paraId="6A81F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损耗3.2</w:t>
                              </w:r>
                            </w:p>
                          </w:txbxContent>
                        </v:textbox>
                      </v:rect>
                      <w10:wrap type="topAndBottom"/>
                    </v:group>
                  </w:pict>
                </mc:Fallback>
              </mc:AlternateContent>
            </w:r>
            <w:r>
              <w:rPr>
                <w:rFonts w:hint="eastAsia" w:ascii="Times New Roman" w:hAnsi="Times New Roman" w:eastAsia="宋体" w:cs="宋体"/>
                <w:b/>
                <w:bCs/>
                <w:color w:val="auto"/>
                <w:spacing w:val="0"/>
                <w:kern w:val="0"/>
                <w:sz w:val="21"/>
                <w:szCs w:val="21"/>
                <w:lang w:val="en-US" w:eastAsia="zh-CN" w:bidi="ar-SA"/>
              </w:rPr>
              <w:t>图2-2 项目运营期水平衡图（雨天） 单位：m</w:t>
            </w:r>
            <w:r>
              <w:rPr>
                <w:rFonts w:hint="eastAsia" w:ascii="Times New Roman" w:hAnsi="Times New Roman" w:eastAsia="宋体" w:cs="宋体"/>
                <w:b/>
                <w:bCs/>
                <w:color w:val="auto"/>
                <w:spacing w:val="0"/>
                <w:kern w:val="0"/>
                <w:sz w:val="21"/>
                <w:szCs w:val="21"/>
                <w:vertAlign w:val="superscript"/>
                <w:lang w:val="en-US" w:eastAsia="zh-CN" w:bidi="ar-SA"/>
              </w:rPr>
              <w:t>3</w:t>
            </w:r>
            <w:r>
              <w:rPr>
                <w:rFonts w:hint="eastAsia" w:ascii="Times New Roman" w:hAnsi="Times New Roman" w:eastAsia="宋体" w:cs="宋体"/>
                <w:b/>
                <w:bCs/>
                <w:color w:val="auto"/>
                <w:spacing w:val="0"/>
                <w:kern w:val="0"/>
                <w:sz w:val="21"/>
                <w:szCs w:val="21"/>
                <w:lang w:val="en-US" w:eastAsia="zh-CN" w:bidi="ar-SA"/>
              </w:rPr>
              <w:t>/d</w:t>
            </w:r>
          </w:p>
          <w:p w14:paraId="206CE743">
            <w:pPr>
              <w:adjustRightInd w:val="0"/>
              <w:snapToGrid w:val="0"/>
              <w:spacing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七</w:t>
            </w:r>
            <w:r>
              <w:rPr>
                <w:rFonts w:ascii="Times New Roman" w:hAnsi="Times New Roman" w:eastAsia="宋体"/>
                <w:b/>
                <w:color w:val="auto"/>
                <w:sz w:val="24"/>
              </w:rPr>
              <w:t>、劳动定员及工作制度</w:t>
            </w:r>
          </w:p>
          <w:p w14:paraId="1BECC8A0">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劳动定员：</w:t>
            </w:r>
            <w:r>
              <w:rPr>
                <w:rFonts w:hint="eastAsia" w:ascii="Times New Roman" w:hAnsi="Times New Roman" w:eastAsia="宋体" w:cs="Times New Roman"/>
                <w:color w:val="auto"/>
                <w:sz w:val="24"/>
                <w:lang w:val="en-US" w:eastAsia="zh-CN"/>
              </w:rPr>
              <w:t>项目劳动定员</w:t>
            </w:r>
            <w:r>
              <w:rPr>
                <w:rFonts w:hint="eastAsia" w:cs="Times New Roman"/>
                <w:color w:val="auto"/>
                <w:sz w:val="24"/>
                <w:lang w:val="en-US" w:eastAsia="zh-CN"/>
              </w:rPr>
              <w:t>55</w:t>
            </w:r>
            <w:r>
              <w:rPr>
                <w:rFonts w:hint="eastAsia" w:ascii="Times New Roman" w:hAnsi="Times New Roman" w:eastAsia="宋体" w:cs="Times New Roman"/>
                <w:color w:val="auto"/>
                <w:sz w:val="24"/>
                <w:lang w:val="en-US" w:eastAsia="zh-CN"/>
              </w:rPr>
              <w:t>人</w:t>
            </w:r>
            <w:r>
              <w:rPr>
                <w:rFonts w:hint="eastAsia" w:ascii="Times New Roman" w:hAnsi="Times New Roman" w:eastAsia="宋体" w:cs="Times New Roman"/>
                <w:color w:val="auto"/>
                <w:sz w:val="24"/>
              </w:rPr>
              <w:t>。</w:t>
            </w:r>
          </w:p>
          <w:p w14:paraId="0D2CFD0E">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工作制度：生产车间</w:t>
            </w:r>
            <w:r>
              <w:rPr>
                <w:rFonts w:ascii="Times New Roman" w:hAnsi="Times New Roman" w:eastAsia="宋体" w:cs="Times New Roman"/>
                <w:color w:val="auto"/>
                <w:sz w:val="24"/>
              </w:rPr>
              <w:t>生产时间为每天8h</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年工作300天</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24</w:t>
            </w:r>
            <w:r>
              <w:rPr>
                <w:rFonts w:ascii="Times New Roman" w:hAnsi="Times New Roman" w:eastAsia="宋体" w:cs="Times New Roman"/>
                <w:color w:val="auto"/>
                <w:sz w:val="24"/>
              </w:rPr>
              <w:t>00h</w:t>
            </w:r>
            <w:r>
              <w:rPr>
                <w:rFonts w:hint="eastAsia" w:ascii="Times New Roman" w:hAnsi="Times New Roman" w:eastAsia="宋体" w:cs="Times New Roman"/>
                <w:color w:val="auto"/>
                <w:sz w:val="24"/>
              </w:rPr>
              <w:t>。</w:t>
            </w:r>
          </w:p>
          <w:p w14:paraId="7C94145E">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t>员工食宿安排：项目区内</w:t>
            </w:r>
            <w:r>
              <w:rPr>
                <w:rFonts w:hint="eastAsia" w:ascii="Times New Roman" w:hAnsi="Times New Roman" w:eastAsia="宋体" w:cs="Times New Roman"/>
                <w:color w:val="auto"/>
                <w:sz w:val="24"/>
                <w:lang w:val="en-US" w:eastAsia="zh-CN"/>
              </w:rPr>
              <w:t>不</w:t>
            </w:r>
            <w:r>
              <w:rPr>
                <w:rFonts w:hint="eastAsia" w:ascii="Times New Roman" w:hAnsi="Times New Roman" w:eastAsia="宋体" w:cs="Times New Roman"/>
                <w:color w:val="auto"/>
                <w:sz w:val="24"/>
              </w:rPr>
              <w:t>提供员工</w:t>
            </w:r>
            <w:r>
              <w:rPr>
                <w:rFonts w:hint="eastAsia" w:ascii="Times New Roman" w:hAnsi="Times New Roman" w:eastAsia="宋体" w:cs="Times New Roman"/>
                <w:color w:val="auto"/>
                <w:sz w:val="24"/>
                <w:lang w:val="en-US" w:eastAsia="zh-CN"/>
              </w:rPr>
              <w:t>住宿</w:t>
            </w:r>
            <w:r>
              <w:rPr>
                <w:rFonts w:hint="eastAsia" w:ascii="Times New Roman" w:hAnsi="Times New Roman" w:eastAsia="宋体" w:cs="Times New Roman"/>
                <w:color w:val="auto"/>
                <w:sz w:val="24"/>
              </w:rPr>
              <w:t>和餐饮</w:t>
            </w:r>
            <w:r>
              <w:rPr>
                <w:rFonts w:hint="eastAsia" w:ascii="Times New Roman" w:hAnsi="Times New Roman" w:eastAsia="宋体" w:cs="Times New Roman"/>
                <w:color w:val="auto"/>
                <w:sz w:val="24"/>
                <w:lang w:eastAsia="zh-CN"/>
              </w:rPr>
              <w:t>。</w:t>
            </w:r>
          </w:p>
          <w:p w14:paraId="6E710563">
            <w:pPr>
              <w:adjustRightInd w:val="0"/>
              <w:snapToGrid w:val="0"/>
              <w:spacing w:line="360" w:lineRule="auto"/>
              <w:outlineLvl w:val="1"/>
              <w:rPr>
                <w:rFonts w:ascii="Times New Roman" w:hAnsi="Times New Roman" w:eastAsia="宋体"/>
                <w:b/>
                <w:color w:val="auto"/>
                <w:sz w:val="24"/>
              </w:rPr>
            </w:pPr>
            <w:r>
              <w:rPr>
                <w:rFonts w:hint="eastAsia" w:ascii="Times New Roman" w:hAnsi="Times New Roman" w:eastAsia="宋体"/>
                <w:b/>
                <w:color w:val="auto"/>
                <w:sz w:val="24"/>
                <w:lang w:val="en-US" w:eastAsia="zh-CN"/>
              </w:rPr>
              <w:t>八</w:t>
            </w:r>
            <w:r>
              <w:rPr>
                <w:rFonts w:hint="eastAsia" w:ascii="Times New Roman" w:hAnsi="Times New Roman" w:eastAsia="宋体"/>
                <w:b/>
                <w:color w:val="auto"/>
                <w:sz w:val="24"/>
              </w:rPr>
              <w:t>、环保投资估算</w:t>
            </w:r>
          </w:p>
          <w:p w14:paraId="5A6084D3">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rPr>
              <w:t>项目总投资</w:t>
            </w:r>
            <w:r>
              <w:rPr>
                <w:rFonts w:hint="eastAsia"/>
                <w:color w:val="auto"/>
                <w:sz w:val="24"/>
                <w:lang w:val="en-US" w:eastAsia="zh-CN"/>
              </w:rPr>
              <w:t>1500</w:t>
            </w:r>
            <w:r>
              <w:rPr>
                <w:rFonts w:ascii="Times New Roman" w:hAnsi="Times New Roman" w:eastAsia="宋体"/>
                <w:color w:val="auto"/>
                <w:sz w:val="24"/>
              </w:rPr>
              <w:t>万元，其中环保投资</w:t>
            </w:r>
            <w:r>
              <w:rPr>
                <w:rFonts w:hint="eastAsia"/>
                <w:color w:val="auto"/>
                <w:sz w:val="24"/>
                <w:lang w:val="en-US" w:eastAsia="zh-CN"/>
              </w:rPr>
              <w:t>71</w:t>
            </w:r>
            <w:r>
              <w:rPr>
                <w:rFonts w:ascii="Times New Roman" w:hAnsi="Times New Roman" w:eastAsia="宋体"/>
                <w:color w:val="auto"/>
                <w:sz w:val="24"/>
              </w:rPr>
              <w:t>万元，占总投资的</w:t>
            </w:r>
            <w:r>
              <w:rPr>
                <w:rFonts w:hint="eastAsia"/>
                <w:color w:val="auto"/>
                <w:sz w:val="24"/>
                <w:lang w:val="en-US" w:eastAsia="zh-CN"/>
              </w:rPr>
              <w:t>4.7</w:t>
            </w:r>
            <w:r>
              <w:rPr>
                <w:rFonts w:ascii="Times New Roman" w:hAnsi="Times New Roman" w:eastAsia="宋体"/>
                <w:color w:val="auto"/>
                <w:sz w:val="24"/>
              </w:rPr>
              <w:t>%，环保投资的细项列于下表。</w:t>
            </w:r>
          </w:p>
          <w:p w14:paraId="20D09641">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表2-9项目环保设备及设施一览表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014"/>
              <w:gridCol w:w="1072"/>
              <w:gridCol w:w="3390"/>
              <w:gridCol w:w="688"/>
              <w:gridCol w:w="1214"/>
            </w:tblGrid>
            <w:tr w14:paraId="7625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1" w:type="pct"/>
                  <w:shd w:val="clear" w:color="auto" w:fill="D9D9D9"/>
                  <w:noWrap w:val="0"/>
                  <w:vAlign w:val="center"/>
                </w:tcPr>
                <w:p w14:paraId="569023A4">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序号</w:t>
                  </w:r>
                </w:p>
              </w:tc>
              <w:tc>
                <w:tcPr>
                  <w:tcW w:w="632" w:type="pct"/>
                  <w:shd w:val="clear" w:color="auto" w:fill="D9D9D9"/>
                  <w:noWrap w:val="0"/>
                  <w:vAlign w:val="center"/>
                </w:tcPr>
                <w:p w14:paraId="67DD8073">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污染源</w:t>
                  </w:r>
                </w:p>
              </w:tc>
              <w:tc>
                <w:tcPr>
                  <w:tcW w:w="668" w:type="pct"/>
                  <w:shd w:val="clear" w:color="auto" w:fill="D9D9D9"/>
                  <w:noWrap w:val="0"/>
                  <w:vAlign w:val="center"/>
                </w:tcPr>
                <w:p w14:paraId="36DDB9F1">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污染物</w:t>
                  </w:r>
                </w:p>
              </w:tc>
              <w:tc>
                <w:tcPr>
                  <w:tcW w:w="2113" w:type="pct"/>
                  <w:shd w:val="clear" w:color="auto" w:fill="D9D9D9"/>
                  <w:noWrap w:val="0"/>
                  <w:vAlign w:val="center"/>
                </w:tcPr>
                <w:p w14:paraId="5997D0D0">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主要设备</w:t>
                  </w:r>
                </w:p>
              </w:tc>
              <w:tc>
                <w:tcPr>
                  <w:tcW w:w="428" w:type="pct"/>
                  <w:shd w:val="clear" w:color="auto" w:fill="D9D9D9"/>
                  <w:noWrap w:val="0"/>
                  <w:vAlign w:val="center"/>
                </w:tcPr>
                <w:p w14:paraId="0592A7F7">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数量</w:t>
                  </w:r>
                </w:p>
              </w:tc>
              <w:tc>
                <w:tcPr>
                  <w:tcW w:w="756" w:type="pct"/>
                  <w:shd w:val="clear" w:color="auto" w:fill="D9D9D9"/>
                  <w:noWrap w:val="0"/>
                  <w:vAlign w:val="center"/>
                </w:tcPr>
                <w:p w14:paraId="1A40D6BA">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金额（万元）</w:t>
                  </w:r>
                </w:p>
              </w:tc>
            </w:tr>
            <w:tr w14:paraId="4DCF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00" w:type="pct"/>
                  <w:gridSpan w:val="6"/>
                  <w:noWrap w:val="0"/>
                  <w:vAlign w:val="center"/>
                </w:tcPr>
                <w:p w14:paraId="39EDA78C">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施工期</w:t>
                  </w:r>
                </w:p>
              </w:tc>
            </w:tr>
            <w:tr w14:paraId="63DF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1" w:type="pct"/>
                  <w:noWrap w:val="0"/>
                  <w:vAlign w:val="center"/>
                </w:tcPr>
                <w:p w14:paraId="4800ADBC">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632" w:type="pct"/>
                  <w:vMerge w:val="restart"/>
                  <w:noWrap w:val="0"/>
                  <w:vAlign w:val="center"/>
                </w:tcPr>
                <w:p w14:paraId="1468959A">
                  <w:pPr>
                    <w:adjustRightInd w:val="0"/>
                    <w:snapToGrid w:val="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设备安装</w:t>
                  </w:r>
                </w:p>
              </w:tc>
              <w:tc>
                <w:tcPr>
                  <w:tcW w:w="668" w:type="pct"/>
                  <w:noWrap w:val="0"/>
                  <w:vAlign w:val="center"/>
                </w:tcPr>
                <w:p w14:paraId="53250848">
                  <w:pPr>
                    <w:adjustRightInd w:val="0"/>
                    <w:snapToGrid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废气</w:t>
                  </w:r>
                </w:p>
              </w:tc>
              <w:tc>
                <w:tcPr>
                  <w:tcW w:w="2113" w:type="pct"/>
                  <w:noWrap w:val="0"/>
                  <w:vAlign w:val="center"/>
                </w:tcPr>
                <w:p w14:paraId="50181798">
                  <w:pPr>
                    <w:adjustRightInd w:val="0"/>
                    <w:snapToGrid w:val="0"/>
                    <w:jc w:val="center"/>
                    <w:rPr>
                      <w:rFonts w:hint="eastAsia" w:ascii="Times New Roman" w:hAnsi="Times New Roman" w:eastAsia="宋体"/>
                      <w:color w:val="auto"/>
                      <w:szCs w:val="21"/>
                    </w:rPr>
                  </w:pPr>
                  <w:r>
                    <w:rPr>
                      <w:rFonts w:ascii="Times New Roman" w:hAnsi="Times New Roman" w:eastAsia="宋体" w:cs="宋体"/>
                      <w:color w:val="auto"/>
                      <w:kern w:val="0"/>
                      <w:szCs w:val="21"/>
                    </w:rPr>
                    <w:t>洒水降尘</w:t>
                  </w:r>
                </w:p>
              </w:tc>
              <w:tc>
                <w:tcPr>
                  <w:tcW w:w="428" w:type="pct"/>
                  <w:noWrap w:val="0"/>
                  <w:vAlign w:val="center"/>
                </w:tcPr>
                <w:p w14:paraId="7A73D103">
                  <w:pPr>
                    <w:adjustRightInd w:val="0"/>
                    <w:snapToGrid w:val="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t>——</w:t>
                  </w:r>
                </w:p>
              </w:tc>
              <w:tc>
                <w:tcPr>
                  <w:tcW w:w="756" w:type="pct"/>
                  <w:noWrap w:val="0"/>
                  <w:vAlign w:val="center"/>
                </w:tcPr>
                <w:p w14:paraId="410C90E7">
                  <w:pPr>
                    <w:adjustRightInd w:val="0"/>
                    <w:snapToGrid w:val="0"/>
                    <w:jc w:val="center"/>
                    <w:rPr>
                      <w:rFonts w:hint="default" w:ascii="Times New Roman" w:hAnsi="Times New Roman" w:eastAsia="宋体"/>
                      <w:color w:val="auto"/>
                      <w:lang w:val="en-US" w:eastAsia="zh-CN"/>
                    </w:rPr>
                  </w:pPr>
                  <w:r>
                    <w:rPr>
                      <w:rFonts w:hint="eastAsia"/>
                      <w:color w:val="auto"/>
                      <w:lang w:val="en-US" w:eastAsia="zh-CN"/>
                    </w:rPr>
                    <w:t>0.4</w:t>
                  </w:r>
                </w:p>
              </w:tc>
            </w:tr>
            <w:tr w14:paraId="2A0D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1" w:type="pct"/>
                  <w:noWrap w:val="0"/>
                  <w:vAlign w:val="center"/>
                </w:tcPr>
                <w:p w14:paraId="5F5D3555">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2</w:t>
                  </w:r>
                </w:p>
              </w:tc>
              <w:tc>
                <w:tcPr>
                  <w:tcW w:w="632" w:type="pct"/>
                  <w:vMerge w:val="continue"/>
                  <w:noWrap w:val="0"/>
                  <w:vAlign w:val="center"/>
                </w:tcPr>
                <w:p w14:paraId="3EEB7828">
                  <w:pPr>
                    <w:adjustRightInd w:val="0"/>
                    <w:snapToGrid w:val="0"/>
                    <w:jc w:val="center"/>
                    <w:rPr>
                      <w:rFonts w:ascii="Times New Roman" w:hAnsi="Times New Roman" w:eastAsia="宋体"/>
                      <w:color w:val="auto"/>
                      <w:szCs w:val="21"/>
                    </w:rPr>
                  </w:pPr>
                </w:p>
              </w:tc>
              <w:tc>
                <w:tcPr>
                  <w:tcW w:w="668" w:type="pct"/>
                  <w:noWrap w:val="0"/>
                  <w:vAlign w:val="center"/>
                </w:tcPr>
                <w:p w14:paraId="3ECF018D">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噪声</w:t>
                  </w:r>
                </w:p>
              </w:tc>
              <w:tc>
                <w:tcPr>
                  <w:tcW w:w="2113" w:type="pct"/>
                  <w:noWrap w:val="0"/>
                  <w:vAlign w:val="center"/>
                </w:tcPr>
                <w:p w14:paraId="0E6052B7">
                  <w:pPr>
                    <w:adjustRightInd w:val="0"/>
                    <w:snapToGrid w:val="0"/>
                    <w:jc w:val="center"/>
                    <w:rPr>
                      <w:rFonts w:ascii="Times New Roman" w:hAnsi="Times New Roman" w:eastAsia="宋体"/>
                      <w:color w:val="auto"/>
                      <w:szCs w:val="21"/>
                    </w:rPr>
                  </w:pPr>
                  <w:r>
                    <w:rPr>
                      <w:rFonts w:ascii="Times New Roman" w:hAnsi="Times New Roman" w:eastAsia="宋体" w:cs="宋体"/>
                      <w:color w:val="auto"/>
                      <w:kern w:val="0"/>
                      <w:szCs w:val="21"/>
                    </w:rPr>
                    <w:t>减振基础</w:t>
                  </w:r>
                </w:p>
              </w:tc>
              <w:tc>
                <w:tcPr>
                  <w:tcW w:w="428" w:type="pct"/>
                  <w:noWrap w:val="0"/>
                  <w:vAlign w:val="center"/>
                </w:tcPr>
                <w:p w14:paraId="448AD4D9">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756" w:type="pct"/>
                  <w:noWrap w:val="0"/>
                  <w:vAlign w:val="center"/>
                </w:tcPr>
                <w:p w14:paraId="36591CD7">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0.8</w:t>
                  </w:r>
                </w:p>
              </w:tc>
            </w:tr>
            <w:tr w14:paraId="0E0B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1" w:type="pct"/>
                  <w:noWrap w:val="0"/>
                  <w:vAlign w:val="center"/>
                </w:tcPr>
                <w:p w14:paraId="3D114F83">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w:t>
                  </w:r>
                </w:p>
              </w:tc>
              <w:tc>
                <w:tcPr>
                  <w:tcW w:w="632" w:type="pct"/>
                  <w:vMerge w:val="continue"/>
                  <w:noWrap w:val="0"/>
                  <w:vAlign w:val="center"/>
                </w:tcPr>
                <w:p w14:paraId="52B82387">
                  <w:pPr>
                    <w:adjustRightInd w:val="0"/>
                    <w:snapToGrid w:val="0"/>
                    <w:jc w:val="center"/>
                    <w:rPr>
                      <w:rFonts w:ascii="Times New Roman" w:hAnsi="Times New Roman" w:eastAsia="宋体"/>
                      <w:color w:val="auto"/>
                      <w:szCs w:val="21"/>
                    </w:rPr>
                  </w:pPr>
                </w:p>
              </w:tc>
              <w:tc>
                <w:tcPr>
                  <w:tcW w:w="668" w:type="pct"/>
                  <w:noWrap w:val="0"/>
                  <w:vAlign w:val="center"/>
                </w:tcPr>
                <w:p w14:paraId="3485630B">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固废</w:t>
                  </w:r>
                </w:p>
              </w:tc>
              <w:tc>
                <w:tcPr>
                  <w:tcW w:w="2113" w:type="pct"/>
                  <w:noWrap w:val="0"/>
                  <w:vAlign w:val="center"/>
                </w:tcPr>
                <w:p w14:paraId="3CBFD520">
                  <w:pPr>
                    <w:adjustRightInd w:val="0"/>
                    <w:snapToGrid w:val="0"/>
                    <w:jc w:val="center"/>
                    <w:rPr>
                      <w:rFonts w:ascii="Times New Roman" w:hAnsi="Times New Roman" w:eastAsia="宋体"/>
                      <w:color w:val="auto"/>
                      <w:szCs w:val="21"/>
                    </w:rPr>
                  </w:pPr>
                  <w:r>
                    <w:rPr>
                      <w:rFonts w:ascii="Times New Roman" w:hAnsi="Times New Roman" w:eastAsia="宋体" w:cs="宋体"/>
                      <w:color w:val="auto"/>
                      <w:kern w:val="0"/>
                      <w:szCs w:val="21"/>
                    </w:rPr>
                    <w:t>施工垃圾清运处置</w:t>
                  </w:r>
                </w:p>
              </w:tc>
              <w:tc>
                <w:tcPr>
                  <w:tcW w:w="428" w:type="pct"/>
                  <w:noWrap w:val="0"/>
                  <w:vAlign w:val="center"/>
                </w:tcPr>
                <w:p w14:paraId="554D4969">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756" w:type="pct"/>
                  <w:noWrap w:val="0"/>
                  <w:vAlign w:val="center"/>
                </w:tcPr>
                <w:p w14:paraId="01FD0393">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1</w:t>
                  </w:r>
                </w:p>
              </w:tc>
            </w:tr>
            <w:tr w14:paraId="489D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1" w:type="pct"/>
                  <w:noWrap w:val="0"/>
                  <w:vAlign w:val="center"/>
                </w:tcPr>
                <w:p w14:paraId="2DAE8CCB">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4</w:t>
                  </w:r>
                </w:p>
              </w:tc>
              <w:tc>
                <w:tcPr>
                  <w:tcW w:w="632" w:type="pct"/>
                  <w:vMerge w:val="continue"/>
                  <w:noWrap w:val="0"/>
                  <w:vAlign w:val="center"/>
                </w:tcPr>
                <w:p w14:paraId="24B9818B">
                  <w:pPr>
                    <w:adjustRightInd w:val="0"/>
                    <w:snapToGrid w:val="0"/>
                    <w:jc w:val="center"/>
                    <w:rPr>
                      <w:rFonts w:ascii="Times New Roman" w:hAnsi="Times New Roman" w:eastAsia="宋体"/>
                      <w:color w:val="auto"/>
                      <w:szCs w:val="21"/>
                    </w:rPr>
                  </w:pPr>
                </w:p>
              </w:tc>
              <w:tc>
                <w:tcPr>
                  <w:tcW w:w="668" w:type="pct"/>
                  <w:noWrap w:val="0"/>
                  <w:vAlign w:val="center"/>
                </w:tcPr>
                <w:p w14:paraId="5604D9A5">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小计</w:t>
                  </w:r>
                </w:p>
              </w:tc>
              <w:tc>
                <w:tcPr>
                  <w:tcW w:w="2113" w:type="pct"/>
                  <w:noWrap w:val="0"/>
                  <w:vAlign w:val="center"/>
                </w:tcPr>
                <w:p w14:paraId="0B7D5BA3">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428" w:type="pct"/>
                  <w:noWrap w:val="0"/>
                  <w:vAlign w:val="center"/>
                </w:tcPr>
                <w:p w14:paraId="56B74721">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756" w:type="pct"/>
                  <w:noWrap w:val="0"/>
                  <w:vAlign w:val="center"/>
                </w:tcPr>
                <w:p w14:paraId="450DE38D">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2.2</w:t>
                  </w:r>
                </w:p>
              </w:tc>
            </w:tr>
            <w:tr w14:paraId="6D34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00" w:type="pct"/>
                  <w:gridSpan w:val="6"/>
                  <w:noWrap w:val="0"/>
                  <w:vAlign w:val="center"/>
                </w:tcPr>
                <w:p w14:paraId="277F2E34">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运营期</w:t>
                  </w:r>
                </w:p>
              </w:tc>
            </w:tr>
            <w:tr w14:paraId="6AA2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0"/>
                  <w:vAlign w:val="center"/>
                </w:tcPr>
                <w:p w14:paraId="4350FF36">
                  <w:pPr>
                    <w:adjustRightInd w:val="0"/>
                    <w:snapToGrid w:val="0"/>
                    <w:rPr>
                      <w:rFonts w:ascii="Times New Roman" w:hAnsi="Times New Roman" w:eastAsia="宋体"/>
                      <w:color w:val="auto"/>
                      <w:szCs w:val="21"/>
                    </w:rPr>
                  </w:pPr>
                  <w:r>
                    <w:rPr>
                      <w:rFonts w:ascii="Times New Roman" w:hAnsi="Times New Roman" w:eastAsia="宋体"/>
                      <w:color w:val="auto"/>
                      <w:szCs w:val="21"/>
                    </w:rPr>
                    <w:t>1、废水处理措施</w:t>
                  </w:r>
                </w:p>
              </w:tc>
            </w:tr>
            <w:tr w14:paraId="5AB6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4ACE764B">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1</w:t>
                  </w:r>
                  <w:r>
                    <w:rPr>
                      <w:rFonts w:ascii="Times New Roman" w:hAnsi="Times New Roman" w:eastAsia="宋体"/>
                      <w:color w:val="auto"/>
                      <w:szCs w:val="21"/>
                    </w:rPr>
                    <w:t>.</w:t>
                  </w:r>
                  <w:r>
                    <w:rPr>
                      <w:rFonts w:hint="eastAsia" w:ascii="Times New Roman" w:hAnsi="Times New Roman" w:eastAsia="宋体"/>
                      <w:color w:val="auto"/>
                      <w:szCs w:val="21"/>
                      <w:lang w:val="en-US" w:eastAsia="zh-CN"/>
                    </w:rPr>
                    <w:t>1</w:t>
                  </w:r>
                </w:p>
              </w:tc>
              <w:tc>
                <w:tcPr>
                  <w:tcW w:w="632" w:type="pct"/>
                  <w:noWrap w:val="0"/>
                  <w:vAlign w:val="center"/>
                </w:tcPr>
                <w:p w14:paraId="579CDBB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项目生活</w:t>
                  </w:r>
                </w:p>
              </w:tc>
              <w:tc>
                <w:tcPr>
                  <w:tcW w:w="668" w:type="pct"/>
                  <w:noWrap w:val="0"/>
                  <w:vAlign w:val="center"/>
                </w:tcPr>
                <w:p w14:paraId="64EBFD02">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rPr>
                    <w:t>生活</w:t>
                  </w:r>
                  <w:r>
                    <w:rPr>
                      <w:rFonts w:hint="eastAsia" w:ascii="Times New Roman" w:hAnsi="Times New Roman" w:eastAsia="宋体"/>
                      <w:color w:val="auto"/>
                      <w:szCs w:val="21"/>
                      <w:lang w:val="en-US" w:eastAsia="zh-CN"/>
                    </w:rPr>
                    <w:t>污水</w:t>
                  </w:r>
                </w:p>
              </w:tc>
              <w:tc>
                <w:tcPr>
                  <w:tcW w:w="2113" w:type="pct"/>
                  <w:tcBorders>
                    <w:bottom w:val="single" w:color="000000" w:sz="4" w:space="0"/>
                  </w:tcBorders>
                  <w:noWrap w:val="0"/>
                  <w:vAlign w:val="center"/>
                </w:tcPr>
                <w:p w14:paraId="0E7EEC2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color w:val="auto"/>
                      <w:szCs w:val="21"/>
                      <w:lang w:eastAsia="zh-CN"/>
                    </w:rPr>
                  </w:pPr>
                  <w:r>
                    <w:rPr>
                      <w:rFonts w:hint="eastAsia" w:ascii="Times New Roman" w:hAnsi="Times New Roman" w:eastAsia="宋体"/>
                      <w:color w:val="auto"/>
                      <w:sz w:val="21"/>
                      <w:szCs w:val="21"/>
                      <w:lang w:val="en-US" w:eastAsia="zh-CN"/>
                    </w:rPr>
                    <w:t>依托现有化粪池1个，容积</w:t>
                  </w:r>
                  <w:r>
                    <w:rPr>
                      <w:rFonts w:hint="eastAsia"/>
                      <w:color w:val="auto"/>
                      <w:sz w:val="21"/>
                      <w:szCs w:val="21"/>
                      <w:lang w:val="en-US" w:eastAsia="zh-CN"/>
                    </w:rPr>
                    <w:t>10</w:t>
                  </w:r>
                  <w:r>
                    <w:rPr>
                      <w:rFonts w:hint="eastAsia" w:ascii="Times New Roman" w:hAnsi="Times New Roman" w:eastAsia="宋体"/>
                      <w:color w:val="auto"/>
                      <w:sz w:val="21"/>
                      <w:szCs w:val="21"/>
                      <w:lang w:val="en-US" w:eastAsia="zh-CN"/>
                    </w:rPr>
                    <w:t>m</w:t>
                  </w:r>
                  <w:r>
                    <w:rPr>
                      <w:rFonts w:hint="eastAsia" w:ascii="Times New Roman" w:hAnsi="Times New Roman" w:eastAsia="宋体"/>
                      <w:color w:val="auto"/>
                      <w:sz w:val="21"/>
                      <w:szCs w:val="21"/>
                      <w:vertAlign w:val="superscript"/>
                      <w:lang w:val="en-US" w:eastAsia="zh-CN"/>
                    </w:rPr>
                    <w:t>3</w:t>
                  </w:r>
                  <w:r>
                    <w:rPr>
                      <w:rFonts w:hint="eastAsia" w:ascii="Times New Roman" w:hAnsi="Times New Roman" w:eastAsia="宋体"/>
                      <w:color w:val="auto"/>
                      <w:sz w:val="21"/>
                      <w:szCs w:val="21"/>
                      <w:vertAlign w:val="baseline"/>
                      <w:lang w:val="en-US" w:eastAsia="zh-CN"/>
                    </w:rPr>
                    <w:t>；</w:t>
                  </w:r>
                </w:p>
              </w:tc>
              <w:tc>
                <w:tcPr>
                  <w:tcW w:w="428" w:type="pct"/>
                  <w:tcBorders>
                    <w:bottom w:val="single" w:color="000000" w:sz="4" w:space="0"/>
                  </w:tcBorders>
                  <w:noWrap w:val="0"/>
                  <w:vAlign w:val="center"/>
                </w:tcPr>
                <w:p w14:paraId="03087B32">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1套</w:t>
                  </w:r>
                </w:p>
              </w:tc>
              <w:tc>
                <w:tcPr>
                  <w:tcW w:w="756" w:type="pct"/>
                  <w:tcBorders>
                    <w:bottom w:val="single" w:color="000000" w:sz="4" w:space="0"/>
                  </w:tcBorders>
                  <w:noWrap w:val="0"/>
                  <w:vAlign w:val="center"/>
                </w:tcPr>
                <w:p w14:paraId="6C8A72FC">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依托</w:t>
                  </w:r>
                </w:p>
              </w:tc>
            </w:tr>
            <w:tr w14:paraId="6824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7456FAB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1.2</w:t>
                  </w:r>
                </w:p>
              </w:tc>
              <w:tc>
                <w:tcPr>
                  <w:tcW w:w="632" w:type="pct"/>
                  <w:noWrap w:val="0"/>
                  <w:vAlign w:val="center"/>
                </w:tcPr>
                <w:p w14:paraId="3FD43FB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循环水池</w:t>
                  </w:r>
                </w:p>
              </w:tc>
              <w:tc>
                <w:tcPr>
                  <w:tcW w:w="668" w:type="pct"/>
                  <w:noWrap w:val="0"/>
                  <w:vAlign w:val="center"/>
                </w:tcPr>
                <w:p w14:paraId="4EF0250C">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冷却水</w:t>
                  </w:r>
                </w:p>
              </w:tc>
              <w:tc>
                <w:tcPr>
                  <w:tcW w:w="2113" w:type="pct"/>
                  <w:noWrap w:val="0"/>
                  <w:vAlign w:val="center"/>
                </w:tcPr>
                <w:p w14:paraId="014640C6">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olor w:val="auto"/>
                      <w:sz w:val="21"/>
                      <w:szCs w:val="21"/>
                      <w:lang w:val="en-US" w:eastAsia="zh-CN"/>
                    </w:rPr>
                  </w:pPr>
                  <w:r>
                    <w:rPr>
                      <w:rFonts w:hint="eastAsia"/>
                      <w:color w:val="auto"/>
                      <w:szCs w:val="21"/>
                      <w:lang w:val="en-US" w:eastAsia="zh-CN"/>
                    </w:rPr>
                    <w:t>依托现有沉淀池2个，各容积</w:t>
                  </w:r>
                  <w:r>
                    <w:rPr>
                      <w:rFonts w:hint="eastAsia"/>
                      <w:color w:val="auto"/>
                      <w:sz w:val="21"/>
                      <w:szCs w:val="21"/>
                      <w:lang w:val="en-US" w:eastAsia="zh-CN"/>
                    </w:rPr>
                    <w:t>300</w:t>
                  </w:r>
                  <w:r>
                    <w:rPr>
                      <w:rFonts w:hint="eastAsia" w:ascii="Times New Roman" w:hAnsi="Times New Roman" w:eastAsia="宋体"/>
                      <w:color w:val="auto"/>
                      <w:sz w:val="21"/>
                      <w:szCs w:val="21"/>
                      <w:lang w:val="en-US" w:eastAsia="zh-CN"/>
                    </w:rPr>
                    <w:t>m</w:t>
                  </w:r>
                  <w:r>
                    <w:rPr>
                      <w:rFonts w:hint="eastAsia" w:ascii="Times New Roman" w:hAnsi="Times New Roman" w:eastAsia="宋体"/>
                      <w:color w:val="auto"/>
                      <w:sz w:val="21"/>
                      <w:szCs w:val="21"/>
                      <w:vertAlign w:val="superscript"/>
                      <w:lang w:val="en-US" w:eastAsia="zh-CN"/>
                    </w:rPr>
                    <w:t>3</w:t>
                  </w:r>
                </w:p>
              </w:tc>
              <w:tc>
                <w:tcPr>
                  <w:tcW w:w="428" w:type="pct"/>
                  <w:noWrap w:val="0"/>
                  <w:vAlign w:val="center"/>
                </w:tcPr>
                <w:p w14:paraId="2762C62E">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756" w:type="pct"/>
                  <w:noWrap w:val="0"/>
                  <w:vAlign w:val="center"/>
                </w:tcPr>
                <w:p w14:paraId="1A81F38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依托</w:t>
                  </w:r>
                </w:p>
              </w:tc>
            </w:tr>
            <w:tr w14:paraId="6A17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0"/>
                  <w:vAlign w:val="center"/>
                </w:tcPr>
                <w:p w14:paraId="60FA4C71">
                  <w:pPr>
                    <w:adjustRightInd w:val="0"/>
                    <w:snapToGrid w:val="0"/>
                    <w:rPr>
                      <w:rFonts w:ascii="Times New Roman" w:hAnsi="Times New Roman" w:eastAsia="宋体"/>
                      <w:color w:val="auto"/>
                      <w:szCs w:val="21"/>
                    </w:rPr>
                  </w:pPr>
                  <w:r>
                    <w:rPr>
                      <w:rFonts w:ascii="Times New Roman" w:hAnsi="Times New Roman" w:eastAsia="宋体"/>
                      <w:color w:val="auto"/>
                      <w:szCs w:val="21"/>
                    </w:rPr>
                    <w:t>2、环境空气保护措施</w:t>
                  </w:r>
                </w:p>
              </w:tc>
            </w:tr>
            <w:tr w14:paraId="442A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309814E9">
                  <w:pPr>
                    <w:adjustRightInd w:val="0"/>
                    <w:snapToGrid w:val="0"/>
                    <w:jc w:val="center"/>
                    <w:rPr>
                      <w:rFonts w:hint="eastAsia" w:ascii="Times New Roman" w:hAnsi="Times New Roman" w:eastAsia="宋体"/>
                      <w:color w:val="auto"/>
                      <w:szCs w:val="21"/>
                      <w:lang w:eastAsia="zh-CN"/>
                    </w:rPr>
                  </w:pPr>
                  <w:r>
                    <w:rPr>
                      <w:rFonts w:ascii="Times New Roman" w:hAnsi="Times New Roman" w:eastAsia="宋体"/>
                      <w:color w:val="auto"/>
                      <w:szCs w:val="21"/>
                    </w:rPr>
                    <w:t>2.</w:t>
                  </w:r>
                  <w:r>
                    <w:rPr>
                      <w:rFonts w:hint="eastAsia" w:ascii="Times New Roman" w:hAnsi="Times New Roman" w:eastAsia="宋体"/>
                      <w:color w:val="auto"/>
                      <w:szCs w:val="21"/>
                      <w:lang w:val="en-US" w:eastAsia="zh-CN"/>
                    </w:rPr>
                    <w:t>1</w:t>
                  </w:r>
                </w:p>
              </w:tc>
              <w:tc>
                <w:tcPr>
                  <w:tcW w:w="632" w:type="pct"/>
                  <w:noWrap w:val="0"/>
                  <w:vAlign w:val="center"/>
                </w:tcPr>
                <w:p w14:paraId="0B6C50A4">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val="en-US" w:eastAsia="zh-CN"/>
                    </w:rPr>
                    <w:t>焊接废气</w:t>
                  </w:r>
                  <w:r>
                    <w:rPr>
                      <w:rFonts w:hint="eastAsia"/>
                      <w:color w:val="auto"/>
                      <w:szCs w:val="21"/>
                      <w:lang w:val="en-US" w:eastAsia="zh-CN"/>
                    </w:rPr>
                    <w:t>、切割废气</w:t>
                  </w:r>
                </w:p>
              </w:tc>
              <w:tc>
                <w:tcPr>
                  <w:tcW w:w="668" w:type="pct"/>
                  <w:noWrap w:val="0"/>
                  <w:vAlign w:val="center"/>
                </w:tcPr>
                <w:p w14:paraId="2C47F632">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颗粒物</w:t>
                  </w:r>
                </w:p>
              </w:tc>
              <w:tc>
                <w:tcPr>
                  <w:tcW w:w="2113" w:type="pct"/>
                  <w:noWrap w:val="0"/>
                  <w:vAlign w:val="center"/>
                </w:tcPr>
                <w:p w14:paraId="33AA4DBF">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2181B2AF">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1#、2#、3#、4#生产车间8条生产线</w:t>
                  </w:r>
                  <w:r>
                    <w:rPr>
                      <w:rFonts w:hint="eastAsia" w:ascii="Times New Roman" w:hAnsi="Times New Roman" w:eastAsia="宋体"/>
                      <w:color w:val="auto"/>
                      <w:lang w:val="en-US" w:eastAsia="zh-CN"/>
                    </w:rPr>
                    <w:t>各设置1个集气罩对产生的焊接切割废气进行收集，</w:t>
                  </w:r>
                  <w:r>
                    <w:rPr>
                      <w:rFonts w:hint="eastAsia"/>
                      <w:color w:val="auto"/>
                      <w:lang w:val="en-US" w:eastAsia="zh-CN"/>
                    </w:rPr>
                    <w:t>1#、2#、3#、4#生产车间</w:t>
                  </w:r>
                  <w:r>
                    <w:rPr>
                      <w:rFonts w:hint="eastAsia" w:ascii="Times New Roman" w:hAnsi="Times New Roman" w:eastAsia="宋体"/>
                      <w:color w:val="auto"/>
                      <w:lang w:val="en-US" w:eastAsia="zh-CN"/>
                    </w:rPr>
                    <w:t>共计</w:t>
                  </w:r>
                  <w:r>
                    <w:rPr>
                      <w:rFonts w:hint="eastAsia"/>
                      <w:color w:val="auto"/>
                      <w:lang w:val="en-US" w:eastAsia="zh-CN"/>
                    </w:rPr>
                    <w:t>8</w:t>
                  </w:r>
                  <w:r>
                    <w:rPr>
                      <w:rFonts w:hint="eastAsia" w:ascii="Times New Roman" w:hAnsi="Times New Roman" w:eastAsia="宋体"/>
                      <w:color w:val="auto"/>
                      <w:lang w:val="en-US" w:eastAsia="zh-CN"/>
                    </w:rPr>
                    <w:t>套集气罩</w:t>
                  </w:r>
                  <w:r>
                    <w:rPr>
                      <w:rFonts w:hint="eastAsia"/>
                      <w:color w:val="auto"/>
                      <w:lang w:val="en-US" w:eastAsia="zh-CN"/>
                    </w:rPr>
                    <w:t>；</w:t>
                  </w:r>
                </w:p>
                <w:p w14:paraId="2A13FDFD">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1#、2#、3#、4#生产车间8条生产线各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w:t>
                  </w:r>
                  <w:r>
                    <w:rPr>
                      <w:rFonts w:hint="eastAsia"/>
                      <w:color w:val="auto"/>
                      <w:lang w:val="en-US" w:eastAsia="zh-CN"/>
                    </w:rPr>
                    <w:t>烟尘净化</w:t>
                  </w:r>
                  <w:r>
                    <w:rPr>
                      <w:rFonts w:hint="eastAsia" w:ascii="Times New Roman" w:hAnsi="Times New Roman" w:eastAsia="宋体"/>
                      <w:color w:val="auto"/>
                      <w:lang w:val="en-US" w:eastAsia="zh-CN"/>
                    </w:rPr>
                    <w:t>除尘”装置处理，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3</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w:t>
                  </w:r>
                  <w:r>
                    <w:rPr>
                      <w:rFonts w:hint="eastAsia"/>
                      <w:color w:val="auto"/>
                      <w:vertAlign w:val="baseline"/>
                      <w:lang w:val="en-US" w:eastAsia="zh-CN"/>
                    </w:rPr>
                    <w:t>5</w:t>
                  </w:r>
                  <w:r>
                    <w:rPr>
                      <w:rFonts w:hint="eastAsia" w:ascii="Times New Roman" w:hAnsi="Times New Roman" w:eastAsia="宋体"/>
                      <w:color w:val="auto"/>
                      <w:vertAlign w:val="baseline"/>
                      <w:lang w:val="en-US" w:eastAsia="zh-CN"/>
                    </w:rPr>
                    <w:t>%；</w:t>
                  </w:r>
                </w:p>
                <w:p w14:paraId="72774570">
                  <w:pPr>
                    <w:adjustRightInd w:val="0"/>
                    <w:snapToGrid w:val="0"/>
                    <w:rPr>
                      <w:rFonts w:hint="eastAsia" w:ascii="Times New Roman" w:hAnsi="Times New Roman" w:eastAsia="宋体"/>
                      <w:color w:val="auto"/>
                      <w:vertAlign w:val="baseline"/>
                      <w:lang w:val="en-US" w:eastAsia="zh-CN"/>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w:t>
                  </w:r>
                  <w:r>
                    <w:rPr>
                      <w:rFonts w:hint="eastAsia"/>
                      <w:color w:val="auto"/>
                      <w:vertAlign w:val="baseline"/>
                      <w:lang w:val="en-US" w:eastAsia="zh-CN"/>
                    </w:rPr>
                    <w:t>无组织排放到厂房内</w:t>
                  </w:r>
                  <w:r>
                    <w:rPr>
                      <w:rFonts w:hint="eastAsia" w:ascii="Times New Roman" w:hAnsi="Times New Roman" w:eastAsia="宋体"/>
                      <w:color w:val="auto"/>
                      <w:vertAlign w:val="baseline"/>
                      <w:lang w:val="en-US" w:eastAsia="zh-CN"/>
                    </w:rPr>
                    <w:t>。</w:t>
                  </w:r>
                </w:p>
              </w:tc>
              <w:tc>
                <w:tcPr>
                  <w:tcW w:w="428" w:type="pct"/>
                  <w:noWrap w:val="0"/>
                  <w:vAlign w:val="center"/>
                </w:tcPr>
                <w:p w14:paraId="59166356">
                  <w:pPr>
                    <w:adjustRightInd w:val="0"/>
                    <w:snapToGrid w:val="0"/>
                    <w:jc w:val="center"/>
                    <w:rPr>
                      <w:rFonts w:hint="eastAsia" w:ascii="Times New Roman" w:hAnsi="Times New Roman" w:eastAsia="宋体"/>
                      <w:color w:val="auto"/>
                      <w:szCs w:val="21"/>
                      <w:lang w:val="en-US" w:eastAsia="zh-CN"/>
                    </w:rPr>
                  </w:pPr>
                  <w:r>
                    <w:rPr>
                      <w:rFonts w:hint="eastAsia"/>
                      <w:color w:val="auto"/>
                      <w:szCs w:val="21"/>
                      <w:lang w:val="en-US" w:eastAsia="zh-CN"/>
                    </w:rPr>
                    <w:t>——</w:t>
                  </w:r>
                </w:p>
              </w:tc>
              <w:tc>
                <w:tcPr>
                  <w:tcW w:w="756" w:type="pct"/>
                  <w:noWrap w:val="0"/>
                  <w:vAlign w:val="center"/>
                </w:tcPr>
                <w:p w14:paraId="589F7151">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40</w:t>
                  </w:r>
                </w:p>
              </w:tc>
            </w:tr>
            <w:tr w14:paraId="60D3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0"/>
                  <w:vAlign w:val="center"/>
                </w:tcPr>
                <w:p w14:paraId="0E1E9C46">
                  <w:pPr>
                    <w:adjustRightInd w:val="0"/>
                    <w:snapToGrid w:val="0"/>
                    <w:rPr>
                      <w:rFonts w:ascii="Times New Roman" w:hAnsi="Times New Roman" w:eastAsia="宋体"/>
                      <w:color w:val="auto"/>
                      <w:szCs w:val="21"/>
                    </w:rPr>
                  </w:pPr>
                  <w:r>
                    <w:rPr>
                      <w:rFonts w:ascii="Times New Roman" w:hAnsi="Times New Roman" w:eastAsia="宋体"/>
                      <w:color w:val="auto"/>
                      <w:szCs w:val="21"/>
                    </w:rPr>
                    <w:t>3、固体废弃物保护措施</w:t>
                  </w:r>
                </w:p>
              </w:tc>
            </w:tr>
            <w:tr w14:paraId="1261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15D103F6">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rPr>
                    <w:t>3</w:t>
                  </w:r>
                  <w:r>
                    <w:rPr>
                      <w:rFonts w:ascii="Times New Roman" w:hAnsi="Times New Roman" w:eastAsia="宋体"/>
                      <w:color w:val="auto"/>
                      <w:szCs w:val="21"/>
                    </w:rPr>
                    <w:t>.1</w:t>
                  </w:r>
                </w:p>
              </w:tc>
              <w:tc>
                <w:tcPr>
                  <w:tcW w:w="632" w:type="pct"/>
                  <w:noWrap w:val="0"/>
                  <w:vAlign w:val="center"/>
                </w:tcPr>
                <w:p w14:paraId="65B3F23A">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生产</w:t>
                  </w:r>
                </w:p>
              </w:tc>
              <w:tc>
                <w:tcPr>
                  <w:tcW w:w="668" w:type="pct"/>
                  <w:noWrap w:val="0"/>
                  <w:vAlign w:val="center"/>
                </w:tcPr>
                <w:p w14:paraId="233F178E">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一般固废</w:t>
                  </w:r>
                </w:p>
              </w:tc>
              <w:tc>
                <w:tcPr>
                  <w:tcW w:w="2113" w:type="pct"/>
                  <w:noWrap w:val="0"/>
                  <w:vAlign w:val="center"/>
                </w:tcPr>
                <w:p w14:paraId="3F74B7CB">
                  <w:pPr>
                    <w:adjustRightInd w:val="0"/>
                    <w:snapToGrid w:val="0"/>
                    <w:jc w:val="left"/>
                    <w:rPr>
                      <w:rFonts w:ascii="Times New Roman" w:hAnsi="Times New Roman" w:eastAsia="宋体"/>
                      <w:color w:val="auto"/>
                      <w:szCs w:val="21"/>
                    </w:rPr>
                  </w:pPr>
                  <w:r>
                    <w:rPr>
                      <w:rFonts w:hint="eastAsia" w:ascii="Times New Roman" w:hAnsi="Times New Roman" w:eastAsia="宋体" w:cs="Times New Roman"/>
                      <w:color w:val="auto"/>
                      <w:lang w:val="en-US" w:eastAsia="zh-CN"/>
                    </w:rPr>
                    <w:t>一般固废暂存间，占地面积50m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，位于厂房内</w:t>
                  </w:r>
                  <w:r>
                    <w:rPr>
                      <w:rFonts w:hint="eastAsia" w:cs="Times New Roman"/>
                      <w:color w:val="auto"/>
                      <w:lang w:val="en-US" w:eastAsia="zh-CN"/>
                    </w:rPr>
                    <w:t>。</w:t>
                  </w:r>
                </w:p>
              </w:tc>
              <w:tc>
                <w:tcPr>
                  <w:tcW w:w="428" w:type="pct"/>
                  <w:noWrap w:val="0"/>
                  <w:vAlign w:val="center"/>
                </w:tcPr>
                <w:p w14:paraId="78DBA0B5">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1间</w:t>
                  </w:r>
                </w:p>
              </w:tc>
              <w:tc>
                <w:tcPr>
                  <w:tcW w:w="756" w:type="pct"/>
                  <w:noWrap w:val="0"/>
                  <w:vAlign w:val="center"/>
                </w:tcPr>
                <w:p w14:paraId="3E7DDD64">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8</w:t>
                  </w:r>
                </w:p>
              </w:tc>
            </w:tr>
            <w:tr w14:paraId="0744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680FB510">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3.2</w:t>
                  </w:r>
                </w:p>
              </w:tc>
              <w:tc>
                <w:tcPr>
                  <w:tcW w:w="632" w:type="pct"/>
                  <w:noWrap w:val="0"/>
                  <w:vAlign w:val="center"/>
                </w:tcPr>
                <w:p w14:paraId="7C480611">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w:t>
                  </w:r>
                </w:p>
              </w:tc>
              <w:tc>
                <w:tcPr>
                  <w:tcW w:w="668" w:type="pct"/>
                  <w:noWrap w:val="0"/>
                  <w:vAlign w:val="center"/>
                </w:tcPr>
                <w:p w14:paraId="7BC75B0A">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生活垃圾</w:t>
                  </w:r>
                </w:p>
              </w:tc>
              <w:tc>
                <w:tcPr>
                  <w:tcW w:w="2113" w:type="pct"/>
                  <w:noWrap w:val="0"/>
                  <w:vAlign w:val="center"/>
                </w:tcPr>
                <w:p w14:paraId="7AEAF34A">
                  <w:pPr>
                    <w:adjustRightInd w:val="0"/>
                    <w:snapToGrid w:val="0"/>
                    <w:jc w:val="left"/>
                    <w:rPr>
                      <w:rFonts w:hint="eastAsia" w:ascii="Times New Roman" w:hAnsi="Times New Roman" w:eastAsia="宋体"/>
                      <w:color w:val="auto"/>
                      <w:szCs w:val="21"/>
                    </w:rPr>
                  </w:pPr>
                  <w:r>
                    <w:rPr>
                      <w:rFonts w:hint="eastAsia" w:ascii="Times New Roman" w:hAnsi="Times New Roman" w:eastAsia="宋体" w:cs="Times New Roman"/>
                      <w:color w:val="auto"/>
                      <w:lang w:val="en-US" w:eastAsia="zh-CN"/>
                    </w:rPr>
                    <w:t>配套室内垃圾桶若干；定期</w:t>
                  </w:r>
                  <w:r>
                    <w:rPr>
                      <w:rFonts w:hint="eastAsia" w:ascii="Times New Roman" w:hAnsi="Times New Roman" w:eastAsia="宋体" w:cs="Times New Roman"/>
                      <w:b w:val="0"/>
                      <w:bCs w:val="0"/>
                      <w:color w:val="auto"/>
                      <w:sz w:val="21"/>
                      <w:szCs w:val="21"/>
                      <w:lang w:val="en-US" w:eastAsia="zh-CN"/>
                    </w:rPr>
                    <w:t>由环卫部门清运处置</w:t>
                  </w:r>
                  <w:r>
                    <w:rPr>
                      <w:rFonts w:hint="eastAsia" w:cs="Times New Roman"/>
                      <w:b w:val="0"/>
                      <w:bCs w:val="0"/>
                      <w:color w:val="auto"/>
                      <w:sz w:val="21"/>
                      <w:szCs w:val="21"/>
                      <w:lang w:val="en-US" w:eastAsia="zh-CN"/>
                    </w:rPr>
                    <w:t>。</w:t>
                  </w:r>
                </w:p>
              </w:tc>
              <w:tc>
                <w:tcPr>
                  <w:tcW w:w="428" w:type="pct"/>
                  <w:noWrap w:val="0"/>
                  <w:vAlign w:val="center"/>
                </w:tcPr>
                <w:p w14:paraId="012388DC">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c>
                <w:tcPr>
                  <w:tcW w:w="756" w:type="pct"/>
                  <w:noWrap w:val="0"/>
                  <w:vAlign w:val="center"/>
                </w:tcPr>
                <w:p w14:paraId="0BF560D2">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依托</w:t>
                  </w:r>
                </w:p>
              </w:tc>
            </w:tr>
            <w:tr w14:paraId="32B8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4538DCFD">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3.3</w:t>
                  </w:r>
                </w:p>
              </w:tc>
              <w:tc>
                <w:tcPr>
                  <w:tcW w:w="632" w:type="pct"/>
                  <w:noWrap w:val="0"/>
                  <w:vAlign w:val="center"/>
                </w:tcPr>
                <w:p w14:paraId="58898A73">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生产</w:t>
                  </w:r>
                </w:p>
              </w:tc>
              <w:tc>
                <w:tcPr>
                  <w:tcW w:w="668" w:type="pct"/>
                  <w:noWrap w:val="0"/>
                  <w:vAlign w:val="center"/>
                </w:tcPr>
                <w:p w14:paraId="16331927">
                  <w:pPr>
                    <w:adjustRightInd w:val="0"/>
                    <w:snapToGrid w:val="0"/>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危险废物</w:t>
                  </w:r>
                </w:p>
              </w:tc>
              <w:tc>
                <w:tcPr>
                  <w:tcW w:w="2113" w:type="pct"/>
                  <w:noWrap w:val="0"/>
                  <w:vAlign w:val="center"/>
                </w:tcPr>
                <w:p w14:paraId="0D540626">
                  <w:pPr>
                    <w:adjustRightInd w:val="0"/>
                    <w:snapToGrid w:val="0"/>
                    <w:jc w:val="left"/>
                    <w:rPr>
                      <w:rFonts w:hint="eastAsia" w:ascii="Times New Roman" w:hAnsi="Times New Roman" w:eastAsia="宋体"/>
                      <w:color w:val="auto"/>
                      <w:szCs w:val="21"/>
                    </w:rPr>
                  </w:pPr>
                  <w:r>
                    <w:rPr>
                      <w:rFonts w:hint="eastAsia" w:ascii="Times New Roman" w:hAnsi="Times New Roman" w:eastAsia="宋体" w:cs="Times New Roman"/>
                      <w:color w:val="auto"/>
                      <w:lang w:val="en-US" w:eastAsia="zh-CN"/>
                    </w:rPr>
                    <w:t>危险废物暂存间1间，占地面积10m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sz w:val="21"/>
                      <w:szCs w:val="21"/>
                      <w:lang w:eastAsia="zh-CN"/>
                    </w:rPr>
                    <w:t>危险废物</w:t>
                  </w:r>
                  <w:r>
                    <w:rPr>
                      <w:rFonts w:hint="eastAsia" w:ascii="Times New Roman" w:hAnsi="Times New Roman" w:eastAsia="宋体" w:cs="Times New Roman"/>
                      <w:b w:val="0"/>
                      <w:bCs w:val="0"/>
                      <w:color w:val="auto"/>
                      <w:sz w:val="21"/>
                      <w:szCs w:val="21"/>
                      <w:lang w:val="en-US" w:eastAsia="zh-CN"/>
                    </w:rPr>
                    <w:t>分类</w:t>
                  </w:r>
                  <w:r>
                    <w:rPr>
                      <w:rFonts w:hint="default" w:ascii="Times New Roman" w:hAnsi="Times New Roman" w:eastAsia="宋体" w:cs="Times New Roman"/>
                      <w:b w:val="0"/>
                      <w:bCs w:val="0"/>
                      <w:color w:val="auto"/>
                      <w:sz w:val="21"/>
                      <w:szCs w:val="21"/>
                      <w:lang w:val="en-US" w:eastAsia="zh-CN"/>
                    </w:rPr>
                    <w:t>收集后</w:t>
                  </w:r>
                  <w:r>
                    <w:rPr>
                      <w:rFonts w:hint="eastAsia" w:ascii="Times New Roman" w:hAnsi="Times New Roman" w:eastAsia="宋体" w:cs="Times New Roman"/>
                      <w:b w:val="0"/>
                      <w:bCs w:val="0"/>
                      <w:color w:val="auto"/>
                      <w:sz w:val="21"/>
                      <w:szCs w:val="21"/>
                      <w:lang w:val="en-US" w:eastAsia="zh-CN"/>
                    </w:rPr>
                    <w:t>分类</w:t>
                  </w:r>
                  <w:r>
                    <w:rPr>
                      <w:rFonts w:hint="default" w:ascii="Times New Roman" w:hAnsi="Times New Roman" w:eastAsia="宋体" w:cs="Times New Roman"/>
                      <w:b w:val="0"/>
                      <w:bCs w:val="0"/>
                      <w:color w:val="auto"/>
                      <w:sz w:val="21"/>
                      <w:szCs w:val="21"/>
                      <w:lang w:val="en-US" w:eastAsia="zh-CN"/>
                    </w:rPr>
                    <w:t>暂存于危废暂存间，定期委托</w:t>
                  </w:r>
                  <w:r>
                    <w:rPr>
                      <w:rFonts w:hint="eastAsia" w:ascii="Times New Roman" w:hAnsi="Times New Roman" w:eastAsia="宋体" w:cs="Times New Roman"/>
                      <w:b w:val="0"/>
                      <w:bCs w:val="0"/>
                      <w:color w:val="auto"/>
                      <w:sz w:val="21"/>
                      <w:szCs w:val="21"/>
                      <w:lang w:val="en-US" w:eastAsia="zh-CN"/>
                    </w:rPr>
                    <w:t>有资质单位</w:t>
                  </w:r>
                  <w:r>
                    <w:rPr>
                      <w:rFonts w:hint="default" w:ascii="Times New Roman" w:hAnsi="Times New Roman" w:eastAsia="宋体" w:cs="Times New Roman"/>
                      <w:b w:val="0"/>
                      <w:bCs w:val="0"/>
                      <w:color w:val="auto"/>
                      <w:sz w:val="21"/>
                      <w:szCs w:val="21"/>
                      <w:lang w:val="en-US" w:eastAsia="zh-CN"/>
                    </w:rPr>
                    <w:t>清运处置</w:t>
                  </w:r>
                  <w:r>
                    <w:rPr>
                      <w:rFonts w:hint="eastAsia" w:cs="Times New Roman"/>
                      <w:b w:val="0"/>
                      <w:bCs w:val="0"/>
                      <w:color w:val="auto"/>
                      <w:sz w:val="21"/>
                      <w:szCs w:val="21"/>
                      <w:lang w:val="en-US" w:eastAsia="zh-CN"/>
                    </w:rPr>
                    <w:t>。</w:t>
                  </w:r>
                </w:p>
              </w:tc>
              <w:tc>
                <w:tcPr>
                  <w:tcW w:w="428" w:type="pct"/>
                  <w:noWrap w:val="0"/>
                  <w:vAlign w:val="center"/>
                </w:tcPr>
                <w:p w14:paraId="7CF27989">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1间</w:t>
                  </w:r>
                </w:p>
              </w:tc>
              <w:tc>
                <w:tcPr>
                  <w:tcW w:w="756" w:type="pct"/>
                  <w:noWrap w:val="0"/>
                  <w:vAlign w:val="center"/>
                </w:tcPr>
                <w:p w14:paraId="4FA6AA28">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w:t>
                  </w:r>
                </w:p>
              </w:tc>
            </w:tr>
            <w:tr w14:paraId="74E3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000" w:type="pct"/>
                  <w:gridSpan w:val="6"/>
                  <w:noWrap w:val="0"/>
                  <w:vAlign w:val="center"/>
                </w:tcPr>
                <w:p w14:paraId="05826EE1">
                  <w:pPr>
                    <w:adjustRightInd w:val="0"/>
                    <w:snapToGrid w:val="0"/>
                    <w:rPr>
                      <w:rFonts w:hint="eastAsia" w:ascii="Times New Roman" w:hAnsi="Times New Roman" w:eastAsia="宋体"/>
                      <w:color w:val="auto"/>
                      <w:szCs w:val="21"/>
                    </w:rPr>
                  </w:pPr>
                  <w:r>
                    <w:rPr>
                      <w:rFonts w:hint="eastAsia" w:ascii="Times New Roman" w:hAnsi="Times New Roman" w:eastAsia="宋体"/>
                      <w:color w:val="auto"/>
                      <w:szCs w:val="21"/>
                    </w:rPr>
                    <w:t>4、噪声防治措施</w:t>
                  </w:r>
                </w:p>
              </w:tc>
            </w:tr>
            <w:tr w14:paraId="3482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noWrap w:val="0"/>
                  <w:vAlign w:val="center"/>
                </w:tcPr>
                <w:p w14:paraId="1090C006">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4</w:t>
                  </w:r>
                  <w:r>
                    <w:rPr>
                      <w:rFonts w:ascii="Times New Roman" w:hAnsi="Times New Roman" w:eastAsia="宋体"/>
                      <w:color w:val="auto"/>
                      <w:szCs w:val="21"/>
                    </w:rPr>
                    <w:t>.1</w:t>
                  </w:r>
                </w:p>
              </w:tc>
              <w:tc>
                <w:tcPr>
                  <w:tcW w:w="632" w:type="pct"/>
                  <w:noWrap w:val="0"/>
                  <w:vAlign w:val="center"/>
                </w:tcPr>
                <w:p w14:paraId="0DCB7869">
                  <w:pPr>
                    <w:adjustRightInd w:val="0"/>
                    <w:snapToGrid w:val="0"/>
                    <w:jc w:val="center"/>
                    <w:rPr>
                      <w:rFonts w:hint="eastAsia" w:ascii="Times New Roman" w:hAnsi="Times New Roman" w:eastAsia="宋体"/>
                      <w:color w:val="auto"/>
                      <w:szCs w:val="21"/>
                    </w:rPr>
                  </w:pPr>
                  <w:r>
                    <w:rPr>
                      <w:rFonts w:hint="eastAsia" w:ascii="Times New Roman" w:hAnsi="Times New Roman" w:eastAsia="宋体"/>
                      <w:color w:val="auto"/>
                      <w:szCs w:val="21"/>
                    </w:rPr>
                    <w:t>生产设备</w:t>
                  </w:r>
                </w:p>
              </w:tc>
              <w:tc>
                <w:tcPr>
                  <w:tcW w:w="668" w:type="pct"/>
                  <w:noWrap w:val="0"/>
                  <w:vAlign w:val="center"/>
                </w:tcPr>
                <w:p w14:paraId="0855819D">
                  <w:pPr>
                    <w:adjustRightInd w:val="0"/>
                    <w:snapToGrid w:val="0"/>
                    <w:rPr>
                      <w:rFonts w:hint="eastAsia" w:ascii="Times New Roman" w:hAnsi="Times New Roman" w:eastAsia="宋体"/>
                      <w:color w:val="auto"/>
                      <w:szCs w:val="21"/>
                    </w:rPr>
                  </w:pPr>
                  <w:r>
                    <w:rPr>
                      <w:rFonts w:hint="eastAsia" w:ascii="Times New Roman" w:hAnsi="Times New Roman" w:eastAsia="宋体"/>
                      <w:color w:val="auto"/>
                      <w:szCs w:val="21"/>
                    </w:rPr>
                    <w:t>机械噪声</w:t>
                  </w:r>
                </w:p>
              </w:tc>
              <w:tc>
                <w:tcPr>
                  <w:tcW w:w="2113" w:type="pct"/>
                  <w:noWrap w:val="0"/>
                  <w:vAlign w:val="center"/>
                </w:tcPr>
                <w:p w14:paraId="4E697681">
                  <w:pPr>
                    <w:adjustRightInd w:val="0"/>
                    <w:snapToGrid w:val="0"/>
                    <w:jc w:val="left"/>
                    <w:rPr>
                      <w:rFonts w:hint="eastAsia" w:ascii="Times New Roman" w:hAnsi="Times New Roman" w:eastAsia="宋体"/>
                      <w:color w:val="auto"/>
                      <w:szCs w:val="21"/>
                      <w:lang w:eastAsia="zh-CN"/>
                    </w:rPr>
                  </w:pPr>
                  <w:r>
                    <w:rPr>
                      <w:rFonts w:hint="default" w:ascii="Times New Roman" w:hAnsi="Times New Roman" w:eastAsia="宋体" w:cs="Times New Roman"/>
                      <w:color w:val="auto"/>
                      <w:sz w:val="21"/>
                      <w:szCs w:val="21"/>
                    </w:rPr>
                    <w:t>减振、隔声，出入口减速带、禁鸣标识</w:t>
                  </w:r>
                  <w:r>
                    <w:rPr>
                      <w:rFonts w:hint="eastAsia" w:cs="Times New Roman"/>
                      <w:color w:val="auto"/>
                      <w:sz w:val="21"/>
                      <w:szCs w:val="21"/>
                      <w:lang w:eastAsia="zh-CN"/>
                    </w:rPr>
                    <w:t>。</w:t>
                  </w:r>
                </w:p>
              </w:tc>
              <w:tc>
                <w:tcPr>
                  <w:tcW w:w="428" w:type="pct"/>
                  <w:noWrap w:val="0"/>
                  <w:vAlign w:val="center"/>
                </w:tcPr>
                <w:p w14:paraId="4A2A27CC">
                  <w:pPr>
                    <w:adjustRightInd w:val="0"/>
                    <w:snapToGrid w:val="0"/>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w:t>
                  </w:r>
                </w:p>
              </w:tc>
              <w:tc>
                <w:tcPr>
                  <w:tcW w:w="756" w:type="pct"/>
                  <w:noWrap w:val="0"/>
                  <w:vAlign w:val="center"/>
                </w:tcPr>
                <w:p w14:paraId="7EFE15F0">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0.8</w:t>
                  </w:r>
                </w:p>
              </w:tc>
            </w:tr>
            <w:tr w14:paraId="288B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noWrap w:val="0"/>
                  <w:vAlign w:val="center"/>
                </w:tcPr>
                <w:p w14:paraId="1E25E738">
                  <w:pPr>
                    <w:adjustRightInd w:val="0"/>
                    <w:snapToGrid w:val="0"/>
                    <w:rPr>
                      <w:rFonts w:hint="default"/>
                      <w:color w:val="auto"/>
                      <w:szCs w:val="21"/>
                      <w:lang w:val="en-US" w:eastAsia="zh-CN"/>
                    </w:rPr>
                  </w:pPr>
                  <w:r>
                    <w:rPr>
                      <w:rFonts w:hint="eastAsia"/>
                      <w:color w:val="auto"/>
                      <w:szCs w:val="21"/>
                      <w:lang w:val="en-US" w:eastAsia="zh-CN"/>
                    </w:rPr>
                    <w:t>5、其他</w:t>
                  </w:r>
                </w:p>
              </w:tc>
            </w:tr>
            <w:tr w14:paraId="5DCD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restart"/>
                  <w:noWrap w:val="0"/>
                  <w:vAlign w:val="center"/>
                </w:tcPr>
                <w:p w14:paraId="74B3614F">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5.1</w:t>
                  </w:r>
                </w:p>
              </w:tc>
              <w:tc>
                <w:tcPr>
                  <w:tcW w:w="1300" w:type="pct"/>
                  <w:gridSpan w:val="2"/>
                  <w:noWrap w:val="0"/>
                  <w:vAlign w:val="center"/>
                </w:tcPr>
                <w:p w14:paraId="5DCEEC0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环境风险</w:t>
                  </w:r>
                </w:p>
              </w:tc>
              <w:tc>
                <w:tcPr>
                  <w:tcW w:w="2113" w:type="pct"/>
                  <w:shd w:val="clear" w:color="auto" w:fill="auto"/>
                  <w:noWrap w:val="0"/>
                  <w:vAlign w:val="center"/>
                </w:tcPr>
                <w:p w14:paraId="4AE7AEBC">
                  <w:pPr>
                    <w:adjustRightInd w:val="0"/>
                    <w:snapToGrid w:val="0"/>
                    <w:jc w:val="left"/>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Cs w:val="21"/>
                      <w:lang w:val="en-US" w:eastAsia="zh-CN"/>
                    </w:rPr>
                    <w:t>事故废水池1座，位于生产车间外西侧300m</w:t>
                  </w:r>
                  <w:r>
                    <w:rPr>
                      <w:rFonts w:hint="eastAsia"/>
                      <w:color w:val="auto"/>
                      <w:szCs w:val="21"/>
                      <w:vertAlign w:val="superscript"/>
                      <w:lang w:val="en-US" w:eastAsia="zh-CN"/>
                    </w:rPr>
                    <w:t>3</w:t>
                  </w:r>
                  <w:r>
                    <w:rPr>
                      <w:rFonts w:hint="eastAsia" w:cs="Times New Roman"/>
                      <w:color w:val="auto"/>
                      <w:sz w:val="21"/>
                      <w:szCs w:val="21"/>
                      <w:lang w:eastAsia="zh-CN"/>
                    </w:rPr>
                    <w:t>。</w:t>
                  </w:r>
                </w:p>
              </w:tc>
              <w:tc>
                <w:tcPr>
                  <w:tcW w:w="428" w:type="pct"/>
                  <w:shd w:val="clear" w:color="auto" w:fill="auto"/>
                  <w:noWrap w:val="0"/>
                  <w:vAlign w:val="center"/>
                </w:tcPr>
                <w:p w14:paraId="07F4353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1座</w:t>
                  </w:r>
                </w:p>
              </w:tc>
              <w:tc>
                <w:tcPr>
                  <w:tcW w:w="756" w:type="pct"/>
                  <w:shd w:val="clear" w:color="auto" w:fill="auto"/>
                  <w:noWrap w:val="0"/>
                  <w:vAlign w:val="center"/>
                </w:tcPr>
                <w:p w14:paraId="06BD2BF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r>
            <w:tr w14:paraId="304C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1" w:type="pct"/>
                  <w:vMerge w:val="continue"/>
                  <w:noWrap w:val="0"/>
                  <w:vAlign w:val="center"/>
                </w:tcPr>
                <w:p w14:paraId="58C66216">
                  <w:pPr>
                    <w:adjustRightInd w:val="0"/>
                    <w:snapToGrid w:val="0"/>
                    <w:jc w:val="center"/>
                    <w:rPr>
                      <w:rFonts w:hint="eastAsia"/>
                      <w:color w:val="auto"/>
                      <w:szCs w:val="21"/>
                      <w:lang w:val="en-US" w:eastAsia="zh-CN"/>
                    </w:rPr>
                  </w:pPr>
                </w:p>
              </w:tc>
              <w:tc>
                <w:tcPr>
                  <w:tcW w:w="1300" w:type="pct"/>
                  <w:gridSpan w:val="2"/>
                  <w:noWrap w:val="0"/>
                  <w:vAlign w:val="center"/>
                </w:tcPr>
                <w:p w14:paraId="3FFF605D">
                  <w:pPr>
                    <w:adjustRightInd w:val="0"/>
                    <w:snapToGrid w:val="0"/>
                    <w:jc w:val="center"/>
                    <w:rPr>
                      <w:rFonts w:hint="eastAsia"/>
                      <w:color w:val="auto"/>
                      <w:szCs w:val="21"/>
                      <w:lang w:val="en-US" w:eastAsia="zh-CN"/>
                    </w:rPr>
                  </w:pPr>
                  <w:r>
                    <w:rPr>
                      <w:rFonts w:hint="default" w:ascii="Times New Roman" w:hAnsi="Times New Roman" w:eastAsia="宋体" w:cs="Times New Roman"/>
                      <w:color w:val="auto"/>
                      <w:sz w:val="21"/>
                      <w:szCs w:val="21"/>
                    </w:rPr>
                    <w:t>土壤及地下水污染防治措施</w:t>
                  </w:r>
                </w:p>
              </w:tc>
              <w:tc>
                <w:tcPr>
                  <w:tcW w:w="2113" w:type="pct"/>
                  <w:shd w:val="clear" w:color="auto" w:fill="auto"/>
                  <w:noWrap w:val="0"/>
                  <w:vAlign w:val="center"/>
                </w:tcPr>
                <w:p w14:paraId="7BDF14D3">
                  <w:pPr>
                    <w:adjustRightInd w:val="0"/>
                    <w:snapToGrid w:val="0"/>
                    <w:jc w:val="left"/>
                    <w:rPr>
                      <w:rFonts w:hint="eastAsia"/>
                      <w:color w:val="auto"/>
                      <w:szCs w:val="21"/>
                      <w:lang w:val="en-US" w:eastAsia="zh-CN"/>
                    </w:rPr>
                  </w:pPr>
                  <w:r>
                    <w:rPr>
                      <w:rFonts w:hint="default" w:ascii="Times New Roman" w:hAnsi="Times New Roman" w:eastAsia="宋体" w:cs="Times New Roman"/>
                      <w:color w:val="auto"/>
                      <w:sz w:val="21"/>
                      <w:szCs w:val="21"/>
                    </w:rPr>
                    <w:t>危废暂存间</w:t>
                  </w:r>
                  <w:r>
                    <w:rPr>
                      <w:rFonts w:hint="eastAsia" w:ascii="Times New Roman" w:hAnsi="Times New Roman" w:eastAsia="宋体" w:cs="Times New Roman"/>
                      <w:color w:val="auto"/>
                      <w:sz w:val="21"/>
                      <w:szCs w:val="21"/>
                      <w:lang w:eastAsia="zh-CN"/>
                    </w:rPr>
                    <w:t>作为</w:t>
                  </w:r>
                  <w:r>
                    <w:rPr>
                      <w:rFonts w:hint="default" w:ascii="Times New Roman" w:hAnsi="Times New Roman" w:eastAsia="宋体" w:cs="Times New Roman"/>
                      <w:color w:val="auto"/>
                      <w:sz w:val="21"/>
                      <w:szCs w:val="21"/>
                    </w:rPr>
                    <w:t>重点防渗</w:t>
                  </w:r>
                  <w:r>
                    <w:rPr>
                      <w:rFonts w:hint="eastAsia" w:ascii="Times New Roman" w:hAnsi="Times New Roman" w:eastAsia="宋体" w:cs="Times New Roman"/>
                      <w:color w:val="auto"/>
                      <w:sz w:val="21"/>
                      <w:szCs w:val="21"/>
                      <w:lang w:eastAsia="zh-CN"/>
                    </w:rPr>
                    <w:t>区，</w:t>
                  </w:r>
                  <w:r>
                    <w:rPr>
                      <w:rFonts w:hint="default" w:ascii="Times New Roman" w:hAnsi="Times New Roman" w:eastAsia="宋体" w:cs="Times New Roman"/>
                      <w:b w:val="0"/>
                      <w:bCs w:val="0"/>
                      <w:color w:val="auto"/>
                      <w:sz w:val="21"/>
                      <w:szCs w:val="21"/>
                      <w:lang w:val="en-US" w:eastAsia="zh-CN"/>
                    </w:rPr>
                    <w:t>防渗层为至少1m厚黏土层</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，或至少2mm厚高密度聚乙烯膜等人工防渗材料</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eastAsia"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参照执行《危险废物贮存污染控制标准》（</w:t>
                  </w:r>
                  <w:r>
                    <w:rPr>
                      <w:rFonts w:hint="default" w:ascii="Times New Roman" w:hAnsi="Times New Roman" w:eastAsia="宋体" w:cs="Times New Roman"/>
                      <w:b w:val="0"/>
                      <w:bCs w:val="0"/>
                      <w:color w:val="auto"/>
                      <w:sz w:val="21"/>
                      <w:szCs w:val="21"/>
                      <w:lang w:val="en-US" w:eastAsia="zh-CN"/>
                    </w:rPr>
                    <w:t>GB18597-20</w:t>
                  </w:r>
                  <w:r>
                    <w:rPr>
                      <w:rFonts w:hint="eastAsia" w:ascii="Times New Roman" w:hAnsi="Times New Roman" w:eastAsia="宋体" w:cs="Times New Roman"/>
                      <w:b w:val="0"/>
                      <w:bCs w:val="0"/>
                      <w:color w:val="auto"/>
                      <w:sz w:val="21"/>
                      <w:szCs w:val="21"/>
                      <w:lang w:val="en-US" w:eastAsia="zh-CN"/>
                    </w:rPr>
                    <w:t>23）相关要求；一般防渗区：</w:t>
                  </w:r>
                  <w:r>
                    <w:rPr>
                      <w:rFonts w:hint="eastAsia" w:cs="Times New Roman"/>
                      <w:b w:val="0"/>
                      <w:bCs w:val="0"/>
                      <w:color w:val="auto"/>
                      <w:sz w:val="21"/>
                      <w:szCs w:val="21"/>
                      <w:lang w:val="en-US" w:eastAsia="zh-CN"/>
                    </w:rPr>
                    <w:t>事故水池、</w:t>
                  </w:r>
                  <w:r>
                    <w:rPr>
                      <w:rFonts w:hint="eastAsia" w:ascii="Times New Roman" w:hAnsi="Times New Roman" w:eastAsia="宋体" w:cs="Times New Roman"/>
                      <w:b w:val="0"/>
                      <w:bCs w:val="0"/>
                      <w:color w:val="auto"/>
                      <w:sz w:val="21"/>
                      <w:szCs w:val="21"/>
                      <w:lang w:val="en-US" w:eastAsia="zh-CN"/>
                    </w:rPr>
                    <w:t>化粪池、冷却水池，等效黏土防渗层Mb≥1.5m，K≤1×10-7cm/s；或参照GB16889执行。其他区域为简单防渗区，水泥地面硬化。</w:t>
                  </w:r>
                </w:p>
              </w:tc>
              <w:tc>
                <w:tcPr>
                  <w:tcW w:w="428" w:type="pct"/>
                  <w:shd w:val="clear" w:color="auto" w:fill="auto"/>
                  <w:noWrap w:val="0"/>
                  <w:vAlign w:val="center"/>
                </w:tcPr>
                <w:p w14:paraId="652568F9">
                  <w:pPr>
                    <w:adjustRightInd w:val="0"/>
                    <w:snapToGrid w:val="0"/>
                    <w:jc w:val="center"/>
                    <w:rPr>
                      <w:rFonts w:hint="eastAsia"/>
                      <w:color w:val="auto"/>
                      <w:szCs w:val="21"/>
                      <w:lang w:val="en-US" w:eastAsia="zh-CN"/>
                    </w:rPr>
                  </w:pPr>
                  <w:r>
                    <w:rPr>
                      <w:rFonts w:hint="eastAsia" w:ascii="Times New Roman" w:hAnsi="Times New Roman" w:eastAsia="宋体"/>
                      <w:color w:val="auto"/>
                      <w:szCs w:val="21"/>
                      <w:lang w:val="en-US" w:eastAsia="zh-CN"/>
                    </w:rPr>
                    <w:t>——</w:t>
                  </w:r>
                </w:p>
              </w:tc>
              <w:tc>
                <w:tcPr>
                  <w:tcW w:w="756" w:type="pct"/>
                  <w:shd w:val="clear" w:color="auto" w:fill="auto"/>
                  <w:noWrap w:val="0"/>
                  <w:vAlign w:val="center"/>
                </w:tcPr>
                <w:p w14:paraId="69996B96">
                  <w:pPr>
                    <w:adjustRightInd w:val="0"/>
                    <w:snapToGrid w:val="0"/>
                    <w:jc w:val="center"/>
                    <w:rPr>
                      <w:rFonts w:hint="default"/>
                      <w:color w:val="auto"/>
                      <w:szCs w:val="21"/>
                      <w:lang w:val="en-US" w:eastAsia="zh-CN"/>
                    </w:rPr>
                  </w:pPr>
                  <w:r>
                    <w:rPr>
                      <w:rFonts w:hint="eastAsia"/>
                      <w:color w:val="auto"/>
                      <w:szCs w:val="21"/>
                      <w:lang w:val="en-US" w:eastAsia="zh-CN"/>
                    </w:rPr>
                    <w:t>10</w:t>
                  </w:r>
                </w:p>
              </w:tc>
            </w:tr>
            <w:tr w14:paraId="1A96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43" w:type="pct"/>
                  <w:gridSpan w:val="5"/>
                  <w:noWrap w:val="0"/>
                  <w:vAlign w:val="center"/>
                </w:tcPr>
                <w:p w14:paraId="57F9ECD4">
                  <w:pPr>
                    <w:adjustRightInd w:val="0"/>
                    <w:snapToGrid w:val="0"/>
                    <w:jc w:val="center"/>
                    <w:rPr>
                      <w:rFonts w:ascii="Times New Roman" w:hAnsi="Times New Roman" w:eastAsia="宋体"/>
                      <w:color w:val="auto"/>
                      <w:szCs w:val="21"/>
                    </w:rPr>
                  </w:pPr>
                  <w:r>
                    <w:rPr>
                      <w:rFonts w:ascii="Times New Roman" w:hAnsi="Times New Roman" w:eastAsia="宋体"/>
                      <w:color w:val="auto"/>
                      <w:szCs w:val="21"/>
                    </w:rPr>
                    <w:t>合计</w:t>
                  </w:r>
                </w:p>
              </w:tc>
              <w:tc>
                <w:tcPr>
                  <w:tcW w:w="756" w:type="pct"/>
                  <w:noWrap w:val="0"/>
                  <w:vAlign w:val="center"/>
                </w:tcPr>
                <w:p w14:paraId="6DC53844">
                  <w:pPr>
                    <w:adjustRightInd w:val="0"/>
                    <w:snapToGrid w:val="0"/>
                    <w:jc w:val="center"/>
                    <w:rPr>
                      <w:rFonts w:hint="default" w:ascii="Times New Roman" w:hAnsi="Times New Roman" w:eastAsia="宋体"/>
                      <w:color w:val="auto"/>
                      <w:szCs w:val="21"/>
                      <w:lang w:val="en-US" w:eastAsia="zh-CN"/>
                    </w:rPr>
                  </w:pPr>
                  <w:r>
                    <w:rPr>
                      <w:rFonts w:hint="eastAsia"/>
                      <w:color w:val="auto"/>
                      <w:szCs w:val="21"/>
                      <w:lang w:val="en-US" w:eastAsia="zh-CN"/>
                    </w:rPr>
                    <w:t>71</w:t>
                  </w:r>
                </w:p>
              </w:tc>
            </w:tr>
          </w:tbl>
          <w:p w14:paraId="189E365C">
            <w:pPr>
              <w:pStyle w:val="61"/>
              <w:ind w:left="0" w:leftChars="0" w:firstLine="0" w:firstLineChars="0"/>
              <w:rPr>
                <w:rFonts w:hint="default" w:ascii="Times New Roman" w:hAnsi="Times New Roman" w:eastAsia="宋体"/>
                <w:color w:val="auto"/>
                <w:lang w:val="en-US" w:eastAsia="zh-CN"/>
              </w:rPr>
            </w:pPr>
          </w:p>
          <w:p w14:paraId="0A0D8DC5">
            <w:pPr>
              <w:pStyle w:val="61"/>
              <w:ind w:left="0" w:leftChars="0" w:firstLine="0" w:firstLineChars="0"/>
              <w:rPr>
                <w:rFonts w:hint="default" w:ascii="Times New Roman" w:hAnsi="Times New Roman" w:eastAsia="宋体"/>
                <w:color w:val="auto"/>
                <w:lang w:val="en-US" w:eastAsia="zh-CN"/>
              </w:rPr>
            </w:pPr>
          </w:p>
          <w:p w14:paraId="6E102A3E">
            <w:pPr>
              <w:pStyle w:val="61"/>
              <w:ind w:left="0" w:leftChars="0" w:firstLine="0" w:firstLineChars="0"/>
              <w:rPr>
                <w:rFonts w:hint="default" w:ascii="Times New Roman" w:hAnsi="Times New Roman" w:eastAsia="宋体"/>
                <w:color w:val="auto"/>
                <w:lang w:val="en-US" w:eastAsia="zh-CN"/>
              </w:rPr>
            </w:pPr>
          </w:p>
          <w:p w14:paraId="39E05289">
            <w:pPr>
              <w:pStyle w:val="61"/>
              <w:ind w:left="0" w:leftChars="0" w:firstLine="0" w:firstLineChars="0"/>
              <w:rPr>
                <w:rFonts w:hint="default" w:ascii="Times New Roman" w:hAnsi="Times New Roman" w:eastAsia="宋体"/>
                <w:color w:val="auto"/>
                <w:lang w:val="en-US" w:eastAsia="zh-CN"/>
              </w:rPr>
            </w:pPr>
          </w:p>
          <w:p w14:paraId="3774F13C">
            <w:pPr>
              <w:pStyle w:val="61"/>
              <w:ind w:left="0" w:leftChars="0" w:firstLine="0" w:firstLineChars="0"/>
              <w:rPr>
                <w:rFonts w:hint="default" w:ascii="Times New Roman" w:hAnsi="Times New Roman" w:eastAsia="宋体"/>
                <w:color w:val="auto"/>
                <w:lang w:val="en-US" w:eastAsia="zh-CN"/>
              </w:rPr>
            </w:pPr>
          </w:p>
          <w:p w14:paraId="655FEDB0">
            <w:pPr>
              <w:pStyle w:val="61"/>
              <w:ind w:left="0" w:leftChars="0" w:firstLine="0" w:firstLineChars="0"/>
              <w:rPr>
                <w:rFonts w:hint="default" w:ascii="Times New Roman" w:hAnsi="Times New Roman" w:eastAsia="宋体"/>
                <w:color w:val="auto"/>
                <w:lang w:val="en-US" w:eastAsia="zh-CN"/>
              </w:rPr>
            </w:pPr>
          </w:p>
          <w:p w14:paraId="19143873">
            <w:pPr>
              <w:pStyle w:val="61"/>
              <w:ind w:left="0" w:leftChars="0" w:firstLine="0" w:firstLineChars="0"/>
              <w:rPr>
                <w:rFonts w:hint="default" w:ascii="Times New Roman" w:hAnsi="Times New Roman" w:eastAsia="宋体"/>
                <w:color w:val="auto"/>
                <w:lang w:val="en-US" w:eastAsia="zh-CN"/>
              </w:rPr>
            </w:pPr>
          </w:p>
          <w:p w14:paraId="53078DAA">
            <w:pPr>
              <w:pStyle w:val="61"/>
              <w:ind w:firstLine="0" w:firstLineChars="0"/>
              <w:rPr>
                <w:rFonts w:ascii="Times New Roman" w:hAnsi="Times New Roman" w:eastAsia="宋体"/>
                <w:color w:val="auto"/>
                <w:sz w:val="10"/>
                <w:szCs w:val="10"/>
              </w:rPr>
            </w:pPr>
          </w:p>
        </w:tc>
      </w:tr>
    </w:tbl>
    <w:p w14:paraId="429470F3">
      <w:pPr>
        <w:pStyle w:val="19"/>
        <w:jc w:val="center"/>
        <w:rPr>
          <w:rFonts w:ascii="Times New Roman" w:hAnsi="Times New Roman" w:eastAsia="宋体"/>
          <w:snapToGrid w:val="0"/>
          <w:color w:val="auto"/>
          <w:sz w:val="10"/>
          <w:szCs w:val="10"/>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8501"/>
      </w:tblGrid>
      <w:tr w14:paraId="382C0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83" w:type="dxa"/>
            <w:vAlign w:val="center"/>
          </w:tcPr>
          <w:p w14:paraId="65607107">
            <w:pPr>
              <w:pStyle w:val="19"/>
              <w:adjustRightInd w:val="0"/>
              <w:snapToGrid w:val="0"/>
              <w:spacing w:before="0" w:beforeAutospacing="0" w:after="0" w:afterAutospacing="0"/>
              <w:jc w:val="center"/>
              <w:rPr>
                <w:rFonts w:ascii="Times New Roman" w:hAnsi="Times New Roman" w:eastAsia="宋体" w:cs="宋体"/>
                <w:b/>
                <w:bCs/>
                <w:color w:val="auto"/>
                <w:szCs w:val="24"/>
              </w:rPr>
            </w:pPr>
            <w:r>
              <w:rPr>
                <w:rFonts w:hint="eastAsia" w:ascii="Times New Roman" w:hAnsi="Times New Roman" w:eastAsia="宋体" w:cs="宋体"/>
                <w:b/>
                <w:bCs/>
                <w:color w:val="auto"/>
                <w:szCs w:val="24"/>
              </w:rPr>
              <w:t>工艺流程和产排污环节</w:t>
            </w:r>
          </w:p>
        </w:tc>
        <w:tc>
          <w:tcPr>
            <w:tcW w:w="8501" w:type="dxa"/>
          </w:tcPr>
          <w:p w14:paraId="3DD40A7E">
            <w:pPr>
              <w:keepNext/>
              <w:keepLines/>
              <w:spacing w:before="80" w:after="80" w:line="360" w:lineRule="auto"/>
              <w:outlineLvl w:val="2"/>
              <w:rPr>
                <w:rFonts w:hint="eastAsia" w:ascii="Times New Roman" w:hAnsi="Times New Roman" w:eastAsia="宋体" w:cstheme="minorEastAsia"/>
                <w:b/>
                <w:bCs/>
                <w:color w:val="auto"/>
                <w:kern w:val="0"/>
                <w:sz w:val="28"/>
                <w:szCs w:val="28"/>
                <w:lang w:val="zh-CN"/>
              </w:rPr>
            </w:pPr>
            <w:r>
              <w:rPr>
                <w:rFonts w:hint="eastAsia" w:ascii="Times New Roman" w:hAnsi="Times New Roman" w:eastAsia="宋体" w:cstheme="minorEastAsia"/>
                <w:b/>
                <w:bCs/>
                <w:color w:val="auto"/>
                <w:kern w:val="0"/>
                <w:sz w:val="28"/>
                <w:szCs w:val="28"/>
                <w:lang w:val="zh-CN"/>
              </w:rPr>
              <w:t>1、项目施工期、运营期流程及产污节点</w:t>
            </w:r>
          </w:p>
          <w:p w14:paraId="7C548F57">
            <w:pPr>
              <w:keepNext/>
              <w:keepLines/>
              <w:adjustRightInd w:val="0"/>
              <w:snapToGrid w:val="0"/>
              <w:spacing w:line="360" w:lineRule="auto"/>
              <w:outlineLvl w:val="3"/>
              <w:rPr>
                <w:rFonts w:hint="eastAsia" w:ascii="Times New Roman" w:hAnsi="Times New Roman" w:eastAsia="宋体" w:cstheme="minorEastAsia"/>
                <w:b/>
                <w:bCs/>
                <w:color w:val="auto"/>
                <w:kern w:val="0"/>
                <w:sz w:val="24"/>
                <w:lang w:val="zh-CN"/>
              </w:rPr>
            </w:pPr>
            <w:r>
              <w:rPr>
                <w:rFonts w:hint="eastAsia" w:cstheme="minorEastAsia"/>
                <w:b/>
                <w:bCs/>
                <w:color w:val="auto"/>
                <w:kern w:val="0"/>
                <w:sz w:val="24"/>
                <w:lang w:val="zh-CN"/>
              </w:rPr>
              <w:t>（</w:t>
            </w:r>
            <w:r>
              <w:rPr>
                <w:rFonts w:hint="eastAsia" w:cstheme="minorEastAsia"/>
                <w:b/>
                <w:bCs/>
                <w:color w:val="auto"/>
                <w:kern w:val="0"/>
                <w:sz w:val="24"/>
                <w:lang w:val="en-US" w:eastAsia="zh-CN"/>
              </w:rPr>
              <w:t>1</w:t>
            </w:r>
            <w:r>
              <w:rPr>
                <w:rFonts w:hint="eastAsia" w:cstheme="minorEastAsia"/>
                <w:b/>
                <w:bCs/>
                <w:color w:val="auto"/>
                <w:kern w:val="0"/>
                <w:sz w:val="24"/>
                <w:lang w:val="zh-CN"/>
              </w:rPr>
              <w:t>）</w:t>
            </w:r>
            <w:r>
              <w:rPr>
                <w:rFonts w:hint="eastAsia" w:ascii="Times New Roman" w:hAnsi="Times New Roman" w:eastAsia="宋体" w:cstheme="minorEastAsia"/>
                <w:b/>
                <w:bCs/>
                <w:color w:val="auto"/>
                <w:kern w:val="0"/>
                <w:sz w:val="24"/>
                <w:lang w:val="zh-CN"/>
              </w:rPr>
              <w:t>施工期工艺流程简述</w:t>
            </w:r>
          </w:p>
          <w:p w14:paraId="704AFABE">
            <w:pPr>
              <w:pStyle w:val="61"/>
              <w:ind w:firstLine="480"/>
              <w:rPr>
                <w:rFonts w:ascii="Times New Roman" w:hAnsi="Times New Roman" w:eastAsia="宋体"/>
                <w:color w:val="auto"/>
              </w:rPr>
            </w:pPr>
            <w:r>
              <w:rPr>
                <w:rFonts w:hint="eastAsia" w:ascii="Times New Roman" w:hAnsi="Times New Roman" w:eastAsia="宋体"/>
                <w:color w:val="auto"/>
                <w:lang w:eastAsia="zh-CN"/>
              </w:rPr>
              <w:t>本项目施工期主要包括</w:t>
            </w:r>
            <w:r>
              <w:rPr>
                <w:rFonts w:hint="eastAsia" w:ascii="Times New Roman" w:hAnsi="Times New Roman" w:eastAsia="宋体"/>
                <w:color w:val="auto"/>
                <w:sz w:val="24"/>
                <w:szCs w:val="24"/>
              </w:rPr>
              <w:t>生产车间杂物清理，生产车间修缮，设备进厂安装</w:t>
            </w:r>
            <w:r>
              <w:rPr>
                <w:rFonts w:ascii="Times New Roman" w:hAnsi="Times New Roman" w:eastAsia="宋体" w:cs="Times New Roman"/>
                <w:bCs/>
                <w:color w:val="auto"/>
              </w:rPr>
              <w:t>。本项目施工期基本工艺流程及产污环节详见下图</w:t>
            </w:r>
            <w:r>
              <w:rPr>
                <w:rFonts w:ascii="Times New Roman" w:hAnsi="Times New Roman" w:eastAsia="宋体"/>
                <w:color w:val="auto"/>
              </w:rPr>
              <w:t>。</w:t>
            </w:r>
          </w:p>
          <w:p w14:paraId="168DF9A3">
            <w:pPr>
              <w:pStyle w:val="61"/>
              <w:ind w:left="0" w:leftChars="0" w:firstLine="0" w:firstLineChars="0"/>
              <w:jc w:val="center"/>
              <w:rPr>
                <w:rFonts w:ascii="Times New Roman" w:hAnsi="Times New Roman" w:eastAsia="宋体"/>
                <w:color w:val="auto"/>
              </w:rPr>
            </w:pPr>
            <w:r>
              <w:rPr>
                <w:rFonts w:ascii="Times New Roman" w:hAnsi="Times New Roman"/>
                <w:color w:val="auto"/>
              </w:rPr>
              <w:object>
                <v:shape id="_x0000_i1025" o:spt="75" type="#_x0000_t75" style="height:113.25pt;width:390.75pt;" o:ole="t" filled="f" coordsize="21600,21600">
                  <v:path/>
                  <v:fill on="f" focussize="0,0"/>
                  <v:stroke/>
                  <v:imagedata r:id="rId8" o:title=""/>
                  <o:lock v:ext="edit" aspectratio="f"/>
                  <w10:wrap type="none"/>
                  <w10:anchorlock/>
                </v:shape>
                <o:OLEObject Type="Embed" ProgID="Visio.Drawing.11" ShapeID="_x0000_i1025" DrawAspect="Content" ObjectID="_1468075725" r:id="rId7">
                  <o:LockedField>false</o:LockedField>
                </o:OLEObject>
              </w:object>
            </w:r>
          </w:p>
          <w:p w14:paraId="101F5937">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图2-3  施工期工程工艺流程及产污环节图</w:t>
            </w:r>
          </w:p>
          <w:p w14:paraId="6793D2D4">
            <w:pPr>
              <w:adjustRightInd w:val="0"/>
              <w:snapToGrid w:val="0"/>
              <w:spacing w:line="360" w:lineRule="auto"/>
              <w:jc w:val="left"/>
              <w:rPr>
                <w:rFonts w:ascii="Times New Roman" w:hAnsi="Times New Roman" w:eastAsia="宋体"/>
                <w:color w:val="auto"/>
                <w:sz w:val="24"/>
              </w:rPr>
            </w:pPr>
            <w:r>
              <w:rPr>
                <w:rFonts w:ascii="Times New Roman" w:hAnsi="Times New Roman" w:eastAsia="宋体"/>
                <w:b/>
                <w:bCs/>
                <w:color w:val="auto"/>
                <w:sz w:val="24"/>
              </w:rPr>
              <w:t>施工工艺流程说明：</w:t>
            </w:r>
          </w:p>
          <w:p w14:paraId="2A133357">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从上述污染工序可知，本项目施工期主要环境污染问题是：施工扬尘、施工噪声、施工人员生活污水、施工人员生活垃圾等，贯穿于整个施工过程，但不同污染因子在不同施工时段污染强度不同，对环境的影响随施工期的内容不同而有所变化，随着施工期的结束对环境的影响也随之结束。</w:t>
            </w:r>
          </w:p>
          <w:p w14:paraId="1C76AF79">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施工期主要污染物如下：</w:t>
            </w:r>
          </w:p>
          <w:p w14:paraId="0617F6BA">
            <w:pPr>
              <w:pStyle w:val="61"/>
              <w:ind w:firstLine="480"/>
              <w:rPr>
                <w:rFonts w:hint="eastAsia" w:ascii="Times New Roman" w:hAnsi="Times New Roman" w:eastAsia="宋体"/>
                <w:bCs/>
                <w:color w:val="auto"/>
                <w:sz w:val="24"/>
              </w:rPr>
            </w:pPr>
            <w:r>
              <w:rPr>
                <w:rFonts w:hint="eastAsia" w:ascii="Times New Roman" w:hAnsi="Times New Roman" w:eastAsia="宋体"/>
                <w:bCs/>
                <w:color w:val="auto"/>
                <w:sz w:val="24"/>
              </w:rPr>
              <w:t>1）杂物清理</w:t>
            </w:r>
          </w:p>
          <w:p w14:paraId="5AB9ABFA">
            <w:pPr>
              <w:pStyle w:val="61"/>
              <w:ind w:firstLine="480"/>
              <w:rPr>
                <w:rFonts w:hint="eastAsia" w:ascii="Times New Roman" w:hAnsi="Times New Roman" w:eastAsia="宋体"/>
                <w:bCs/>
                <w:color w:val="auto"/>
                <w:sz w:val="24"/>
              </w:rPr>
            </w:pPr>
            <w:r>
              <w:rPr>
                <w:rFonts w:hint="eastAsia" w:ascii="Times New Roman" w:hAnsi="Times New Roman" w:eastAsia="宋体"/>
                <w:bCs/>
                <w:color w:val="auto"/>
                <w:sz w:val="24"/>
              </w:rPr>
              <w:t>本项目对原有生产车间内放置器材及杂物进行清理，该阶段产生的污染物主要为清理过程中产生的粉尘及清理分类出来的固体废物。</w:t>
            </w:r>
          </w:p>
          <w:p w14:paraId="4BDB6EEA">
            <w:pPr>
              <w:pStyle w:val="61"/>
              <w:ind w:firstLine="480"/>
              <w:rPr>
                <w:rFonts w:hint="eastAsia" w:ascii="Times New Roman" w:hAnsi="Times New Roman" w:eastAsia="宋体"/>
                <w:bCs/>
                <w:color w:val="auto"/>
                <w:sz w:val="24"/>
              </w:rPr>
            </w:pPr>
            <w:r>
              <w:rPr>
                <w:rFonts w:hint="eastAsia" w:ascii="Times New Roman" w:hAnsi="Times New Roman"/>
                <w:bCs/>
                <w:color w:val="auto"/>
                <w:sz w:val="24"/>
                <w:lang w:val="en-US" w:eastAsia="zh-CN"/>
              </w:rPr>
              <w:t>2</w:t>
            </w:r>
            <w:r>
              <w:rPr>
                <w:rFonts w:hint="eastAsia" w:ascii="Times New Roman" w:hAnsi="Times New Roman" w:eastAsia="宋体"/>
                <w:bCs/>
                <w:color w:val="auto"/>
                <w:sz w:val="24"/>
              </w:rPr>
              <w:t>）厂房修缮</w:t>
            </w:r>
          </w:p>
          <w:p w14:paraId="712A079A">
            <w:pPr>
              <w:pStyle w:val="61"/>
              <w:ind w:firstLine="480"/>
              <w:rPr>
                <w:rFonts w:hint="eastAsia" w:ascii="Times New Roman" w:hAnsi="Times New Roman" w:eastAsia="宋体"/>
                <w:bCs/>
                <w:color w:val="auto"/>
                <w:sz w:val="24"/>
              </w:rPr>
            </w:pPr>
            <w:r>
              <w:rPr>
                <w:rFonts w:hint="eastAsia" w:ascii="Times New Roman" w:hAnsi="Times New Roman" w:eastAsia="宋体"/>
                <w:bCs/>
                <w:color w:val="auto"/>
                <w:sz w:val="24"/>
              </w:rPr>
              <w:t>本项目对原有生产车间进行修缮，该阶段产生的污染物主要为粉尘、施工机械废弃、噪声。</w:t>
            </w:r>
          </w:p>
          <w:p w14:paraId="7DE7CBFC">
            <w:pPr>
              <w:pStyle w:val="61"/>
              <w:ind w:firstLine="480"/>
              <w:rPr>
                <w:rFonts w:hint="eastAsia" w:ascii="Times New Roman" w:hAnsi="Times New Roman" w:eastAsia="宋体"/>
                <w:bCs/>
                <w:color w:val="auto"/>
                <w:sz w:val="24"/>
              </w:rPr>
            </w:pPr>
            <w:r>
              <w:rPr>
                <w:rFonts w:hint="eastAsia" w:ascii="Times New Roman" w:hAnsi="Times New Roman"/>
                <w:bCs/>
                <w:color w:val="auto"/>
                <w:sz w:val="24"/>
                <w:lang w:val="en-US" w:eastAsia="zh-CN"/>
              </w:rPr>
              <w:t>3</w:t>
            </w:r>
            <w:r>
              <w:rPr>
                <w:rFonts w:hint="eastAsia" w:ascii="Times New Roman" w:hAnsi="Times New Roman" w:eastAsia="宋体"/>
                <w:bCs/>
                <w:color w:val="auto"/>
                <w:sz w:val="24"/>
              </w:rPr>
              <w:t>）设备安装</w:t>
            </w:r>
          </w:p>
          <w:p w14:paraId="08DD23C5">
            <w:pPr>
              <w:pStyle w:val="61"/>
              <w:ind w:firstLine="480"/>
              <w:rPr>
                <w:rFonts w:hint="eastAsia" w:ascii="Times New Roman" w:hAnsi="Times New Roman" w:eastAsia="宋体"/>
                <w:color w:val="auto"/>
                <w:lang w:val="zh-CN" w:eastAsia="zh-CN"/>
              </w:rPr>
            </w:pPr>
            <w:r>
              <w:rPr>
                <w:rFonts w:hint="eastAsia" w:ascii="Times New Roman" w:hAnsi="Times New Roman" w:eastAsia="宋体"/>
                <w:bCs/>
                <w:color w:val="auto"/>
                <w:sz w:val="24"/>
              </w:rPr>
              <w:t>项目车间内杂物清理完毕并且修缮完毕后，进行设备安装调试后投入使用，该阶段产生的污染物主要为噪声、固体废物</w:t>
            </w:r>
            <w:r>
              <w:rPr>
                <w:rFonts w:hint="eastAsia" w:ascii="Times New Roman" w:hAnsi="Times New Roman" w:eastAsia="宋体"/>
                <w:color w:val="auto"/>
                <w:lang w:eastAsia="zh-CN"/>
              </w:rPr>
              <w:t>。</w:t>
            </w:r>
          </w:p>
          <w:p w14:paraId="7B3D168B">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ascii="Times New Roman" w:hAnsi="Times New Roman" w:eastAsia="宋体"/>
                <w:b/>
                <w:bCs/>
                <w:color w:val="auto"/>
                <w:kern w:val="0"/>
                <w:sz w:val="24"/>
                <w:lang w:val="zh-CN"/>
              </w:rPr>
            </w:pPr>
            <w:r>
              <w:rPr>
                <w:rFonts w:hint="eastAsia"/>
                <w:b/>
                <w:bCs/>
                <w:color w:val="auto"/>
                <w:kern w:val="0"/>
                <w:sz w:val="24"/>
                <w:lang w:val="zh-CN"/>
              </w:rPr>
              <w:t>（</w:t>
            </w:r>
            <w:r>
              <w:rPr>
                <w:rFonts w:hint="eastAsia"/>
                <w:b/>
                <w:bCs/>
                <w:color w:val="auto"/>
                <w:kern w:val="0"/>
                <w:sz w:val="24"/>
                <w:lang w:val="en-US" w:eastAsia="zh-CN"/>
              </w:rPr>
              <w:t>2</w:t>
            </w:r>
            <w:r>
              <w:rPr>
                <w:rFonts w:hint="eastAsia"/>
                <w:b/>
                <w:bCs/>
                <w:color w:val="auto"/>
                <w:kern w:val="0"/>
                <w:sz w:val="24"/>
                <w:lang w:val="zh-CN"/>
              </w:rPr>
              <w:t>）</w:t>
            </w:r>
            <w:r>
              <w:rPr>
                <w:rFonts w:hint="eastAsia" w:ascii="Times New Roman" w:hAnsi="Times New Roman" w:eastAsia="宋体"/>
                <w:b/>
                <w:bCs/>
                <w:color w:val="auto"/>
                <w:kern w:val="0"/>
                <w:sz w:val="24"/>
                <w:lang w:val="zh-CN"/>
              </w:rPr>
              <w:t>运营期</w:t>
            </w:r>
            <w:r>
              <w:rPr>
                <w:rFonts w:ascii="Times New Roman" w:hAnsi="Times New Roman" w:eastAsia="宋体"/>
                <w:b/>
                <w:bCs/>
                <w:color w:val="auto"/>
                <w:kern w:val="0"/>
                <w:sz w:val="24"/>
                <w:lang w:val="zh-CN"/>
              </w:rPr>
              <w:t>生产工艺流程简述</w:t>
            </w:r>
          </w:p>
          <w:p w14:paraId="30FA7D66">
            <w:pPr>
              <w:pStyle w:val="6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Times New Roman"/>
                <w:color w:val="auto"/>
                <w:sz w:val="24"/>
              </w:rPr>
              <w:t>本项目生产工艺主要是：</w:t>
            </w:r>
            <w:r>
              <w:rPr>
                <w:rFonts w:hint="eastAsia"/>
                <w:color w:val="auto"/>
              </w:rPr>
              <w:t>原料</w:t>
            </w:r>
            <w:r>
              <w:rPr>
                <w:rFonts w:hint="eastAsia" w:ascii="Times New Roman" w:hAnsi="Times New Roman" w:eastAsia="宋体" w:cs="Times New Roman"/>
                <w:color w:val="auto"/>
                <w:kern w:val="0"/>
                <w:szCs w:val="20"/>
                <w:lang w:eastAsia="zh-CN"/>
              </w:rPr>
              <w:t>入场</w:t>
            </w:r>
            <w:r>
              <w:rPr>
                <w:rFonts w:hint="eastAsia"/>
                <w:color w:val="auto"/>
              </w:rPr>
              <w:t>——</w:t>
            </w:r>
            <w:r>
              <w:rPr>
                <w:rFonts w:hint="eastAsia"/>
                <w:color w:val="auto"/>
                <w:lang w:eastAsia="zh-CN"/>
              </w:rPr>
              <w:t>开卷</w:t>
            </w:r>
            <w:r>
              <w:rPr>
                <w:rFonts w:hint="eastAsia" w:eastAsia="宋体"/>
                <w:color w:val="auto"/>
                <w:lang w:eastAsia="zh-CN"/>
              </w:rPr>
              <w:t>——</w:t>
            </w:r>
            <w:r>
              <w:rPr>
                <w:rFonts w:hint="eastAsia"/>
                <w:color w:val="auto"/>
                <w:lang w:eastAsia="zh-CN"/>
              </w:rPr>
              <w:t>弯曲成型</w:t>
            </w:r>
            <w:r>
              <w:rPr>
                <w:rFonts w:hint="eastAsia" w:ascii="Times New Roman" w:hAnsi="Times New Roman" w:eastAsia="宋体" w:cs="Times New Roman"/>
                <w:color w:val="auto"/>
                <w:sz w:val="24"/>
              </w:rPr>
              <w:t>——高频焊接、刮疤——</w:t>
            </w:r>
            <w:r>
              <w:rPr>
                <w:rFonts w:hint="eastAsia" w:ascii="Times New Roman" w:hAnsi="Times New Roman" w:cs="Times New Roman"/>
                <w:color w:val="auto"/>
                <w:sz w:val="24"/>
                <w:lang w:eastAsia="zh-CN"/>
              </w:rPr>
              <w:t>校</w:t>
            </w:r>
            <w:r>
              <w:rPr>
                <w:rFonts w:hint="eastAsia" w:ascii="Times New Roman" w:hAnsi="Times New Roman" w:eastAsia="宋体" w:cs="Times New Roman"/>
                <w:color w:val="auto"/>
                <w:sz w:val="24"/>
              </w:rPr>
              <w:t>直、切割——质检、打包——成品</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项目生产工艺流程及产污节点见下图。</w:t>
            </w:r>
          </w:p>
          <w:p w14:paraId="4DD4FC5C">
            <w:pPr>
              <w:pStyle w:val="61"/>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宋体"/>
                <w:b/>
                <w:color w:val="auto"/>
                <w:sz w:val="24"/>
                <w:szCs w:val="22"/>
              </w:rPr>
            </w:pPr>
            <w:r>
              <w:rPr>
                <w:color w:val="auto"/>
                <w:sz w:val="24"/>
              </w:rPr>
              <mc:AlternateContent>
                <mc:Choice Requires="wpc">
                  <w:drawing>
                    <wp:inline distT="0" distB="0" distL="114300" distR="114300">
                      <wp:extent cx="5156200" cy="3712845"/>
                      <wp:effectExtent l="0" t="0" r="6350" b="0"/>
                      <wp:docPr id="2" name="画布 2"/>
                      <wp:cNvGraphicFramePr/>
                      <a:graphic xmlns:a="http://schemas.openxmlformats.org/drawingml/2006/main">
                        <a:graphicData uri="http://schemas.microsoft.com/office/word/2010/wordprocessingCanvas">
                          <wpc:wpc>
                            <wpc:bg/>
                            <wpc:whole/>
                            <wps:wsp>
                              <wps:cNvPr id="28" name="矩形 4"/>
                              <wps:cNvSpPr/>
                              <wps:spPr>
                                <a:xfrm>
                                  <a:off x="1772285" y="546100"/>
                                  <a:ext cx="1127125" cy="2927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63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开卷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8"/>
                              <wps:cNvSpPr/>
                              <wps:spPr>
                                <a:xfrm>
                                  <a:off x="1759585" y="1069975"/>
                                  <a:ext cx="1127125" cy="2927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22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弯曲成型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9"/>
                              <wps:cNvSpPr/>
                              <wps:spPr>
                                <a:xfrm>
                                  <a:off x="1642110" y="1630045"/>
                                  <a:ext cx="1468120" cy="2927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86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高频焊接、刮疤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10"/>
                              <wps:cNvSpPr/>
                              <wps:spPr>
                                <a:xfrm>
                                  <a:off x="1988185" y="29845"/>
                                  <a:ext cx="66484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FB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D0D0D" w:themeColor="text1" w:themeTint="F2"/>
                                        <w:sz w:val="24"/>
                                        <w:lang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钢带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12"/>
                              <wps:cNvSpPr/>
                              <wps:spPr>
                                <a:xfrm>
                                  <a:off x="1765300" y="2183765"/>
                                  <a:ext cx="1127125" cy="2927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27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校直、切割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 13"/>
                              <wps:cNvSpPr/>
                              <wps:spPr>
                                <a:xfrm>
                                  <a:off x="1762125" y="2761615"/>
                                  <a:ext cx="1127125" cy="2927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82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人工质检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14"/>
                              <wps:cNvSpPr/>
                              <wps:spPr>
                                <a:xfrm>
                                  <a:off x="1758950" y="3313430"/>
                                  <a:ext cx="112712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45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打包入库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直接箭头连接符 19"/>
                              <wps:cNvCnPr/>
                              <wps:spPr>
                                <a:xfrm>
                                  <a:off x="2353945" y="301625"/>
                                  <a:ext cx="5715" cy="244475"/>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直接箭头连接符 21"/>
                              <wps:cNvCnPr/>
                              <wps:spPr>
                                <a:xfrm flipH="1">
                                  <a:off x="2332355" y="1368425"/>
                                  <a:ext cx="2540" cy="241300"/>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3" name="直接箭头连接符 24"/>
                              <wps:cNvCnPr/>
                              <wps:spPr>
                                <a:xfrm>
                                  <a:off x="2327910" y="1922780"/>
                                  <a:ext cx="0" cy="246380"/>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 name="直接箭头连接符 25"/>
                              <wps:cNvCnPr/>
                              <wps:spPr>
                                <a:xfrm>
                                  <a:off x="2335530" y="2493645"/>
                                  <a:ext cx="0" cy="246380"/>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直接箭头连接符 27"/>
                              <wps:cNvCnPr/>
                              <wps:spPr>
                                <a:xfrm>
                                  <a:off x="2338705" y="3058160"/>
                                  <a:ext cx="0" cy="246380"/>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9" name="矩形 31"/>
                              <wps:cNvSpPr/>
                              <wps:spPr>
                                <a:xfrm>
                                  <a:off x="203200" y="2707640"/>
                                  <a:ext cx="1127125" cy="5054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F1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次品用于产品打包带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32"/>
                              <wps:cNvSpPr/>
                              <wps:spPr>
                                <a:xfrm>
                                  <a:off x="156210" y="2178685"/>
                                  <a:ext cx="991870" cy="2927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88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循环水池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直接箭头连接符 38"/>
                              <wps:cNvCnPr/>
                              <wps:spPr>
                                <a:xfrm>
                                  <a:off x="696595" y="1785620"/>
                                  <a:ext cx="942975" cy="0"/>
                                </a:xfrm>
                                <a:prstGeom prst="straightConnector1">
                                  <a:avLst/>
                                </a:prstGeom>
                                <a:noFill/>
                                <a:ln w="12700" cap="flat" cmpd="sng" algn="ctr">
                                  <a:solidFill>
                                    <a:sysClr val="windowText" lastClr="00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7" name="直接箭头连接符 39"/>
                              <wps:cNvCnPr/>
                              <wps:spPr>
                                <a:xfrm flipV="1">
                                  <a:off x="672465" y="1803400"/>
                                  <a:ext cx="0" cy="356235"/>
                                </a:xfrm>
                                <a:prstGeom prst="straightConnector1">
                                  <a:avLst/>
                                </a:prstGeom>
                                <a:noFill/>
                                <a:ln w="12700" cap="flat" cmpd="sng" algn="ctr">
                                  <a:solidFill>
                                    <a:sysClr val="windowText" lastClr="000000"/>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8" name="直接箭头连接符 40"/>
                              <wps:cNvCnPr/>
                              <wps:spPr>
                                <a:xfrm>
                                  <a:off x="1193165" y="2278380"/>
                                  <a:ext cx="460375" cy="0"/>
                                </a:xfrm>
                                <a:prstGeom prst="straightConnector1">
                                  <a:avLst/>
                                </a:prstGeom>
                                <a:noFill/>
                                <a:ln w="12700" cap="flat" cmpd="sng" algn="ctr">
                                  <a:solidFill>
                                    <a:sysClr val="windowText" lastClr="000000"/>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9" name="直接箭头连接符 41"/>
                              <wps:cNvCnPr/>
                              <wps:spPr>
                                <a:xfrm flipV="1">
                                  <a:off x="1689100" y="1957705"/>
                                  <a:ext cx="0" cy="322580"/>
                                </a:xfrm>
                                <a:prstGeom prst="straightConnector1">
                                  <a:avLst/>
                                </a:prstGeom>
                                <a:noFill/>
                                <a:ln w="12700"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 name="矩形 42"/>
                              <wps:cNvSpPr/>
                              <wps:spPr>
                                <a:xfrm>
                                  <a:off x="652780" y="1530985"/>
                                  <a:ext cx="1000760"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67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直接冷却水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箭头连接符 44"/>
                              <wps:cNvCnPr/>
                              <wps:spPr>
                                <a:xfrm>
                                  <a:off x="1343660" y="2915285"/>
                                  <a:ext cx="436880" cy="0"/>
                                </a:xfrm>
                                <a:prstGeom prst="straightConnector1">
                                  <a:avLst/>
                                </a:prstGeom>
                                <a:noFill/>
                                <a:ln w="3175" cap="flat" cmpd="sng" algn="ctr">
                                  <a:solidFill>
                                    <a:sysClr val="windowText" lastClr="000000"/>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3" name="矩形 45"/>
                              <wps:cNvSpPr/>
                              <wps:spPr>
                                <a:xfrm>
                                  <a:off x="1027430" y="2660015"/>
                                  <a:ext cx="1000760"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E6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不合格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48"/>
                              <wps:cNvSpPr/>
                              <wps:spPr>
                                <a:xfrm>
                                  <a:off x="2233295" y="3027045"/>
                                  <a:ext cx="54800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19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合格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曲线连接符 51"/>
                              <wps:cNvCnPr/>
                              <wps:spPr>
                                <a:xfrm rot="16200000">
                                  <a:off x="2903220" y="370205"/>
                                  <a:ext cx="174625" cy="174625"/>
                                </a:xfrm>
                                <a:prstGeom prst="curvedConnector3">
                                  <a:avLst>
                                    <a:gd name="adj1" fmla="val 49818"/>
                                  </a:avLst>
                                </a:prstGeom>
                                <a:noFill/>
                                <a:ln w="3175"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曲线连接符 93"/>
                              <wps:cNvCnPr/>
                              <wps:spPr>
                                <a:xfrm rot="16200000">
                                  <a:off x="2909570" y="1041400"/>
                                  <a:ext cx="174625" cy="174625"/>
                                </a:xfrm>
                                <a:prstGeom prst="curvedConnector3">
                                  <a:avLst>
                                    <a:gd name="adj1" fmla="val 49818"/>
                                  </a:avLst>
                                </a:prstGeom>
                                <a:noFill/>
                                <a:ln w="3175"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曲线连接符 94"/>
                              <wps:cNvCnPr/>
                              <wps:spPr>
                                <a:xfrm rot="16200000">
                                  <a:off x="3107055" y="1471295"/>
                                  <a:ext cx="174625" cy="174625"/>
                                </a:xfrm>
                                <a:prstGeom prst="curvedConnector3">
                                  <a:avLst>
                                    <a:gd name="adj1" fmla="val 49818"/>
                                  </a:avLst>
                                </a:prstGeom>
                                <a:noFill/>
                                <a:ln w="3175"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曲线连接符 96"/>
                              <wps:cNvCnPr/>
                              <wps:spPr>
                                <a:xfrm rot="16200000">
                                  <a:off x="2890520" y="2202815"/>
                                  <a:ext cx="174625" cy="174625"/>
                                </a:xfrm>
                                <a:prstGeom prst="curvedConnector3">
                                  <a:avLst>
                                    <a:gd name="adj1" fmla="val 49818"/>
                                  </a:avLst>
                                </a:prstGeom>
                                <a:noFill/>
                                <a:ln w="3175"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矩形 97"/>
                              <wps:cNvSpPr/>
                              <wps:spPr>
                                <a:xfrm>
                                  <a:off x="2894965" y="198755"/>
                                  <a:ext cx="54800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5F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矩形 99"/>
                              <wps:cNvSpPr/>
                              <wps:spPr>
                                <a:xfrm>
                                  <a:off x="2851785" y="829310"/>
                                  <a:ext cx="54800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185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矩形 100"/>
                              <wps:cNvSpPr/>
                              <wps:spPr>
                                <a:xfrm>
                                  <a:off x="3189605" y="1203960"/>
                                  <a:ext cx="798830" cy="3943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75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N3、S1、W1、T1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矩形 101"/>
                              <wps:cNvSpPr/>
                              <wps:spPr>
                                <a:xfrm>
                                  <a:off x="3081655" y="2085340"/>
                                  <a:ext cx="769620"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98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N4、S2、T2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矩形 16"/>
                              <wps:cNvSpPr/>
                              <wps:spPr>
                                <a:xfrm>
                                  <a:off x="0" y="1712595"/>
                                  <a:ext cx="54800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7A3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S3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曲线连接符 17"/>
                              <wps:cNvCnPr/>
                              <wps:spPr>
                                <a:xfrm rot="16200000" flipV="1">
                                  <a:off x="251460" y="1981835"/>
                                  <a:ext cx="190500" cy="147320"/>
                                </a:xfrm>
                                <a:prstGeom prst="curvedConnector3">
                                  <a:avLst>
                                    <a:gd name="adj1" fmla="val 49667"/>
                                  </a:avLst>
                                </a:prstGeom>
                                <a:noFill/>
                                <a:ln w="3175"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9" name="矩形 22"/>
                              <wps:cNvSpPr/>
                              <wps:spPr>
                                <a:xfrm>
                                  <a:off x="681990" y="3412490"/>
                                  <a:ext cx="548005"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CE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S4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矩形 23"/>
                              <wps:cNvSpPr/>
                              <wps:spPr>
                                <a:xfrm>
                                  <a:off x="48895" y="22225"/>
                                  <a:ext cx="1063625" cy="1104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1DC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图例</w:t>
                                    </w:r>
                                  </w:p>
                                  <w:p w14:paraId="5B089D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T：无组织废气</w:t>
                                    </w:r>
                                  </w:p>
                                  <w:p w14:paraId="72713F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W：废水</w:t>
                                    </w:r>
                                  </w:p>
                                  <w:p w14:paraId="0D850F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S：固体废物</w:t>
                                    </w:r>
                                  </w:p>
                                  <w:p w14:paraId="19611CF0">
                                    <w:pPr>
                                      <w:ind w:left="0" w:leftChars="0" w:firstLine="0" w:firstLineChars="0"/>
                                      <w:jc w:val="both"/>
                                      <w:rPr>
                                        <w:rFonts w:hint="default"/>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N：噪声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直接箭头连接符 41"/>
                              <wps:cNvCnPr/>
                              <wps:spPr>
                                <a:xfrm>
                                  <a:off x="3110230" y="1776730"/>
                                  <a:ext cx="932815" cy="8890"/>
                                </a:xfrm>
                                <a:prstGeom prst="straightConnector1">
                                  <a:avLst/>
                                </a:prstGeom>
                                <a:noFill/>
                                <a:ln w="12700"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9" name="矩形 42"/>
                              <wps:cNvSpPr/>
                              <wps:spPr>
                                <a:xfrm>
                                  <a:off x="3037205" y="1733550"/>
                                  <a:ext cx="1000760" cy="292735"/>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EEE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 name="矩形 4"/>
                              <wps:cNvSpPr/>
                              <wps:spPr>
                                <a:xfrm>
                                  <a:off x="4055745" y="1446530"/>
                                  <a:ext cx="915035" cy="7372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39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24"/>
                                        <w:lang w:val="en-US"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集气罩</w:t>
                                    </w:r>
                                    <w:r>
                                      <w:rPr>
                                        <w:rFonts w:hint="eastAsia"/>
                                        <w:color w:val="0D0D0D" w:themeColor="text1" w:themeTint="F2"/>
                                        <w:sz w:val="24"/>
                                        <w:lang w:val="en-US" w:eastAsia="zh-CN"/>
                                        <w14:textFill>
                                          <w14:solidFill>
                                            <w14:schemeClr w14:val="tx1">
                                              <w14:lumMod w14:val="95000"/>
                                              <w14:lumOff w14:val="5000"/>
                                            </w14:schemeClr>
                                          </w14:solidFill>
                                        </w14:textFill>
                                      </w:rPr>
                                      <w:t>+烟尘净化除尘器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1" name="直接箭头连接符 24"/>
                              <wps:cNvCnPr/>
                              <wps:spPr>
                                <a:xfrm>
                                  <a:off x="4479925" y="2195830"/>
                                  <a:ext cx="0" cy="246380"/>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2" name="矩形 4"/>
                              <wps:cNvSpPr/>
                              <wps:spPr>
                                <a:xfrm>
                                  <a:off x="4091940" y="2464435"/>
                                  <a:ext cx="915035" cy="5149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37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24"/>
                                        <w:lang w:val="en-US"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除尘灰定期外售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矩形 4"/>
                              <wps:cNvSpPr/>
                              <wps:spPr>
                                <a:xfrm>
                                  <a:off x="3843655" y="594995"/>
                                  <a:ext cx="1282700" cy="5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9A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24"/>
                                        <w:lang w:val="en-US"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无组织排放到厂房内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 name="直接箭头连接符 41"/>
                              <wps:cNvCnPr/>
                              <wps:spPr>
                                <a:xfrm flipV="1">
                                  <a:off x="4481195" y="1113790"/>
                                  <a:ext cx="0" cy="322580"/>
                                </a:xfrm>
                                <a:prstGeom prst="straightConnector1">
                                  <a:avLst/>
                                </a:prstGeom>
                                <a:noFill/>
                                <a:ln w="12700"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 name="曲线连接符 96"/>
                              <wps:cNvCnPr>
                                <a:stCxn id="69" idx="2"/>
                              </wps:cNvCnPr>
                              <wps:spPr>
                                <a:xfrm rot="5400000" flipV="1">
                                  <a:off x="679450" y="3300730"/>
                                  <a:ext cx="281940" cy="106680"/>
                                </a:xfrm>
                                <a:prstGeom prst="curvedConnector3">
                                  <a:avLst>
                                    <a:gd name="adj1" fmla="val 50000"/>
                                  </a:avLst>
                                </a:prstGeom>
                                <a:noFill/>
                                <a:ln w="3175" cap="flat" cmpd="sng" algn="ctr">
                                  <a:solidFill>
                                    <a:sysClr val="windowText" lastClr="00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 name="直接箭头连接符 19"/>
                              <wps:cNvCnPr/>
                              <wps:spPr>
                                <a:xfrm flipH="1">
                                  <a:off x="2341245" y="845820"/>
                                  <a:ext cx="3175" cy="245745"/>
                                </a:xfrm>
                                <a:prstGeom prst="straightConnector1">
                                  <a:avLst/>
                                </a:prstGeom>
                                <a:noFill/>
                                <a:ln w="12700" cap="flat" cmpd="sng" algn="ctr">
                                  <a:solidFill>
                                    <a:sysClr val="windowText" lastClr="00000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292.35pt;width:406pt;" coordsize="5156200,3712845" editas="canvas" o:gfxdata="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">
                      <o:lock v:ext="edit" aspectratio="f"/>
                      <v:shape id="_x0000_s1026" o:spid="_x0000_s1026" style="position:absolute;left:0;top:0;height:3712845;width:5156200;" filled="f" stroked="f" coordsize="21600,21600" o:gfxdata="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">
                        <v:fill on="f" focussize="0,0"/>
                        <v:stroke on="f"/>
                        <v:imagedata o:title=""/>
                        <o:lock v:ext="edit" aspectratio="f"/>
                      </v:shape>
                      <v:rect id="矩形 4" o:spid="_x0000_s1026" o:spt="1" style="position:absolute;left:1772285;top:546100;height:292735;width:112712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RucK+1gAAAAUBAAAPAAAAAAAAAAEAIAAAACIAAABkcnMvZG93bnJldi54&#10;bWxQSwECFAAUAAAACACHTuJA6FtojG4CAADLBAAADgAAAAAAAAABACAAAAAlAQAAZHJzL2Uyb0Rv&#10;Yy54bWxQSwUGAAAAAAYABgBZAQAABQYAAAAA&#10;">
                        <v:fill on="f" focussize="0,0"/>
                        <v:stroke weight="1.5pt" color="#000000 [3213]" joinstyle="round"/>
                        <v:imagedata o:title=""/>
                        <o:lock v:ext="edit" aspectratio="f"/>
                        <v:textbox>
                          <w:txbxContent>
                            <w:p w14:paraId="6EF63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开卷</w:t>
                              </w:r>
                            </w:p>
                          </w:txbxContent>
                        </v:textbox>
                      </v:rect>
                      <v:rect id="矩形 8" o:spid="_x0000_s1026" o:spt="1" style="position:absolute;left:1759585;top:1069975;height:292735;width:112712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RucK+1gAAAAUBAAAPAAAAAAAAAAEAIAAAACIAAABkcnMvZG93bnJldi54&#10;bWxQSwECFAAUAAAACACHTuJAa2yr6m4CAADMBAAADgAAAAAAAAABACAAAAAlAQAAZHJzL2Uyb0Rv&#10;Yy54bWxQSwUGAAAAAAYABgBZAQAABQYAAAAA&#10;">
                        <v:fill on="f" focussize="0,0"/>
                        <v:stroke weight="1.5pt" color="#000000 [3213]" joinstyle="round"/>
                        <v:imagedata o:title=""/>
                        <o:lock v:ext="edit" aspectratio="f"/>
                        <v:textbox>
                          <w:txbxContent>
                            <w:p w14:paraId="12522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弯曲成型</w:t>
                              </w:r>
                            </w:p>
                          </w:txbxContent>
                        </v:textbox>
                      </v:rect>
                      <v:rect id="矩形 9" o:spid="_x0000_s1026" o:spt="1" style="position:absolute;left:1642110;top:1630045;height:292735;width:1468120;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G5wr7WAAAABQEAAA8AAAAAAAAAAQAgAAAAIgAAAGRycy9kb3ducmV2Lnht&#10;bFBLAQIUABQAAAAIAIdO4kB/en+ZbQIAAMwEAAAOAAAAAAAAAAEAIAAAACUBAABkcnMvZTJvRG9j&#10;LnhtbFBLBQYAAAAABgAGAFkBAAAEBgAAAAA=&#10;">
                        <v:fill on="f" focussize="0,0"/>
                        <v:stroke weight="1.5pt" color="#000000 [3213]" joinstyle="round"/>
                        <v:imagedata o:title=""/>
                        <o:lock v:ext="edit" aspectratio="f"/>
                        <v:textbox>
                          <w:txbxContent>
                            <w:p w14:paraId="1E486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高频焊接、刮疤</w:t>
                              </w:r>
                            </w:p>
                          </w:txbxContent>
                        </v:textbox>
                      </v:rect>
                      <v:rect id="矩形 10" o:spid="_x0000_s1026" o:spt="1" style="position:absolute;left:1988185;top:29845;height:292735;width:66484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d37&#10;wtcAAAAFAQAADwAAAAAAAAABACAAAAAiAAAAZHJzL2Rvd25yZXYueG1sUEsBAhQAFAAAAAgAh07i&#10;QMdz45RcAgAAoQQAAA4AAAAAAAAAAQAgAAAAJgEAAGRycy9lMm9Eb2MueG1sUEsFBgAAAAAGAAYA&#10;WQEAAPQFAAAAAA==&#10;">
                        <v:fill on="f" focussize="0,0"/>
                        <v:stroke on="f" weight="1.5pt"/>
                        <v:imagedata o:title=""/>
                        <o:lock v:ext="edit" aspectratio="f"/>
                        <v:textbox>
                          <w:txbxContent>
                            <w:p w14:paraId="3AAFB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D0D0D" w:themeColor="text1" w:themeTint="F2"/>
                                  <w:sz w:val="24"/>
                                  <w:lang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钢带</w:t>
                              </w:r>
                            </w:p>
                          </w:txbxContent>
                        </v:textbox>
                      </v:rect>
                      <v:rect id="矩形 12" o:spid="_x0000_s1026" o:spt="1" style="position:absolute;left:1765300;top:2183765;height:292735;width:112712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G5wr7WAAAABQEAAA8AAAAAAAAAAQAgAAAAIgAAAGRycy9kb3ducmV2&#10;LnhtbFBLAQIUABQAAAAIAIdO4kC0icTVcAIAAM0EAAAOAAAAAAAAAAEAIAAAACUBAABkcnMvZTJv&#10;RG9jLnhtbFBLBQYAAAAABgAGAFkBAAAHBgAAAAA=&#10;">
                        <v:fill on="f" focussize="0,0"/>
                        <v:stroke weight="1.5pt" color="#000000 [3213]" joinstyle="round"/>
                        <v:imagedata o:title=""/>
                        <o:lock v:ext="edit" aspectratio="f"/>
                        <v:textbox>
                          <w:txbxContent>
                            <w:p w14:paraId="0CB27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校直、切割</w:t>
                              </w:r>
                            </w:p>
                          </w:txbxContent>
                        </v:textbox>
                      </v:rect>
                      <v:rect id="矩形 13" o:spid="_x0000_s1026" o:spt="1" style="position:absolute;left:1762125;top:2761615;height:292735;width:112712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bnCvtYAAAAFAQAADwAAAAAAAAABACAAAAAiAAAAZHJzL2Rvd25yZXYu&#10;eG1sUEsBAhQAFAAAAAgAh07iQOm6aFJvAgAAzQQAAA4AAAAAAAAAAQAgAAAAJQEAAGRycy9lMm9E&#10;b2MueG1sUEsFBgAAAAAGAAYAWQEAAAYGAAAAAA==&#10;">
                        <v:fill on="f" focussize="0,0"/>
                        <v:stroke weight="1.5pt" color="#000000 [3213]" joinstyle="round"/>
                        <v:imagedata o:title=""/>
                        <o:lock v:ext="edit" aspectratio="f"/>
                        <v:textbox>
                          <w:txbxContent>
                            <w:p w14:paraId="22F82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人工质检</w:t>
                              </w:r>
                            </w:p>
                          </w:txbxContent>
                        </v:textbox>
                      </v:rect>
                      <v:rect id="矩形 14" o:spid="_x0000_s1026" o:spt="1" style="position:absolute;left:1758950;top:3313430;height:292735;width:112712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Xd+8LXAAAABQEAAA8AAAAAAAAAAQAgAAAAIgAAAGRycy9kb3ducmV2LnhtbFBLAQIUABQAAAAI&#10;AIdO4kCC8eEAYAIAAKQEAAAOAAAAAAAAAAEAIAAAACYBAABkcnMvZTJvRG9jLnhtbFBLBQYAAAAA&#10;BgAGAFkBAAD4BQAAAAA=&#10;">
                        <v:fill on="f" focussize="0,0"/>
                        <v:stroke on="f" weight="1.5pt"/>
                        <v:imagedata o:title=""/>
                        <o:lock v:ext="edit" aspectratio="f"/>
                        <v:textbox>
                          <w:txbxContent>
                            <w:p w14:paraId="47F45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打包入库</w:t>
                              </w:r>
                            </w:p>
                          </w:txbxContent>
                        </v:textbox>
                      </v:rect>
                      <v:shape id="直接箭头连接符 19" o:spid="_x0000_s1026" o:spt="32" type="#_x0000_t32" style="position:absolute;left:2353945;top:301625;height:244475;width:5715;" filled="f" stroked="t" coordsize="21600,21600" o:gfxdata="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wgcF1AAAAAUBAAAPAAAAAAAAAAEAIAAAACIAAABkcnMvZG93bnJldi54bWxQSwECFAAU&#10;AAAACACHTuJAb7kWdi4CAAAqBAAADgAAAAAAAAABACAAAAAjAQAAZHJzL2Uyb0RvYy54bWxQSwUG&#10;AAAAAAYABgBZAQAAwwUAAAAA&#10;">
                        <v:fill on="f" focussize="0,0"/>
                        <v:stroke weight="1pt" color="#000000 [3204]" joinstyle="round" endarrow="block"/>
                        <v:imagedata o:title=""/>
                        <o:lock v:ext="edit" aspectratio="f"/>
                      </v:shape>
                      <v:shape id="直接箭头连接符 21" o:spid="_x0000_s1026" o:spt="32" type="#_x0000_t32" style="position:absolute;left:2332355;top:1368425;flip:x;height:241300;width:2540;" filled="f" stroked="t" coordsize="21600,21600" o:gfxdata="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lfI11gAAAAUBAAAPAAAAAAAAAAEAIAAAACIAAABkcnMvZG93bnJldi54&#10;bWxQSwECFAAUAAAACACHTuJAwOHfKDUCAAA1BAAADgAAAAAAAAABACAAAAAlAQAAZHJzL2Uyb0Rv&#10;Yy54bWxQSwUGAAAAAAYABgBZAQAAzAUAAAAA&#10;">
                        <v:fill on="f" focussize="0,0"/>
                        <v:stroke weight="1pt" color="#000000 [3204]" joinstyle="round" endarrow="block"/>
                        <v:imagedata o:title=""/>
                        <o:lock v:ext="edit" aspectratio="f"/>
                      </v:shape>
                      <v:shape id="直接箭头连接符 24" o:spid="_x0000_s1026" o:spt="32" type="#_x0000_t32" style="position:absolute;left:2327910;top:1922780;height:246380;width:0;" filled="f" stroked="t" coordsize="21600,21600" o:gfxdata="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CBwXUAAAABQEAAA8AAAAAAAAAAQAgAAAAIgAAAGRycy9kb3ducmV2LnhtbFBLAQIUABQAAAAI&#10;AIdO4kBHyuioKgIAACgEAAAOAAAAAAAAAAEAIAAAACMBAABkcnMvZTJvRG9jLnhtbFBLBQYAAAAA&#10;BgAGAFkBAAC/BQAAAAA=&#10;">
                        <v:fill on="f" focussize="0,0"/>
                        <v:stroke weight="1pt" color="#000000 [3204]" joinstyle="round" endarrow="block"/>
                        <v:imagedata o:title=""/>
                        <o:lock v:ext="edit" aspectratio="f"/>
                      </v:shape>
                      <v:shape id="直接箭头连接符 25" o:spid="_x0000_s1026" o:spt="32" type="#_x0000_t32" style="position:absolute;left:2335530;top:2493645;height:246380;width:0;" filled="f" stroked="t" coordsize="21600,21600" o:gfxdata="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8IHBdQAAAAFAQAADwAAAAAAAAABACAAAAAiAAAAZHJzL2Rvd25yZXYueG1sUEsBAhQAFAAAAAgA&#10;h07iQMzzp+MpAgAAKAQAAA4AAAAAAAAAAQAgAAAAIwEAAGRycy9lMm9Eb2MueG1sUEsFBgAAAAAG&#10;AAYAWQEAAL4FAAAAAA==&#10;">
                        <v:fill on="f" focussize="0,0"/>
                        <v:stroke weight="1pt" color="#000000 [3204]" joinstyle="round" endarrow="block"/>
                        <v:imagedata o:title=""/>
                        <o:lock v:ext="edit" aspectratio="f"/>
                      </v:shape>
                      <v:shape id="直接箭头连接符 27" o:spid="_x0000_s1026" o:spt="32" type="#_x0000_t32" style="position:absolute;left:2338705;top:3058160;height:246380;width:0;" filled="f" stroked="t" coordsize="21600,21600" o:gfxdata="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8IHBdQAAAAFAQAADwAAAAAAAAABACAAAAAiAAAAZHJzL2Rvd25yZXYueG1sUEsBAhQAFAAA&#10;AAgAh07iQN9D3XksAgAAKAQAAA4AAAAAAAAAAQAgAAAAIwEAAGRycy9lMm9Eb2MueG1sUEsFBgAA&#10;AAAGAAYAWQEAAMEFAAAAAA==&#10;">
                        <v:fill on="f" focussize="0,0"/>
                        <v:stroke weight="1pt" color="#000000 [3204]" joinstyle="round" endarrow="block"/>
                        <v:imagedata o:title=""/>
                        <o:lock v:ext="edit" aspectratio="f"/>
                      </v:shape>
                      <v:rect id="矩形 31" o:spid="_x0000_s1026" o:spt="1" style="position:absolute;left:203200;top:2707640;height:505460;width:112712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bnCvtYAAAAFAQAADwAAAAAAAAABACAAAAAiAAAAZHJzL2Rvd25yZXYu&#10;eG1sUEsBAhQAFAAAAAgAh07iQKFAAbdvAgAAzAQAAA4AAAAAAAAAAQAgAAAAJQEAAGRycy9lMm9E&#10;b2MueG1sUEsFBgAAAAAGAAYAWQEAAAYGAAAAAA==&#10;">
                        <v:fill on="f" focussize="0,0"/>
                        <v:stroke weight="1.5pt" color="#000000 [3213]" joinstyle="round"/>
                        <v:imagedata o:title=""/>
                        <o:lock v:ext="edit" aspectratio="f"/>
                        <v:textbox>
                          <w:txbxContent>
                            <w:p w14:paraId="291F1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次品用于产品打包带</w:t>
                              </w:r>
                            </w:p>
                          </w:txbxContent>
                        </v:textbox>
                      </v:rect>
                      <v:rect id="矩形 32" o:spid="_x0000_s1026" o:spt="1" style="position:absolute;left:156210;top:2178685;height:292735;width:991870;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RucK+1gAAAAUBAAAPAAAAAAAAAAEAIAAAACIAAABkcnMvZG93bnJldi54&#10;bWxQSwECFAAUAAAACACHTuJAEHH/RW4CAADLBAAADgAAAAAAAAABACAAAAAlAQAAZHJzL2Uyb0Rv&#10;Yy54bWxQSwUGAAAAAAYABgBZAQAABQYAAAAA&#10;">
                        <v:fill on="f" focussize="0,0"/>
                        <v:stroke weight="1.5pt" color="#000000 [3213]" joinstyle="round"/>
                        <v:imagedata o:title=""/>
                        <o:lock v:ext="edit" aspectratio="f"/>
                        <v:textbox>
                          <w:txbxContent>
                            <w:p w14:paraId="22188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循环水池</w:t>
                              </w:r>
                            </w:p>
                          </w:txbxContent>
                        </v:textbox>
                      </v:rect>
                      <v:shape id="直接箭头连接符 38" o:spid="_x0000_s1026" o:spt="32" type="#_x0000_t32" style="position:absolute;left:696595;top:1785620;height:0;width:942975;" filled="f" stroked="t" coordsize="21600,21600" o:gfxdata="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iXTv/U&#10;AAAABQEAAA8AAAAAAAAAAQAgAAAAIgAAAGRycy9kb3ducmV2LnhtbFBLAQIUABQAAAAIAIdO4kAv&#10;jxJKJAIAACIEAAAOAAAAAAAAAAEAIAAAACMBAABkcnMvZTJvRG9jLnhtbFBLBQYAAAAABgAGAFkB&#10;AAC5BQAAAAA=&#10;">
                        <v:fill on="f" focussize="0,0"/>
                        <v:stroke weight="1pt" color="#000000 [3204]" joinstyle="round" dashstyle="dash"/>
                        <v:imagedata o:title=""/>
                        <o:lock v:ext="edit" aspectratio="f"/>
                      </v:shape>
                      <v:shape id="直接箭头连接符 39" o:spid="_x0000_s1026" o:spt="32" type="#_x0000_t32" style="position:absolute;left:672465;top:1803400;flip:y;height:356235;width:0;" filled="f" stroked="t" coordsize="21600,21600" o:gfxdata="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vrez0wAAAAUBAAAPAAAAAAAAAAEAIAAAACIAAABkcnMvZG93bnJldi54bWxQSwEC&#10;FAAUAAAACACHTuJAMu9yMzICAAAwBAAADgAAAAAAAAABACAAAAAiAQAAZHJzL2Uyb0RvYy54bWxQ&#10;SwUGAAAAAAYABgBZAQAAxgUAAAAA&#10;">
                        <v:fill on="f" focussize="0,0"/>
                        <v:stroke weight="1pt" color="#000000 [3204]" joinstyle="round" dashstyle="dash" startarrow="block"/>
                        <v:imagedata o:title=""/>
                        <o:lock v:ext="edit" aspectratio="f"/>
                      </v:shape>
                      <v:shape id="直接箭头连接符 40" o:spid="_x0000_s1026" o:spt="32" type="#_x0000_t32" style="position:absolute;left:1193165;top:2278380;height:0;width:460375;" filled="f" stroked="t" coordsize="21600,21600" o:gfxdata="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iXTv/U&#10;AAAABQEAAA8AAAAAAAAAAQAgAAAAIgAAAGRycy9kb3ducmV2LnhtbFBLAQIUABQAAAAIAIdO4kAH&#10;b4iUJAIAACMEAAAOAAAAAAAAAAEAIAAAACMBAABkcnMvZTJvRG9jLnhtbFBLBQYAAAAABgAGAFkB&#10;AAC5BQAAAAA=&#10;">
                        <v:fill on="f" focussize="0,0"/>
                        <v:stroke weight="1pt" color="#000000 [3204]" joinstyle="round" dashstyle="dash"/>
                        <v:imagedata o:title=""/>
                        <o:lock v:ext="edit" aspectratio="f"/>
                      </v:shape>
                      <v:shape id="直接箭头连接符 41" o:spid="_x0000_s1026" o:spt="32" type="#_x0000_t32" style="position:absolute;left:1689100;top:1957705;flip:y;height:322580;width:0;" filled="f" stroked="t" coordsize="21600,21600" o:gfxdata="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RCG01wAAAAUBAAAPAAAAAAAAAAEAIAAAACIAAABkcnMvZG93bnJldi54bWxQ&#10;SwECFAAUAAAACACHTuJAy5U02zECAAAxBAAADgAAAAAAAAABACAAAAAmAQAAZHJzL2Uyb0RvYy54&#10;bWxQSwUGAAAAAAYABgBZAQAAyQUAAAAA&#10;">
                        <v:fill on="f" focussize="0,0"/>
                        <v:stroke weight="1pt" color="#000000 [3204]" joinstyle="round" dashstyle="dash" endarrow="block"/>
                        <v:imagedata o:title=""/>
                        <o:lock v:ext="edit" aspectratio="f"/>
                      </v:shape>
                      <v:rect id="矩形 42" o:spid="_x0000_s1026" o:spt="1" style="position:absolute;left:652780;top:1530985;height:292735;width:1000760;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d37wtcAAAAFAQAADwAAAAAAAAABACAAAAAiAAAAZHJzL2Rvd25yZXYueG1sUEsBAhQAFAAAAAgA&#10;h07iQD5oe7dfAgAAowQAAA4AAAAAAAAAAQAgAAAAJgEAAGRycy9lMm9Eb2MueG1sUEsFBgAAAAAG&#10;AAYAWQEAAPcFAAAAAA==&#10;">
                        <v:fill on="f" focussize="0,0"/>
                        <v:stroke on="f" weight="1.5pt"/>
                        <v:imagedata o:title=""/>
                        <o:lock v:ext="edit" aspectratio="f"/>
                        <v:textbox>
                          <w:txbxContent>
                            <w:p w14:paraId="73467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直接冷却水</w:t>
                              </w:r>
                            </w:p>
                          </w:txbxContent>
                        </v:textbox>
                      </v:rect>
                      <v:shape id="直接箭头连接符 44" o:spid="_x0000_s1026" o:spt="32" type="#_x0000_t32" style="position:absolute;left:1343660;top:2915285;height:0;width:436880;" filled="f" stroked="t" coordsize="21600,21600" o:gfxdata="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mWBeTTAAAABQEAAA8AAAAAAAAAAQAgAAAAIgAAAGRycy9kb3ducmV2LnhtbFBLAQIUABQAAAAI&#10;AIdO4kCGOPByKwIAACcEAAAOAAAAAAAAAAEAIAAAACIBAABkcnMvZTJvRG9jLnhtbFBLBQYAAAAA&#10;BgAGAFkBAAC/BQAAAAA=&#10;">
                        <v:fill on="f" focussize="0,0"/>
                        <v:stroke weight="0.25pt" color="#000000 [3204]" joinstyle="round" startarrow="block"/>
                        <v:imagedata o:title=""/>
                        <o:lock v:ext="edit" aspectratio="f"/>
                      </v:shape>
                      <v:rect id="矩形 45" o:spid="_x0000_s1026" o:spt="1" style="position:absolute;left:1027430;top:2660015;height:292735;width:1000760;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Xd+8LXAAAABQEAAA8AAAAAAAAAAQAgAAAAIgAAAGRycy9kb3ducmV2LnhtbFBLAQIUABQAAAAI&#10;AIdO4kB+W4Z7YAIAAKQEAAAOAAAAAAAAAAEAIAAAACYBAABkcnMvZTJvRG9jLnhtbFBLBQYAAAAA&#10;BgAGAFkBAAD4BQAAAAA=&#10;">
                        <v:fill on="f" focussize="0,0"/>
                        <v:stroke on="f" weight="1.5pt"/>
                        <v:imagedata o:title=""/>
                        <o:lock v:ext="edit" aspectratio="f"/>
                        <v:textbox>
                          <w:txbxContent>
                            <w:p w14:paraId="253E6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不合格</w:t>
                              </w:r>
                            </w:p>
                          </w:txbxContent>
                        </v:textbox>
                      </v:rect>
                      <v:rect id="矩形 48" o:spid="_x0000_s1026" o:spt="1" style="position:absolute;left:2233295;top:3027045;height:292735;width:54800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d37wtcAAAAFAQAADwAAAAAAAAABACAAAAAiAAAAZHJzL2Rvd25yZXYueG1sUEsBAhQAFAAA&#10;AAgAh07iQCfZc8NiAgAAowQAAA4AAAAAAAAAAQAgAAAAJgEAAGRycy9lMm9Eb2MueG1sUEsFBgAA&#10;AAAGAAYAWQEAAPoFAAAAAA==&#10;">
                        <v:fill on="f" focussize="0,0"/>
                        <v:stroke on="f" weight="1.5pt"/>
                        <v:imagedata o:title=""/>
                        <o:lock v:ext="edit" aspectratio="f"/>
                        <v:textbox>
                          <w:txbxContent>
                            <w:p w14:paraId="59E19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合格</w:t>
                              </w:r>
                            </w:p>
                          </w:txbxContent>
                        </v:textbox>
                      </v:rect>
                      <v:shape id="曲线连接符 51" o:spid="_x0000_s1026" o:spt="38" type="#_x0000_t38" style="position:absolute;left:2903220;top:370205;height:174625;width:174625;rotation:-5898240f;" filled="f" stroked="t" coordsize="21600,21600" o:gfxdata="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p/YdQAAAAFAQAADwAAAAAAAAABACAA&#10;AAAiAAAAZHJzL2Rvd25yZXYueG1sUEsBAhQAFAAAAAgAh07iQNsYUXlKAgAAXgQAAA4AAAAAAAAA&#10;AQAgAAAAIwEAAGRycy9lMm9Eb2MueG1sUEsFBgAAAAAGAAYAWQEAAN8FAAAAAA==&#10;" adj="10761">
                        <v:fill on="f" focussize="0,0"/>
                        <v:stroke weight="0.25pt" color="#000000 [3204]" joinstyle="round" dashstyle="dash" endarrow="block"/>
                        <v:imagedata o:title=""/>
                        <o:lock v:ext="edit" aspectratio="f"/>
                      </v:shape>
                      <v:shape id="曲线连接符 93" o:spid="_x0000_s1026" o:spt="38" type="#_x0000_t38" style="position:absolute;left:2909570;top:1041400;height:174625;width:174625;rotation:-5898240f;" filled="f" stroked="t" coordsize="21600,21600" o:gfxdata="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p/YdQAAAAFAQAADwAAAAAAAAABACAA&#10;AAAiAAAAZHJzL2Rvd25yZXYueG1sUEsBAhQAFAAAAAgAh07iQM5LQMFKAgAAXwQAAA4AAAAAAAAA&#10;AQAgAAAAIwEAAGRycy9lMm9Eb2MueG1sUEsFBgAAAAAGAAYAWQEAAN8FAAAAAA==&#10;" adj="10761">
                        <v:fill on="f" focussize="0,0"/>
                        <v:stroke weight="0.25pt" color="#000000 [3204]" joinstyle="round" dashstyle="dash" endarrow="block"/>
                        <v:imagedata o:title=""/>
                        <o:lock v:ext="edit" aspectratio="f"/>
                      </v:shape>
                      <v:shape id="曲线连接符 94" o:spid="_x0000_s1026" o:spt="38" type="#_x0000_t38" style="position:absolute;left:3107055;top:1471295;height:174625;width:174625;rotation:-5898240f;" filled="f" stroked="t" coordsize="21600,21600" o:gfxdata="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5Wn9h1AAAAAUBAAAPAAAAAAAAAAEAIAAA&#10;ACIAAABkcnMvZG93bnJldi54bWxQSwECFAAUAAAACACHTuJAFucIbUkCAABfBAAADgAAAAAAAAAB&#10;ACAAAAAjAQAAZHJzL2Uyb0RvYy54bWxQSwUGAAAAAAYABgBZAQAA3gUAAAAA&#10;" adj="10761">
                        <v:fill on="f" focussize="0,0"/>
                        <v:stroke weight="0.25pt" color="#000000 [3204]" joinstyle="round" dashstyle="dash" endarrow="block"/>
                        <v:imagedata o:title=""/>
                        <o:lock v:ext="edit" aspectratio="f"/>
                      </v:shape>
                      <v:shape id="曲线连接符 96" o:spid="_x0000_s1026" o:spt="38" type="#_x0000_t38" style="position:absolute;left:2890520;top:2202815;height:174625;width:174625;rotation:-5898240f;" filled="f" stroked="t" coordsize="21600,21600" o:gfxdata="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laf2HUAAAABQEAAA8AAAAAAAAAAQAg&#10;AAAAIgAAAGRycy9kb3ducmV2LnhtbFBLAQIUABQAAAAIAIdO4kDHbNZFSwIAAF8EAAAOAAAAAAAA&#10;AAEAIAAAACMBAABkcnMvZTJvRG9jLnhtbFBLBQYAAAAABgAGAFkBAADgBQAAAAA=&#10;" adj="10761">
                        <v:fill on="f" focussize="0,0"/>
                        <v:stroke weight="0.25pt" color="#000000 [3204]" joinstyle="round" dashstyle="dash" endarrow="block"/>
                        <v:imagedata o:title=""/>
                        <o:lock v:ext="edit" aspectratio="f"/>
                      </v:shape>
                      <v:rect id="矩形 97" o:spid="_x0000_s1026" o:spt="1" style="position:absolute;left:2894965;top:198755;height:292735;width:54800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d37wtcAAAAFAQAADwAAAAAAAAABACAAAAAiAAAAZHJzL2Rvd25yZXYueG1sUEsBAhQAFAAAAAgA&#10;h07iQLVnkb5fAgAAogQAAA4AAAAAAAAAAQAgAAAAJgEAAGRycy9lMm9Eb2MueG1sUEsFBgAAAAAG&#10;AAYAWQEAAPcFAAAAAA==&#10;">
                        <v:fill on="f" focussize="0,0"/>
                        <v:stroke on="f" weight="1.5pt"/>
                        <v:imagedata o:title=""/>
                        <o:lock v:ext="edit" aspectratio="f"/>
                        <v:textbox>
                          <w:txbxContent>
                            <w:p w14:paraId="02C5F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N1</w:t>
                              </w:r>
                            </w:p>
                          </w:txbxContent>
                        </v:textbox>
                      </v:rect>
                      <v:rect id="矩形 99" o:spid="_x0000_s1026" o:spt="1" style="position:absolute;left:2851785;top:829310;height:292735;width:54800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Xd+8LXAAAABQEAAA8AAAAAAAAAAQAgAAAAIgAAAGRycy9kb3ducmV2LnhtbFBLAQIUABQAAAAI&#10;AIdO4kBkqx2jYAIAAKMEAAAOAAAAAAAAAAEAIAAAACYBAABkcnMvZTJvRG9jLnhtbFBLBQYAAAAA&#10;BgAGAFkBAAD4BQAAAAA=&#10;">
                        <v:fill on="f" focussize="0,0"/>
                        <v:stroke on="f" weight="1.5pt"/>
                        <v:imagedata o:title=""/>
                        <o:lock v:ext="edit" aspectratio="f"/>
                        <v:textbox>
                          <w:txbxContent>
                            <w:p w14:paraId="596185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N2</w:t>
                              </w:r>
                            </w:p>
                          </w:txbxContent>
                        </v:textbox>
                      </v:rect>
                      <v:rect id="矩形 100" o:spid="_x0000_s1026" o:spt="1" style="position:absolute;left:3189605;top:1203960;height:394335;width:798830;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3fvC1wAAAAUBAAAPAAAAAAAAAAEAIAAAACIAAABkcnMvZG93bnJldi54bWxQSwECFAAUAAAACACH&#10;TuJAUXdtV14CAAClBAAADgAAAAAAAAABACAAAAAmAQAAZHJzL2Uyb0RvYy54bWxQSwUGAAAAAAYA&#10;BgBZAQAA9gUAAAAA&#10;">
                        <v:fill on="f" focussize="0,0"/>
                        <v:stroke on="f" weight="1.5pt"/>
                        <v:imagedata o:title=""/>
                        <o:lock v:ext="edit" aspectratio="f"/>
                        <v:textbox>
                          <w:txbxContent>
                            <w:p w14:paraId="4DC75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N3、S1、W1、T1</w:t>
                              </w:r>
                            </w:p>
                          </w:txbxContent>
                        </v:textbox>
                      </v:rect>
                      <v:rect id="矩形 101" o:spid="_x0000_s1026" o:spt="1" style="position:absolute;left:3081655;top:2085340;height:292735;width:769620;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Xd+8LXAAAABQEAAA8AAAAAAAAAAQAgAAAAIgAAAGRycy9kb3ducmV2LnhtbFBLAQIUABQAAAAI&#10;AIdO4kChMi6lYAIAAKUEAAAOAAAAAAAAAAEAIAAAACYBAABkcnMvZTJvRG9jLnhtbFBLBQYAAAAA&#10;BgAGAFkBAAD4BQAAAAA=&#10;">
                        <v:fill on="f" focussize="0,0"/>
                        <v:stroke on="f" weight="1.5pt"/>
                        <v:imagedata o:title=""/>
                        <o:lock v:ext="edit" aspectratio="f"/>
                        <v:textbox>
                          <w:txbxContent>
                            <w:p w14:paraId="33598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N4、S2、T2</w:t>
                              </w:r>
                            </w:p>
                          </w:txbxContent>
                        </v:textbox>
                      </v:rect>
                      <v:rect id="矩形 16" o:spid="_x0000_s1026" o:spt="1" style="position:absolute;left:0;top:1712595;height:292735;width:54800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3fvC&#10;1wAAAAUBAAAPAAAAAAAAAAEAIAAAACIAAABkcnMvZG93bnJldi54bWxQSwECFAAUAAAACACHTuJA&#10;uXZBYlsCAACeBAAADgAAAAAAAAABACAAAAAmAQAAZHJzL2Uyb0RvYy54bWxQSwUGAAAAAAYABgBZ&#10;AQAA8wUAAAAA&#10;">
                        <v:fill on="f" focussize="0,0"/>
                        <v:stroke on="f" weight="1.5pt"/>
                        <v:imagedata o:title=""/>
                        <o:lock v:ext="edit" aspectratio="f"/>
                        <v:textbox>
                          <w:txbxContent>
                            <w:p w14:paraId="1117A3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S3</w:t>
                              </w:r>
                            </w:p>
                          </w:txbxContent>
                        </v:textbox>
                      </v:rect>
                      <v:shape id="曲线连接符 17" o:spid="_x0000_s1026" o:spt="38" type="#_x0000_t38" style="position:absolute;left:251460;top:1981835;flip:y;height:147320;width:190500;rotation:5898240f;" filled="f" stroked="t" coordsize="21600,21600" o:gfxdata="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w1BITWAAAABQEAAA8A&#10;AAAAAAAAAQAgAAAAIgAAAGRycy9kb3ducmV2LnhtbFBLAQIUABQAAAAIAIdO4kDAI9X/UgIAAGkE&#10;AAAOAAAAAAAAAAEAIAAAACUBAABkcnMvZTJvRG9jLnhtbFBLBQYAAAAABgAGAFkBAADpBQAAAAA=&#10;" adj="10728">
                        <v:fill on="f" focussize="0,0"/>
                        <v:stroke weight="0.25pt" color="#000000 [3204]" joinstyle="round" dashstyle="dash" endarrow="block"/>
                        <v:imagedata o:title=""/>
                        <o:lock v:ext="edit" aspectratio="f"/>
                      </v:shape>
                      <v:rect id="矩形 22" o:spid="_x0000_s1026" o:spt="1" style="position:absolute;left:681990;top:3412490;height:292735;width:548005;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3fvC1wAAAAUBAAAPAAAAAAAAAAEAIAAAACIAAABkcnMvZG93bnJldi54bWxQSwECFAAUAAAACACH&#10;TuJAhwyA/V4CAACjBAAADgAAAAAAAAABACAAAAAmAQAAZHJzL2Uyb0RvYy54bWxQSwUGAAAAAAYA&#10;BgBZAQAA9gUAAAAA&#10;">
                        <v:fill on="f" focussize="0,0"/>
                        <v:stroke on="f" weight="1.5pt"/>
                        <v:imagedata o:title=""/>
                        <o:lock v:ext="edit" aspectratio="f"/>
                        <v:textbox>
                          <w:txbxContent>
                            <w:p w14:paraId="245CE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18"/>
                                  <w:szCs w:val="18"/>
                                  <w:lang w:val="en-US" w:eastAsia="zh-CN"/>
                                  <w14:textFill>
                                    <w14:solidFill>
                                      <w14:schemeClr w14:val="tx1">
                                        <w14:lumMod w14:val="95000"/>
                                        <w14:lumOff w14:val="5000"/>
                                      </w14:schemeClr>
                                    </w14:solidFill>
                                  </w14:textFill>
                                </w:rPr>
                              </w:pPr>
                              <w:r>
                                <w:rPr>
                                  <w:rFonts w:hint="eastAsia"/>
                                  <w:color w:val="0D0D0D" w:themeColor="text1" w:themeTint="F2"/>
                                  <w:sz w:val="18"/>
                                  <w:szCs w:val="18"/>
                                  <w:lang w:val="en-US" w:eastAsia="zh-CN"/>
                                  <w14:textFill>
                                    <w14:solidFill>
                                      <w14:schemeClr w14:val="tx1">
                                        <w14:lumMod w14:val="95000"/>
                                        <w14:lumOff w14:val="5000"/>
                                      </w14:schemeClr>
                                    </w14:solidFill>
                                  </w14:textFill>
                                </w:rPr>
                                <w:t>S4</w:t>
                              </w:r>
                            </w:p>
                          </w:txbxContent>
                        </v:textbox>
                      </v:rect>
                      <v:rect id="矩形 23" o:spid="_x0000_s1026" o:spt="1" style="position:absolute;left:48895;top:22225;height:1104900;width:1063625;v-text-anchor:middle;" filled="f" stroked="t" coordsize="21600,21600" o:gfxdata="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e5JXo1QAAAAUBAAAPAAAAAAAAAAEAIAAAACIAAABkcnMvZG93bnJldi54bWxQ&#10;SwECFAAUAAAACACHTuJAftGB2GwCAADLBAAADgAAAAAAAAABACAAAAAkAQAAZHJzL2Uyb0RvYy54&#10;bWxQSwUGAAAAAAYABgBZAQAAAgYAAAAA&#10;">
                        <v:fill on="f" focussize="0,0"/>
                        <v:stroke weight="1pt" color="#000000 [3213]" joinstyle="round"/>
                        <v:imagedata o:title=""/>
                        <o:lock v:ext="edit" aspectratio="f"/>
                        <v:textbox>
                          <w:txbxContent>
                            <w:p w14:paraId="6FB1DC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sz w:val="18"/>
                                  <w:szCs w:val="18"/>
                                  <w:lang w:eastAsia="zh-CN"/>
                                  <w14:textFill>
                                    <w14:solidFill>
                                      <w14:schemeClr w14:val="tx1"/>
                                    </w14:solidFill>
                                  </w14:textFill>
                                </w:rPr>
                              </w:pPr>
                              <w:r>
                                <w:rPr>
                                  <w:rFonts w:hint="eastAsia"/>
                                  <w:b/>
                                  <w:bCs/>
                                  <w:color w:val="000000" w:themeColor="text1"/>
                                  <w:sz w:val="18"/>
                                  <w:szCs w:val="18"/>
                                  <w:lang w:eastAsia="zh-CN"/>
                                  <w14:textFill>
                                    <w14:solidFill>
                                      <w14:schemeClr w14:val="tx1"/>
                                    </w14:solidFill>
                                  </w14:textFill>
                                </w:rPr>
                                <w:t>图例</w:t>
                              </w:r>
                            </w:p>
                            <w:p w14:paraId="5B089D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T：无组织废气</w:t>
                              </w:r>
                            </w:p>
                            <w:p w14:paraId="72713F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W：废水</w:t>
                              </w:r>
                            </w:p>
                            <w:p w14:paraId="0D850F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S：固体废物</w:t>
                              </w:r>
                            </w:p>
                            <w:p w14:paraId="19611CF0">
                              <w:pPr>
                                <w:ind w:left="0" w:leftChars="0" w:firstLine="0" w:firstLineChars="0"/>
                                <w:jc w:val="both"/>
                                <w:rPr>
                                  <w:rFonts w:hint="default"/>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N：噪声</w:t>
                              </w:r>
                            </w:p>
                          </w:txbxContent>
                        </v:textbox>
                      </v:rect>
                      <v:shape id="直接箭头连接符 41" o:spid="_x0000_s1026" o:spt="32" type="#_x0000_t32" style="position:absolute;left:3110230;top:1776730;height:8890;width:932815;" filled="f" stroked="t" coordsize="21600,21600" o:gfxdata="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u5ajPXAAAABQEAAA8AAAAAAAAAAQAgAAAAIgAAAGRycy9kb3ducmV2LnhtbFBLAQIU&#10;ABQAAAAIAIdO4kChYYo/LQIAACsEAAAOAAAAAAAAAAEAIAAAACYBAABkcnMvZTJvRG9jLnhtbFBL&#10;BQYAAAAABgAGAFkBAADFBQAAAAA=&#10;">
                        <v:fill on="f" focussize="0,0"/>
                        <v:stroke weight="1pt" color="#000000 [3204]" joinstyle="round" dashstyle="dash" endarrow="block"/>
                        <v:imagedata o:title=""/>
                        <o:lock v:ext="edit" aspectratio="f"/>
                      </v:shape>
                      <v:rect id="矩形 42" o:spid="_x0000_s1026" o:spt="1" style="position:absolute;left:3037205;top:1733550;height:292735;width:1000760;v-text-anchor:middle;" filled="f" stroked="f" coordsize="21600,21600" o:gfxdata="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Xd+8LXAAAABQEAAA8AAAAAAAAAAQAgAAAAIgAAAGRycy9kb3ducmV2LnhtbFBLAQIUABQAAAAI&#10;AIdO4kA2zbhDYAIAAKUEAAAOAAAAAAAAAAEAIAAAACYBAABkcnMvZTJvRG9jLnhtbFBLBQYAAAAA&#10;BgAGAFkBAAD4BQAAAAA=&#10;">
                        <v:fill on="f" focussize="0,0"/>
                        <v:stroke on="f" weight="1.5pt"/>
                        <v:imagedata o:title=""/>
                        <o:lock v:ext="edit" aspectratio="f"/>
                        <v:textbox>
                          <w:txbxContent>
                            <w:p w14:paraId="7E6EEE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废气</w:t>
                              </w:r>
                            </w:p>
                          </w:txbxContent>
                        </v:textbox>
                      </v:rect>
                      <v:rect id="矩形 4" o:spid="_x0000_s1026" o:spt="1" style="position:absolute;left:4055745;top:1446530;height:737235;width:91503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G5wr7WAAAABQEAAA8AAAAAAAAAAQAgAAAAIgAAAGRycy9kb3ducmV2Lnht&#10;bFBLAQIUABQAAAAIAIdO4kCJ2WZIbQIAAMwEAAAOAAAAAAAAAAEAIAAAACUBAABkcnMvZTJvRG9j&#10;LnhtbFBLBQYAAAAABgAGAFkBAAAEBgAAAAA=&#10;">
                        <v:fill on="f" focussize="0,0"/>
                        <v:stroke weight="1.5pt" color="#000000 [3213]" joinstyle="round"/>
                        <v:imagedata o:title=""/>
                        <o:lock v:ext="edit" aspectratio="f"/>
                        <v:textbox>
                          <w:txbxContent>
                            <w:p w14:paraId="27039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24"/>
                                  <w:lang w:val="en-US"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集气罩</w:t>
                              </w:r>
                              <w:r>
                                <w:rPr>
                                  <w:rFonts w:hint="eastAsia"/>
                                  <w:color w:val="0D0D0D" w:themeColor="text1" w:themeTint="F2"/>
                                  <w:sz w:val="24"/>
                                  <w:lang w:val="en-US" w:eastAsia="zh-CN"/>
                                  <w14:textFill>
                                    <w14:solidFill>
                                      <w14:schemeClr w14:val="tx1">
                                        <w14:lumMod w14:val="95000"/>
                                        <w14:lumOff w14:val="5000"/>
                                      </w14:schemeClr>
                                    </w14:solidFill>
                                  </w14:textFill>
                                </w:rPr>
                                <w:t>+烟尘净化除尘器</w:t>
                              </w:r>
                            </w:p>
                          </w:txbxContent>
                        </v:textbox>
                      </v:rect>
                      <v:shape id="直接箭头连接符 24" o:spid="_x0000_s1026" o:spt="32" type="#_x0000_t32" style="position:absolute;left:4479925;top:2195830;height:246380;width:0;" filled="f" stroked="t" coordsize="21600,21600" o:gfxdata="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8IHBdQAAAAFAQAADwAAAAAAAAABACAAAAAiAAAAZHJzL2Rvd25yZXYueG1sUEsBAhQAFAAA&#10;AAgAh07iQCZEem4sAgAAKQQAAA4AAAAAAAAAAQAgAAAAIwEAAGRycy9lMm9Eb2MueG1sUEsFBgAA&#10;AAAGAAYAWQEAAMEFAAAAAA==&#10;">
                        <v:fill on="f" focussize="0,0"/>
                        <v:stroke weight="1pt" color="#000000 [3204]" joinstyle="round" endarrow="block"/>
                        <v:imagedata o:title=""/>
                        <o:lock v:ext="edit" aspectratio="f"/>
                      </v:shape>
                      <v:rect id="矩形 4" o:spid="_x0000_s1026" o:spt="1" style="position:absolute;left:4091940;top:2464435;height:514985;width:915035;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bnCvtYAAAAFAQAADwAAAAAAAAABACAAAAAiAAAAZHJzL2Rvd25yZXYu&#10;eG1sUEsBAhQAFAAAAAgAh07iQOit26VvAgAAzAQAAA4AAAAAAAAAAQAgAAAAJQEAAGRycy9lMm9E&#10;b2MueG1sUEsFBgAAAAAGAAYAWQEAAAYGAAAAAA==&#10;">
                        <v:fill on="f" focussize="0,0"/>
                        <v:stroke weight="1.5pt" color="#000000 [3213]" joinstyle="round"/>
                        <v:imagedata o:title=""/>
                        <o:lock v:ext="edit" aspectratio="f"/>
                        <v:textbox>
                          <w:txbxContent>
                            <w:p w14:paraId="5A237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24"/>
                                  <w:lang w:val="en-US"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除尘灰定期外售</w:t>
                              </w:r>
                            </w:p>
                          </w:txbxContent>
                        </v:textbox>
                      </v:rect>
                      <v:rect id="矩形 4" o:spid="_x0000_s1026" o:spt="1" style="position:absolute;left:3843655;top:594995;height:506730;width:1282700;v-text-anchor:middle;" filled="f" stroked="t" coordsize="21600,21600" o:gfxdata="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RucK+1gAAAAUBAAAPAAAAAAAAAAEAIAAAACIAAABkcnMvZG93bnJl&#10;di54bWxQSwECFAAUAAAACACHTuJA6j5PrnECAADMBAAADgAAAAAAAAABACAAAAAlAQAAZHJzL2Uy&#10;b0RvYy54bWxQSwUGAAAAAAYABgBZAQAACAYAAAAA&#10;">
                        <v:fill on="f" focussize="0,0"/>
                        <v:stroke weight="1.5pt" color="#000000 [3213]" joinstyle="round"/>
                        <v:imagedata o:title=""/>
                        <o:lock v:ext="edit" aspectratio="f"/>
                        <v:textbox>
                          <w:txbxContent>
                            <w:p w14:paraId="2C49A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D0D0D" w:themeColor="text1" w:themeTint="F2"/>
                                  <w:sz w:val="24"/>
                                  <w:lang w:val="en-US" w:eastAsia="zh-CN"/>
                                  <w14:textFill>
                                    <w14:solidFill>
                                      <w14:schemeClr w14:val="tx1">
                                        <w14:lumMod w14:val="95000"/>
                                        <w14:lumOff w14:val="5000"/>
                                      </w14:schemeClr>
                                    </w14:solidFill>
                                  </w14:textFill>
                                </w:rPr>
                              </w:pPr>
                              <w:r>
                                <w:rPr>
                                  <w:rFonts w:hint="eastAsia"/>
                                  <w:color w:val="0D0D0D" w:themeColor="text1" w:themeTint="F2"/>
                                  <w:sz w:val="24"/>
                                  <w:lang w:eastAsia="zh-CN"/>
                                  <w14:textFill>
                                    <w14:solidFill>
                                      <w14:schemeClr w14:val="tx1">
                                        <w14:lumMod w14:val="95000"/>
                                        <w14:lumOff w14:val="5000"/>
                                      </w14:schemeClr>
                                    </w14:solidFill>
                                  </w14:textFill>
                                </w:rPr>
                                <w:t>无组织排放到厂房内</w:t>
                              </w:r>
                            </w:p>
                          </w:txbxContent>
                        </v:textbox>
                      </v:rect>
                      <v:shape id="直接箭头连接符 41" o:spid="_x0000_s1026" o:spt="32" type="#_x0000_t32" style="position:absolute;left:4481195;top:1113790;flip:y;height:322580;width:0;" filled="f" stroked="t" coordsize="21600,21600" o:gfxdata="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0QhtNcAAAAFAQAADwAAAAAAAAABACAAAAAiAAAAZHJzL2Rvd25yZXYueG1s&#10;UEsBAhQAFAAAAAgAh07iQL7FDEoyAgAAMgQAAA4AAAAAAAAAAQAgAAAAJgEAAGRycy9lMm9Eb2Mu&#10;eG1sUEsFBgAAAAAGAAYAWQEAAMoFAAAAAA==&#10;">
                        <v:fill on="f" focussize="0,0"/>
                        <v:stroke weight="1pt" color="#000000 [3204]" joinstyle="round" dashstyle="dash" endarrow="block"/>
                        <v:imagedata o:title=""/>
                        <o:lock v:ext="edit" aspectratio="f"/>
                      </v:shape>
                      <v:shape id="曲线连接符 96" o:spid="_x0000_s1026" o:spt="38" type="#_x0000_t38" style="position:absolute;left:679450;top:3300730;flip:y;height:106680;width:281940;rotation:-5898240f;" filled="f" stroked="t" coordsize="21600,21600" o:gfxdata="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vmtiDWAAAABQEAAA8AAAAAAAAAAQAgAAAAIgAAAGRycy9kb3ducmV2LnhtbFBLAQIUABQAAAAI&#10;AIdO4kAa087IYQIAAI0EAAAOAAAAAAAAAAEAIAAAACUBAABkcnMvZTJvRG9jLnhtbFBLBQYAAAAA&#10;BgAGAFkBAAD4BQAAAAA=&#10;" adj="10800">
                        <v:fill on="f" focussize="0,0"/>
                        <v:stroke weight="0.25pt" color="#000000 [3204]" joinstyle="round" dashstyle="dash" endarrow="block"/>
                        <v:imagedata o:title=""/>
                        <o:lock v:ext="edit" aspectratio="f"/>
                      </v:shape>
                      <v:shape id="直接箭头连接符 19" o:spid="_x0000_s1026" o:spt="32" type="#_x0000_t32" style="position:absolute;left:2341245;top:845820;flip:x;height:245745;width:3175;" filled="f" stroked="t" coordsize="21600,21600" o:gfxdata="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5XyNdYAAAAFAQAADwAAAAAAAAABACAAAAAiAAAAZHJzL2Rvd25yZXYueG1s&#10;UEsBAhQAFAAAAAgAh07iQIlCinozAgAAMwQAAA4AAAAAAAAAAQAgAAAAJQEAAGRycy9lMm9Eb2Mu&#10;eG1sUEsFBgAAAAAGAAYAWQEAAMoFAAAAAA==&#10;">
                        <v:fill on="f" focussize="0,0"/>
                        <v:stroke weight="1pt" color="#000000 [3204]" joinstyle="round" endarrow="block"/>
                        <v:imagedata o:title=""/>
                        <o:lock v:ext="edit" aspectratio="f"/>
                      </v:shape>
                      <w10:wrap type="none"/>
                      <w10:anchorlock/>
                    </v:group>
                  </w:pict>
                </mc:Fallback>
              </mc:AlternateContent>
            </w:r>
          </w:p>
          <w:p w14:paraId="4FEF3AA6">
            <w:pPr>
              <w:pStyle w:val="61"/>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图2-</w:t>
            </w:r>
            <w:r>
              <w:rPr>
                <w:rFonts w:hint="eastAsia" w:ascii="Times New Roman" w:hAnsi="Times New Roman" w:cs="宋体"/>
                <w:b/>
                <w:bCs/>
                <w:color w:val="auto"/>
                <w:spacing w:val="0"/>
                <w:kern w:val="0"/>
                <w:sz w:val="21"/>
                <w:szCs w:val="21"/>
                <w:lang w:val="en-US" w:eastAsia="zh-CN" w:bidi="ar-SA"/>
              </w:rPr>
              <w:t>4</w:t>
            </w:r>
            <w:r>
              <w:rPr>
                <w:rFonts w:hint="eastAsia" w:ascii="Times New Roman" w:hAnsi="Times New Roman" w:eastAsia="宋体" w:cs="宋体"/>
                <w:b/>
                <w:bCs/>
                <w:color w:val="auto"/>
                <w:spacing w:val="0"/>
                <w:kern w:val="0"/>
                <w:sz w:val="21"/>
                <w:szCs w:val="21"/>
                <w:lang w:val="en-US" w:eastAsia="zh-CN" w:bidi="ar-SA"/>
              </w:rPr>
              <w:t xml:space="preserve"> 项目生产工艺流程及产污节点图</w:t>
            </w:r>
          </w:p>
          <w:p w14:paraId="25FD256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rPr>
              <w:t>生产工艺简述：</w:t>
            </w:r>
          </w:p>
          <w:p w14:paraId="65D04C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rPr>
              <w:t>原料</w:t>
            </w:r>
            <w:r>
              <w:rPr>
                <w:rFonts w:hint="eastAsia" w:ascii="Times New Roman" w:hAnsi="Times New Roman" w:eastAsia="宋体" w:cs="Times New Roman"/>
                <w:color w:val="auto"/>
                <w:sz w:val="24"/>
                <w:lang w:eastAsia="zh-CN"/>
              </w:rPr>
              <w:t>入场</w:t>
            </w:r>
          </w:p>
          <w:p w14:paraId="0DF65D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本项目生产的产品原料是</w:t>
            </w:r>
            <w:r>
              <w:rPr>
                <w:rFonts w:hint="eastAsia" w:ascii="Times New Roman" w:hAnsi="Times New Roman" w:eastAsia="宋体" w:cs="Times New Roman"/>
                <w:color w:val="auto"/>
                <w:sz w:val="24"/>
                <w:lang w:eastAsia="zh-CN"/>
              </w:rPr>
              <w:t>向周边外购的</w:t>
            </w:r>
            <w:r>
              <w:rPr>
                <w:rFonts w:hint="eastAsia" w:cs="Times New Roman"/>
                <w:color w:val="auto"/>
                <w:sz w:val="24"/>
                <w:lang w:eastAsia="zh-CN"/>
              </w:rPr>
              <w:t>钢带</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项目</w:t>
            </w:r>
            <w:r>
              <w:rPr>
                <w:rFonts w:hint="eastAsia" w:cs="Times New Roman"/>
                <w:color w:val="auto"/>
                <w:sz w:val="24"/>
                <w:lang w:eastAsia="zh-CN"/>
              </w:rPr>
              <w:t>钢带</w:t>
            </w:r>
            <w:r>
              <w:rPr>
                <w:rFonts w:hint="eastAsia" w:ascii="Times New Roman" w:hAnsi="Times New Roman" w:eastAsia="宋体" w:cs="Times New Roman"/>
                <w:color w:val="auto"/>
                <w:sz w:val="24"/>
                <w:lang w:eastAsia="zh-CN"/>
              </w:rPr>
              <w:t>由原料库运出，钢带由入口钢卷小车将钢卷运往开卷机。</w:t>
            </w:r>
          </w:p>
          <w:p w14:paraId="405044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②开卷</w:t>
            </w:r>
          </w:p>
          <w:p w14:paraId="04B429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钢带</w:t>
            </w:r>
            <w:r>
              <w:rPr>
                <w:rFonts w:hint="eastAsia" w:ascii="Times New Roman" w:hAnsi="Times New Roman" w:eastAsia="宋体" w:cs="Times New Roman"/>
                <w:color w:val="auto"/>
                <w:sz w:val="24"/>
                <w:lang w:val="en-US" w:eastAsia="zh-CN"/>
              </w:rPr>
              <w:t>经过钢卷自动测宽、测外径系统保证钢卷对中的装在开卷机卷筒上。开卷的过程中会有一定的噪声产生。</w:t>
            </w:r>
          </w:p>
          <w:p w14:paraId="6F4EDE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③弯曲成型</w:t>
            </w:r>
          </w:p>
          <w:p w14:paraId="554C95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开卷后</w:t>
            </w:r>
            <w:r>
              <w:rPr>
                <w:rFonts w:hint="eastAsia" w:ascii="Times New Roman" w:hAnsi="Times New Roman" w:eastAsia="宋体" w:cs="Times New Roman"/>
                <w:color w:val="auto"/>
                <w:sz w:val="24"/>
                <w:lang w:val="en-US" w:eastAsia="zh-CN"/>
              </w:rPr>
              <w:t>的</w:t>
            </w:r>
            <w:r>
              <w:rPr>
                <w:rFonts w:hint="eastAsia" w:cs="Times New Roman"/>
                <w:color w:val="auto"/>
                <w:sz w:val="24"/>
                <w:lang w:val="en-US" w:eastAsia="zh-CN"/>
              </w:rPr>
              <w:t>钢带</w:t>
            </w:r>
            <w:r>
              <w:rPr>
                <w:rFonts w:hint="eastAsia" w:ascii="Times New Roman" w:hAnsi="Times New Roman" w:eastAsia="宋体" w:cs="Times New Roman"/>
                <w:color w:val="auto"/>
                <w:sz w:val="24"/>
                <w:lang w:val="en-US" w:eastAsia="zh-CN"/>
              </w:rPr>
              <w:t>进入半成型架，将</w:t>
            </w:r>
            <w:r>
              <w:rPr>
                <w:rFonts w:hint="eastAsia" w:cs="Times New Roman"/>
                <w:color w:val="auto"/>
                <w:sz w:val="24"/>
                <w:lang w:val="en-US" w:eastAsia="zh-CN"/>
              </w:rPr>
              <w:t>钢带</w:t>
            </w:r>
            <w:r>
              <w:rPr>
                <w:rFonts w:hint="eastAsia" w:ascii="Times New Roman" w:hAnsi="Times New Roman" w:eastAsia="宋体" w:cs="Times New Roman"/>
                <w:color w:val="auto"/>
                <w:sz w:val="24"/>
                <w:lang w:val="en-US" w:eastAsia="zh-CN"/>
              </w:rPr>
              <w:t>弯曲成管状。在钢带弯曲过程中会噪声产生。</w:t>
            </w:r>
          </w:p>
          <w:p w14:paraId="4D085D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④</w:t>
            </w:r>
            <w:r>
              <w:rPr>
                <w:rFonts w:hint="eastAsia" w:ascii="Times New Roman" w:hAnsi="Times New Roman" w:eastAsia="宋体" w:cs="Times New Roman"/>
                <w:color w:val="auto"/>
                <w:sz w:val="24"/>
                <w:lang w:val="en-US" w:eastAsia="zh-CN"/>
              </w:rPr>
              <w:t>高频焊接、刮疤</w:t>
            </w:r>
          </w:p>
          <w:p w14:paraId="3E8405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将初步成型的钢管送入高频焊机对钢管的缝隙进行焊接、刮疤，高频焊机利用电流的集肤效应和邻近效应将直缝两端边缘加热融化，并在挤压辊的作用下进行焊接，将钢带的两端完全熔合。经过焊接的焊管表面会产生少量焊疤，利用焊机自带的刮疤刀具刮去焊管表面的凸起，使得焊管表面平整光滑。在此工段需用水冷却焊接的焊管，焊接过程为一边焊接一边冷却，直接冷却水进入循环水池循环使用不外排，焊机的间接冷却水进入循环水池循环使用不外排，并产生机械噪声及焊接烟尘。</w:t>
            </w:r>
          </w:p>
          <w:p w14:paraId="6F0740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⑤</w:t>
            </w:r>
            <w:r>
              <w:rPr>
                <w:rFonts w:hint="eastAsia" w:ascii="Times New Roman" w:hAnsi="Times New Roman" w:eastAsia="宋体" w:cs="Times New Roman"/>
                <w:color w:val="auto"/>
                <w:sz w:val="24"/>
                <w:lang w:val="en-US" w:eastAsia="zh-CN"/>
              </w:rPr>
              <w:t>校直、切割</w:t>
            </w:r>
          </w:p>
          <w:p w14:paraId="6347F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焊接后的焊管使用校直机进行校直，利用飞锯定尺切割机将钢管切割成国标尺寸或客户需求的定制尺寸，即为产品，此过程将产生噪声、切割碎屑和少量切割粉尘。</w:t>
            </w:r>
          </w:p>
          <w:p w14:paraId="05DA44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⑥</w:t>
            </w:r>
            <w:r>
              <w:rPr>
                <w:rFonts w:hint="eastAsia" w:ascii="Times New Roman" w:hAnsi="Times New Roman" w:eastAsia="宋体" w:cs="Times New Roman"/>
                <w:color w:val="auto"/>
                <w:sz w:val="24"/>
                <w:lang w:val="en-US" w:eastAsia="zh-CN"/>
              </w:rPr>
              <w:t>质检、打包入库</w:t>
            </w:r>
          </w:p>
          <w:p w14:paraId="0101E6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通过人工质检的方式，</w:t>
            </w:r>
            <w:r>
              <w:rPr>
                <w:rFonts w:hint="eastAsia" w:ascii="Times New Roman" w:hAnsi="Times New Roman" w:eastAsia="宋体" w:cs="Times New Roman"/>
                <w:color w:val="auto"/>
                <w:sz w:val="24"/>
                <w:lang w:val="en-US" w:eastAsia="zh-CN"/>
              </w:rPr>
              <w:t>质检合格的产品打包入库，不合格产品直接</w:t>
            </w:r>
            <w:r>
              <w:rPr>
                <w:rFonts w:hint="eastAsia" w:cs="Times New Roman"/>
                <w:color w:val="auto"/>
                <w:sz w:val="24"/>
                <w:lang w:val="en-US" w:eastAsia="zh-CN"/>
              </w:rPr>
              <w:t>压扁用于产品包装的打包带</w:t>
            </w:r>
            <w:r>
              <w:rPr>
                <w:rFonts w:hint="eastAsia" w:ascii="Times New Roman" w:hAnsi="Times New Roman" w:eastAsia="宋体" w:cs="Times New Roman"/>
                <w:color w:val="auto"/>
                <w:sz w:val="24"/>
                <w:lang w:val="en-US" w:eastAsia="zh-CN"/>
              </w:rPr>
              <w:t>，此过程将产生噪声、不合格产品。</w:t>
            </w:r>
          </w:p>
          <w:p w14:paraId="0DA522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rPr>
              <w:t>产污节点统计：</w:t>
            </w:r>
          </w:p>
          <w:p w14:paraId="36465C9A">
            <w:pPr>
              <w:tabs>
                <w:tab w:val="right" w:leader="middleDot" w:pos="9450"/>
              </w:tabs>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sz w:val="24"/>
              </w:rPr>
              <w:t>项目生产过程中生产的污染物主要为废气、设备噪声和生活</w:t>
            </w:r>
            <w:r>
              <w:rPr>
                <w:rFonts w:hint="eastAsia" w:ascii="Times New Roman" w:hAnsi="Times New Roman" w:eastAsia="宋体"/>
                <w:color w:val="auto"/>
                <w:sz w:val="24"/>
                <w:lang w:val="en-US" w:eastAsia="zh-CN"/>
              </w:rPr>
              <w:t>污水</w:t>
            </w:r>
            <w:r>
              <w:rPr>
                <w:rFonts w:ascii="Times New Roman" w:hAnsi="Times New Roman" w:eastAsia="宋体"/>
                <w:color w:val="auto"/>
                <w:sz w:val="24"/>
              </w:rPr>
              <w:t>及生活垃圾等，产污环节见下表。</w:t>
            </w:r>
          </w:p>
          <w:p w14:paraId="1B78B9CD">
            <w:pPr>
              <w:spacing w:line="300" w:lineRule="auto"/>
              <w:jc w:val="center"/>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表2-10     项目产污环节</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942"/>
              <w:gridCol w:w="1574"/>
              <w:gridCol w:w="1167"/>
              <w:gridCol w:w="3335"/>
            </w:tblGrid>
            <w:tr w14:paraId="7EF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pct"/>
                  <w:shd w:val="clear" w:color="auto" w:fill="D9D9D9"/>
                  <w:noWrap w:val="0"/>
                  <w:vAlign w:val="center"/>
                </w:tcPr>
                <w:p w14:paraId="4722ED6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污染类别</w:t>
                  </w:r>
                </w:p>
              </w:tc>
              <w:tc>
                <w:tcPr>
                  <w:tcW w:w="569" w:type="pct"/>
                  <w:shd w:val="clear" w:color="auto" w:fill="D9D9D9"/>
                  <w:noWrap w:val="0"/>
                  <w:vAlign w:val="center"/>
                </w:tcPr>
                <w:p w14:paraId="228E19F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编号</w:t>
                  </w:r>
                </w:p>
              </w:tc>
              <w:tc>
                <w:tcPr>
                  <w:tcW w:w="951" w:type="pct"/>
                  <w:shd w:val="clear" w:color="auto" w:fill="D9D9D9"/>
                  <w:noWrap w:val="0"/>
                  <w:vAlign w:val="center"/>
                </w:tcPr>
                <w:p w14:paraId="353954D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产污节点</w:t>
                  </w:r>
                </w:p>
              </w:tc>
              <w:tc>
                <w:tcPr>
                  <w:tcW w:w="705" w:type="pct"/>
                  <w:shd w:val="clear" w:color="auto" w:fill="D9D9D9"/>
                  <w:noWrap w:val="0"/>
                  <w:vAlign w:val="center"/>
                </w:tcPr>
                <w:p w14:paraId="2164A39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成分</w:t>
                  </w:r>
                </w:p>
              </w:tc>
              <w:tc>
                <w:tcPr>
                  <w:tcW w:w="2015" w:type="pct"/>
                  <w:shd w:val="clear" w:color="auto" w:fill="D9D9D9"/>
                  <w:noWrap w:val="0"/>
                  <w:vAlign w:val="center"/>
                </w:tcPr>
                <w:p w14:paraId="3B58736B">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主要污染物</w:t>
                  </w:r>
                </w:p>
              </w:tc>
            </w:tr>
            <w:tr w14:paraId="70B7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restart"/>
                  <w:noWrap w:val="0"/>
                  <w:vAlign w:val="center"/>
                </w:tcPr>
                <w:p w14:paraId="47B9A74C">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rPr>
                  </w:pPr>
                  <w:r>
                    <w:rPr>
                      <w:rFonts w:ascii="Times New Roman" w:hAnsi="Times New Roman" w:eastAsia="宋体"/>
                      <w:snapToGrid w:val="0"/>
                      <w:color w:val="auto"/>
                      <w:kern w:val="0"/>
                      <w:szCs w:val="21"/>
                    </w:rPr>
                    <w:t>废水</w:t>
                  </w:r>
                </w:p>
              </w:tc>
              <w:tc>
                <w:tcPr>
                  <w:tcW w:w="569" w:type="pct"/>
                  <w:noWrap w:val="0"/>
                  <w:vAlign w:val="center"/>
                </w:tcPr>
                <w:p w14:paraId="641C00A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W1</w:t>
                  </w:r>
                </w:p>
              </w:tc>
              <w:tc>
                <w:tcPr>
                  <w:tcW w:w="951" w:type="pct"/>
                  <w:noWrap w:val="0"/>
                  <w:vAlign w:val="center"/>
                </w:tcPr>
                <w:p w14:paraId="103B271E">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焊接冷却</w:t>
                  </w:r>
                </w:p>
              </w:tc>
              <w:tc>
                <w:tcPr>
                  <w:tcW w:w="705" w:type="pct"/>
                  <w:noWrap w:val="0"/>
                  <w:vAlign w:val="center"/>
                </w:tcPr>
                <w:p w14:paraId="513AEB4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冷却水</w:t>
                  </w:r>
                </w:p>
              </w:tc>
              <w:tc>
                <w:tcPr>
                  <w:tcW w:w="2015" w:type="pct"/>
                  <w:noWrap w:val="0"/>
                  <w:vAlign w:val="center"/>
                </w:tcPr>
                <w:p w14:paraId="3B8E1B78">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SS、TDS</w:t>
                  </w:r>
                </w:p>
              </w:tc>
            </w:tr>
            <w:tr w14:paraId="316C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continue"/>
                  <w:noWrap w:val="0"/>
                  <w:vAlign w:val="center"/>
                </w:tcPr>
                <w:p w14:paraId="501646A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rPr>
                  </w:pPr>
                </w:p>
              </w:tc>
              <w:tc>
                <w:tcPr>
                  <w:tcW w:w="569" w:type="pct"/>
                  <w:noWrap w:val="0"/>
                  <w:vAlign w:val="center"/>
                </w:tcPr>
                <w:p w14:paraId="03EBCAD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951" w:type="pct"/>
                  <w:noWrap w:val="0"/>
                  <w:vAlign w:val="center"/>
                </w:tcPr>
                <w:p w14:paraId="01307F4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员工</w:t>
                  </w:r>
                </w:p>
              </w:tc>
              <w:tc>
                <w:tcPr>
                  <w:tcW w:w="705" w:type="pct"/>
                  <w:noWrap w:val="0"/>
                  <w:vAlign w:val="center"/>
                </w:tcPr>
                <w:p w14:paraId="6CE16E80">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生活污水</w:t>
                  </w:r>
                </w:p>
              </w:tc>
              <w:tc>
                <w:tcPr>
                  <w:tcW w:w="2015" w:type="pct"/>
                  <w:noWrap w:val="0"/>
                  <w:vAlign w:val="center"/>
                </w:tcPr>
                <w:p w14:paraId="6736494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COD、BOD</w:t>
                  </w:r>
                  <w:r>
                    <w:rPr>
                      <w:rFonts w:ascii="Times New Roman" w:hAnsi="Times New Roman" w:eastAsia="宋体"/>
                      <w:snapToGrid w:val="0"/>
                      <w:color w:val="auto"/>
                      <w:kern w:val="0"/>
                      <w:szCs w:val="21"/>
                      <w:vertAlign w:val="subscript"/>
                      <w:lang w:val="zh-CN"/>
                    </w:rPr>
                    <w:t>5</w:t>
                  </w:r>
                  <w:r>
                    <w:rPr>
                      <w:rFonts w:ascii="Times New Roman" w:hAnsi="Times New Roman" w:eastAsia="宋体"/>
                      <w:snapToGrid w:val="0"/>
                      <w:color w:val="auto"/>
                      <w:kern w:val="0"/>
                      <w:szCs w:val="21"/>
                      <w:lang w:val="zh-CN"/>
                    </w:rPr>
                    <w:t>、SS、NH</w:t>
                  </w:r>
                  <w:r>
                    <w:rPr>
                      <w:rFonts w:ascii="Times New Roman" w:hAnsi="Times New Roman" w:eastAsia="宋体"/>
                      <w:snapToGrid w:val="0"/>
                      <w:color w:val="auto"/>
                      <w:kern w:val="0"/>
                      <w:szCs w:val="21"/>
                      <w:vertAlign w:val="subscript"/>
                      <w:lang w:val="zh-CN"/>
                    </w:rPr>
                    <w:t>3</w:t>
                  </w:r>
                  <w:r>
                    <w:rPr>
                      <w:rFonts w:ascii="Times New Roman" w:hAnsi="Times New Roman" w:eastAsia="宋体"/>
                      <w:snapToGrid w:val="0"/>
                      <w:color w:val="auto"/>
                      <w:kern w:val="0"/>
                      <w:szCs w:val="21"/>
                      <w:lang w:val="zh-CN"/>
                    </w:rPr>
                    <w:t>-N、TP等</w:t>
                  </w:r>
                </w:p>
              </w:tc>
            </w:tr>
            <w:tr w14:paraId="2989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58" w:type="pct"/>
                  <w:vMerge w:val="restart"/>
                  <w:noWrap w:val="0"/>
                  <w:vAlign w:val="center"/>
                </w:tcPr>
                <w:p w14:paraId="3D83B8F9">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废气</w:t>
                  </w:r>
                </w:p>
              </w:tc>
              <w:tc>
                <w:tcPr>
                  <w:tcW w:w="569" w:type="pct"/>
                  <w:noWrap w:val="0"/>
                  <w:vAlign w:val="center"/>
                </w:tcPr>
                <w:p w14:paraId="7D197857">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snapToGrid w:val="0"/>
                      <w:color w:val="auto"/>
                      <w:kern w:val="0"/>
                      <w:szCs w:val="21"/>
                      <w:lang w:val="en-US" w:eastAsia="zh-CN"/>
                    </w:rPr>
                    <w:t>T1</w:t>
                  </w:r>
                </w:p>
              </w:tc>
              <w:tc>
                <w:tcPr>
                  <w:tcW w:w="951" w:type="pct"/>
                  <w:noWrap w:val="0"/>
                  <w:vAlign w:val="center"/>
                </w:tcPr>
                <w:p w14:paraId="6955EF5F">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eastAsia="zh-CN"/>
                    </w:rPr>
                  </w:pPr>
                  <w:r>
                    <w:rPr>
                      <w:rFonts w:hint="eastAsia" w:ascii="Times New Roman" w:hAnsi="Times New Roman" w:eastAsia="宋体"/>
                      <w:snapToGrid w:val="0"/>
                      <w:color w:val="auto"/>
                      <w:kern w:val="0"/>
                      <w:szCs w:val="21"/>
                      <w:lang w:val="en-US" w:eastAsia="zh-CN"/>
                    </w:rPr>
                    <w:t>焊接</w:t>
                  </w:r>
                </w:p>
              </w:tc>
              <w:tc>
                <w:tcPr>
                  <w:tcW w:w="705" w:type="pct"/>
                  <w:noWrap w:val="0"/>
                  <w:vAlign w:val="center"/>
                </w:tcPr>
                <w:p w14:paraId="1AE23FA5">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eastAsia="zh-CN"/>
                    </w:rPr>
                  </w:pPr>
                  <w:r>
                    <w:rPr>
                      <w:rFonts w:hint="eastAsia" w:ascii="Times New Roman" w:hAnsi="Times New Roman" w:eastAsia="宋体"/>
                      <w:snapToGrid w:val="0"/>
                      <w:color w:val="auto"/>
                      <w:kern w:val="0"/>
                      <w:szCs w:val="21"/>
                      <w:lang w:val="en-US" w:eastAsia="zh-CN"/>
                    </w:rPr>
                    <w:t>焊接烟尘</w:t>
                  </w:r>
                </w:p>
              </w:tc>
              <w:tc>
                <w:tcPr>
                  <w:tcW w:w="2015" w:type="pct"/>
                  <w:noWrap w:val="0"/>
                  <w:vAlign w:val="center"/>
                </w:tcPr>
                <w:p w14:paraId="037E3645">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颗粒物</w:t>
                  </w:r>
                </w:p>
              </w:tc>
            </w:tr>
            <w:tr w14:paraId="2C46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58" w:type="pct"/>
                  <w:vMerge w:val="continue"/>
                  <w:noWrap w:val="0"/>
                  <w:vAlign w:val="center"/>
                </w:tcPr>
                <w:p w14:paraId="41333DC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67AE47D9">
                  <w:pPr>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T</w:t>
                  </w:r>
                  <w:r>
                    <w:rPr>
                      <w:rFonts w:hint="eastAsia"/>
                      <w:snapToGrid w:val="0"/>
                      <w:color w:val="auto"/>
                      <w:kern w:val="0"/>
                      <w:szCs w:val="21"/>
                      <w:lang w:val="en-US" w:eastAsia="zh-CN"/>
                    </w:rPr>
                    <w:t>2</w:t>
                  </w:r>
                </w:p>
              </w:tc>
              <w:tc>
                <w:tcPr>
                  <w:tcW w:w="951" w:type="pct"/>
                  <w:noWrap w:val="0"/>
                  <w:vAlign w:val="center"/>
                </w:tcPr>
                <w:p w14:paraId="0821AA84">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切割</w:t>
                  </w:r>
                </w:p>
              </w:tc>
              <w:tc>
                <w:tcPr>
                  <w:tcW w:w="705" w:type="pct"/>
                  <w:noWrap w:val="0"/>
                  <w:vAlign w:val="center"/>
                </w:tcPr>
                <w:p w14:paraId="021E9CCF">
                  <w:pPr>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en-US" w:eastAsia="zh-CN"/>
                    </w:rPr>
                    <w:t>切割粉尘</w:t>
                  </w:r>
                </w:p>
              </w:tc>
              <w:tc>
                <w:tcPr>
                  <w:tcW w:w="2015" w:type="pct"/>
                  <w:noWrap w:val="0"/>
                  <w:vAlign w:val="center"/>
                </w:tcPr>
                <w:p w14:paraId="4D00B7DB">
                  <w:pPr>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颗粒物</w:t>
                  </w:r>
                </w:p>
              </w:tc>
            </w:tr>
            <w:tr w14:paraId="2BAD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vMerge w:val="continue"/>
                  <w:noWrap w:val="0"/>
                  <w:vAlign w:val="center"/>
                </w:tcPr>
                <w:p w14:paraId="13936BF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18BADF4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rPr>
                  </w:pPr>
                  <w:r>
                    <w:rPr>
                      <w:rFonts w:hint="eastAsia" w:ascii="Times New Roman" w:hAnsi="Times New Roman" w:eastAsia="宋体"/>
                      <w:snapToGrid w:val="0"/>
                      <w:color w:val="auto"/>
                      <w:kern w:val="0"/>
                      <w:szCs w:val="21"/>
                      <w:lang w:val="en-US" w:eastAsia="zh-CN"/>
                    </w:rPr>
                    <w:t>S</w:t>
                  </w:r>
                  <w:r>
                    <w:rPr>
                      <w:rFonts w:hint="eastAsia"/>
                      <w:snapToGrid w:val="0"/>
                      <w:color w:val="auto"/>
                      <w:kern w:val="0"/>
                      <w:szCs w:val="21"/>
                      <w:lang w:val="en-US" w:eastAsia="zh-CN"/>
                    </w:rPr>
                    <w:t>1</w:t>
                  </w:r>
                </w:p>
              </w:tc>
              <w:tc>
                <w:tcPr>
                  <w:tcW w:w="951" w:type="pct"/>
                  <w:shd w:val="clear" w:color="auto" w:fill="auto"/>
                  <w:noWrap w:val="0"/>
                  <w:vAlign w:val="center"/>
                </w:tcPr>
                <w:p w14:paraId="0DD276D1">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snapToGrid w:val="0"/>
                      <w:color w:val="auto"/>
                      <w:kern w:val="0"/>
                      <w:szCs w:val="21"/>
                      <w:lang w:val="en-US" w:eastAsia="zh-CN"/>
                    </w:rPr>
                    <w:t>刮疤</w:t>
                  </w:r>
                </w:p>
              </w:tc>
              <w:tc>
                <w:tcPr>
                  <w:tcW w:w="2720" w:type="pct"/>
                  <w:gridSpan w:val="2"/>
                  <w:noWrap w:val="0"/>
                  <w:vAlign w:val="center"/>
                </w:tcPr>
                <w:p w14:paraId="5A701085">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废弃边角料</w:t>
                  </w:r>
                </w:p>
              </w:tc>
            </w:tr>
            <w:tr w14:paraId="0FA4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vMerge w:val="continue"/>
                  <w:noWrap w:val="0"/>
                  <w:vAlign w:val="center"/>
                </w:tcPr>
                <w:p w14:paraId="363549B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0B33A80F">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S</w:t>
                  </w:r>
                  <w:r>
                    <w:rPr>
                      <w:rFonts w:hint="eastAsia"/>
                      <w:snapToGrid w:val="0"/>
                      <w:color w:val="auto"/>
                      <w:kern w:val="0"/>
                      <w:szCs w:val="21"/>
                      <w:lang w:val="en-US" w:eastAsia="zh-CN"/>
                    </w:rPr>
                    <w:t>2</w:t>
                  </w:r>
                </w:p>
              </w:tc>
              <w:tc>
                <w:tcPr>
                  <w:tcW w:w="951" w:type="pct"/>
                  <w:shd w:val="clear" w:color="auto" w:fill="auto"/>
                  <w:noWrap w:val="0"/>
                  <w:vAlign w:val="center"/>
                </w:tcPr>
                <w:p w14:paraId="22AB9F5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snapToGrid w:val="0"/>
                      <w:color w:val="auto"/>
                      <w:kern w:val="0"/>
                      <w:szCs w:val="21"/>
                      <w:lang w:val="en-US" w:eastAsia="zh-CN"/>
                    </w:rPr>
                    <w:t>切割</w:t>
                  </w:r>
                </w:p>
              </w:tc>
              <w:tc>
                <w:tcPr>
                  <w:tcW w:w="2720" w:type="pct"/>
                  <w:gridSpan w:val="2"/>
                  <w:noWrap w:val="0"/>
                  <w:vAlign w:val="center"/>
                </w:tcPr>
                <w:p w14:paraId="589558C6">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切割碎屑</w:t>
                  </w:r>
                </w:p>
              </w:tc>
            </w:tr>
            <w:tr w14:paraId="7839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vMerge w:val="continue"/>
                  <w:noWrap w:val="0"/>
                  <w:vAlign w:val="center"/>
                </w:tcPr>
                <w:p w14:paraId="3115F67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523D27C7">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S</w:t>
                  </w:r>
                  <w:r>
                    <w:rPr>
                      <w:rFonts w:hint="eastAsia"/>
                      <w:snapToGrid w:val="0"/>
                      <w:color w:val="auto"/>
                      <w:kern w:val="0"/>
                      <w:szCs w:val="21"/>
                      <w:lang w:val="en-US" w:eastAsia="zh-CN"/>
                    </w:rPr>
                    <w:t>3</w:t>
                  </w:r>
                </w:p>
              </w:tc>
              <w:tc>
                <w:tcPr>
                  <w:tcW w:w="951" w:type="pct"/>
                  <w:shd w:val="clear" w:color="auto" w:fill="auto"/>
                  <w:noWrap w:val="0"/>
                  <w:vAlign w:val="center"/>
                </w:tcPr>
                <w:p w14:paraId="74B866F9">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snapToGrid w:val="0"/>
                      <w:color w:val="auto"/>
                      <w:kern w:val="0"/>
                      <w:szCs w:val="21"/>
                      <w:lang w:val="en-US" w:eastAsia="zh-CN"/>
                    </w:rPr>
                    <w:t>冷却沉淀水池</w:t>
                  </w:r>
                </w:p>
              </w:tc>
              <w:tc>
                <w:tcPr>
                  <w:tcW w:w="2720" w:type="pct"/>
                  <w:gridSpan w:val="2"/>
                  <w:noWrap w:val="0"/>
                  <w:vAlign w:val="center"/>
                </w:tcPr>
                <w:p w14:paraId="139F2D0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snapToGrid w:val="0"/>
                      <w:color w:val="auto"/>
                      <w:kern w:val="0"/>
                      <w:szCs w:val="21"/>
                      <w:lang w:val="en-US" w:eastAsia="zh-CN"/>
                    </w:rPr>
                    <w:t>循环水池沉渣</w:t>
                  </w:r>
                </w:p>
              </w:tc>
            </w:tr>
            <w:tr w14:paraId="4F26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pct"/>
                  <w:vMerge w:val="continue"/>
                  <w:noWrap w:val="0"/>
                  <w:vAlign w:val="center"/>
                </w:tcPr>
                <w:p w14:paraId="15BADEB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6EB4D26B">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snapToGrid w:val="0"/>
                      <w:color w:val="auto"/>
                      <w:kern w:val="0"/>
                      <w:szCs w:val="21"/>
                      <w:lang w:val="en-US" w:eastAsia="zh-CN"/>
                    </w:rPr>
                    <w:t>S4</w:t>
                  </w:r>
                </w:p>
              </w:tc>
              <w:tc>
                <w:tcPr>
                  <w:tcW w:w="951" w:type="pct"/>
                  <w:shd w:val="clear" w:color="auto" w:fill="auto"/>
                  <w:noWrap w:val="0"/>
                  <w:vAlign w:val="center"/>
                </w:tcPr>
                <w:p w14:paraId="21E485DC">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snapToGrid w:val="0"/>
                      <w:color w:val="auto"/>
                      <w:kern w:val="0"/>
                      <w:szCs w:val="21"/>
                      <w:lang w:val="en-US" w:eastAsia="zh-CN"/>
                    </w:rPr>
                    <w:t>质检</w:t>
                  </w:r>
                </w:p>
              </w:tc>
              <w:tc>
                <w:tcPr>
                  <w:tcW w:w="2720" w:type="pct"/>
                  <w:gridSpan w:val="2"/>
                  <w:noWrap w:val="0"/>
                  <w:vAlign w:val="center"/>
                </w:tcPr>
                <w:p w14:paraId="5454F84D">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en-US" w:eastAsia="zh-CN"/>
                    </w:rPr>
                  </w:pPr>
                  <w:r>
                    <w:rPr>
                      <w:rFonts w:hint="eastAsia"/>
                      <w:snapToGrid w:val="0"/>
                      <w:color w:val="auto"/>
                      <w:kern w:val="0"/>
                      <w:szCs w:val="21"/>
                      <w:lang w:val="en-US" w:eastAsia="zh-CN"/>
                    </w:rPr>
                    <w:t>不合格品</w:t>
                  </w:r>
                </w:p>
              </w:tc>
            </w:tr>
            <w:tr w14:paraId="5E55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continue"/>
                  <w:noWrap w:val="0"/>
                  <w:vAlign w:val="center"/>
                </w:tcPr>
                <w:p w14:paraId="68318DB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107C84C4">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951" w:type="pct"/>
                  <w:noWrap w:val="0"/>
                  <w:vAlign w:val="center"/>
                </w:tcPr>
                <w:p w14:paraId="293A29FD">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设备维护</w:t>
                  </w:r>
                </w:p>
              </w:tc>
              <w:tc>
                <w:tcPr>
                  <w:tcW w:w="2720" w:type="pct"/>
                  <w:gridSpan w:val="2"/>
                  <w:noWrap w:val="0"/>
                  <w:vAlign w:val="center"/>
                </w:tcPr>
                <w:p w14:paraId="64F1723A">
                  <w:pPr>
                    <w:widowControl/>
                    <w:tabs>
                      <w:tab w:val="left" w:pos="-2400"/>
                      <w:tab w:val="left" w:pos="1320"/>
                      <w:tab w:val="left" w:pos="3878"/>
                      <w:tab w:val="left" w:pos="6080"/>
                      <w:tab w:val="left" w:pos="6580"/>
                      <w:tab w:val="left" w:pos="8137"/>
                    </w:tabs>
                    <w:adjustRightInd w:val="0"/>
                    <w:snapToGrid w:val="0"/>
                    <w:jc w:val="center"/>
                    <w:textAlignment w:val="center"/>
                    <w:rPr>
                      <w:rFonts w:hint="default" w:ascii="Times New Roman" w:hAnsi="Times New Roman" w:eastAsia="宋体"/>
                      <w:snapToGrid w:val="0"/>
                      <w:color w:val="auto"/>
                      <w:kern w:val="0"/>
                      <w:szCs w:val="21"/>
                      <w:lang w:val="en-US" w:eastAsia="zh-CN"/>
                    </w:rPr>
                  </w:pPr>
                  <w:r>
                    <w:rPr>
                      <w:rFonts w:hint="eastAsia" w:ascii="Times New Roman" w:hAnsi="Times New Roman" w:eastAsia="宋体"/>
                      <w:snapToGrid w:val="0"/>
                      <w:color w:val="auto"/>
                      <w:kern w:val="0"/>
                      <w:szCs w:val="21"/>
                      <w:lang w:val="en-US" w:eastAsia="zh-CN"/>
                    </w:rPr>
                    <w:t>废机油、废液压油</w:t>
                  </w:r>
                </w:p>
              </w:tc>
            </w:tr>
            <w:tr w14:paraId="0DCD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continue"/>
                  <w:noWrap w:val="0"/>
                  <w:vAlign w:val="center"/>
                </w:tcPr>
                <w:p w14:paraId="2B397DE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78939208">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951" w:type="pct"/>
                  <w:noWrap w:val="0"/>
                  <w:vAlign w:val="center"/>
                </w:tcPr>
                <w:p w14:paraId="376D9BE6">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员工生活</w:t>
                  </w:r>
                </w:p>
              </w:tc>
              <w:tc>
                <w:tcPr>
                  <w:tcW w:w="2720" w:type="pct"/>
                  <w:gridSpan w:val="2"/>
                  <w:noWrap w:val="0"/>
                  <w:vAlign w:val="center"/>
                </w:tcPr>
                <w:p w14:paraId="54C5B9C0">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生活垃圾</w:t>
                  </w:r>
                </w:p>
              </w:tc>
            </w:tr>
            <w:tr w14:paraId="6369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continue"/>
                  <w:noWrap w:val="0"/>
                  <w:vAlign w:val="center"/>
                </w:tcPr>
                <w:p w14:paraId="3904B5D8">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p>
              </w:tc>
              <w:tc>
                <w:tcPr>
                  <w:tcW w:w="569" w:type="pct"/>
                  <w:noWrap w:val="0"/>
                  <w:vAlign w:val="center"/>
                </w:tcPr>
                <w:p w14:paraId="5FC39EAF">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hint="eastAsia" w:ascii="Times New Roman" w:hAnsi="Times New Roman" w:eastAsia="宋体"/>
                      <w:snapToGrid w:val="0"/>
                      <w:color w:val="auto"/>
                      <w:kern w:val="0"/>
                      <w:szCs w:val="21"/>
                      <w:lang w:val="zh-CN"/>
                    </w:rPr>
                    <w:t>——</w:t>
                  </w:r>
                </w:p>
              </w:tc>
              <w:tc>
                <w:tcPr>
                  <w:tcW w:w="951" w:type="pct"/>
                  <w:noWrap w:val="0"/>
                  <w:vAlign w:val="center"/>
                </w:tcPr>
                <w:p w14:paraId="7CC9882E">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化粪池</w:t>
                  </w:r>
                </w:p>
              </w:tc>
              <w:tc>
                <w:tcPr>
                  <w:tcW w:w="2720" w:type="pct"/>
                  <w:gridSpan w:val="2"/>
                  <w:noWrap w:val="0"/>
                  <w:vAlign w:val="center"/>
                </w:tcPr>
                <w:p w14:paraId="2E24984D">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化粪池污泥</w:t>
                  </w:r>
                </w:p>
              </w:tc>
            </w:tr>
            <w:tr w14:paraId="7B2D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0E24AE64">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噪声</w:t>
                  </w:r>
                </w:p>
              </w:tc>
              <w:tc>
                <w:tcPr>
                  <w:tcW w:w="569" w:type="pct"/>
                  <w:noWrap w:val="0"/>
                  <w:vAlign w:val="center"/>
                </w:tcPr>
                <w:p w14:paraId="65B7F122">
                  <w:pPr>
                    <w:widowControl/>
                    <w:tabs>
                      <w:tab w:val="left" w:pos="-2400"/>
                      <w:tab w:val="left" w:pos="1320"/>
                      <w:tab w:val="left" w:pos="3878"/>
                      <w:tab w:val="left" w:pos="6080"/>
                      <w:tab w:val="left" w:pos="6580"/>
                      <w:tab w:val="left" w:pos="8137"/>
                    </w:tabs>
                    <w:adjustRightInd w:val="0"/>
                    <w:snapToGrid w:val="0"/>
                    <w:jc w:val="center"/>
                    <w:textAlignment w:val="center"/>
                    <w:rPr>
                      <w:rFonts w:hint="eastAsia" w:ascii="Times New Roman" w:hAnsi="Times New Roman" w:eastAsia="宋体"/>
                      <w:bCs/>
                      <w:snapToGrid w:val="0"/>
                      <w:color w:val="auto"/>
                      <w:kern w:val="0"/>
                      <w:szCs w:val="21"/>
                      <w:lang w:val="en-US" w:eastAsia="zh-CN"/>
                    </w:rPr>
                  </w:pPr>
                  <w:r>
                    <w:rPr>
                      <w:rFonts w:ascii="Times New Roman" w:hAnsi="Times New Roman" w:eastAsia="宋体"/>
                      <w:bCs/>
                      <w:snapToGrid w:val="0"/>
                      <w:color w:val="auto"/>
                      <w:kern w:val="0"/>
                      <w:szCs w:val="21"/>
                      <w:lang w:val="zh-CN"/>
                    </w:rPr>
                    <w:t>N1-N</w:t>
                  </w:r>
                  <w:r>
                    <w:rPr>
                      <w:rFonts w:hint="eastAsia"/>
                      <w:bCs/>
                      <w:snapToGrid w:val="0"/>
                      <w:color w:val="auto"/>
                      <w:kern w:val="0"/>
                      <w:szCs w:val="21"/>
                      <w:lang w:val="en-US" w:eastAsia="zh-CN"/>
                    </w:rPr>
                    <w:t>4</w:t>
                  </w:r>
                </w:p>
              </w:tc>
              <w:tc>
                <w:tcPr>
                  <w:tcW w:w="951" w:type="pct"/>
                  <w:noWrap w:val="0"/>
                  <w:vAlign w:val="center"/>
                </w:tcPr>
                <w:p w14:paraId="5015E9D1">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生产加工设备</w:t>
                  </w:r>
                </w:p>
              </w:tc>
              <w:tc>
                <w:tcPr>
                  <w:tcW w:w="705" w:type="pct"/>
                  <w:noWrap w:val="0"/>
                  <w:vAlign w:val="center"/>
                </w:tcPr>
                <w:p w14:paraId="2425E003">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设备噪声</w:t>
                  </w:r>
                </w:p>
              </w:tc>
              <w:tc>
                <w:tcPr>
                  <w:tcW w:w="2015" w:type="pct"/>
                  <w:noWrap w:val="0"/>
                  <w:vAlign w:val="center"/>
                </w:tcPr>
                <w:p w14:paraId="2F572226">
                  <w:pPr>
                    <w:widowControl/>
                    <w:tabs>
                      <w:tab w:val="left" w:pos="-2400"/>
                      <w:tab w:val="left" w:pos="1320"/>
                      <w:tab w:val="left" w:pos="3878"/>
                      <w:tab w:val="left" w:pos="6080"/>
                      <w:tab w:val="left" w:pos="6580"/>
                      <w:tab w:val="left" w:pos="8137"/>
                    </w:tabs>
                    <w:adjustRightInd w:val="0"/>
                    <w:snapToGrid w:val="0"/>
                    <w:jc w:val="center"/>
                    <w:textAlignment w:val="center"/>
                    <w:rPr>
                      <w:rFonts w:ascii="Times New Roman" w:hAnsi="Times New Roman" w:eastAsia="宋体"/>
                      <w:snapToGrid w:val="0"/>
                      <w:color w:val="auto"/>
                      <w:kern w:val="0"/>
                      <w:szCs w:val="21"/>
                      <w:lang w:val="zh-CN"/>
                    </w:rPr>
                  </w:pPr>
                  <w:r>
                    <w:rPr>
                      <w:rFonts w:ascii="Times New Roman" w:hAnsi="Times New Roman" w:eastAsia="宋体"/>
                      <w:snapToGrid w:val="0"/>
                      <w:color w:val="auto"/>
                      <w:kern w:val="0"/>
                      <w:szCs w:val="21"/>
                      <w:lang w:val="zh-CN"/>
                    </w:rPr>
                    <w:t>LeqdB（A）</w:t>
                  </w:r>
                </w:p>
              </w:tc>
            </w:tr>
          </w:tbl>
          <w:p w14:paraId="7585C7B2">
            <w:pPr>
              <w:pStyle w:val="61"/>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ascii="Times New Roman" w:hAnsi="Times New Roman" w:eastAsia="宋体"/>
                <w:color w:val="auto"/>
                <w:sz w:val="10"/>
                <w:szCs w:val="10"/>
              </w:rPr>
            </w:pPr>
          </w:p>
        </w:tc>
      </w:tr>
      <w:tr w14:paraId="65357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0" w:hRule="atLeast"/>
          <w:jc w:val="center"/>
        </w:trPr>
        <w:tc>
          <w:tcPr>
            <w:tcW w:w="483" w:type="dxa"/>
            <w:vAlign w:val="center"/>
          </w:tcPr>
          <w:p w14:paraId="06A730E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jc w:val="center"/>
              <w:textAlignment w:val="auto"/>
              <w:rPr>
                <w:rFonts w:ascii="Times New Roman" w:hAnsi="Times New Roman" w:eastAsia="宋体" w:cs="宋体"/>
                <w:b/>
                <w:bCs/>
                <w:color w:val="auto"/>
                <w:szCs w:val="24"/>
              </w:rPr>
            </w:pPr>
            <w:r>
              <w:rPr>
                <w:rFonts w:hint="eastAsia" w:ascii="Times New Roman" w:hAnsi="Times New Roman" w:eastAsia="宋体" w:cs="宋体"/>
                <w:b/>
                <w:bCs/>
                <w:color w:val="auto"/>
                <w:kern w:val="2"/>
                <w:szCs w:val="24"/>
              </w:rPr>
              <w:t>与项目有关的原有环境污染问题</w:t>
            </w:r>
          </w:p>
        </w:tc>
        <w:tc>
          <w:tcPr>
            <w:tcW w:w="8501" w:type="dxa"/>
          </w:tcPr>
          <w:p w14:paraId="6267B400">
            <w:pPr>
              <w:pStyle w:val="61"/>
              <w:ind w:firstLine="480"/>
              <w:rPr>
                <w:rFonts w:ascii="Times New Roman" w:hAnsi="Times New Roman" w:eastAsia="宋体"/>
                <w:color w:val="auto"/>
              </w:rPr>
            </w:pPr>
            <w:r>
              <w:rPr>
                <w:rFonts w:hint="eastAsia" w:ascii="Times New Roman" w:hAnsi="Times New Roman" w:eastAsia="宋体" w:cs="宋体"/>
                <w:color w:val="auto"/>
                <w:sz w:val="24"/>
                <w:lang w:eastAsia="zh-CN"/>
              </w:rPr>
              <w:t>云南通海佳康型材有限公司</w:t>
            </w:r>
            <w:r>
              <w:rPr>
                <w:rFonts w:hint="eastAsia" w:ascii="Times New Roman" w:hAnsi="Times New Roman"/>
                <w:color w:val="auto"/>
                <w:sz w:val="24"/>
                <w:lang w:eastAsia="zh-CN"/>
              </w:rPr>
              <w:t>拟租用项目原有经营企</w:t>
            </w:r>
            <w:r>
              <w:rPr>
                <w:rFonts w:hint="eastAsia" w:ascii="Times New Roman" w:hAnsi="Times New Roman" w:eastAsia="宋体" w:cs="宋体"/>
                <w:color w:val="auto"/>
                <w:sz w:val="24"/>
                <w:lang w:eastAsia="zh-CN"/>
              </w:rPr>
              <w:t>业为</w:t>
            </w:r>
            <w:r>
              <w:rPr>
                <w:rFonts w:hint="eastAsia" w:ascii="Times New Roman" w:hAnsi="Times New Roman" w:eastAsia="宋体" w:cs="宋体"/>
                <w:color w:val="auto"/>
                <w:sz w:val="24"/>
                <w:lang w:val="en-US" w:eastAsia="zh-CN"/>
              </w:rPr>
              <w:t>通海大白龙工贸有限公司，该公司是一家从事通用设备制造为主的企业，因市场原因，该公司已停产多年，</w:t>
            </w:r>
            <w:r>
              <w:rPr>
                <w:rFonts w:hint="eastAsia"/>
                <w:color w:val="auto"/>
                <w:lang w:val="en-US" w:eastAsia="zh-CN"/>
              </w:rPr>
              <w:t>本项目租用该公司的闲置厂房及场地进行建设，保留已有的办公室及</w:t>
            </w:r>
            <w:r>
              <w:rPr>
                <w:rFonts w:hint="default"/>
                <w:color w:val="auto"/>
                <w:lang w:val="en-US" w:eastAsia="zh-CN"/>
              </w:rPr>
              <w:t>水电管网等相关配套设施</w:t>
            </w:r>
            <w:r>
              <w:rPr>
                <w:rFonts w:hint="eastAsia"/>
                <w:color w:val="auto"/>
                <w:lang w:val="en-US" w:eastAsia="zh-CN"/>
              </w:rPr>
              <w:t>。由于原项目建设时间较早，未办理过环评手续，本项目在租用时，原项目已经停产，生产设备已全部拆除，根据现场踏勘现状无遗留的环境污染问题。</w:t>
            </w:r>
          </w:p>
        </w:tc>
      </w:tr>
    </w:tbl>
    <w:p w14:paraId="4853D1CE">
      <w:pPr>
        <w:pStyle w:val="19"/>
        <w:jc w:val="center"/>
        <w:rPr>
          <w:rFonts w:ascii="Times New Roman" w:hAnsi="Times New Roman" w:eastAsia="宋体"/>
          <w:snapToGrid w:val="0"/>
          <w:color w:val="auto"/>
          <w:sz w:val="36"/>
          <w:szCs w:val="36"/>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p w14:paraId="6550D170">
      <w:pPr>
        <w:pStyle w:val="19"/>
        <w:spacing w:before="0" w:beforeAutospacing="0" w:after="0" w:afterAutospacing="0"/>
        <w:jc w:val="center"/>
        <w:outlineLvl w:val="0"/>
        <w:rPr>
          <w:rFonts w:ascii="Times New Roman" w:hAnsi="Times New Roman" w:eastAsia="宋体"/>
          <w:b/>
          <w:bCs/>
          <w:snapToGrid w:val="0"/>
          <w:color w:val="auto"/>
          <w:sz w:val="30"/>
          <w:szCs w:val="30"/>
        </w:rPr>
      </w:pPr>
      <w:bookmarkStart w:id="10" w:name="_Toc14047"/>
      <w:r>
        <w:rPr>
          <w:rFonts w:hint="eastAsia" w:ascii="Times New Roman" w:hAnsi="Times New Roman" w:eastAsia="宋体"/>
          <w:b/>
          <w:bCs/>
          <w:snapToGrid w:val="0"/>
          <w:color w:val="auto"/>
          <w:sz w:val="30"/>
          <w:szCs w:val="30"/>
        </w:rPr>
        <w:t>三、区域环境质量现状、环境保护目标及评价标准</w:t>
      </w:r>
      <w:bookmarkEnd w:id="10"/>
    </w:p>
    <w:tbl>
      <w:tblPr>
        <w:tblStyle w:val="2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8500"/>
      </w:tblGrid>
      <w:tr w14:paraId="680CB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2" w:hRule="atLeast"/>
          <w:jc w:val="center"/>
        </w:trPr>
        <w:tc>
          <w:tcPr>
            <w:tcW w:w="487" w:type="dxa"/>
            <w:vAlign w:val="center"/>
          </w:tcPr>
          <w:p w14:paraId="07DFC8B0">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区域</w:t>
            </w:r>
          </w:p>
          <w:p w14:paraId="23C9F9A2">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环境</w:t>
            </w:r>
          </w:p>
          <w:p w14:paraId="1788B3C6">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质量</w:t>
            </w:r>
          </w:p>
          <w:p w14:paraId="1EBEB27E">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现状</w:t>
            </w:r>
          </w:p>
        </w:tc>
        <w:tc>
          <w:tcPr>
            <w:tcW w:w="8500" w:type="dxa"/>
            <w:vAlign w:val="center"/>
          </w:tcPr>
          <w:p w14:paraId="3B1C838F">
            <w:pPr>
              <w:adjustRightInd w:val="0"/>
              <w:snapToGrid w:val="0"/>
              <w:spacing w:line="360" w:lineRule="auto"/>
              <w:ind w:firstLine="482" w:firstLineChars="200"/>
              <w:rPr>
                <w:rFonts w:ascii="Times New Roman" w:hAnsi="Times New Roman" w:eastAsia="宋体"/>
                <w:b/>
                <w:bCs/>
                <w:color w:val="auto"/>
                <w:sz w:val="24"/>
              </w:rPr>
            </w:pPr>
            <w:bookmarkStart w:id="11" w:name="_Toc294689797"/>
            <w:r>
              <w:rPr>
                <w:rFonts w:ascii="Times New Roman" w:hAnsi="Times New Roman" w:eastAsia="宋体"/>
                <w:b/>
                <w:bCs/>
                <w:color w:val="auto"/>
                <w:sz w:val="24"/>
              </w:rPr>
              <w:t>1、环境空气质量现状</w:t>
            </w:r>
            <w:bookmarkEnd w:id="11"/>
          </w:p>
          <w:p w14:paraId="324166CB">
            <w:pPr>
              <w:spacing w:line="360" w:lineRule="auto"/>
              <w:ind w:firstLine="482" w:firstLineChars="200"/>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（1）环境空气功能区划及执行标准</w:t>
            </w:r>
          </w:p>
          <w:p w14:paraId="35840A86">
            <w:pPr>
              <w:spacing w:line="360" w:lineRule="auto"/>
              <w:ind w:firstLine="480" w:firstLineChars="200"/>
              <w:rPr>
                <w:rFonts w:hint="eastAsia" w:ascii="Times New Roman" w:hAnsi="Times New Roman" w:eastAsia="宋体" w:cs="宋体"/>
                <w:color w:val="auto"/>
                <w:kern w:val="0"/>
                <w:sz w:val="24"/>
                <w:szCs w:val="20"/>
              </w:rPr>
            </w:pPr>
            <w:r>
              <w:rPr>
                <w:rFonts w:ascii="Times New Roman" w:hAnsi="Times New Roman" w:eastAsia="宋体"/>
                <w:color w:val="auto"/>
                <w:sz w:val="24"/>
              </w:rPr>
              <w:t>项目</w:t>
            </w:r>
            <w:r>
              <w:rPr>
                <w:rFonts w:hint="eastAsia" w:ascii="Times New Roman" w:hAnsi="Times New Roman" w:eastAsia="宋体"/>
                <w:color w:val="auto"/>
                <w:sz w:val="24"/>
              </w:rPr>
              <w:t>行</w:t>
            </w:r>
            <w:r>
              <w:rPr>
                <w:rFonts w:ascii="Times New Roman" w:hAnsi="Times New Roman" w:eastAsia="宋体"/>
                <w:color w:val="auto"/>
                <w:sz w:val="24"/>
              </w:rPr>
              <w:t>政区划隶属</w:t>
            </w:r>
            <w:r>
              <w:rPr>
                <w:rFonts w:hint="eastAsia" w:ascii="Times New Roman" w:hAnsi="Times New Roman" w:eastAsia="宋体"/>
                <w:color w:val="auto"/>
                <w:sz w:val="24"/>
                <w:lang w:val="en-US" w:eastAsia="zh-CN"/>
              </w:rPr>
              <w:t>玉溪市通海县</w:t>
            </w:r>
            <w:r>
              <w:rPr>
                <w:rFonts w:hint="eastAsia"/>
                <w:color w:val="auto"/>
                <w:sz w:val="24"/>
                <w:lang w:val="en-US" w:eastAsia="zh-CN"/>
              </w:rPr>
              <w:t>纳古</w:t>
            </w:r>
            <w:r>
              <w:rPr>
                <w:rFonts w:hint="eastAsia" w:ascii="Times New Roman" w:hAnsi="Times New Roman" w:eastAsia="宋体"/>
                <w:color w:val="auto"/>
                <w:sz w:val="24"/>
                <w:lang w:val="en-US" w:eastAsia="zh-CN"/>
              </w:rPr>
              <w:t>镇</w:t>
            </w:r>
            <w:r>
              <w:rPr>
                <w:rFonts w:hint="eastAsia"/>
                <w:color w:val="auto"/>
                <w:sz w:val="24"/>
                <w:lang w:val="en-US" w:eastAsia="zh-CN"/>
              </w:rPr>
              <w:t>大白龙</w:t>
            </w:r>
            <w:r>
              <w:rPr>
                <w:rFonts w:hint="eastAsia" w:ascii="Times New Roman" w:hAnsi="Times New Roman" w:eastAsia="宋体"/>
                <w:color w:val="auto"/>
                <w:sz w:val="24"/>
              </w:rPr>
              <w:t>，</w:t>
            </w:r>
            <w:r>
              <w:rPr>
                <w:rFonts w:ascii="Times New Roman" w:hAnsi="Times New Roman" w:eastAsia="宋体"/>
                <w:color w:val="auto"/>
                <w:sz w:val="24"/>
              </w:rPr>
              <w:t>项目区域属于环境空气二类功能区，空气质量执行《环境空气质量标准》（GB3095-20</w:t>
            </w:r>
            <w:r>
              <w:rPr>
                <w:rFonts w:hint="eastAsia"/>
                <w:color w:val="auto"/>
                <w:sz w:val="24"/>
                <w:lang w:val="en-US" w:eastAsia="zh-CN"/>
              </w:rPr>
              <w:t>26</w:t>
            </w:r>
            <w:r>
              <w:rPr>
                <w:rFonts w:ascii="Times New Roman" w:hAnsi="Times New Roman" w:eastAsia="宋体"/>
                <w:color w:val="auto"/>
                <w:sz w:val="24"/>
              </w:rPr>
              <w:t>）</w:t>
            </w:r>
            <w:r>
              <w:rPr>
                <w:rFonts w:hint="eastAsia" w:ascii="Times New Roman" w:hAnsi="Times New Roman" w:eastAsia="宋体" w:cs="Times New Roman"/>
                <w:color w:val="auto"/>
                <w:sz w:val="24"/>
              </w:rPr>
              <w:t>过渡阶段浓度限值的二级标准</w:t>
            </w:r>
            <w:r>
              <w:rPr>
                <w:rFonts w:ascii="Times New Roman" w:hAnsi="Times New Roman" w:eastAsia="宋体"/>
                <w:color w:val="auto"/>
                <w:sz w:val="24"/>
              </w:rPr>
              <w:t>。</w:t>
            </w:r>
            <w:r>
              <w:rPr>
                <w:rFonts w:hint="eastAsia" w:ascii="Times New Roman" w:hAnsi="Times New Roman" w:eastAsia="宋体" w:cs="宋体"/>
                <w:color w:val="auto"/>
                <w:sz w:val="24"/>
              </w:rPr>
              <w:t>具体见下表。</w:t>
            </w:r>
          </w:p>
          <w:p w14:paraId="0E3803CC">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表3-1环境空气质量标准</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2392"/>
              <w:gridCol w:w="1571"/>
              <w:gridCol w:w="809"/>
              <w:gridCol w:w="1838"/>
            </w:tblGrid>
            <w:tr w14:paraId="134F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shd w:val="clear" w:color="auto" w:fill="D9D9D9"/>
                  <w:noWrap w:val="0"/>
                  <w:vAlign w:val="center"/>
                </w:tcPr>
                <w:p w14:paraId="61C2999E">
                  <w:pPr>
                    <w:jc w:val="center"/>
                    <w:rPr>
                      <w:rFonts w:hint="eastAsia" w:ascii="Times New Roman" w:hAnsi="Times New Roman" w:eastAsia="宋体" w:cs="宋体"/>
                      <w:color w:val="auto"/>
                    </w:rPr>
                  </w:pPr>
                  <w:r>
                    <w:rPr>
                      <w:rFonts w:hint="eastAsia" w:ascii="Times New Roman" w:hAnsi="Times New Roman" w:eastAsia="宋体" w:cs="宋体"/>
                      <w:color w:val="auto"/>
                    </w:rPr>
                    <w:t>污染物名称</w:t>
                  </w:r>
                </w:p>
              </w:tc>
              <w:tc>
                <w:tcPr>
                  <w:tcW w:w="1470" w:type="pct"/>
                  <w:shd w:val="clear" w:color="auto" w:fill="D9D9D9"/>
                  <w:noWrap w:val="0"/>
                  <w:vAlign w:val="center"/>
                </w:tcPr>
                <w:p w14:paraId="2BFE21E6">
                  <w:pPr>
                    <w:jc w:val="center"/>
                    <w:rPr>
                      <w:rFonts w:hint="eastAsia" w:ascii="Times New Roman" w:hAnsi="Times New Roman" w:eastAsia="宋体" w:cs="宋体"/>
                      <w:color w:val="auto"/>
                    </w:rPr>
                  </w:pPr>
                  <w:r>
                    <w:rPr>
                      <w:rFonts w:hint="eastAsia" w:ascii="Times New Roman" w:hAnsi="Times New Roman" w:eastAsia="宋体" w:cs="宋体"/>
                      <w:color w:val="auto"/>
                    </w:rPr>
                    <w:t>取值时间</w:t>
                  </w:r>
                </w:p>
              </w:tc>
              <w:tc>
                <w:tcPr>
                  <w:tcW w:w="973" w:type="pct"/>
                  <w:shd w:val="clear" w:color="auto" w:fill="D9D9D9"/>
                  <w:noWrap w:val="0"/>
                  <w:vAlign w:val="center"/>
                </w:tcPr>
                <w:p w14:paraId="02279703">
                  <w:pPr>
                    <w:jc w:val="center"/>
                    <w:rPr>
                      <w:rFonts w:hint="eastAsia" w:ascii="Times New Roman" w:hAnsi="Times New Roman" w:eastAsia="宋体" w:cs="宋体"/>
                      <w:color w:val="auto"/>
                    </w:rPr>
                  </w:pPr>
                  <w:r>
                    <w:rPr>
                      <w:rFonts w:hint="eastAsia" w:ascii="Times New Roman" w:hAnsi="Times New Roman" w:eastAsia="宋体" w:cs="宋体"/>
                      <w:color w:val="auto"/>
                    </w:rPr>
                    <w:t>标准浓度限值</w:t>
                  </w:r>
                </w:p>
              </w:tc>
              <w:tc>
                <w:tcPr>
                  <w:tcW w:w="513" w:type="pct"/>
                  <w:shd w:val="clear" w:color="auto" w:fill="D9D9D9"/>
                  <w:noWrap w:val="0"/>
                  <w:vAlign w:val="center"/>
                </w:tcPr>
                <w:p w14:paraId="131ADB2A">
                  <w:pPr>
                    <w:jc w:val="center"/>
                    <w:rPr>
                      <w:rFonts w:hint="eastAsia" w:ascii="Times New Roman" w:hAnsi="Times New Roman" w:eastAsia="宋体" w:cs="宋体"/>
                      <w:color w:val="auto"/>
                    </w:rPr>
                  </w:pPr>
                  <w:r>
                    <w:rPr>
                      <w:rFonts w:hint="eastAsia" w:ascii="Times New Roman" w:hAnsi="Times New Roman" w:eastAsia="宋体" w:cs="宋体"/>
                      <w:color w:val="auto"/>
                    </w:rPr>
                    <w:t>单位</w:t>
                  </w:r>
                </w:p>
              </w:tc>
              <w:tc>
                <w:tcPr>
                  <w:tcW w:w="1013" w:type="pct"/>
                  <w:shd w:val="clear" w:color="auto" w:fill="D9D9D9"/>
                  <w:noWrap w:val="0"/>
                  <w:vAlign w:val="center"/>
                </w:tcPr>
                <w:p w14:paraId="2E291CEA">
                  <w:pPr>
                    <w:jc w:val="center"/>
                    <w:rPr>
                      <w:rFonts w:hint="eastAsia" w:ascii="Times New Roman" w:hAnsi="Times New Roman" w:eastAsia="宋体" w:cs="宋体"/>
                      <w:color w:val="auto"/>
                    </w:rPr>
                  </w:pPr>
                  <w:r>
                    <w:rPr>
                      <w:rFonts w:hint="eastAsia" w:ascii="Times New Roman" w:hAnsi="Times New Roman" w:eastAsia="宋体" w:cs="宋体"/>
                      <w:color w:val="auto"/>
                    </w:rPr>
                    <w:t>执行标准</w:t>
                  </w:r>
                </w:p>
              </w:tc>
            </w:tr>
            <w:tr w14:paraId="3CD7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5EC4387D">
                  <w:pPr>
                    <w:jc w:val="center"/>
                    <w:rPr>
                      <w:rFonts w:hint="eastAsia" w:ascii="Times New Roman" w:hAnsi="Times New Roman" w:eastAsia="宋体" w:cs="宋体"/>
                      <w:color w:val="auto"/>
                    </w:rPr>
                  </w:pPr>
                  <w:r>
                    <w:rPr>
                      <w:rFonts w:hint="eastAsia" w:ascii="Times New Roman" w:hAnsi="Times New Roman" w:eastAsia="宋体" w:cs="宋体"/>
                      <w:color w:val="auto"/>
                    </w:rPr>
                    <w:t>二氧化硫（SO</w:t>
                  </w:r>
                  <w:r>
                    <w:rPr>
                      <w:rFonts w:hint="eastAsia" w:ascii="Times New Roman" w:hAnsi="Times New Roman" w:eastAsia="宋体" w:cs="宋体"/>
                      <w:color w:val="auto"/>
                      <w:vertAlign w:val="subscript"/>
                    </w:rPr>
                    <w:t>2</w:t>
                  </w:r>
                  <w:r>
                    <w:rPr>
                      <w:rFonts w:hint="eastAsia" w:ascii="Times New Roman" w:hAnsi="Times New Roman" w:eastAsia="宋体" w:cs="宋体"/>
                      <w:color w:val="auto"/>
                    </w:rPr>
                    <w:t>）</w:t>
                  </w:r>
                </w:p>
              </w:tc>
              <w:tc>
                <w:tcPr>
                  <w:tcW w:w="1470" w:type="pct"/>
                  <w:noWrap w:val="0"/>
                  <w:vAlign w:val="center"/>
                </w:tcPr>
                <w:p w14:paraId="59BA513E">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03DCBED3">
                  <w:pPr>
                    <w:jc w:val="center"/>
                    <w:rPr>
                      <w:rFonts w:hint="eastAsia" w:ascii="Times New Roman" w:hAnsi="Times New Roman" w:eastAsia="宋体" w:cs="宋体"/>
                      <w:color w:val="auto"/>
                    </w:rPr>
                  </w:pPr>
                  <w:r>
                    <w:rPr>
                      <w:rFonts w:hint="eastAsia" w:ascii="Times New Roman" w:hAnsi="Times New Roman" w:eastAsia="宋体" w:cs="宋体"/>
                      <w:color w:val="auto"/>
                    </w:rPr>
                    <w:t>60</w:t>
                  </w:r>
                </w:p>
              </w:tc>
              <w:tc>
                <w:tcPr>
                  <w:tcW w:w="513" w:type="pct"/>
                  <w:vMerge w:val="restart"/>
                  <w:noWrap w:val="0"/>
                  <w:vAlign w:val="center"/>
                </w:tcPr>
                <w:p w14:paraId="53281C73">
                  <w:pPr>
                    <w:jc w:val="center"/>
                    <w:rPr>
                      <w:rFonts w:hint="eastAsia" w:ascii="Times New Roman" w:hAnsi="Times New Roman" w:eastAsia="宋体" w:cs="宋体"/>
                      <w:color w:val="auto"/>
                    </w:rPr>
                  </w:pPr>
                  <w:r>
                    <w:rPr>
                      <w:color w:val="auto"/>
                    </w:rPr>
                    <w:t>µg∕m</w:t>
                  </w:r>
                  <w:r>
                    <w:rPr>
                      <w:color w:val="auto"/>
                      <w:vertAlign w:val="superscript"/>
                    </w:rPr>
                    <w:t>3</w:t>
                  </w:r>
                </w:p>
              </w:tc>
              <w:tc>
                <w:tcPr>
                  <w:tcW w:w="1013" w:type="pct"/>
                  <w:vMerge w:val="restart"/>
                  <w:noWrap w:val="0"/>
                  <w:vAlign w:val="center"/>
                </w:tcPr>
                <w:p w14:paraId="2ED62DAC">
                  <w:pPr>
                    <w:jc w:val="center"/>
                    <w:rPr>
                      <w:rFonts w:hint="eastAsia" w:ascii="Times New Roman" w:hAnsi="Times New Roman" w:eastAsia="宋体" w:cs="宋体"/>
                      <w:color w:val="auto"/>
                    </w:rPr>
                  </w:pPr>
                  <w:r>
                    <w:rPr>
                      <w:rFonts w:hint="eastAsia" w:ascii="Times New Roman" w:hAnsi="Times New Roman" w:eastAsia="宋体" w:cs="宋体"/>
                      <w:color w:val="auto"/>
                    </w:rPr>
                    <w:t>《环境空气质量标准》（GB3095-20</w:t>
                  </w:r>
                  <w:r>
                    <w:rPr>
                      <w:rFonts w:hint="eastAsia" w:cs="宋体"/>
                      <w:color w:val="auto"/>
                      <w:lang w:val="en-US" w:eastAsia="zh-CN"/>
                    </w:rPr>
                    <w:t>26</w:t>
                  </w:r>
                  <w:r>
                    <w:rPr>
                      <w:rFonts w:hint="eastAsia" w:ascii="Times New Roman" w:hAnsi="Times New Roman" w:eastAsia="宋体" w:cs="宋体"/>
                      <w:color w:val="auto"/>
                    </w:rPr>
                    <w:t>）过渡阶段浓度限值的二级标准</w:t>
                  </w:r>
                </w:p>
              </w:tc>
            </w:tr>
            <w:tr w14:paraId="0ADE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1B338B99">
                  <w:pPr>
                    <w:jc w:val="center"/>
                    <w:rPr>
                      <w:rFonts w:hint="eastAsia" w:ascii="Times New Roman" w:hAnsi="Times New Roman" w:eastAsia="宋体" w:cs="宋体"/>
                      <w:color w:val="auto"/>
                    </w:rPr>
                  </w:pPr>
                </w:p>
              </w:tc>
              <w:tc>
                <w:tcPr>
                  <w:tcW w:w="1470" w:type="pct"/>
                  <w:noWrap w:val="0"/>
                  <w:vAlign w:val="center"/>
                </w:tcPr>
                <w:p w14:paraId="0C0E115B">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4772DBE0">
                  <w:pPr>
                    <w:jc w:val="center"/>
                    <w:rPr>
                      <w:rFonts w:hint="eastAsia" w:ascii="Times New Roman" w:hAnsi="Times New Roman" w:eastAsia="宋体" w:cs="宋体"/>
                      <w:color w:val="auto"/>
                    </w:rPr>
                  </w:pPr>
                  <w:r>
                    <w:rPr>
                      <w:rFonts w:hint="eastAsia" w:ascii="Times New Roman" w:hAnsi="Times New Roman" w:eastAsia="宋体" w:cs="宋体"/>
                      <w:color w:val="auto"/>
                    </w:rPr>
                    <w:t>150</w:t>
                  </w:r>
                </w:p>
              </w:tc>
              <w:tc>
                <w:tcPr>
                  <w:tcW w:w="513" w:type="pct"/>
                  <w:vMerge w:val="continue"/>
                  <w:noWrap w:val="0"/>
                  <w:vAlign w:val="center"/>
                </w:tcPr>
                <w:p w14:paraId="00B9E4AA">
                  <w:pPr>
                    <w:jc w:val="center"/>
                    <w:rPr>
                      <w:rFonts w:hint="eastAsia" w:ascii="Times New Roman" w:hAnsi="Times New Roman" w:eastAsia="宋体" w:cs="宋体"/>
                      <w:color w:val="auto"/>
                    </w:rPr>
                  </w:pPr>
                </w:p>
              </w:tc>
              <w:tc>
                <w:tcPr>
                  <w:tcW w:w="1013" w:type="pct"/>
                  <w:vMerge w:val="continue"/>
                  <w:noWrap w:val="0"/>
                  <w:vAlign w:val="center"/>
                </w:tcPr>
                <w:p w14:paraId="779E0AB4">
                  <w:pPr>
                    <w:jc w:val="center"/>
                    <w:rPr>
                      <w:rFonts w:hint="eastAsia" w:ascii="Times New Roman" w:hAnsi="Times New Roman" w:eastAsia="宋体" w:cs="宋体"/>
                      <w:color w:val="auto"/>
                    </w:rPr>
                  </w:pPr>
                </w:p>
              </w:tc>
            </w:tr>
            <w:tr w14:paraId="1775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7E376DDC">
                  <w:pPr>
                    <w:jc w:val="center"/>
                    <w:rPr>
                      <w:rFonts w:hint="eastAsia" w:ascii="Times New Roman" w:hAnsi="Times New Roman" w:eastAsia="宋体" w:cs="宋体"/>
                      <w:color w:val="auto"/>
                    </w:rPr>
                  </w:pPr>
                </w:p>
              </w:tc>
              <w:tc>
                <w:tcPr>
                  <w:tcW w:w="1470" w:type="pct"/>
                  <w:noWrap w:val="0"/>
                  <w:vAlign w:val="center"/>
                </w:tcPr>
                <w:p w14:paraId="38076B90">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0D3B8E2B">
                  <w:pPr>
                    <w:jc w:val="center"/>
                    <w:rPr>
                      <w:rFonts w:hint="eastAsia" w:ascii="Times New Roman" w:hAnsi="Times New Roman" w:eastAsia="宋体" w:cs="宋体"/>
                      <w:color w:val="auto"/>
                    </w:rPr>
                  </w:pPr>
                  <w:r>
                    <w:rPr>
                      <w:rFonts w:hint="eastAsia" w:ascii="Times New Roman" w:hAnsi="Times New Roman" w:eastAsia="宋体" w:cs="宋体"/>
                      <w:color w:val="auto"/>
                    </w:rPr>
                    <w:t>500</w:t>
                  </w:r>
                </w:p>
              </w:tc>
              <w:tc>
                <w:tcPr>
                  <w:tcW w:w="513" w:type="pct"/>
                  <w:vMerge w:val="continue"/>
                  <w:noWrap w:val="0"/>
                  <w:vAlign w:val="center"/>
                </w:tcPr>
                <w:p w14:paraId="2DC27089">
                  <w:pPr>
                    <w:jc w:val="center"/>
                    <w:rPr>
                      <w:rFonts w:hint="eastAsia" w:ascii="Times New Roman" w:hAnsi="Times New Roman" w:eastAsia="宋体" w:cs="宋体"/>
                      <w:color w:val="auto"/>
                    </w:rPr>
                  </w:pPr>
                </w:p>
              </w:tc>
              <w:tc>
                <w:tcPr>
                  <w:tcW w:w="1013" w:type="pct"/>
                  <w:vMerge w:val="continue"/>
                  <w:noWrap w:val="0"/>
                  <w:vAlign w:val="center"/>
                </w:tcPr>
                <w:p w14:paraId="3EF5ACBE">
                  <w:pPr>
                    <w:jc w:val="center"/>
                    <w:rPr>
                      <w:rFonts w:hint="eastAsia" w:ascii="Times New Roman" w:hAnsi="Times New Roman" w:eastAsia="宋体" w:cs="宋体"/>
                      <w:color w:val="auto"/>
                    </w:rPr>
                  </w:pPr>
                </w:p>
              </w:tc>
            </w:tr>
            <w:tr w14:paraId="429D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6A210F62">
                  <w:pPr>
                    <w:jc w:val="center"/>
                    <w:rPr>
                      <w:rFonts w:hint="eastAsia" w:ascii="Times New Roman" w:hAnsi="Times New Roman" w:eastAsia="宋体" w:cs="宋体"/>
                      <w:color w:val="auto"/>
                    </w:rPr>
                  </w:pPr>
                  <w:r>
                    <w:rPr>
                      <w:rFonts w:hint="eastAsia" w:ascii="Times New Roman" w:hAnsi="Times New Roman" w:eastAsia="宋体" w:cs="宋体"/>
                      <w:color w:val="auto"/>
                    </w:rPr>
                    <w:t>二氧化氮（NO</w:t>
                  </w:r>
                  <w:r>
                    <w:rPr>
                      <w:rFonts w:hint="eastAsia" w:ascii="Times New Roman" w:hAnsi="Times New Roman" w:eastAsia="宋体" w:cs="宋体"/>
                      <w:color w:val="auto"/>
                      <w:vertAlign w:val="subscript"/>
                    </w:rPr>
                    <w:t>2</w:t>
                  </w:r>
                  <w:r>
                    <w:rPr>
                      <w:rFonts w:hint="eastAsia" w:ascii="Times New Roman" w:hAnsi="Times New Roman" w:eastAsia="宋体" w:cs="宋体"/>
                      <w:color w:val="auto"/>
                    </w:rPr>
                    <w:t>）</w:t>
                  </w:r>
                </w:p>
              </w:tc>
              <w:tc>
                <w:tcPr>
                  <w:tcW w:w="1470" w:type="pct"/>
                  <w:noWrap w:val="0"/>
                  <w:vAlign w:val="center"/>
                </w:tcPr>
                <w:p w14:paraId="20FED416">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1C762894">
                  <w:pPr>
                    <w:jc w:val="center"/>
                    <w:rPr>
                      <w:rFonts w:hint="eastAsia" w:ascii="Times New Roman" w:hAnsi="Times New Roman" w:eastAsia="宋体" w:cs="宋体"/>
                      <w:color w:val="auto"/>
                    </w:rPr>
                  </w:pPr>
                  <w:r>
                    <w:rPr>
                      <w:rFonts w:hint="eastAsia" w:ascii="Times New Roman" w:hAnsi="Times New Roman" w:eastAsia="宋体" w:cs="宋体"/>
                      <w:color w:val="auto"/>
                    </w:rPr>
                    <w:t>40</w:t>
                  </w:r>
                </w:p>
              </w:tc>
              <w:tc>
                <w:tcPr>
                  <w:tcW w:w="513" w:type="pct"/>
                  <w:vMerge w:val="continue"/>
                  <w:noWrap w:val="0"/>
                  <w:vAlign w:val="center"/>
                </w:tcPr>
                <w:p w14:paraId="54CE90E0">
                  <w:pPr>
                    <w:jc w:val="center"/>
                    <w:rPr>
                      <w:rFonts w:hint="eastAsia" w:ascii="Times New Roman" w:hAnsi="Times New Roman" w:eastAsia="宋体" w:cs="宋体"/>
                      <w:color w:val="auto"/>
                    </w:rPr>
                  </w:pPr>
                </w:p>
              </w:tc>
              <w:tc>
                <w:tcPr>
                  <w:tcW w:w="1013" w:type="pct"/>
                  <w:vMerge w:val="continue"/>
                  <w:noWrap w:val="0"/>
                  <w:vAlign w:val="center"/>
                </w:tcPr>
                <w:p w14:paraId="6D4152A1">
                  <w:pPr>
                    <w:jc w:val="center"/>
                    <w:rPr>
                      <w:rFonts w:hint="eastAsia" w:ascii="Times New Roman" w:hAnsi="Times New Roman" w:eastAsia="宋体" w:cs="宋体"/>
                      <w:color w:val="auto"/>
                    </w:rPr>
                  </w:pPr>
                </w:p>
              </w:tc>
            </w:tr>
            <w:tr w14:paraId="3DD8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37C75E55">
                  <w:pPr>
                    <w:jc w:val="center"/>
                    <w:rPr>
                      <w:rFonts w:hint="eastAsia" w:ascii="Times New Roman" w:hAnsi="Times New Roman" w:eastAsia="宋体" w:cs="宋体"/>
                      <w:color w:val="auto"/>
                    </w:rPr>
                  </w:pPr>
                </w:p>
              </w:tc>
              <w:tc>
                <w:tcPr>
                  <w:tcW w:w="1470" w:type="pct"/>
                  <w:noWrap w:val="0"/>
                  <w:vAlign w:val="center"/>
                </w:tcPr>
                <w:p w14:paraId="756D4862">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5805DA2A">
                  <w:pPr>
                    <w:jc w:val="center"/>
                    <w:rPr>
                      <w:rFonts w:hint="eastAsia" w:ascii="Times New Roman" w:hAnsi="Times New Roman" w:eastAsia="宋体" w:cs="宋体"/>
                      <w:color w:val="auto"/>
                    </w:rPr>
                  </w:pPr>
                  <w:r>
                    <w:rPr>
                      <w:rFonts w:hint="eastAsia" w:ascii="Times New Roman" w:hAnsi="Times New Roman" w:eastAsia="宋体" w:cs="宋体"/>
                      <w:color w:val="auto"/>
                    </w:rPr>
                    <w:t>80</w:t>
                  </w:r>
                </w:p>
              </w:tc>
              <w:tc>
                <w:tcPr>
                  <w:tcW w:w="513" w:type="pct"/>
                  <w:vMerge w:val="continue"/>
                  <w:noWrap w:val="0"/>
                  <w:vAlign w:val="center"/>
                </w:tcPr>
                <w:p w14:paraId="39C7E16E">
                  <w:pPr>
                    <w:jc w:val="center"/>
                    <w:rPr>
                      <w:rFonts w:hint="eastAsia" w:ascii="Times New Roman" w:hAnsi="Times New Roman" w:eastAsia="宋体" w:cs="宋体"/>
                      <w:color w:val="auto"/>
                    </w:rPr>
                  </w:pPr>
                </w:p>
              </w:tc>
              <w:tc>
                <w:tcPr>
                  <w:tcW w:w="1013" w:type="pct"/>
                  <w:vMerge w:val="continue"/>
                  <w:noWrap w:val="0"/>
                  <w:vAlign w:val="center"/>
                </w:tcPr>
                <w:p w14:paraId="218C2F5C">
                  <w:pPr>
                    <w:jc w:val="center"/>
                    <w:rPr>
                      <w:rFonts w:hint="eastAsia" w:ascii="Times New Roman" w:hAnsi="Times New Roman" w:eastAsia="宋体" w:cs="宋体"/>
                      <w:color w:val="auto"/>
                    </w:rPr>
                  </w:pPr>
                </w:p>
              </w:tc>
            </w:tr>
            <w:tr w14:paraId="4D44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7118E26C">
                  <w:pPr>
                    <w:jc w:val="center"/>
                    <w:rPr>
                      <w:rFonts w:hint="eastAsia" w:ascii="Times New Roman" w:hAnsi="Times New Roman" w:eastAsia="宋体" w:cs="宋体"/>
                      <w:color w:val="auto"/>
                    </w:rPr>
                  </w:pPr>
                </w:p>
              </w:tc>
              <w:tc>
                <w:tcPr>
                  <w:tcW w:w="1470" w:type="pct"/>
                  <w:noWrap w:val="0"/>
                  <w:vAlign w:val="center"/>
                </w:tcPr>
                <w:p w14:paraId="5C6FDF6F">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223B408D">
                  <w:pPr>
                    <w:jc w:val="center"/>
                    <w:rPr>
                      <w:rFonts w:hint="eastAsia" w:ascii="Times New Roman" w:hAnsi="Times New Roman" w:eastAsia="宋体" w:cs="宋体"/>
                      <w:color w:val="auto"/>
                    </w:rPr>
                  </w:pPr>
                  <w:r>
                    <w:rPr>
                      <w:rFonts w:hint="eastAsia" w:ascii="Times New Roman" w:hAnsi="Times New Roman" w:eastAsia="宋体" w:cs="宋体"/>
                      <w:color w:val="auto"/>
                    </w:rPr>
                    <w:t>200</w:t>
                  </w:r>
                </w:p>
              </w:tc>
              <w:tc>
                <w:tcPr>
                  <w:tcW w:w="513" w:type="pct"/>
                  <w:vMerge w:val="continue"/>
                  <w:noWrap w:val="0"/>
                  <w:vAlign w:val="center"/>
                </w:tcPr>
                <w:p w14:paraId="5D96D7F1">
                  <w:pPr>
                    <w:jc w:val="center"/>
                    <w:rPr>
                      <w:rFonts w:hint="eastAsia" w:ascii="Times New Roman" w:hAnsi="Times New Roman" w:eastAsia="宋体" w:cs="宋体"/>
                      <w:color w:val="auto"/>
                    </w:rPr>
                  </w:pPr>
                </w:p>
              </w:tc>
              <w:tc>
                <w:tcPr>
                  <w:tcW w:w="1013" w:type="pct"/>
                  <w:vMerge w:val="continue"/>
                  <w:noWrap w:val="0"/>
                  <w:vAlign w:val="center"/>
                </w:tcPr>
                <w:p w14:paraId="182649BE">
                  <w:pPr>
                    <w:jc w:val="center"/>
                    <w:rPr>
                      <w:rFonts w:hint="eastAsia" w:ascii="Times New Roman" w:hAnsi="Times New Roman" w:eastAsia="宋体" w:cs="宋体"/>
                      <w:color w:val="auto"/>
                    </w:rPr>
                  </w:pPr>
                </w:p>
              </w:tc>
            </w:tr>
            <w:tr w14:paraId="2093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shd w:val="clear" w:color="auto" w:fill="auto"/>
                  <w:noWrap w:val="0"/>
                  <w:vAlign w:val="center"/>
                </w:tcPr>
                <w:p w14:paraId="1E09CDE4">
                  <w:pPr>
                    <w:pStyle w:val="31"/>
                    <w:ind w:firstLine="0" w:firstLineChars="0"/>
                    <w:jc w:val="both"/>
                    <w:rPr>
                      <w:rFonts w:hint="eastAsia" w:ascii="Times New Roman" w:hAnsi="Times New Roman" w:eastAsia="宋体" w:cs="Times New Roman"/>
                      <w:b w:val="0"/>
                      <w:color w:val="auto"/>
                      <w:kern w:val="2"/>
                      <w:sz w:val="21"/>
                      <w:szCs w:val="24"/>
                      <w:lang w:val="en-US" w:eastAsia="zh-CN" w:bidi="ar-SA"/>
                    </w:rPr>
                  </w:pPr>
                  <w:r>
                    <w:rPr>
                      <w:color w:val="auto"/>
                    </w:rPr>
                    <w:t>氮氧化物（NOx）</w:t>
                  </w:r>
                </w:p>
              </w:tc>
              <w:tc>
                <w:tcPr>
                  <w:tcW w:w="1470" w:type="pct"/>
                  <w:noWrap w:val="0"/>
                  <w:vAlign w:val="center"/>
                </w:tcPr>
                <w:p w14:paraId="2436FD46">
                  <w:pPr>
                    <w:pStyle w:val="31"/>
                    <w:ind w:firstLine="0" w:firstLineChars="0"/>
                    <w:rPr>
                      <w:rFonts w:hint="eastAsia" w:ascii="Times New Roman" w:hAnsi="Times New Roman" w:eastAsia="宋体" w:cs="宋体"/>
                      <w:color w:val="auto"/>
                    </w:rPr>
                  </w:pPr>
                  <w:r>
                    <w:rPr>
                      <w:color w:val="auto"/>
                    </w:rPr>
                    <w:t>年平均</w:t>
                  </w:r>
                </w:p>
              </w:tc>
              <w:tc>
                <w:tcPr>
                  <w:tcW w:w="973" w:type="pct"/>
                  <w:noWrap w:val="0"/>
                  <w:vAlign w:val="center"/>
                </w:tcPr>
                <w:p w14:paraId="0A06EF8F">
                  <w:pPr>
                    <w:pStyle w:val="31"/>
                    <w:ind w:firstLine="0" w:firstLineChars="0"/>
                    <w:rPr>
                      <w:rFonts w:hint="default" w:ascii="Times New Roman" w:hAnsi="Times New Roman" w:eastAsia="宋体" w:cs="宋体"/>
                      <w:color w:val="auto"/>
                      <w:lang w:val="en-US" w:eastAsia="zh-CN"/>
                    </w:rPr>
                  </w:pPr>
                  <w:r>
                    <w:rPr>
                      <w:rFonts w:hint="eastAsia"/>
                      <w:color w:val="auto"/>
                      <w:lang w:val="en-US" w:eastAsia="zh-CN"/>
                    </w:rPr>
                    <w:t>40</w:t>
                  </w:r>
                </w:p>
              </w:tc>
              <w:tc>
                <w:tcPr>
                  <w:tcW w:w="513" w:type="pct"/>
                  <w:vMerge w:val="continue"/>
                  <w:noWrap w:val="0"/>
                  <w:vAlign w:val="center"/>
                </w:tcPr>
                <w:p w14:paraId="3DBF0335">
                  <w:pPr>
                    <w:jc w:val="center"/>
                    <w:rPr>
                      <w:rFonts w:hint="eastAsia" w:ascii="Times New Roman" w:hAnsi="Times New Roman" w:eastAsia="宋体" w:cs="宋体"/>
                      <w:color w:val="auto"/>
                    </w:rPr>
                  </w:pPr>
                </w:p>
              </w:tc>
              <w:tc>
                <w:tcPr>
                  <w:tcW w:w="1013" w:type="pct"/>
                  <w:vMerge w:val="continue"/>
                  <w:noWrap w:val="0"/>
                  <w:vAlign w:val="center"/>
                </w:tcPr>
                <w:p w14:paraId="13180627">
                  <w:pPr>
                    <w:jc w:val="center"/>
                    <w:rPr>
                      <w:rFonts w:hint="eastAsia" w:ascii="Times New Roman" w:hAnsi="Times New Roman" w:eastAsia="宋体" w:cs="宋体"/>
                      <w:color w:val="auto"/>
                    </w:rPr>
                  </w:pPr>
                </w:p>
              </w:tc>
            </w:tr>
            <w:tr w14:paraId="0CB5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595C739F">
                  <w:pPr>
                    <w:jc w:val="center"/>
                    <w:rPr>
                      <w:rFonts w:hint="eastAsia" w:ascii="Times New Roman" w:hAnsi="Times New Roman" w:eastAsia="宋体" w:cs="宋体"/>
                      <w:color w:val="auto"/>
                    </w:rPr>
                  </w:pPr>
                </w:p>
              </w:tc>
              <w:tc>
                <w:tcPr>
                  <w:tcW w:w="1470" w:type="pct"/>
                  <w:noWrap w:val="0"/>
                  <w:vAlign w:val="center"/>
                </w:tcPr>
                <w:p w14:paraId="196F2D0C">
                  <w:pPr>
                    <w:pStyle w:val="31"/>
                    <w:ind w:firstLine="0" w:firstLineChars="0"/>
                    <w:rPr>
                      <w:rFonts w:hint="eastAsia" w:ascii="Times New Roman" w:hAnsi="Times New Roman" w:eastAsia="宋体" w:cs="宋体"/>
                      <w:color w:val="auto"/>
                    </w:rPr>
                  </w:pPr>
                  <w:r>
                    <w:rPr>
                      <w:color w:val="auto"/>
                    </w:rPr>
                    <w:t>24小时平均</w:t>
                  </w:r>
                </w:p>
              </w:tc>
              <w:tc>
                <w:tcPr>
                  <w:tcW w:w="973" w:type="pct"/>
                  <w:noWrap w:val="0"/>
                  <w:vAlign w:val="center"/>
                </w:tcPr>
                <w:p w14:paraId="18F911F1">
                  <w:pPr>
                    <w:pStyle w:val="31"/>
                    <w:ind w:firstLine="0" w:firstLineChars="0"/>
                    <w:rPr>
                      <w:rFonts w:hint="default" w:ascii="Times New Roman" w:hAnsi="Times New Roman" w:eastAsia="宋体" w:cs="宋体"/>
                      <w:color w:val="auto"/>
                      <w:lang w:val="en-US" w:eastAsia="zh-CN"/>
                    </w:rPr>
                  </w:pPr>
                  <w:r>
                    <w:rPr>
                      <w:rFonts w:hint="eastAsia"/>
                      <w:color w:val="auto"/>
                      <w:lang w:val="en-US" w:eastAsia="zh-CN"/>
                    </w:rPr>
                    <w:t>70</w:t>
                  </w:r>
                </w:p>
              </w:tc>
              <w:tc>
                <w:tcPr>
                  <w:tcW w:w="513" w:type="pct"/>
                  <w:vMerge w:val="continue"/>
                  <w:noWrap w:val="0"/>
                  <w:vAlign w:val="center"/>
                </w:tcPr>
                <w:p w14:paraId="348ED454">
                  <w:pPr>
                    <w:jc w:val="center"/>
                    <w:rPr>
                      <w:rFonts w:hint="eastAsia" w:ascii="Times New Roman" w:hAnsi="Times New Roman" w:eastAsia="宋体" w:cs="宋体"/>
                      <w:color w:val="auto"/>
                    </w:rPr>
                  </w:pPr>
                </w:p>
              </w:tc>
              <w:tc>
                <w:tcPr>
                  <w:tcW w:w="1013" w:type="pct"/>
                  <w:vMerge w:val="continue"/>
                  <w:noWrap w:val="0"/>
                  <w:vAlign w:val="center"/>
                </w:tcPr>
                <w:p w14:paraId="6EE01704">
                  <w:pPr>
                    <w:jc w:val="center"/>
                    <w:rPr>
                      <w:rFonts w:hint="eastAsia" w:ascii="Times New Roman" w:hAnsi="Times New Roman" w:eastAsia="宋体" w:cs="宋体"/>
                      <w:color w:val="auto"/>
                    </w:rPr>
                  </w:pPr>
                </w:p>
              </w:tc>
            </w:tr>
            <w:tr w14:paraId="259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73F5F2F9">
                  <w:pPr>
                    <w:jc w:val="center"/>
                    <w:rPr>
                      <w:rFonts w:hint="eastAsia" w:ascii="Times New Roman" w:hAnsi="Times New Roman" w:eastAsia="宋体" w:cs="宋体"/>
                      <w:color w:val="auto"/>
                    </w:rPr>
                  </w:pPr>
                </w:p>
              </w:tc>
              <w:tc>
                <w:tcPr>
                  <w:tcW w:w="1470" w:type="pct"/>
                  <w:noWrap w:val="0"/>
                  <w:vAlign w:val="center"/>
                </w:tcPr>
                <w:p w14:paraId="280DDFDA">
                  <w:pPr>
                    <w:pStyle w:val="31"/>
                    <w:ind w:firstLine="0" w:firstLineChars="0"/>
                    <w:rPr>
                      <w:rFonts w:hint="eastAsia" w:ascii="Times New Roman" w:hAnsi="Times New Roman" w:eastAsia="宋体" w:cs="宋体"/>
                      <w:color w:val="auto"/>
                    </w:rPr>
                  </w:pPr>
                  <w:r>
                    <w:rPr>
                      <w:color w:val="auto"/>
                    </w:rPr>
                    <w:t>1小时平均</w:t>
                  </w:r>
                </w:p>
              </w:tc>
              <w:tc>
                <w:tcPr>
                  <w:tcW w:w="973" w:type="pct"/>
                  <w:noWrap w:val="0"/>
                  <w:vAlign w:val="center"/>
                </w:tcPr>
                <w:p w14:paraId="6E4C460F">
                  <w:pPr>
                    <w:pStyle w:val="31"/>
                    <w:ind w:firstLine="0" w:firstLineChars="0"/>
                    <w:rPr>
                      <w:rFonts w:hint="eastAsia" w:ascii="Times New Roman" w:hAnsi="Times New Roman" w:eastAsia="宋体" w:cs="宋体"/>
                      <w:color w:val="auto"/>
                    </w:rPr>
                  </w:pPr>
                  <w:r>
                    <w:rPr>
                      <w:color w:val="auto"/>
                    </w:rPr>
                    <w:t>250</w:t>
                  </w:r>
                </w:p>
              </w:tc>
              <w:tc>
                <w:tcPr>
                  <w:tcW w:w="513" w:type="pct"/>
                  <w:vMerge w:val="continue"/>
                  <w:noWrap w:val="0"/>
                  <w:vAlign w:val="center"/>
                </w:tcPr>
                <w:p w14:paraId="4B01FD00">
                  <w:pPr>
                    <w:jc w:val="center"/>
                    <w:rPr>
                      <w:rFonts w:hint="eastAsia" w:ascii="Times New Roman" w:hAnsi="Times New Roman" w:eastAsia="宋体" w:cs="宋体"/>
                      <w:color w:val="auto"/>
                    </w:rPr>
                  </w:pPr>
                </w:p>
              </w:tc>
              <w:tc>
                <w:tcPr>
                  <w:tcW w:w="1013" w:type="pct"/>
                  <w:vMerge w:val="continue"/>
                  <w:noWrap w:val="0"/>
                  <w:vAlign w:val="center"/>
                </w:tcPr>
                <w:p w14:paraId="3FABF8D6">
                  <w:pPr>
                    <w:jc w:val="center"/>
                    <w:rPr>
                      <w:rFonts w:hint="eastAsia" w:ascii="Times New Roman" w:hAnsi="Times New Roman" w:eastAsia="宋体" w:cs="宋体"/>
                      <w:color w:val="auto"/>
                    </w:rPr>
                  </w:pPr>
                </w:p>
              </w:tc>
            </w:tr>
            <w:tr w14:paraId="11F0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1441A3BC">
                  <w:pPr>
                    <w:jc w:val="center"/>
                    <w:rPr>
                      <w:rFonts w:hint="eastAsia" w:ascii="Times New Roman" w:hAnsi="Times New Roman" w:eastAsia="宋体" w:cs="宋体"/>
                      <w:color w:val="auto"/>
                    </w:rPr>
                  </w:pPr>
                  <w:r>
                    <w:rPr>
                      <w:rFonts w:hint="eastAsia" w:ascii="Times New Roman" w:hAnsi="Times New Roman" w:eastAsia="宋体" w:cs="宋体"/>
                      <w:color w:val="auto"/>
                    </w:rPr>
                    <w:t>一氧化碳（CO）</w:t>
                  </w:r>
                </w:p>
              </w:tc>
              <w:tc>
                <w:tcPr>
                  <w:tcW w:w="1470" w:type="pct"/>
                  <w:noWrap w:val="0"/>
                  <w:vAlign w:val="center"/>
                </w:tcPr>
                <w:p w14:paraId="0730BC28">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5579CD72">
                  <w:pPr>
                    <w:jc w:val="center"/>
                    <w:rPr>
                      <w:rFonts w:hint="eastAsia" w:ascii="Times New Roman" w:hAnsi="Times New Roman" w:eastAsia="宋体" w:cs="宋体"/>
                      <w:color w:val="auto"/>
                    </w:rPr>
                  </w:pPr>
                  <w:r>
                    <w:rPr>
                      <w:rFonts w:hint="eastAsia" w:ascii="Times New Roman" w:hAnsi="Times New Roman" w:eastAsia="宋体" w:cs="宋体"/>
                      <w:color w:val="auto"/>
                    </w:rPr>
                    <w:t>4</w:t>
                  </w:r>
                </w:p>
              </w:tc>
              <w:tc>
                <w:tcPr>
                  <w:tcW w:w="513" w:type="pct"/>
                  <w:vMerge w:val="restart"/>
                  <w:noWrap w:val="0"/>
                  <w:vAlign w:val="center"/>
                </w:tcPr>
                <w:p w14:paraId="6D8835D2">
                  <w:pPr>
                    <w:jc w:val="center"/>
                    <w:rPr>
                      <w:rFonts w:hint="eastAsia" w:ascii="Times New Roman" w:hAnsi="Times New Roman" w:eastAsia="宋体" w:cs="宋体"/>
                      <w:color w:val="auto"/>
                    </w:rPr>
                  </w:pPr>
                  <w:r>
                    <w:rPr>
                      <w:rFonts w:hint="eastAsia" w:ascii="Times New Roman" w:hAnsi="Times New Roman" w:eastAsia="宋体" w:cs="宋体"/>
                      <w:color w:val="auto"/>
                      <w:szCs w:val="21"/>
                    </w:rPr>
                    <w:t>mg/m</w:t>
                  </w:r>
                  <w:r>
                    <w:rPr>
                      <w:rFonts w:hint="eastAsia" w:ascii="Times New Roman" w:hAnsi="Times New Roman" w:eastAsia="宋体" w:cs="宋体"/>
                      <w:color w:val="auto"/>
                      <w:szCs w:val="21"/>
                      <w:vertAlign w:val="superscript"/>
                    </w:rPr>
                    <w:t>3</w:t>
                  </w:r>
                </w:p>
              </w:tc>
              <w:tc>
                <w:tcPr>
                  <w:tcW w:w="1013" w:type="pct"/>
                  <w:vMerge w:val="continue"/>
                  <w:noWrap w:val="0"/>
                  <w:vAlign w:val="center"/>
                </w:tcPr>
                <w:p w14:paraId="54AEEAA3">
                  <w:pPr>
                    <w:jc w:val="center"/>
                    <w:rPr>
                      <w:rFonts w:hint="eastAsia" w:ascii="Times New Roman" w:hAnsi="Times New Roman" w:eastAsia="宋体" w:cs="宋体"/>
                      <w:color w:val="auto"/>
                    </w:rPr>
                  </w:pPr>
                </w:p>
              </w:tc>
            </w:tr>
            <w:tr w14:paraId="5A27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7BADC8B6">
                  <w:pPr>
                    <w:jc w:val="center"/>
                    <w:rPr>
                      <w:rFonts w:hint="eastAsia" w:ascii="Times New Roman" w:hAnsi="Times New Roman" w:eastAsia="宋体" w:cs="宋体"/>
                      <w:color w:val="auto"/>
                    </w:rPr>
                  </w:pPr>
                </w:p>
              </w:tc>
              <w:tc>
                <w:tcPr>
                  <w:tcW w:w="1470" w:type="pct"/>
                  <w:noWrap w:val="0"/>
                  <w:vAlign w:val="center"/>
                </w:tcPr>
                <w:p w14:paraId="0F733F88">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1CDCDEC0">
                  <w:pPr>
                    <w:jc w:val="center"/>
                    <w:rPr>
                      <w:rFonts w:hint="eastAsia" w:ascii="Times New Roman" w:hAnsi="Times New Roman" w:eastAsia="宋体" w:cs="宋体"/>
                      <w:color w:val="auto"/>
                    </w:rPr>
                  </w:pPr>
                  <w:r>
                    <w:rPr>
                      <w:rFonts w:hint="eastAsia" w:ascii="Times New Roman" w:hAnsi="Times New Roman" w:eastAsia="宋体" w:cs="宋体"/>
                      <w:color w:val="auto"/>
                    </w:rPr>
                    <w:t>10</w:t>
                  </w:r>
                </w:p>
              </w:tc>
              <w:tc>
                <w:tcPr>
                  <w:tcW w:w="513" w:type="pct"/>
                  <w:vMerge w:val="continue"/>
                  <w:noWrap w:val="0"/>
                  <w:vAlign w:val="center"/>
                </w:tcPr>
                <w:p w14:paraId="1DFF7B3D">
                  <w:pPr>
                    <w:jc w:val="center"/>
                    <w:rPr>
                      <w:rFonts w:hint="eastAsia" w:ascii="Times New Roman" w:hAnsi="Times New Roman" w:eastAsia="宋体" w:cs="宋体"/>
                      <w:color w:val="auto"/>
                    </w:rPr>
                  </w:pPr>
                </w:p>
              </w:tc>
              <w:tc>
                <w:tcPr>
                  <w:tcW w:w="1013" w:type="pct"/>
                  <w:vMerge w:val="continue"/>
                  <w:noWrap w:val="0"/>
                  <w:vAlign w:val="center"/>
                </w:tcPr>
                <w:p w14:paraId="6FBB231E">
                  <w:pPr>
                    <w:jc w:val="center"/>
                    <w:rPr>
                      <w:rFonts w:hint="eastAsia" w:ascii="Times New Roman" w:hAnsi="Times New Roman" w:eastAsia="宋体" w:cs="宋体"/>
                      <w:color w:val="auto"/>
                    </w:rPr>
                  </w:pPr>
                </w:p>
              </w:tc>
            </w:tr>
            <w:tr w14:paraId="2E04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4FFC34EC">
                  <w:pPr>
                    <w:jc w:val="center"/>
                    <w:rPr>
                      <w:rFonts w:hint="eastAsia" w:ascii="Times New Roman" w:hAnsi="Times New Roman" w:eastAsia="宋体" w:cs="宋体"/>
                      <w:color w:val="auto"/>
                    </w:rPr>
                  </w:pPr>
                  <w:r>
                    <w:rPr>
                      <w:rFonts w:hint="eastAsia" w:ascii="Times New Roman" w:hAnsi="Times New Roman" w:eastAsia="宋体" w:cs="宋体"/>
                      <w:color w:val="auto"/>
                    </w:rPr>
                    <w:t>臭氧（O</w:t>
                  </w:r>
                  <w:r>
                    <w:rPr>
                      <w:rFonts w:hint="eastAsia" w:ascii="Times New Roman" w:hAnsi="Times New Roman" w:eastAsia="宋体" w:cs="宋体"/>
                      <w:color w:val="auto"/>
                      <w:vertAlign w:val="subscript"/>
                    </w:rPr>
                    <w:t>3</w:t>
                  </w:r>
                  <w:r>
                    <w:rPr>
                      <w:rFonts w:hint="eastAsia" w:ascii="Times New Roman" w:hAnsi="Times New Roman" w:eastAsia="宋体" w:cs="宋体"/>
                      <w:color w:val="auto"/>
                    </w:rPr>
                    <w:t>）</w:t>
                  </w:r>
                </w:p>
              </w:tc>
              <w:tc>
                <w:tcPr>
                  <w:tcW w:w="1470" w:type="pct"/>
                  <w:noWrap w:val="0"/>
                  <w:vAlign w:val="center"/>
                </w:tcPr>
                <w:p w14:paraId="613399E2">
                  <w:pPr>
                    <w:jc w:val="center"/>
                    <w:rPr>
                      <w:rFonts w:hint="eastAsia" w:ascii="Times New Roman" w:hAnsi="Times New Roman" w:eastAsia="宋体" w:cs="宋体"/>
                      <w:color w:val="auto"/>
                    </w:rPr>
                  </w:pPr>
                  <w:r>
                    <w:rPr>
                      <w:rFonts w:hint="eastAsia" w:ascii="Times New Roman" w:hAnsi="Times New Roman" w:eastAsia="宋体" w:cs="宋体"/>
                      <w:color w:val="auto"/>
                    </w:rPr>
                    <w:t>日最大8小时平均</w:t>
                  </w:r>
                </w:p>
              </w:tc>
              <w:tc>
                <w:tcPr>
                  <w:tcW w:w="973" w:type="pct"/>
                  <w:noWrap w:val="0"/>
                  <w:vAlign w:val="center"/>
                </w:tcPr>
                <w:p w14:paraId="2B05D590">
                  <w:pPr>
                    <w:jc w:val="center"/>
                    <w:rPr>
                      <w:rFonts w:hint="eastAsia" w:ascii="Times New Roman" w:hAnsi="Times New Roman" w:eastAsia="宋体" w:cs="宋体"/>
                      <w:color w:val="auto"/>
                    </w:rPr>
                  </w:pPr>
                  <w:r>
                    <w:rPr>
                      <w:rFonts w:hint="eastAsia" w:ascii="Times New Roman" w:hAnsi="Times New Roman" w:eastAsia="宋体" w:cs="宋体"/>
                      <w:color w:val="auto"/>
                    </w:rPr>
                    <w:t>160</w:t>
                  </w:r>
                </w:p>
              </w:tc>
              <w:tc>
                <w:tcPr>
                  <w:tcW w:w="513" w:type="pct"/>
                  <w:vMerge w:val="restart"/>
                  <w:noWrap w:val="0"/>
                  <w:vAlign w:val="center"/>
                </w:tcPr>
                <w:p w14:paraId="0AE6F8E2">
                  <w:pPr>
                    <w:jc w:val="center"/>
                    <w:rPr>
                      <w:rFonts w:hint="eastAsia" w:ascii="Times New Roman" w:hAnsi="Times New Roman" w:eastAsia="宋体" w:cs="宋体"/>
                      <w:color w:val="auto"/>
                    </w:rPr>
                  </w:pPr>
                  <w:r>
                    <w:rPr>
                      <w:color w:val="auto"/>
                    </w:rPr>
                    <w:t>µg∕m</w:t>
                  </w:r>
                  <w:r>
                    <w:rPr>
                      <w:color w:val="auto"/>
                      <w:vertAlign w:val="superscript"/>
                    </w:rPr>
                    <w:t>3</w:t>
                  </w:r>
                </w:p>
              </w:tc>
              <w:tc>
                <w:tcPr>
                  <w:tcW w:w="1013" w:type="pct"/>
                  <w:vMerge w:val="continue"/>
                  <w:noWrap w:val="0"/>
                  <w:vAlign w:val="center"/>
                </w:tcPr>
                <w:p w14:paraId="717F7EB3">
                  <w:pPr>
                    <w:jc w:val="center"/>
                    <w:rPr>
                      <w:rFonts w:hint="eastAsia" w:ascii="Times New Roman" w:hAnsi="Times New Roman" w:eastAsia="宋体" w:cs="宋体"/>
                      <w:color w:val="auto"/>
                    </w:rPr>
                  </w:pPr>
                </w:p>
              </w:tc>
            </w:tr>
            <w:tr w14:paraId="6BBF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5C70B8C3">
                  <w:pPr>
                    <w:jc w:val="center"/>
                    <w:rPr>
                      <w:rFonts w:hint="eastAsia" w:ascii="Times New Roman" w:hAnsi="Times New Roman" w:eastAsia="宋体" w:cs="宋体"/>
                      <w:color w:val="auto"/>
                    </w:rPr>
                  </w:pPr>
                </w:p>
              </w:tc>
              <w:tc>
                <w:tcPr>
                  <w:tcW w:w="1470" w:type="pct"/>
                  <w:noWrap w:val="0"/>
                  <w:vAlign w:val="center"/>
                </w:tcPr>
                <w:p w14:paraId="553B7D0F">
                  <w:pPr>
                    <w:jc w:val="center"/>
                    <w:rPr>
                      <w:rFonts w:hint="eastAsia" w:ascii="Times New Roman" w:hAnsi="Times New Roman" w:eastAsia="宋体" w:cs="宋体"/>
                      <w:color w:val="auto"/>
                    </w:rPr>
                  </w:pPr>
                  <w:r>
                    <w:rPr>
                      <w:rFonts w:hint="eastAsia" w:ascii="Times New Roman" w:hAnsi="Times New Roman" w:eastAsia="宋体" w:cs="宋体"/>
                      <w:color w:val="auto"/>
                    </w:rPr>
                    <w:t>1小时平均</w:t>
                  </w:r>
                </w:p>
              </w:tc>
              <w:tc>
                <w:tcPr>
                  <w:tcW w:w="973" w:type="pct"/>
                  <w:noWrap w:val="0"/>
                  <w:vAlign w:val="center"/>
                </w:tcPr>
                <w:p w14:paraId="004DF7AB">
                  <w:pPr>
                    <w:jc w:val="center"/>
                    <w:rPr>
                      <w:rFonts w:hint="eastAsia" w:ascii="Times New Roman" w:hAnsi="Times New Roman" w:eastAsia="宋体" w:cs="宋体"/>
                      <w:color w:val="auto"/>
                    </w:rPr>
                  </w:pPr>
                  <w:r>
                    <w:rPr>
                      <w:rFonts w:hint="eastAsia" w:ascii="Times New Roman" w:hAnsi="Times New Roman" w:eastAsia="宋体" w:cs="宋体"/>
                      <w:color w:val="auto"/>
                    </w:rPr>
                    <w:t>200</w:t>
                  </w:r>
                </w:p>
              </w:tc>
              <w:tc>
                <w:tcPr>
                  <w:tcW w:w="513" w:type="pct"/>
                  <w:vMerge w:val="continue"/>
                  <w:noWrap w:val="0"/>
                  <w:vAlign w:val="center"/>
                </w:tcPr>
                <w:p w14:paraId="1F023999">
                  <w:pPr>
                    <w:jc w:val="center"/>
                    <w:rPr>
                      <w:rFonts w:hint="eastAsia" w:ascii="Times New Roman" w:hAnsi="Times New Roman" w:eastAsia="宋体" w:cs="宋体"/>
                      <w:color w:val="auto"/>
                    </w:rPr>
                  </w:pPr>
                </w:p>
              </w:tc>
              <w:tc>
                <w:tcPr>
                  <w:tcW w:w="1013" w:type="pct"/>
                  <w:vMerge w:val="continue"/>
                  <w:noWrap w:val="0"/>
                  <w:vAlign w:val="center"/>
                </w:tcPr>
                <w:p w14:paraId="1B9AA0E8">
                  <w:pPr>
                    <w:jc w:val="center"/>
                    <w:rPr>
                      <w:rFonts w:hint="eastAsia" w:ascii="Times New Roman" w:hAnsi="Times New Roman" w:eastAsia="宋体" w:cs="宋体"/>
                      <w:color w:val="auto"/>
                    </w:rPr>
                  </w:pPr>
                </w:p>
              </w:tc>
            </w:tr>
            <w:tr w14:paraId="3E20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69E2AEBC">
                  <w:pPr>
                    <w:jc w:val="center"/>
                    <w:rPr>
                      <w:rFonts w:hint="eastAsia" w:ascii="Times New Roman" w:hAnsi="Times New Roman" w:eastAsia="宋体" w:cs="宋体"/>
                      <w:color w:val="auto"/>
                    </w:rPr>
                  </w:pPr>
                  <w:r>
                    <w:rPr>
                      <w:rFonts w:hint="eastAsia" w:ascii="Times New Roman" w:hAnsi="Times New Roman" w:eastAsia="宋体" w:cs="宋体"/>
                      <w:color w:val="auto"/>
                    </w:rPr>
                    <w:t>颗粒物（PM</w:t>
                  </w:r>
                  <w:r>
                    <w:rPr>
                      <w:rFonts w:hint="eastAsia" w:ascii="Times New Roman" w:hAnsi="Times New Roman" w:eastAsia="宋体" w:cs="宋体"/>
                      <w:color w:val="auto"/>
                      <w:vertAlign w:val="subscript"/>
                    </w:rPr>
                    <w:t>10</w:t>
                  </w:r>
                  <w:r>
                    <w:rPr>
                      <w:rFonts w:hint="eastAsia" w:ascii="Times New Roman" w:hAnsi="Times New Roman" w:eastAsia="宋体" w:cs="宋体"/>
                      <w:color w:val="auto"/>
                    </w:rPr>
                    <w:t>）</w:t>
                  </w:r>
                </w:p>
              </w:tc>
              <w:tc>
                <w:tcPr>
                  <w:tcW w:w="1470" w:type="pct"/>
                  <w:noWrap w:val="0"/>
                  <w:vAlign w:val="center"/>
                </w:tcPr>
                <w:p w14:paraId="3893C803">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370A88B7">
                  <w:pPr>
                    <w:jc w:val="center"/>
                    <w:rPr>
                      <w:rFonts w:hint="default" w:ascii="Times New Roman" w:hAnsi="Times New Roman" w:eastAsia="宋体" w:cs="宋体"/>
                      <w:color w:val="auto"/>
                      <w:lang w:val="en-US" w:eastAsia="zh-CN"/>
                    </w:rPr>
                  </w:pPr>
                  <w:r>
                    <w:rPr>
                      <w:rFonts w:hint="eastAsia" w:cs="宋体"/>
                      <w:color w:val="auto"/>
                      <w:lang w:val="en-US" w:eastAsia="zh-CN"/>
                    </w:rPr>
                    <w:t>60</w:t>
                  </w:r>
                </w:p>
              </w:tc>
              <w:tc>
                <w:tcPr>
                  <w:tcW w:w="513" w:type="pct"/>
                  <w:vMerge w:val="continue"/>
                  <w:noWrap w:val="0"/>
                  <w:vAlign w:val="center"/>
                </w:tcPr>
                <w:p w14:paraId="4B043E37">
                  <w:pPr>
                    <w:jc w:val="center"/>
                    <w:rPr>
                      <w:rFonts w:hint="eastAsia" w:ascii="Times New Roman" w:hAnsi="Times New Roman" w:eastAsia="宋体" w:cs="宋体"/>
                      <w:color w:val="auto"/>
                    </w:rPr>
                  </w:pPr>
                </w:p>
              </w:tc>
              <w:tc>
                <w:tcPr>
                  <w:tcW w:w="1013" w:type="pct"/>
                  <w:vMerge w:val="continue"/>
                  <w:noWrap w:val="0"/>
                  <w:vAlign w:val="center"/>
                </w:tcPr>
                <w:p w14:paraId="1E3ABFA2">
                  <w:pPr>
                    <w:jc w:val="center"/>
                    <w:rPr>
                      <w:rFonts w:hint="eastAsia" w:ascii="Times New Roman" w:hAnsi="Times New Roman" w:eastAsia="宋体" w:cs="宋体"/>
                      <w:color w:val="auto"/>
                    </w:rPr>
                  </w:pPr>
                </w:p>
              </w:tc>
            </w:tr>
            <w:tr w14:paraId="5608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1B0CE9FF">
                  <w:pPr>
                    <w:jc w:val="center"/>
                    <w:rPr>
                      <w:rFonts w:hint="eastAsia" w:ascii="Times New Roman" w:hAnsi="Times New Roman" w:eastAsia="宋体" w:cs="宋体"/>
                      <w:color w:val="auto"/>
                    </w:rPr>
                  </w:pPr>
                </w:p>
              </w:tc>
              <w:tc>
                <w:tcPr>
                  <w:tcW w:w="1470" w:type="pct"/>
                  <w:noWrap w:val="0"/>
                  <w:vAlign w:val="center"/>
                </w:tcPr>
                <w:p w14:paraId="29C01195">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4AC04814">
                  <w:pPr>
                    <w:jc w:val="center"/>
                    <w:rPr>
                      <w:rFonts w:hint="default" w:ascii="Times New Roman" w:hAnsi="Times New Roman" w:eastAsia="宋体" w:cs="宋体"/>
                      <w:color w:val="auto"/>
                      <w:lang w:val="en-US" w:eastAsia="zh-CN"/>
                    </w:rPr>
                  </w:pPr>
                  <w:r>
                    <w:rPr>
                      <w:rFonts w:hint="eastAsia" w:cs="宋体"/>
                      <w:color w:val="auto"/>
                      <w:lang w:val="en-US" w:eastAsia="zh-CN"/>
                    </w:rPr>
                    <w:t>120</w:t>
                  </w:r>
                </w:p>
              </w:tc>
              <w:tc>
                <w:tcPr>
                  <w:tcW w:w="513" w:type="pct"/>
                  <w:vMerge w:val="continue"/>
                  <w:noWrap w:val="0"/>
                  <w:vAlign w:val="center"/>
                </w:tcPr>
                <w:p w14:paraId="1706B218">
                  <w:pPr>
                    <w:jc w:val="center"/>
                    <w:rPr>
                      <w:rFonts w:hint="eastAsia" w:ascii="Times New Roman" w:hAnsi="Times New Roman" w:eastAsia="宋体" w:cs="宋体"/>
                      <w:color w:val="auto"/>
                    </w:rPr>
                  </w:pPr>
                </w:p>
              </w:tc>
              <w:tc>
                <w:tcPr>
                  <w:tcW w:w="1013" w:type="pct"/>
                  <w:vMerge w:val="continue"/>
                  <w:noWrap w:val="0"/>
                  <w:vAlign w:val="center"/>
                </w:tcPr>
                <w:p w14:paraId="6A0C8DC1">
                  <w:pPr>
                    <w:jc w:val="center"/>
                    <w:rPr>
                      <w:rFonts w:hint="eastAsia" w:ascii="Times New Roman" w:hAnsi="Times New Roman" w:eastAsia="宋体" w:cs="宋体"/>
                      <w:color w:val="auto"/>
                    </w:rPr>
                  </w:pPr>
                </w:p>
              </w:tc>
            </w:tr>
            <w:tr w14:paraId="1146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6C145F7C">
                  <w:pPr>
                    <w:jc w:val="center"/>
                    <w:rPr>
                      <w:rFonts w:hint="eastAsia" w:ascii="Times New Roman" w:hAnsi="Times New Roman" w:eastAsia="宋体" w:cs="宋体"/>
                      <w:color w:val="auto"/>
                    </w:rPr>
                  </w:pPr>
                  <w:r>
                    <w:rPr>
                      <w:rFonts w:hint="eastAsia" w:ascii="Times New Roman" w:hAnsi="Times New Roman" w:eastAsia="宋体" w:cs="宋体"/>
                      <w:color w:val="auto"/>
                    </w:rPr>
                    <w:t>颗粒物（PM</w:t>
                  </w:r>
                  <w:r>
                    <w:rPr>
                      <w:rFonts w:hint="eastAsia" w:ascii="Times New Roman" w:hAnsi="Times New Roman" w:eastAsia="宋体" w:cs="宋体"/>
                      <w:color w:val="auto"/>
                      <w:vertAlign w:val="subscript"/>
                    </w:rPr>
                    <w:t>2.5</w:t>
                  </w:r>
                  <w:r>
                    <w:rPr>
                      <w:rFonts w:hint="eastAsia" w:ascii="Times New Roman" w:hAnsi="Times New Roman" w:eastAsia="宋体" w:cs="宋体"/>
                      <w:color w:val="auto"/>
                    </w:rPr>
                    <w:t>）</w:t>
                  </w:r>
                </w:p>
              </w:tc>
              <w:tc>
                <w:tcPr>
                  <w:tcW w:w="1470" w:type="pct"/>
                  <w:noWrap w:val="0"/>
                  <w:vAlign w:val="center"/>
                </w:tcPr>
                <w:p w14:paraId="1F954578">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1B9DB7DC">
                  <w:pPr>
                    <w:jc w:val="center"/>
                    <w:rPr>
                      <w:rFonts w:hint="default" w:ascii="Times New Roman" w:hAnsi="Times New Roman" w:eastAsia="宋体" w:cs="宋体"/>
                      <w:color w:val="auto"/>
                      <w:lang w:val="en-US" w:eastAsia="zh-CN"/>
                    </w:rPr>
                  </w:pPr>
                  <w:r>
                    <w:rPr>
                      <w:rFonts w:hint="eastAsia" w:cs="宋体"/>
                      <w:color w:val="auto"/>
                      <w:lang w:val="en-US" w:eastAsia="zh-CN"/>
                    </w:rPr>
                    <w:t>30</w:t>
                  </w:r>
                </w:p>
              </w:tc>
              <w:tc>
                <w:tcPr>
                  <w:tcW w:w="513" w:type="pct"/>
                  <w:vMerge w:val="continue"/>
                  <w:noWrap w:val="0"/>
                  <w:vAlign w:val="center"/>
                </w:tcPr>
                <w:p w14:paraId="1BDBBA8F">
                  <w:pPr>
                    <w:jc w:val="center"/>
                    <w:rPr>
                      <w:rFonts w:hint="eastAsia" w:ascii="Times New Roman" w:hAnsi="Times New Roman" w:eastAsia="宋体" w:cs="宋体"/>
                      <w:color w:val="auto"/>
                    </w:rPr>
                  </w:pPr>
                </w:p>
              </w:tc>
              <w:tc>
                <w:tcPr>
                  <w:tcW w:w="1013" w:type="pct"/>
                  <w:vMerge w:val="continue"/>
                  <w:noWrap w:val="0"/>
                  <w:vAlign w:val="center"/>
                </w:tcPr>
                <w:p w14:paraId="21A22172">
                  <w:pPr>
                    <w:jc w:val="center"/>
                    <w:rPr>
                      <w:rFonts w:hint="eastAsia" w:ascii="Times New Roman" w:hAnsi="Times New Roman" w:eastAsia="宋体" w:cs="宋体"/>
                      <w:color w:val="auto"/>
                    </w:rPr>
                  </w:pPr>
                </w:p>
              </w:tc>
            </w:tr>
            <w:tr w14:paraId="50E1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18B1579C">
                  <w:pPr>
                    <w:jc w:val="center"/>
                    <w:rPr>
                      <w:rFonts w:hint="eastAsia" w:ascii="Times New Roman" w:hAnsi="Times New Roman" w:eastAsia="宋体" w:cs="宋体"/>
                      <w:color w:val="auto"/>
                    </w:rPr>
                  </w:pPr>
                </w:p>
              </w:tc>
              <w:tc>
                <w:tcPr>
                  <w:tcW w:w="1470" w:type="pct"/>
                  <w:noWrap w:val="0"/>
                  <w:vAlign w:val="center"/>
                </w:tcPr>
                <w:p w14:paraId="043EAE62">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0692A0BA">
                  <w:pPr>
                    <w:jc w:val="center"/>
                    <w:rPr>
                      <w:rFonts w:hint="default" w:ascii="Times New Roman" w:hAnsi="Times New Roman" w:eastAsia="宋体" w:cs="宋体"/>
                      <w:color w:val="auto"/>
                      <w:lang w:val="en-US" w:eastAsia="zh-CN"/>
                    </w:rPr>
                  </w:pPr>
                  <w:r>
                    <w:rPr>
                      <w:rFonts w:hint="eastAsia" w:cs="宋体"/>
                      <w:color w:val="auto"/>
                      <w:lang w:val="en-US" w:eastAsia="zh-CN"/>
                    </w:rPr>
                    <w:t>60</w:t>
                  </w:r>
                </w:p>
              </w:tc>
              <w:tc>
                <w:tcPr>
                  <w:tcW w:w="513" w:type="pct"/>
                  <w:vMerge w:val="continue"/>
                  <w:noWrap w:val="0"/>
                  <w:vAlign w:val="center"/>
                </w:tcPr>
                <w:p w14:paraId="436BCE4A">
                  <w:pPr>
                    <w:jc w:val="center"/>
                    <w:rPr>
                      <w:rFonts w:hint="eastAsia" w:ascii="Times New Roman" w:hAnsi="Times New Roman" w:eastAsia="宋体" w:cs="宋体"/>
                      <w:color w:val="auto"/>
                    </w:rPr>
                  </w:pPr>
                </w:p>
              </w:tc>
              <w:tc>
                <w:tcPr>
                  <w:tcW w:w="1013" w:type="pct"/>
                  <w:vMerge w:val="continue"/>
                  <w:noWrap w:val="0"/>
                  <w:vAlign w:val="center"/>
                </w:tcPr>
                <w:p w14:paraId="083604FD">
                  <w:pPr>
                    <w:jc w:val="center"/>
                    <w:rPr>
                      <w:rFonts w:hint="eastAsia" w:ascii="Times New Roman" w:hAnsi="Times New Roman" w:eastAsia="宋体" w:cs="宋体"/>
                      <w:color w:val="auto"/>
                    </w:rPr>
                  </w:pPr>
                </w:p>
              </w:tc>
            </w:tr>
            <w:tr w14:paraId="4F8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restart"/>
                  <w:noWrap w:val="0"/>
                  <w:vAlign w:val="center"/>
                </w:tcPr>
                <w:p w14:paraId="6EEAE21D">
                  <w:pPr>
                    <w:jc w:val="center"/>
                    <w:rPr>
                      <w:rFonts w:hint="eastAsia" w:ascii="Times New Roman" w:hAnsi="Times New Roman" w:eastAsia="宋体" w:cs="宋体"/>
                      <w:color w:val="auto"/>
                    </w:rPr>
                  </w:pPr>
                  <w:r>
                    <w:rPr>
                      <w:rFonts w:hint="eastAsia" w:ascii="Times New Roman" w:hAnsi="Times New Roman" w:eastAsia="宋体" w:cs="宋体"/>
                      <w:color w:val="auto"/>
                    </w:rPr>
                    <w:t>颗粒物（TSP）</w:t>
                  </w:r>
                </w:p>
              </w:tc>
              <w:tc>
                <w:tcPr>
                  <w:tcW w:w="1470" w:type="pct"/>
                  <w:noWrap w:val="0"/>
                  <w:vAlign w:val="center"/>
                </w:tcPr>
                <w:p w14:paraId="5685F60D">
                  <w:pPr>
                    <w:jc w:val="center"/>
                    <w:rPr>
                      <w:rFonts w:hint="eastAsia" w:ascii="Times New Roman" w:hAnsi="Times New Roman" w:eastAsia="宋体" w:cs="宋体"/>
                      <w:color w:val="auto"/>
                    </w:rPr>
                  </w:pPr>
                  <w:r>
                    <w:rPr>
                      <w:rFonts w:hint="eastAsia" w:ascii="Times New Roman" w:hAnsi="Times New Roman" w:eastAsia="宋体" w:cs="宋体"/>
                      <w:color w:val="auto"/>
                    </w:rPr>
                    <w:t>年平均</w:t>
                  </w:r>
                </w:p>
              </w:tc>
              <w:tc>
                <w:tcPr>
                  <w:tcW w:w="973" w:type="pct"/>
                  <w:noWrap w:val="0"/>
                  <w:vAlign w:val="center"/>
                </w:tcPr>
                <w:p w14:paraId="0CB12F34">
                  <w:pPr>
                    <w:jc w:val="center"/>
                    <w:rPr>
                      <w:rFonts w:hint="eastAsia" w:ascii="Times New Roman" w:hAnsi="Times New Roman" w:eastAsia="宋体" w:cs="宋体"/>
                      <w:color w:val="auto"/>
                    </w:rPr>
                  </w:pPr>
                  <w:r>
                    <w:rPr>
                      <w:rFonts w:hint="eastAsia" w:ascii="Times New Roman" w:hAnsi="Times New Roman" w:eastAsia="宋体" w:cs="宋体"/>
                      <w:color w:val="auto"/>
                    </w:rPr>
                    <w:t>200</w:t>
                  </w:r>
                </w:p>
              </w:tc>
              <w:tc>
                <w:tcPr>
                  <w:tcW w:w="513" w:type="pct"/>
                  <w:vMerge w:val="continue"/>
                  <w:noWrap w:val="0"/>
                  <w:vAlign w:val="center"/>
                </w:tcPr>
                <w:p w14:paraId="62DB5CF5">
                  <w:pPr>
                    <w:jc w:val="center"/>
                    <w:rPr>
                      <w:rFonts w:hint="eastAsia" w:ascii="Times New Roman" w:hAnsi="Times New Roman" w:eastAsia="宋体" w:cs="宋体"/>
                      <w:color w:val="auto"/>
                    </w:rPr>
                  </w:pPr>
                </w:p>
              </w:tc>
              <w:tc>
                <w:tcPr>
                  <w:tcW w:w="1013" w:type="pct"/>
                  <w:vMerge w:val="continue"/>
                  <w:noWrap w:val="0"/>
                  <w:vAlign w:val="center"/>
                </w:tcPr>
                <w:p w14:paraId="568A2A94">
                  <w:pPr>
                    <w:jc w:val="center"/>
                    <w:rPr>
                      <w:rFonts w:hint="eastAsia" w:ascii="Times New Roman" w:hAnsi="Times New Roman" w:eastAsia="宋体" w:cs="宋体"/>
                      <w:color w:val="auto"/>
                    </w:rPr>
                  </w:pPr>
                </w:p>
              </w:tc>
            </w:tr>
            <w:tr w14:paraId="2590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8" w:type="pct"/>
                  <w:vMerge w:val="continue"/>
                  <w:noWrap w:val="0"/>
                  <w:vAlign w:val="center"/>
                </w:tcPr>
                <w:p w14:paraId="007E9D34">
                  <w:pPr>
                    <w:jc w:val="center"/>
                    <w:rPr>
                      <w:rFonts w:hint="eastAsia" w:ascii="Times New Roman" w:hAnsi="Times New Roman" w:eastAsia="宋体" w:cs="宋体"/>
                      <w:color w:val="auto"/>
                    </w:rPr>
                  </w:pPr>
                </w:p>
              </w:tc>
              <w:tc>
                <w:tcPr>
                  <w:tcW w:w="1470" w:type="pct"/>
                  <w:noWrap w:val="0"/>
                  <w:vAlign w:val="center"/>
                </w:tcPr>
                <w:p w14:paraId="458BCBCF">
                  <w:pPr>
                    <w:jc w:val="center"/>
                    <w:rPr>
                      <w:rFonts w:hint="eastAsia" w:ascii="Times New Roman" w:hAnsi="Times New Roman" w:eastAsia="宋体" w:cs="宋体"/>
                      <w:color w:val="auto"/>
                    </w:rPr>
                  </w:pPr>
                  <w:r>
                    <w:rPr>
                      <w:rFonts w:hint="eastAsia" w:ascii="Times New Roman" w:hAnsi="Times New Roman" w:eastAsia="宋体" w:cs="宋体"/>
                      <w:color w:val="auto"/>
                    </w:rPr>
                    <w:t>24小时平均</w:t>
                  </w:r>
                </w:p>
              </w:tc>
              <w:tc>
                <w:tcPr>
                  <w:tcW w:w="973" w:type="pct"/>
                  <w:noWrap w:val="0"/>
                  <w:vAlign w:val="center"/>
                </w:tcPr>
                <w:p w14:paraId="19DCF6E6">
                  <w:pPr>
                    <w:jc w:val="center"/>
                    <w:rPr>
                      <w:rFonts w:hint="eastAsia" w:ascii="Times New Roman" w:hAnsi="Times New Roman" w:eastAsia="宋体" w:cs="宋体"/>
                      <w:color w:val="auto"/>
                    </w:rPr>
                  </w:pPr>
                  <w:r>
                    <w:rPr>
                      <w:rFonts w:hint="eastAsia" w:ascii="Times New Roman" w:hAnsi="Times New Roman" w:eastAsia="宋体" w:cs="宋体"/>
                      <w:color w:val="auto"/>
                    </w:rPr>
                    <w:t>300</w:t>
                  </w:r>
                </w:p>
              </w:tc>
              <w:tc>
                <w:tcPr>
                  <w:tcW w:w="513" w:type="pct"/>
                  <w:vMerge w:val="continue"/>
                  <w:noWrap w:val="0"/>
                  <w:vAlign w:val="center"/>
                </w:tcPr>
                <w:p w14:paraId="19F0236E">
                  <w:pPr>
                    <w:jc w:val="center"/>
                    <w:rPr>
                      <w:rFonts w:hint="eastAsia" w:ascii="Times New Roman" w:hAnsi="Times New Roman" w:eastAsia="宋体" w:cs="宋体"/>
                      <w:color w:val="auto"/>
                    </w:rPr>
                  </w:pPr>
                </w:p>
              </w:tc>
              <w:tc>
                <w:tcPr>
                  <w:tcW w:w="1013" w:type="pct"/>
                  <w:vMerge w:val="continue"/>
                  <w:noWrap w:val="0"/>
                  <w:vAlign w:val="center"/>
                </w:tcPr>
                <w:p w14:paraId="3EF85706">
                  <w:pPr>
                    <w:jc w:val="center"/>
                    <w:rPr>
                      <w:rFonts w:hint="eastAsia" w:ascii="Times New Roman" w:hAnsi="Times New Roman" w:eastAsia="宋体" w:cs="宋体"/>
                      <w:color w:val="auto"/>
                    </w:rPr>
                  </w:pPr>
                </w:p>
              </w:tc>
            </w:tr>
          </w:tbl>
          <w:p w14:paraId="41F12C27">
            <w:pPr>
              <w:spacing w:line="360" w:lineRule="auto"/>
              <w:ind w:firstLine="482" w:firstLineChars="200"/>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（2）达标区判定</w:t>
            </w:r>
          </w:p>
          <w:p w14:paraId="0509DE48">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rPr>
              <w:t>根据《环境影响评价技术导则大气环境》（HJ2.2-2018）评价导则要求，</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项目所在区域达标判定，优先采用国家或地方环境空气质量监测网中评价基准年连续1年的监测数据，或采用生态环境主管部门公开发布的环境空气质量现状数据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ascii="Times New Roman" w:hAnsi="Times New Roman" w:eastAsia="宋体" w:cs="Times New Roman"/>
                <w:color w:val="auto"/>
                <w:sz w:val="24"/>
              </w:rPr>
              <w:t>本次评价</w:t>
            </w:r>
            <w:r>
              <w:rPr>
                <w:rFonts w:hint="eastAsia" w:ascii="Times New Roman" w:hAnsi="Times New Roman" w:eastAsia="宋体" w:cs="Times New Roman"/>
                <w:color w:val="auto"/>
                <w:sz w:val="24"/>
              </w:rPr>
              <w:t>引用</w:t>
            </w:r>
            <w:r>
              <w:rPr>
                <w:rFonts w:ascii="Times New Roman" w:hAnsi="Times New Roman" w:eastAsia="宋体" w:cs="Times New Roman"/>
                <w:color w:val="auto"/>
                <w:sz w:val="24"/>
              </w:rPr>
              <w:t>通海县环境空气质量自动监测</w:t>
            </w:r>
            <w:r>
              <w:rPr>
                <w:rFonts w:hint="eastAsia" w:ascii="Times New Roman" w:hAnsi="Times New Roman" w:eastAsia="宋体" w:cs="Times New Roman"/>
                <w:color w:val="auto"/>
                <w:sz w:val="24"/>
              </w:rPr>
              <w:t>站</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通海县环境监测站</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20</w:t>
            </w:r>
            <w:r>
              <w:rPr>
                <w:rFonts w:hint="eastAsia" w:cs="Times New Roman"/>
                <w:color w:val="auto"/>
                <w:sz w:val="24"/>
                <w:lang w:val="en-US" w:eastAsia="zh-CN"/>
              </w:rPr>
              <w:t>24</w:t>
            </w:r>
            <w:r>
              <w:rPr>
                <w:rFonts w:ascii="Times New Roman" w:hAnsi="Times New Roman" w:eastAsia="宋体" w:cs="Times New Roman"/>
                <w:color w:val="auto"/>
                <w:sz w:val="24"/>
              </w:rPr>
              <w:t>年1月1日～12月31日的监测数据，（位于</w:t>
            </w:r>
            <w:bookmarkStart w:id="12" w:name="_Hlk195797784"/>
            <w:r>
              <w:rPr>
                <w:rFonts w:ascii="Times New Roman" w:hAnsi="Times New Roman" w:eastAsia="宋体" w:cs="Times New Roman"/>
                <w:color w:val="auto"/>
                <w:sz w:val="24"/>
              </w:rPr>
              <w:t>项目区</w:t>
            </w:r>
            <w:r>
              <w:rPr>
                <w:rFonts w:hint="eastAsia" w:ascii="Times New Roman" w:hAnsi="Times New Roman" w:eastAsia="宋体" w:cs="Times New Roman"/>
                <w:color w:val="auto"/>
                <w:sz w:val="24"/>
                <w:lang w:val="en-US" w:eastAsia="zh-CN"/>
              </w:rPr>
              <w:t>南</w:t>
            </w:r>
            <w:r>
              <w:rPr>
                <w:rFonts w:ascii="Times New Roman" w:hAnsi="Times New Roman" w:eastAsia="宋体" w:cs="Times New Roman"/>
                <w:color w:val="auto"/>
                <w:sz w:val="24"/>
              </w:rPr>
              <w:t>侧</w:t>
            </w:r>
            <w:r>
              <w:rPr>
                <w:rFonts w:hint="eastAsia" w:cs="Times New Roman"/>
                <w:color w:val="auto"/>
                <w:sz w:val="24"/>
                <w:lang w:val="en-US" w:eastAsia="zh-CN"/>
              </w:rPr>
              <w:t>9.8</w:t>
            </w:r>
            <w:r>
              <w:rPr>
                <w:rFonts w:ascii="Times New Roman" w:hAnsi="Times New Roman" w:eastAsia="宋体" w:cs="Times New Roman"/>
                <w:color w:val="auto"/>
                <w:sz w:val="24"/>
              </w:rPr>
              <w:t>km处</w:t>
            </w:r>
            <w:bookmarkEnd w:id="12"/>
            <w:r>
              <w:rPr>
                <w:rFonts w:ascii="Times New Roman" w:hAnsi="Times New Roman" w:eastAsia="宋体" w:cs="Times New Roman"/>
                <w:color w:val="auto"/>
                <w:sz w:val="24"/>
              </w:rPr>
              <w:t>）。监测结果统计如下：</w:t>
            </w:r>
          </w:p>
          <w:p w14:paraId="0521901A">
            <w:pPr>
              <w:jc w:val="center"/>
              <w:rPr>
                <w:rFonts w:hint="eastAsia" w:ascii="Times New Roman" w:hAnsi="Times New Roman" w:eastAsia="宋体" w:cs="Times New Roman"/>
                <w:b/>
                <w:color w:val="auto"/>
                <w:sz w:val="24"/>
                <w:szCs w:val="24"/>
              </w:rPr>
            </w:pPr>
          </w:p>
          <w:p w14:paraId="2AFDBEFE">
            <w:pPr>
              <w:jc w:val="center"/>
              <w:rPr>
                <w:rFonts w:hint="eastAsia" w:ascii="Times New Roman" w:hAnsi="Times New Roman" w:eastAsia="宋体" w:cs="Times New Roman"/>
                <w:b/>
                <w:color w:val="auto"/>
                <w:sz w:val="24"/>
                <w:szCs w:val="24"/>
              </w:rPr>
            </w:pPr>
          </w:p>
          <w:p w14:paraId="3C07E508">
            <w:pPr>
              <w:pStyle w:val="57"/>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表3-2 通海县环境空气质量统计表</w:t>
            </w:r>
          </w:p>
          <w:tbl>
            <w:tblPr>
              <w:tblStyle w:val="24"/>
              <w:tblW w:w="4989" w:type="pct"/>
              <w:tblInd w:w="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70"/>
              <w:gridCol w:w="2297"/>
              <w:gridCol w:w="1409"/>
              <w:gridCol w:w="1136"/>
              <w:gridCol w:w="1151"/>
              <w:gridCol w:w="1288"/>
            </w:tblGrid>
            <w:tr w14:paraId="1C91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shd w:val="clear" w:color="auto" w:fill="D7D7D7" w:themeFill="background1" w:themeFillShade="D8"/>
                  <w:noWrap w:val="0"/>
                  <w:vAlign w:val="center"/>
                </w:tcPr>
                <w:p w14:paraId="5B91CD7F">
                  <w:pPr>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b w:val="0"/>
                      <w:bCs/>
                      <w:color w:val="auto"/>
                      <w:sz w:val="21"/>
                      <w:szCs w:val="21"/>
                    </w:rPr>
                  </w:pPr>
                  <w:r>
                    <w:rPr>
                      <w:rFonts w:ascii="Times New Roman" w:hAnsi="Times New Roman" w:eastAsia="宋体"/>
                      <w:b w:val="0"/>
                      <w:bCs/>
                      <w:color w:val="auto"/>
                      <w:sz w:val="21"/>
                      <w:szCs w:val="21"/>
                    </w:rPr>
                    <w:t>污染物</w:t>
                  </w:r>
                </w:p>
              </w:tc>
              <w:tc>
                <w:tcPr>
                  <w:tcW w:w="1392" w:type="pct"/>
                  <w:shd w:val="clear" w:color="auto" w:fill="D7D7D7" w:themeFill="background1" w:themeFillShade="D8"/>
                  <w:noWrap w:val="0"/>
                  <w:vAlign w:val="center"/>
                </w:tcPr>
                <w:p w14:paraId="0407E13B">
                  <w:pPr>
                    <w:keepNext w:val="0"/>
                    <w:keepLines w:val="0"/>
                    <w:pageBreakBefore w:val="0"/>
                    <w:widowControl w:val="0"/>
                    <w:kinsoku/>
                    <w:wordWrap/>
                    <w:overflowPunct/>
                    <w:topLinePunct w:val="0"/>
                    <w:bidi w:val="0"/>
                    <w:adjustRightInd w:val="0"/>
                    <w:snapToGrid w:val="0"/>
                    <w:spacing w:line="240" w:lineRule="auto"/>
                    <w:ind w:firstLine="0" w:firstLineChars="0"/>
                    <w:rPr>
                      <w:rFonts w:ascii="Times New Roman" w:hAnsi="Times New Roman" w:eastAsia="宋体"/>
                      <w:b w:val="0"/>
                      <w:bCs/>
                      <w:color w:val="auto"/>
                      <w:sz w:val="21"/>
                      <w:szCs w:val="21"/>
                    </w:rPr>
                  </w:pPr>
                  <w:r>
                    <w:rPr>
                      <w:rFonts w:ascii="Times New Roman" w:hAnsi="Times New Roman" w:eastAsia="宋体"/>
                      <w:b w:val="0"/>
                      <w:bCs/>
                      <w:color w:val="auto"/>
                      <w:sz w:val="21"/>
                      <w:szCs w:val="21"/>
                    </w:rPr>
                    <w:t>年评价指标</w:t>
                  </w:r>
                </w:p>
              </w:tc>
              <w:tc>
                <w:tcPr>
                  <w:tcW w:w="854" w:type="pct"/>
                  <w:shd w:val="clear" w:color="auto" w:fill="D7D7D7" w:themeFill="background1" w:themeFillShade="D8"/>
                  <w:noWrap w:val="0"/>
                  <w:vAlign w:val="center"/>
                </w:tcPr>
                <w:p w14:paraId="013862E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现状浓度（ug/m</w:t>
                  </w:r>
                  <w:r>
                    <w:rPr>
                      <w:rFonts w:ascii="Times New Roman" w:hAnsi="Times New Roman" w:eastAsia="宋体"/>
                      <w:b w:val="0"/>
                      <w:bCs/>
                      <w:color w:val="auto"/>
                      <w:sz w:val="21"/>
                      <w:szCs w:val="21"/>
                      <w:vertAlign w:val="superscript"/>
                    </w:rPr>
                    <w:t>3</w:t>
                  </w:r>
                  <w:r>
                    <w:rPr>
                      <w:rFonts w:ascii="Times New Roman" w:hAnsi="Times New Roman" w:eastAsia="宋体"/>
                      <w:b w:val="0"/>
                      <w:bCs/>
                      <w:color w:val="auto"/>
                      <w:sz w:val="21"/>
                      <w:szCs w:val="21"/>
                    </w:rPr>
                    <w:t>）</w:t>
                  </w:r>
                </w:p>
              </w:tc>
              <w:tc>
                <w:tcPr>
                  <w:tcW w:w="686" w:type="pct"/>
                  <w:shd w:val="clear" w:color="auto" w:fill="D7D7D7" w:themeFill="background1" w:themeFillShade="D8"/>
                  <w:noWrap w:val="0"/>
                  <w:vAlign w:val="center"/>
                </w:tcPr>
                <w:p w14:paraId="5C0EE7F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标准值</w:t>
                  </w:r>
                </w:p>
                <w:p w14:paraId="3B778E00">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（ug/m</w:t>
                  </w:r>
                  <w:r>
                    <w:rPr>
                      <w:rFonts w:ascii="Times New Roman" w:hAnsi="Times New Roman" w:eastAsia="宋体"/>
                      <w:b w:val="0"/>
                      <w:bCs/>
                      <w:color w:val="auto"/>
                      <w:sz w:val="21"/>
                      <w:szCs w:val="21"/>
                      <w:vertAlign w:val="superscript"/>
                    </w:rPr>
                    <w:t>3</w:t>
                  </w:r>
                  <w:r>
                    <w:rPr>
                      <w:rFonts w:ascii="Times New Roman" w:hAnsi="Times New Roman" w:eastAsia="宋体"/>
                      <w:b w:val="0"/>
                      <w:bCs/>
                      <w:color w:val="auto"/>
                      <w:sz w:val="21"/>
                      <w:szCs w:val="21"/>
                    </w:rPr>
                    <w:t>）</w:t>
                  </w:r>
                </w:p>
              </w:tc>
              <w:tc>
                <w:tcPr>
                  <w:tcW w:w="697" w:type="pct"/>
                  <w:shd w:val="clear" w:color="auto" w:fill="D7D7D7" w:themeFill="background1" w:themeFillShade="D8"/>
                  <w:noWrap w:val="0"/>
                  <w:vAlign w:val="center"/>
                </w:tcPr>
                <w:p w14:paraId="5866698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占标率/%</w:t>
                  </w:r>
                </w:p>
              </w:tc>
              <w:tc>
                <w:tcPr>
                  <w:tcW w:w="780" w:type="pct"/>
                  <w:shd w:val="clear" w:color="auto" w:fill="D7D7D7" w:themeFill="background1" w:themeFillShade="D8"/>
                  <w:noWrap w:val="0"/>
                  <w:vAlign w:val="center"/>
                </w:tcPr>
                <w:p w14:paraId="54E8D70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color w:val="auto"/>
                      <w:sz w:val="21"/>
                      <w:szCs w:val="21"/>
                    </w:rPr>
                  </w:pPr>
                  <w:r>
                    <w:rPr>
                      <w:rFonts w:ascii="Times New Roman" w:hAnsi="Times New Roman" w:eastAsia="宋体"/>
                      <w:b w:val="0"/>
                      <w:bCs/>
                      <w:color w:val="auto"/>
                      <w:sz w:val="21"/>
                      <w:szCs w:val="21"/>
                    </w:rPr>
                    <w:t>评价结果</w:t>
                  </w:r>
                </w:p>
              </w:tc>
            </w:tr>
            <w:tr w14:paraId="04015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3F416E8A">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SO</w:t>
                  </w:r>
                  <w:r>
                    <w:rPr>
                      <w:rFonts w:ascii="Times New Roman" w:hAnsi="Times New Roman" w:eastAsia="宋体"/>
                      <w:bCs/>
                      <w:color w:val="auto"/>
                      <w:sz w:val="21"/>
                      <w:szCs w:val="21"/>
                      <w:vertAlign w:val="subscript"/>
                    </w:rPr>
                    <w:t>2</w:t>
                  </w:r>
                </w:p>
              </w:tc>
              <w:tc>
                <w:tcPr>
                  <w:tcW w:w="1392" w:type="pct"/>
                  <w:noWrap w:val="0"/>
                  <w:vAlign w:val="center"/>
                </w:tcPr>
                <w:p w14:paraId="03219D80">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0E110214">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6.54</w:t>
                  </w:r>
                </w:p>
              </w:tc>
              <w:tc>
                <w:tcPr>
                  <w:tcW w:w="686" w:type="pct"/>
                  <w:noWrap w:val="0"/>
                  <w:vAlign w:val="center"/>
                </w:tcPr>
                <w:p w14:paraId="11816F6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60</w:t>
                  </w:r>
                </w:p>
              </w:tc>
              <w:tc>
                <w:tcPr>
                  <w:tcW w:w="697" w:type="pct"/>
                  <w:noWrap w:val="0"/>
                  <w:vAlign w:val="center"/>
                </w:tcPr>
                <w:p w14:paraId="2650E13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10.9</w:t>
                  </w:r>
                </w:p>
              </w:tc>
              <w:tc>
                <w:tcPr>
                  <w:tcW w:w="780" w:type="pct"/>
                  <w:noWrap w:val="0"/>
                  <w:vAlign w:val="center"/>
                </w:tcPr>
                <w:p w14:paraId="5E9CEF8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6FDB1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5001D508">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20315E84">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98%日平均质量浓度</w:t>
                  </w:r>
                </w:p>
              </w:tc>
              <w:tc>
                <w:tcPr>
                  <w:tcW w:w="854" w:type="pct"/>
                  <w:noWrap w:val="0"/>
                  <w:vAlign w:val="center"/>
                </w:tcPr>
                <w:p w14:paraId="7D612914">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12</w:t>
                  </w:r>
                </w:p>
              </w:tc>
              <w:tc>
                <w:tcPr>
                  <w:tcW w:w="686" w:type="pct"/>
                  <w:noWrap w:val="0"/>
                  <w:vAlign w:val="center"/>
                </w:tcPr>
                <w:p w14:paraId="5557807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150</w:t>
                  </w:r>
                </w:p>
              </w:tc>
              <w:tc>
                <w:tcPr>
                  <w:tcW w:w="697" w:type="pct"/>
                  <w:noWrap w:val="0"/>
                  <w:vAlign w:val="center"/>
                </w:tcPr>
                <w:p w14:paraId="3676E06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hint="eastAsia" w:ascii="Times New Roman" w:hAnsi="Times New Roman" w:eastAsia="宋体"/>
                      <w:color w:val="auto"/>
                      <w:sz w:val="21"/>
                      <w:szCs w:val="21"/>
                    </w:rPr>
                    <w:t>8</w:t>
                  </w:r>
                </w:p>
              </w:tc>
              <w:tc>
                <w:tcPr>
                  <w:tcW w:w="780" w:type="pct"/>
                  <w:noWrap w:val="0"/>
                  <w:vAlign w:val="center"/>
                </w:tcPr>
                <w:p w14:paraId="189BE86A">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0CC7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01EC43E4">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NO</w:t>
                  </w:r>
                  <w:r>
                    <w:rPr>
                      <w:rFonts w:ascii="Times New Roman" w:hAnsi="Times New Roman" w:eastAsia="宋体"/>
                      <w:bCs/>
                      <w:color w:val="auto"/>
                      <w:sz w:val="21"/>
                      <w:szCs w:val="21"/>
                      <w:vertAlign w:val="subscript"/>
                    </w:rPr>
                    <w:t>2</w:t>
                  </w:r>
                </w:p>
              </w:tc>
              <w:tc>
                <w:tcPr>
                  <w:tcW w:w="1392" w:type="pct"/>
                  <w:noWrap w:val="0"/>
                  <w:vAlign w:val="center"/>
                </w:tcPr>
                <w:p w14:paraId="12B37527">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138624C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9.21</w:t>
                  </w:r>
                </w:p>
              </w:tc>
              <w:tc>
                <w:tcPr>
                  <w:tcW w:w="686" w:type="pct"/>
                  <w:noWrap w:val="0"/>
                  <w:vAlign w:val="center"/>
                </w:tcPr>
                <w:p w14:paraId="06E074C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40</w:t>
                  </w:r>
                </w:p>
              </w:tc>
              <w:tc>
                <w:tcPr>
                  <w:tcW w:w="697" w:type="pct"/>
                  <w:noWrap w:val="0"/>
                  <w:vAlign w:val="center"/>
                </w:tcPr>
                <w:p w14:paraId="2050881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23.03</w:t>
                  </w:r>
                </w:p>
              </w:tc>
              <w:tc>
                <w:tcPr>
                  <w:tcW w:w="780" w:type="pct"/>
                  <w:noWrap w:val="0"/>
                  <w:vAlign w:val="center"/>
                </w:tcPr>
                <w:p w14:paraId="726CC75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47D3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6C8AF36D">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52EA58E5">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98%日平均质量浓度</w:t>
                  </w:r>
                </w:p>
              </w:tc>
              <w:tc>
                <w:tcPr>
                  <w:tcW w:w="854" w:type="pct"/>
                  <w:noWrap w:val="0"/>
                  <w:vAlign w:val="center"/>
                </w:tcPr>
                <w:p w14:paraId="17EB092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20</w:t>
                  </w:r>
                </w:p>
              </w:tc>
              <w:tc>
                <w:tcPr>
                  <w:tcW w:w="686" w:type="pct"/>
                  <w:noWrap w:val="0"/>
                  <w:vAlign w:val="center"/>
                </w:tcPr>
                <w:p w14:paraId="2989548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color w:val="auto"/>
                      <w:sz w:val="21"/>
                      <w:szCs w:val="21"/>
                    </w:rPr>
                    <w:t>80</w:t>
                  </w:r>
                </w:p>
              </w:tc>
              <w:tc>
                <w:tcPr>
                  <w:tcW w:w="697" w:type="pct"/>
                  <w:noWrap w:val="0"/>
                  <w:vAlign w:val="center"/>
                </w:tcPr>
                <w:p w14:paraId="0FC1D7A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25</w:t>
                  </w:r>
                </w:p>
              </w:tc>
              <w:tc>
                <w:tcPr>
                  <w:tcW w:w="780" w:type="pct"/>
                  <w:noWrap w:val="0"/>
                  <w:vAlign w:val="center"/>
                </w:tcPr>
                <w:p w14:paraId="6E32FEE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11243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500D1E25">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PM</w:t>
                  </w:r>
                  <w:r>
                    <w:rPr>
                      <w:rFonts w:ascii="Times New Roman" w:hAnsi="Times New Roman" w:eastAsia="宋体"/>
                      <w:bCs/>
                      <w:color w:val="auto"/>
                      <w:sz w:val="21"/>
                      <w:szCs w:val="21"/>
                      <w:vertAlign w:val="subscript"/>
                    </w:rPr>
                    <w:t>10</w:t>
                  </w:r>
                </w:p>
              </w:tc>
              <w:tc>
                <w:tcPr>
                  <w:tcW w:w="1392" w:type="pct"/>
                  <w:noWrap w:val="0"/>
                  <w:vAlign w:val="center"/>
                </w:tcPr>
                <w:p w14:paraId="5723845D">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446A30E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25.72</w:t>
                  </w:r>
                </w:p>
              </w:tc>
              <w:tc>
                <w:tcPr>
                  <w:tcW w:w="686" w:type="pct"/>
                  <w:noWrap w:val="0"/>
                  <w:vAlign w:val="center"/>
                </w:tcPr>
                <w:p w14:paraId="6488426A">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60</w:t>
                  </w:r>
                </w:p>
              </w:tc>
              <w:tc>
                <w:tcPr>
                  <w:tcW w:w="697" w:type="pct"/>
                  <w:noWrap w:val="0"/>
                  <w:vAlign w:val="center"/>
                </w:tcPr>
                <w:p w14:paraId="79F6BDF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42.87</w:t>
                  </w:r>
                </w:p>
              </w:tc>
              <w:tc>
                <w:tcPr>
                  <w:tcW w:w="780" w:type="pct"/>
                  <w:noWrap w:val="0"/>
                  <w:vAlign w:val="center"/>
                </w:tcPr>
                <w:p w14:paraId="6362636F">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564A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46569C2B">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3E9A4747">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95%日平均质量浓度</w:t>
                  </w:r>
                </w:p>
              </w:tc>
              <w:tc>
                <w:tcPr>
                  <w:tcW w:w="854" w:type="pct"/>
                  <w:noWrap w:val="0"/>
                  <w:vAlign w:val="center"/>
                </w:tcPr>
                <w:p w14:paraId="3D899BD5">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54</w:t>
                  </w:r>
                </w:p>
              </w:tc>
              <w:tc>
                <w:tcPr>
                  <w:tcW w:w="686" w:type="pct"/>
                  <w:noWrap w:val="0"/>
                  <w:vAlign w:val="center"/>
                </w:tcPr>
                <w:p w14:paraId="19FFFE3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120</w:t>
                  </w:r>
                </w:p>
              </w:tc>
              <w:tc>
                <w:tcPr>
                  <w:tcW w:w="697" w:type="pct"/>
                  <w:noWrap w:val="0"/>
                  <w:vAlign w:val="center"/>
                </w:tcPr>
                <w:p w14:paraId="3AD6CB6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45</w:t>
                  </w:r>
                </w:p>
              </w:tc>
              <w:tc>
                <w:tcPr>
                  <w:tcW w:w="780" w:type="pct"/>
                  <w:noWrap w:val="0"/>
                  <w:vAlign w:val="center"/>
                </w:tcPr>
                <w:p w14:paraId="1A24540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754F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restart"/>
                  <w:noWrap w:val="0"/>
                  <w:vAlign w:val="center"/>
                </w:tcPr>
                <w:p w14:paraId="476F1EEE">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PM</w:t>
                  </w:r>
                  <w:r>
                    <w:rPr>
                      <w:rFonts w:ascii="Times New Roman" w:hAnsi="Times New Roman" w:eastAsia="宋体"/>
                      <w:bCs/>
                      <w:color w:val="auto"/>
                      <w:sz w:val="21"/>
                      <w:szCs w:val="21"/>
                      <w:vertAlign w:val="subscript"/>
                    </w:rPr>
                    <w:t>2.5</w:t>
                  </w:r>
                </w:p>
              </w:tc>
              <w:tc>
                <w:tcPr>
                  <w:tcW w:w="1392" w:type="pct"/>
                  <w:noWrap w:val="0"/>
                  <w:vAlign w:val="center"/>
                </w:tcPr>
                <w:p w14:paraId="2FEDA931">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年平均质量浓度</w:t>
                  </w:r>
                </w:p>
              </w:tc>
              <w:tc>
                <w:tcPr>
                  <w:tcW w:w="854" w:type="pct"/>
                  <w:noWrap w:val="0"/>
                  <w:vAlign w:val="center"/>
                </w:tcPr>
                <w:p w14:paraId="2542973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19.77</w:t>
                  </w:r>
                </w:p>
              </w:tc>
              <w:tc>
                <w:tcPr>
                  <w:tcW w:w="686" w:type="pct"/>
                  <w:noWrap w:val="0"/>
                  <w:vAlign w:val="center"/>
                </w:tcPr>
                <w:p w14:paraId="0985928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30</w:t>
                  </w:r>
                </w:p>
              </w:tc>
              <w:tc>
                <w:tcPr>
                  <w:tcW w:w="697" w:type="pct"/>
                  <w:noWrap w:val="0"/>
                  <w:vAlign w:val="center"/>
                </w:tcPr>
                <w:p w14:paraId="63DC5F05">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65.9</w:t>
                  </w:r>
                </w:p>
              </w:tc>
              <w:tc>
                <w:tcPr>
                  <w:tcW w:w="780" w:type="pct"/>
                  <w:noWrap w:val="0"/>
                  <w:vAlign w:val="center"/>
                </w:tcPr>
                <w:p w14:paraId="70FD938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7B38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vMerge w:val="continue"/>
                  <w:noWrap w:val="0"/>
                  <w:vAlign w:val="center"/>
                </w:tcPr>
                <w:p w14:paraId="7A90AB10">
                  <w:pPr>
                    <w:keepNext w:val="0"/>
                    <w:keepLines w:val="0"/>
                    <w:pageBreakBefore w:val="0"/>
                    <w:widowControl w:val="0"/>
                    <w:kinsoku/>
                    <w:wordWrap/>
                    <w:overflowPunct/>
                    <w:topLinePunct w:val="0"/>
                    <w:bidi w:val="0"/>
                    <w:adjustRightInd w:val="0"/>
                    <w:snapToGrid w:val="0"/>
                    <w:spacing w:line="240" w:lineRule="auto"/>
                    <w:ind w:firstLine="420"/>
                    <w:jc w:val="center"/>
                    <w:rPr>
                      <w:rFonts w:ascii="Times New Roman" w:hAnsi="Times New Roman" w:eastAsia="宋体"/>
                      <w:bCs/>
                      <w:color w:val="auto"/>
                      <w:sz w:val="21"/>
                      <w:szCs w:val="21"/>
                    </w:rPr>
                  </w:pPr>
                </w:p>
              </w:tc>
              <w:tc>
                <w:tcPr>
                  <w:tcW w:w="1392" w:type="pct"/>
                  <w:noWrap w:val="0"/>
                  <w:vAlign w:val="center"/>
                </w:tcPr>
                <w:p w14:paraId="4B17BD64">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95%日平均质量浓度</w:t>
                  </w:r>
                </w:p>
              </w:tc>
              <w:tc>
                <w:tcPr>
                  <w:tcW w:w="854" w:type="pct"/>
                  <w:noWrap w:val="0"/>
                  <w:vAlign w:val="center"/>
                </w:tcPr>
                <w:p w14:paraId="7A9632F3">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42</w:t>
                  </w:r>
                </w:p>
              </w:tc>
              <w:tc>
                <w:tcPr>
                  <w:tcW w:w="686" w:type="pct"/>
                  <w:noWrap w:val="0"/>
                  <w:vAlign w:val="center"/>
                </w:tcPr>
                <w:p w14:paraId="33742B7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60</w:t>
                  </w:r>
                </w:p>
              </w:tc>
              <w:tc>
                <w:tcPr>
                  <w:tcW w:w="697" w:type="pct"/>
                  <w:noWrap w:val="0"/>
                  <w:vAlign w:val="center"/>
                </w:tcPr>
                <w:p w14:paraId="28FC3D9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bCs/>
                      <w:color w:val="auto"/>
                      <w:sz w:val="21"/>
                      <w:szCs w:val="21"/>
                      <w:lang w:val="en-US" w:eastAsia="zh-CN"/>
                    </w:rPr>
                  </w:pPr>
                  <w:r>
                    <w:rPr>
                      <w:rFonts w:hint="eastAsia"/>
                      <w:color w:val="auto"/>
                      <w:sz w:val="21"/>
                      <w:szCs w:val="21"/>
                      <w:lang w:val="en-US" w:eastAsia="zh-CN"/>
                    </w:rPr>
                    <w:t>70</w:t>
                  </w:r>
                </w:p>
              </w:tc>
              <w:tc>
                <w:tcPr>
                  <w:tcW w:w="780" w:type="pct"/>
                  <w:noWrap w:val="0"/>
                  <w:vAlign w:val="center"/>
                </w:tcPr>
                <w:p w14:paraId="0B74B17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5AA59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noWrap w:val="0"/>
                  <w:vAlign w:val="center"/>
                </w:tcPr>
                <w:p w14:paraId="65422DB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CO</w:t>
                  </w:r>
                </w:p>
              </w:tc>
              <w:tc>
                <w:tcPr>
                  <w:tcW w:w="1392" w:type="pct"/>
                  <w:noWrap w:val="0"/>
                  <w:vAlign w:val="center"/>
                </w:tcPr>
                <w:p w14:paraId="204C4FC2">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lang w:val="en-US"/>
                    </w:rPr>
                  </w:pPr>
                  <w:r>
                    <w:rPr>
                      <w:rFonts w:ascii="Times New Roman" w:hAnsi="Times New Roman" w:eastAsia="宋体"/>
                      <w:bCs/>
                      <w:color w:val="auto"/>
                      <w:sz w:val="21"/>
                      <w:szCs w:val="21"/>
                    </w:rPr>
                    <w:t>95%日平均质量浓度</w:t>
                  </w:r>
                </w:p>
              </w:tc>
              <w:tc>
                <w:tcPr>
                  <w:tcW w:w="854" w:type="pct"/>
                  <w:noWrap w:val="0"/>
                  <w:vAlign w:val="center"/>
                </w:tcPr>
                <w:p w14:paraId="1A7B7CF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1100</w:t>
                  </w:r>
                </w:p>
              </w:tc>
              <w:tc>
                <w:tcPr>
                  <w:tcW w:w="686" w:type="pct"/>
                  <w:noWrap w:val="0"/>
                  <w:vAlign w:val="center"/>
                </w:tcPr>
                <w:p w14:paraId="143886F8">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4000</w:t>
                  </w:r>
                </w:p>
              </w:tc>
              <w:tc>
                <w:tcPr>
                  <w:tcW w:w="697" w:type="pct"/>
                  <w:noWrap w:val="0"/>
                  <w:vAlign w:val="center"/>
                </w:tcPr>
                <w:p w14:paraId="23807FC9">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27.5</w:t>
                  </w:r>
                </w:p>
              </w:tc>
              <w:tc>
                <w:tcPr>
                  <w:tcW w:w="780" w:type="pct"/>
                  <w:noWrap w:val="0"/>
                  <w:vAlign w:val="center"/>
                </w:tcPr>
                <w:p w14:paraId="66D41531">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r w14:paraId="72B8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0" w:hRule="atLeast"/>
              </w:trPr>
              <w:tc>
                <w:tcPr>
                  <w:tcW w:w="588" w:type="pct"/>
                  <w:noWrap w:val="0"/>
                  <w:vAlign w:val="center"/>
                </w:tcPr>
                <w:p w14:paraId="0FEAF61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O</w:t>
                  </w:r>
                  <w:r>
                    <w:rPr>
                      <w:rFonts w:ascii="Times New Roman" w:hAnsi="Times New Roman" w:eastAsia="宋体"/>
                      <w:bCs/>
                      <w:color w:val="auto"/>
                      <w:sz w:val="21"/>
                      <w:szCs w:val="21"/>
                      <w:vertAlign w:val="subscript"/>
                    </w:rPr>
                    <w:t>3</w:t>
                  </w:r>
                </w:p>
              </w:tc>
              <w:tc>
                <w:tcPr>
                  <w:tcW w:w="1392" w:type="pct"/>
                  <w:noWrap w:val="0"/>
                  <w:vAlign w:val="center"/>
                </w:tcPr>
                <w:p w14:paraId="3C0CF6A3">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firstLineChars="0"/>
                    <w:jc w:val="both"/>
                    <w:rPr>
                      <w:rFonts w:ascii="Times New Roman" w:hAnsi="Times New Roman" w:eastAsia="宋体"/>
                      <w:bCs/>
                      <w:color w:val="auto"/>
                      <w:sz w:val="21"/>
                      <w:szCs w:val="21"/>
                    </w:rPr>
                  </w:pPr>
                  <w:r>
                    <w:rPr>
                      <w:rFonts w:ascii="Times New Roman" w:hAnsi="Times New Roman" w:eastAsia="宋体"/>
                      <w:bCs/>
                      <w:color w:val="auto"/>
                      <w:sz w:val="21"/>
                      <w:szCs w:val="21"/>
                    </w:rPr>
                    <w:t>90%日最大8小时平均质量浓度</w:t>
                  </w:r>
                </w:p>
              </w:tc>
              <w:tc>
                <w:tcPr>
                  <w:tcW w:w="854" w:type="pct"/>
                  <w:noWrap w:val="0"/>
                  <w:vAlign w:val="center"/>
                </w:tcPr>
                <w:p w14:paraId="1E07F232">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122</w:t>
                  </w:r>
                </w:p>
              </w:tc>
              <w:tc>
                <w:tcPr>
                  <w:tcW w:w="686" w:type="pct"/>
                  <w:noWrap w:val="0"/>
                  <w:vAlign w:val="center"/>
                </w:tcPr>
                <w:p w14:paraId="63C885B7">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160</w:t>
                  </w:r>
                </w:p>
              </w:tc>
              <w:tc>
                <w:tcPr>
                  <w:tcW w:w="697" w:type="pct"/>
                  <w:noWrap w:val="0"/>
                  <w:vAlign w:val="center"/>
                </w:tcPr>
                <w:p w14:paraId="1DA5241D">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76.75</w:t>
                  </w:r>
                </w:p>
              </w:tc>
              <w:tc>
                <w:tcPr>
                  <w:tcW w:w="780" w:type="pct"/>
                  <w:noWrap w:val="0"/>
                  <w:vAlign w:val="center"/>
                </w:tcPr>
                <w:p w14:paraId="226C5870">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达标</w:t>
                  </w:r>
                </w:p>
              </w:tc>
            </w:tr>
          </w:tbl>
          <w:p w14:paraId="3991A6A2">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根据</w:t>
            </w:r>
            <w:r>
              <w:rPr>
                <w:rFonts w:hint="eastAsia" w:cs="Times New Roman"/>
                <w:color w:val="auto"/>
                <w:sz w:val="24"/>
                <w:lang w:val="en-US" w:eastAsia="zh-CN"/>
              </w:rPr>
              <w:t>2024</w:t>
            </w:r>
            <w:r>
              <w:rPr>
                <w:rFonts w:ascii="Times New Roman" w:hAnsi="Times New Roman" w:eastAsia="宋体" w:cs="Times New Roman"/>
                <w:color w:val="auto"/>
                <w:sz w:val="24"/>
              </w:rPr>
              <w:t>年项目区域环境空气PM</w:t>
            </w:r>
            <w:r>
              <w:rPr>
                <w:rFonts w:ascii="Times New Roman" w:hAnsi="Times New Roman" w:eastAsia="宋体" w:cs="Times New Roman"/>
                <w:color w:val="auto"/>
                <w:sz w:val="24"/>
                <w:vertAlign w:val="subscript"/>
              </w:rPr>
              <w:t>10</w:t>
            </w:r>
            <w:r>
              <w:rPr>
                <w:rFonts w:ascii="Times New Roman" w:hAnsi="Times New Roman" w:eastAsia="宋体" w:cs="Times New Roman"/>
                <w:color w:val="auto"/>
                <w:sz w:val="24"/>
              </w:rPr>
              <w:t>、PM</w:t>
            </w:r>
            <w:r>
              <w:rPr>
                <w:rFonts w:ascii="Times New Roman" w:hAnsi="Times New Roman" w:eastAsia="宋体" w:cs="Times New Roman"/>
                <w:color w:val="auto"/>
                <w:sz w:val="24"/>
                <w:vertAlign w:val="subscript"/>
              </w:rPr>
              <w:t>2.5</w:t>
            </w:r>
            <w:r>
              <w:rPr>
                <w:rFonts w:ascii="Times New Roman" w:hAnsi="Times New Roman" w:eastAsia="宋体" w:cs="Times New Roman"/>
                <w:color w:val="auto"/>
                <w:sz w:val="24"/>
              </w:rPr>
              <w:t>、SO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、NO</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、CO、O</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均能满足《环境空气质量标准》（GB3095-20</w:t>
            </w:r>
            <w:r>
              <w:rPr>
                <w:rFonts w:hint="eastAsia" w:cs="Times New Roman"/>
                <w:color w:val="auto"/>
                <w:sz w:val="24"/>
                <w:lang w:val="en-US" w:eastAsia="zh-CN"/>
              </w:rPr>
              <w:t>26</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过渡阶段浓度限值的二级标准</w:t>
            </w:r>
            <w:r>
              <w:rPr>
                <w:rFonts w:ascii="Times New Roman" w:hAnsi="Times New Roman" w:eastAsia="宋体" w:cs="Times New Roman"/>
                <w:color w:val="auto"/>
                <w:sz w:val="24"/>
              </w:rPr>
              <w:t>。因此，判定本项目所在区域为达标区域。</w:t>
            </w:r>
          </w:p>
          <w:p w14:paraId="52070A1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rPr>
              <w:t>）特征污染物</w:t>
            </w:r>
          </w:p>
          <w:p w14:paraId="3C3C6C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大气特征污染物为</w:t>
            </w:r>
            <w:r>
              <w:rPr>
                <w:rFonts w:hint="eastAsia" w:ascii="Times New Roman" w:hAnsi="Times New Roman" w:eastAsia="宋体" w:cs="Times New Roman"/>
                <w:color w:val="auto"/>
                <w:sz w:val="24"/>
                <w:szCs w:val="24"/>
                <w:lang w:val="en-US" w:eastAsia="zh-CN"/>
              </w:rPr>
              <w:t>TSP</w:t>
            </w:r>
            <w:r>
              <w:rPr>
                <w:rFonts w:hint="eastAsia" w:ascii="Times New Roman" w:hAnsi="Times New Roman" w:eastAsia="宋体" w:cs="Times New Roman"/>
                <w:color w:val="auto"/>
                <w:sz w:val="24"/>
                <w:szCs w:val="24"/>
              </w:rPr>
              <w:t>，本项目引用通海齐拓金属制品有限公司《新建年产20万吨高频直缝焊管建设项目》中TSP现有监测数据。该项目监测点位于本项目</w:t>
            </w:r>
            <w:r>
              <w:rPr>
                <w:rFonts w:hint="eastAsia" w:ascii="Times New Roman" w:hAnsi="Times New Roman" w:eastAsia="宋体" w:cs="Times New Roman"/>
                <w:color w:val="auto"/>
                <w:sz w:val="24"/>
                <w:szCs w:val="24"/>
                <w:lang w:val="en-US" w:eastAsia="zh-CN"/>
              </w:rPr>
              <w:t>厂区西</w:t>
            </w:r>
            <w:r>
              <w:rPr>
                <w:rFonts w:hint="eastAsia" w:cs="Times New Roman"/>
                <w:color w:val="auto"/>
                <w:sz w:val="24"/>
                <w:szCs w:val="24"/>
                <w:lang w:val="en-US" w:eastAsia="zh-CN"/>
              </w:rPr>
              <w:t>南</w:t>
            </w:r>
            <w:r>
              <w:rPr>
                <w:rFonts w:hint="eastAsia" w:ascii="Times New Roman" w:hAnsi="Times New Roman" w:eastAsia="宋体" w:cs="Times New Roman"/>
                <w:color w:val="auto"/>
                <w:sz w:val="24"/>
                <w:szCs w:val="24"/>
              </w:rPr>
              <w:t>侧约</w:t>
            </w:r>
            <w:r>
              <w:rPr>
                <w:rFonts w:hint="eastAsia" w:cs="Times New Roman"/>
                <w:color w:val="auto"/>
                <w:sz w:val="24"/>
                <w:szCs w:val="24"/>
                <w:lang w:val="en-US" w:eastAsia="zh-CN"/>
              </w:rPr>
              <w:t>1600</w:t>
            </w:r>
            <w:r>
              <w:rPr>
                <w:rFonts w:hint="eastAsia" w:ascii="Times New Roman" w:hAnsi="Times New Roman" w:eastAsia="宋体" w:cs="Times New Roman"/>
                <w:color w:val="auto"/>
                <w:sz w:val="24"/>
                <w:szCs w:val="24"/>
              </w:rPr>
              <w:t>m，监测单位为贵州鼎拔检测有限公司，监测时间为2023年12月21日~12月23日，满足建设项目周边5千米范围内近3年的现有监测数据引用要求。</w:t>
            </w:r>
          </w:p>
          <w:p w14:paraId="0ED265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本项目与引用监测点位位置关系详见下图。</w:t>
            </w:r>
          </w:p>
          <w:p w14:paraId="0FAC27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1B15FE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017623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430D83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069C82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48F8FC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33E75A4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ascii="Times New Roman" w:hAnsi="Times New Roman" w:eastAsia="宋体" w:cs="Times New Roman"/>
                <w:color w:val="auto"/>
                <w:sz w:val="24"/>
                <w:szCs w:val="24"/>
                <w:lang w:val="en-US" w:eastAsia="zh-CN"/>
              </w:rPr>
            </w:pPr>
            <w:r>
              <w:rPr>
                <w:color w:val="auto"/>
              </w:rPr>
              <w:drawing>
                <wp:anchor distT="0" distB="0" distL="114300" distR="114300" simplePos="0" relativeHeight="251666432" behindDoc="0" locked="0" layoutInCell="1" allowOverlap="1">
                  <wp:simplePos x="0" y="0"/>
                  <wp:positionH relativeFrom="column">
                    <wp:posOffset>-3810</wp:posOffset>
                  </wp:positionH>
                  <wp:positionV relativeFrom="paragraph">
                    <wp:posOffset>46355</wp:posOffset>
                  </wp:positionV>
                  <wp:extent cx="5258435" cy="4359275"/>
                  <wp:effectExtent l="0" t="0" r="18415" b="3175"/>
                  <wp:wrapTopAndBottom/>
                  <wp:docPr id="185" name="图片 185" descr="监测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监测点"/>
                          <pic:cNvPicPr>
                            <a:picLocks noChangeAspect="1"/>
                          </pic:cNvPicPr>
                        </pic:nvPicPr>
                        <pic:blipFill>
                          <a:blip r:embed="rId9"/>
                          <a:stretch>
                            <a:fillRect/>
                          </a:stretch>
                        </pic:blipFill>
                        <pic:spPr>
                          <a:xfrm>
                            <a:off x="0" y="0"/>
                            <a:ext cx="5258435" cy="4359275"/>
                          </a:xfrm>
                          <a:prstGeom prst="rect">
                            <a:avLst/>
                          </a:prstGeom>
                        </pic:spPr>
                      </pic:pic>
                    </a:graphicData>
                  </a:graphic>
                </wp:anchor>
              </w:drawing>
            </w:r>
            <w:r>
              <w:rPr>
                <w:color w:val="auto"/>
              </w:rPr>
              <w:drawing>
                <wp:anchor distT="0" distB="0" distL="0" distR="0" simplePos="0" relativeHeight="251664384" behindDoc="0" locked="0" layoutInCell="1" allowOverlap="1">
                  <wp:simplePos x="0" y="0"/>
                  <wp:positionH relativeFrom="column">
                    <wp:posOffset>4309745</wp:posOffset>
                  </wp:positionH>
                  <wp:positionV relativeFrom="paragraph">
                    <wp:posOffset>43180</wp:posOffset>
                  </wp:positionV>
                  <wp:extent cx="961390" cy="1350010"/>
                  <wp:effectExtent l="0" t="0" r="10160" b="2540"/>
                  <wp:wrapNone/>
                  <wp:docPr id="16" name="图片 1" descr="D:\环评\风玫瑰图\通海县风玫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环评\风玫瑰图\通海县风玫瑰图.jpg"/>
                          <pic:cNvPicPr>
                            <a:picLocks noChangeAspect="1" noChangeArrowheads="1"/>
                          </pic:cNvPicPr>
                        </pic:nvPicPr>
                        <pic:blipFill>
                          <a:blip r:embed="rId10" cstate="print"/>
                          <a:srcRect/>
                          <a:stretch>
                            <a:fillRect/>
                          </a:stretch>
                        </pic:blipFill>
                        <pic:spPr>
                          <a:xfrm>
                            <a:off x="0" y="0"/>
                            <a:ext cx="961390" cy="1350010"/>
                          </a:xfrm>
                          <a:prstGeom prst="rect">
                            <a:avLst/>
                          </a:prstGeom>
                          <a:noFill/>
                          <a:ln w="9525">
                            <a:noFill/>
                            <a:miter lim="800000"/>
                            <a:headEnd/>
                            <a:tailEnd/>
                          </a:ln>
                        </pic:spPr>
                      </pic:pic>
                    </a:graphicData>
                  </a:graphic>
                </wp:anchor>
              </w:drawing>
            </w:r>
            <w:r>
              <w:rPr>
                <w:rFonts w:hint="eastAsia" w:ascii="Times New Roman" w:hAnsi="Times New Roman" w:eastAsia="宋体" w:cs="宋体"/>
                <w:b/>
                <w:bCs/>
                <w:color w:val="auto"/>
                <w:spacing w:val="0"/>
                <w:kern w:val="0"/>
                <w:sz w:val="21"/>
                <w:szCs w:val="21"/>
                <w:lang w:val="en-US" w:eastAsia="zh-CN" w:bidi="ar-SA"/>
              </w:rPr>
              <w:t>图3-1 项目与引用监测点位位置关系示意图</w:t>
            </w:r>
          </w:p>
          <w:p w14:paraId="7133A7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项目引用特征污染物监测结果见下表。</w:t>
            </w:r>
          </w:p>
          <w:p w14:paraId="508AF962">
            <w:pPr>
              <w:jc w:val="center"/>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表3-3    引用特征污染物环境质量现状（监测结果）表</w:t>
            </w:r>
          </w:p>
          <w:tbl>
            <w:tblPr>
              <w:tblStyle w:val="24"/>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9"/>
              <w:gridCol w:w="1492"/>
              <w:gridCol w:w="1319"/>
              <w:gridCol w:w="578"/>
              <w:gridCol w:w="922"/>
              <w:gridCol w:w="960"/>
              <w:gridCol w:w="622"/>
              <w:gridCol w:w="542"/>
              <w:gridCol w:w="532"/>
            </w:tblGrid>
            <w:tr w14:paraId="722A3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pct"/>
                  <w:vMerge w:val="restart"/>
                  <w:shd w:val="clear" w:color="auto" w:fill="D7D7D7" w:themeFill="background1" w:themeFillShade="D8"/>
                  <w:noWrap w:val="0"/>
                  <w:vAlign w:val="center"/>
                </w:tcPr>
                <w:p w14:paraId="75520F8F">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监测</w:t>
                  </w:r>
                </w:p>
                <w:p w14:paraId="617045C7">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点位</w:t>
                  </w:r>
                </w:p>
              </w:tc>
              <w:tc>
                <w:tcPr>
                  <w:tcW w:w="1699" w:type="pct"/>
                  <w:gridSpan w:val="2"/>
                  <w:shd w:val="clear" w:color="auto" w:fill="D7D7D7" w:themeFill="background1" w:themeFillShade="D8"/>
                  <w:noWrap w:val="0"/>
                  <w:vAlign w:val="center"/>
                </w:tcPr>
                <w:p w14:paraId="0756FF52">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监测点</w:t>
                  </w:r>
                </w:p>
              </w:tc>
              <w:tc>
                <w:tcPr>
                  <w:tcW w:w="348" w:type="pct"/>
                  <w:vMerge w:val="restart"/>
                  <w:shd w:val="clear" w:color="auto" w:fill="D7D7D7" w:themeFill="background1" w:themeFillShade="D8"/>
                  <w:noWrap w:val="0"/>
                  <w:vAlign w:val="center"/>
                </w:tcPr>
                <w:p w14:paraId="01B29577">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lang w:val="en-US"/>
                    </w:rPr>
                    <w:t>污染物</w:t>
                  </w:r>
                </w:p>
              </w:tc>
              <w:tc>
                <w:tcPr>
                  <w:tcW w:w="555" w:type="pct"/>
                  <w:vMerge w:val="restart"/>
                  <w:shd w:val="clear" w:color="auto" w:fill="D7D7D7" w:themeFill="background1" w:themeFillShade="D8"/>
                  <w:noWrap w:val="0"/>
                  <w:vAlign w:val="center"/>
                </w:tcPr>
                <w:p w14:paraId="001BAC82">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标准/(μg/m</w:t>
                  </w:r>
                  <w:r>
                    <w:rPr>
                      <w:rFonts w:ascii="Times New Roman" w:hAnsi="Times New Roman" w:eastAsia="宋体"/>
                      <w:b w:val="0"/>
                      <w:bCs w:val="0"/>
                      <w:color w:val="auto"/>
                      <w:sz w:val="21"/>
                      <w:vertAlign w:val="superscript"/>
                    </w:rPr>
                    <w:t>3</w:t>
                  </w:r>
                  <w:r>
                    <w:rPr>
                      <w:rFonts w:ascii="Times New Roman" w:hAnsi="Times New Roman" w:eastAsia="宋体"/>
                      <w:b w:val="0"/>
                      <w:bCs w:val="0"/>
                      <w:color w:val="auto"/>
                      <w:sz w:val="21"/>
                    </w:rPr>
                    <w:t>)</w:t>
                  </w:r>
                </w:p>
              </w:tc>
              <w:tc>
                <w:tcPr>
                  <w:tcW w:w="578" w:type="pct"/>
                  <w:vMerge w:val="restart"/>
                  <w:shd w:val="clear" w:color="auto" w:fill="D7D7D7" w:themeFill="background1" w:themeFillShade="D8"/>
                  <w:noWrap w:val="0"/>
                  <w:vAlign w:val="center"/>
                </w:tcPr>
                <w:p w14:paraId="44843F47">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监测浓度范围/(μg/m</w:t>
                  </w:r>
                  <w:r>
                    <w:rPr>
                      <w:rFonts w:ascii="Times New Roman" w:hAnsi="Times New Roman" w:eastAsia="宋体"/>
                      <w:b w:val="0"/>
                      <w:bCs w:val="0"/>
                      <w:color w:val="auto"/>
                      <w:sz w:val="21"/>
                      <w:vertAlign w:val="superscript"/>
                    </w:rPr>
                    <w:t>3</w:t>
                  </w:r>
                  <w:r>
                    <w:rPr>
                      <w:rFonts w:ascii="Times New Roman" w:hAnsi="Times New Roman" w:eastAsia="宋体"/>
                      <w:b w:val="0"/>
                      <w:bCs w:val="0"/>
                      <w:color w:val="auto"/>
                      <w:sz w:val="21"/>
                    </w:rPr>
                    <w:t>)</w:t>
                  </w:r>
                </w:p>
              </w:tc>
              <w:tc>
                <w:tcPr>
                  <w:tcW w:w="378" w:type="pct"/>
                  <w:vMerge w:val="restart"/>
                  <w:shd w:val="clear" w:color="auto" w:fill="D7D7D7" w:themeFill="background1" w:themeFillShade="D8"/>
                  <w:noWrap w:val="0"/>
                  <w:vAlign w:val="center"/>
                </w:tcPr>
                <w:p w14:paraId="255EF779">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最大浓度占标率/%</w:t>
                  </w:r>
                </w:p>
              </w:tc>
              <w:tc>
                <w:tcPr>
                  <w:tcW w:w="329" w:type="pct"/>
                  <w:vMerge w:val="restart"/>
                  <w:shd w:val="clear" w:color="auto" w:fill="D7D7D7" w:themeFill="background1" w:themeFillShade="D8"/>
                  <w:noWrap w:val="0"/>
                  <w:vAlign w:val="center"/>
                </w:tcPr>
                <w:p w14:paraId="11C83EA6">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超标率/%</w:t>
                  </w:r>
                </w:p>
              </w:tc>
              <w:tc>
                <w:tcPr>
                  <w:tcW w:w="323" w:type="pct"/>
                  <w:vMerge w:val="restart"/>
                  <w:shd w:val="clear" w:color="auto" w:fill="D7D7D7" w:themeFill="background1" w:themeFillShade="D8"/>
                  <w:noWrap w:val="0"/>
                  <w:vAlign w:val="center"/>
                </w:tcPr>
                <w:p w14:paraId="23C14C3F">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rPr>
                  </w:pPr>
                  <w:r>
                    <w:rPr>
                      <w:rFonts w:ascii="Times New Roman" w:hAnsi="Times New Roman" w:eastAsia="宋体"/>
                      <w:b w:val="0"/>
                      <w:bCs w:val="0"/>
                      <w:color w:val="auto"/>
                      <w:sz w:val="21"/>
                    </w:rPr>
                    <w:t>达标情况</w:t>
                  </w:r>
                </w:p>
              </w:tc>
            </w:tr>
            <w:tr w14:paraId="1C33B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7" w:type="pct"/>
                  <w:vMerge w:val="continue"/>
                  <w:noWrap w:val="0"/>
                  <w:vAlign w:val="center"/>
                </w:tcPr>
                <w:p w14:paraId="3C08C077">
                  <w:pPr>
                    <w:pStyle w:val="13"/>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904" w:type="pct"/>
                  <w:shd w:val="clear" w:color="auto" w:fill="D7D7D7" w:themeFill="background1" w:themeFillShade="D8"/>
                  <w:noWrap w:val="0"/>
                  <w:vAlign w:val="center"/>
                </w:tcPr>
                <w:p w14:paraId="327D3245">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lang w:val="en-US"/>
                    </w:rPr>
                  </w:pPr>
                  <w:r>
                    <w:rPr>
                      <w:rFonts w:ascii="Times New Roman" w:hAnsi="Times New Roman" w:eastAsia="宋体"/>
                      <w:b w:val="0"/>
                      <w:bCs w:val="0"/>
                      <w:color w:val="auto"/>
                      <w:sz w:val="21"/>
                      <w:lang w:val="en-US"/>
                    </w:rPr>
                    <w:t>经度</w:t>
                  </w:r>
                </w:p>
              </w:tc>
              <w:tc>
                <w:tcPr>
                  <w:tcW w:w="794" w:type="pct"/>
                  <w:shd w:val="clear" w:color="auto" w:fill="D7D7D7" w:themeFill="background1" w:themeFillShade="D8"/>
                  <w:noWrap w:val="0"/>
                  <w:vAlign w:val="center"/>
                </w:tcPr>
                <w:p w14:paraId="3CBAAB7C">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b w:val="0"/>
                      <w:bCs w:val="0"/>
                      <w:color w:val="auto"/>
                      <w:sz w:val="21"/>
                      <w:lang w:val="en-US"/>
                    </w:rPr>
                  </w:pPr>
                  <w:r>
                    <w:rPr>
                      <w:rFonts w:ascii="Times New Roman" w:hAnsi="Times New Roman" w:eastAsia="宋体"/>
                      <w:b w:val="0"/>
                      <w:bCs w:val="0"/>
                      <w:color w:val="auto"/>
                      <w:sz w:val="21"/>
                      <w:lang w:val="en-US"/>
                    </w:rPr>
                    <w:t>纬度</w:t>
                  </w:r>
                </w:p>
              </w:tc>
              <w:tc>
                <w:tcPr>
                  <w:tcW w:w="348" w:type="pct"/>
                  <w:vMerge w:val="continue"/>
                  <w:noWrap w:val="0"/>
                  <w:vAlign w:val="center"/>
                </w:tcPr>
                <w:p w14:paraId="724682F9">
                  <w:pPr>
                    <w:pStyle w:val="86"/>
                    <w:keepNext w:val="0"/>
                    <w:keepLines w:val="0"/>
                    <w:pageBreakBefore w:val="0"/>
                    <w:widowControl w:val="0"/>
                    <w:tabs>
                      <w:tab w:val="left" w:pos="5327"/>
                      <w:tab w:val="left" w:pos="6326"/>
                      <w:tab w:val="left" w:pos="7230"/>
                      <w:tab w:val="left" w:pos="9301"/>
                    </w:tabs>
                    <w:kinsoku/>
                    <w:wordWrap/>
                    <w:overflowPunct/>
                    <w:topLinePunct w:val="0"/>
                    <w:bidi w:val="0"/>
                    <w:adjustRightInd w:val="0"/>
                    <w:snapToGrid w:val="0"/>
                    <w:spacing w:line="240" w:lineRule="auto"/>
                    <w:ind w:firstLine="0"/>
                    <w:rPr>
                      <w:rFonts w:ascii="Times New Roman" w:hAnsi="Times New Roman" w:eastAsia="宋体"/>
                      <w:bCs/>
                      <w:iCs/>
                      <w:snapToGrid w:val="0"/>
                      <w:color w:val="auto"/>
                      <w:sz w:val="21"/>
                      <w:szCs w:val="21"/>
                      <w:lang w:val="en-US"/>
                    </w:rPr>
                  </w:pPr>
                </w:p>
              </w:tc>
              <w:tc>
                <w:tcPr>
                  <w:tcW w:w="555" w:type="pct"/>
                  <w:vMerge w:val="continue"/>
                  <w:noWrap w:val="0"/>
                  <w:vAlign w:val="center"/>
                </w:tcPr>
                <w:p w14:paraId="246E3F8B">
                  <w:pPr>
                    <w:pStyle w:val="13"/>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578" w:type="pct"/>
                  <w:vMerge w:val="continue"/>
                  <w:noWrap w:val="0"/>
                  <w:vAlign w:val="center"/>
                </w:tcPr>
                <w:p w14:paraId="6F28D1E7">
                  <w:pPr>
                    <w:pStyle w:val="13"/>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378" w:type="pct"/>
                  <w:vMerge w:val="continue"/>
                  <w:noWrap w:val="0"/>
                  <w:vAlign w:val="center"/>
                </w:tcPr>
                <w:p w14:paraId="30DB75F3">
                  <w:pPr>
                    <w:pStyle w:val="13"/>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329" w:type="pct"/>
                  <w:vMerge w:val="continue"/>
                  <w:noWrap w:val="0"/>
                  <w:vAlign w:val="center"/>
                </w:tcPr>
                <w:p w14:paraId="7CDA9577">
                  <w:pPr>
                    <w:pStyle w:val="13"/>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c>
                <w:tcPr>
                  <w:tcW w:w="323" w:type="pct"/>
                  <w:vMerge w:val="continue"/>
                  <w:noWrap w:val="0"/>
                  <w:vAlign w:val="center"/>
                </w:tcPr>
                <w:p w14:paraId="06DE58BB">
                  <w:pPr>
                    <w:pStyle w:val="13"/>
                    <w:keepNext w:val="0"/>
                    <w:keepLines w:val="0"/>
                    <w:pageBreakBefore w:val="0"/>
                    <w:widowControl w:val="0"/>
                    <w:kinsoku/>
                    <w:wordWrap/>
                    <w:overflowPunct/>
                    <w:topLinePunct w:val="0"/>
                    <w:bidi w:val="0"/>
                    <w:adjustRightInd w:val="0"/>
                    <w:snapToGrid w:val="0"/>
                    <w:spacing w:line="240" w:lineRule="auto"/>
                    <w:ind w:firstLine="0"/>
                    <w:jc w:val="center"/>
                    <w:rPr>
                      <w:rFonts w:ascii="Times New Roman" w:hAnsi="Times New Roman" w:eastAsia="宋体"/>
                      <w:color w:val="auto"/>
                      <w:sz w:val="21"/>
                    </w:rPr>
                  </w:pPr>
                </w:p>
              </w:tc>
            </w:tr>
            <w:tr w14:paraId="31013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7" w:type="pct"/>
                  <w:noWrap w:val="0"/>
                  <w:vAlign w:val="center"/>
                </w:tcPr>
                <w:p w14:paraId="6A2D7111">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hint="eastAsia" w:ascii="Times New Roman" w:hAnsi="Times New Roman" w:eastAsia="宋体"/>
                      <w:color w:val="auto"/>
                      <w:sz w:val="21"/>
                      <w:lang w:val="en-US"/>
                    </w:rPr>
                    <w:t>通海齐拓金属制品有限公司所在地主导风下风向G1</w:t>
                  </w:r>
                </w:p>
              </w:tc>
              <w:tc>
                <w:tcPr>
                  <w:tcW w:w="904" w:type="pct"/>
                  <w:noWrap w:val="0"/>
                  <w:vAlign w:val="center"/>
                </w:tcPr>
                <w:p w14:paraId="022B7060">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hint="eastAsia" w:ascii="Times New Roman" w:hAnsi="Times New Roman" w:eastAsia="宋体"/>
                      <w:color w:val="auto"/>
                      <w:sz w:val="21"/>
                      <w:lang w:val="en-US"/>
                    </w:rPr>
                    <w:t>102.74238212</w:t>
                  </w:r>
                </w:p>
              </w:tc>
              <w:tc>
                <w:tcPr>
                  <w:tcW w:w="794" w:type="pct"/>
                  <w:noWrap w:val="0"/>
                  <w:vAlign w:val="center"/>
                </w:tcPr>
                <w:p w14:paraId="1E6A586D">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hint="eastAsia" w:ascii="Times New Roman" w:hAnsi="Times New Roman" w:eastAsia="宋体"/>
                      <w:color w:val="auto"/>
                      <w:sz w:val="21"/>
                      <w:lang w:val="en-US"/>
                    </w:rPr>
                    <w:t>24.19735325</w:t>
                  </w:r>
                </w:p>
              </w:tc>
              <w:tc>
                <w:tcPr>
                  <w:tcW w:w="348" w:type="pct"/>
                  <w:noWrap w:val="0"/>
                  <w:vAlign w:val="center"/>
                </w:tcPr>
                <w:p w14:paraId="3DB8ACFF">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ascii="Times New Roman" w:hAnsi="Times New Roman" w:eastAsia="宋体"/>
                      <w:color w:val="auto"/>
                      <w:sz w:val="21"/>
                      <w:lang w:val="en-US"/>
                    </w:rPr>
                    <w:t>TSP</w:t>
                  </w:r>
                </w:p>
              </w:tc>
              <w:tc>
                <w:tcPr>
                  <w:tcW w:w="555" w:type="pct"/>
                  <w:noWrap w:val="0"/>
                  <w:vAlign w:val="center"/>
                </w:tcPr>
                <w:p w14:paraId="74FEF9FC">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rPr>
                  </w:pPr>
                  <w:r>
                    <w:rPr>
                      <w:rFonts w:ascii="Times New Roman" w:hAnsi="Times New Roman" w:eastAsia="宋体"/>
                      <w:color w:val="auto"/>
                      <w:sz w:val="21"/>
                    </w:rPr>
                    <w:t>300</w:t>
                  </w:r>
                </w:p>
              </w:tc>
              <w:tc>
                <w:tcPr>
                  <w:tcW w:w="578" w:type="pct"/>
                  <w:noWrap w:val="0"/>
                  <w:vAlign w:val="center"/>
                </w:tcPr>
                <w:p w14:paraId="541BA273">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lang w:val="en-US" w:eastAsia="zh-CN"/>
                    </w:rPr>
                  </w:pPr>
                  <w:r>
                    <w:rPr>
                      <w:rFonts w:ascii="Times New Roman" w:hAnsi="Times New Roman" w:eastAsia="宋体"/>
                      <w:color w:val="auto"/>
                      <w:sz w:val="21"/>
                    </w:rPr>
                    <w:t>1</w:t>
                  </w:r>
                  <w:r>
                    <w:rPr>
                      <w:rFonts w:hint="eastAsia" w:ascii="Times New Roman" w:hAnsi="Times New Roman" w:eastAsia="宋体"/>
                      <w:color w:val="auto"/>
                      <w:sz w:val="21"/>
                      <w:lang w:val="en-US" w:eastAsia="zh-CN"/>
                    </w:rPr>
                    <w:t>36</w:t>
                  </w:r>
                  <w:r>
                    <w:rPr>
                      <w:rFonts w:ascii="Times New Roman" w:hAnsi="Times New Roman" w:eastAsia="宋体"/>
                      <w:color w:val="auto"/>
                      <w:sz w:val="21"/>
                    </w:rPr>
                    <w:t>~1</w:t>
                  </w:r>
                  <w:r>
                    <w:rPr>
                      <w:rFonts w:hint="eastAsia" w:ascii="Times New Roman" w:hAnsi="Times New Roman" w:eastAsia="宋体"/>
                      <w:color w:val="auto"/>
                      <w:sz w:val="21"/>
                      <w:lang w:val="en-US" w:eastAsia="zh-CN"/>
                    </w:rPr>
                    <w:t>49</w:t>
                  </w:r>
                </w:p>
              </w:tc>
              <w:tc>
                <w:tcPr>
                  <w:tcW w:w="378" w:type="pct"/>
                  <w:noWrap w:val="0"/>
                  <w:vAlign w:val="center"/>
                </w:tcPr>
                <w:p w14:paraId="3412140E">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49.7</w:t>
                  </w:r>
                </w:p>
              </w:tc>
              <w:tc>
                <w:tcPr>
                  <w:tcW w:w="329" w:type="pct"/>
                  <w:noWrap w:val="0"/>
                  <w:vAlign w:val="center"/>
                </w:tcPr>
                <w:p w14:paraId="692B68BA">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ascii="Times New Roman" w:hAnsi="Times New Roman" w:eastAsia="宋体"/>
                      <w:color w:val="auto"/>
                      <w:sz w:val="21"/>
                      <w:lang w:val="en-US"/>
                    </w:rPr>
                    <w:t>0</w:t>
                  </w:r>
                </w:p>
              </w:tc>
              <w:tc>
                <w:tcPr>
                  <w:tcW w:w="323" w:type="pct"/>
                  <w:noWrap w:val="0"/>
                  <w:vAlign w:val="center"/>
                </w:tcPr>
                <w:p w14:paraId="206835D7">
                  <w:pPr>
                    <w:pStyle w:val="13"/>
                    <w:keepNext w:val="0"/>
                    <w:keepLines w:val="0"/>
                    <w:pageBreakBefore w:val="0"/>
                    <w:widowControl w:val="0"/>
                    <w:kinsoku/>
                    <w:wordWrap/>
                    <w:overflowPunct/>
                    <w:topLinePunct w:val="0"/>
                    <w:bidi w:val="0"/>
                    <w:adjustRightInd w:val="0"/>
                    <w:snapToGrid w:val="0"/>
                    <w:spacing w:line="240" w:lineRule="auto"/>
                    <w:ind w:firstLine="0" w:firstLineChars="0"/>
                    <w:jc w:val="center"/>
                    <w:rPr>
                      <w:rFonts w:ascii="Times New Roman" w:hAnsi="Times New Roman" w:eastAsia="宋体"/>
                      <w:color w:val="auto"/>
                      <w:sz w:val="21"/>
                      <w:lang w:val="en-US"/>
                    </w:rPr>
                  </w:pPr>
                  <w:r>
                    <w:rPr>
                      <w:rFonts w:ascii="Times New Roman" w:hAnsi="Times New Roman" w:eastAsia="宋体"/>
                      <w:color w:val="auto"/>
                      <w:sz w:val="21"/>
                      <w:lang w:val="en-US"/>
                    </w:rPr>
                    <w:t>达标</w:t>
                  </w:r>
                </w:p>
              </w:tc>
            </w:tr>
          </w:tbl>
          <w:p w14:paraId="17C851EA">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根据监测结果，项目区TSP满足《环境空气质量标准》（GB3095-20</w:t>
            </w:r>
            <w:r>
              <w:rPr>
                <w:rFonts w:hint="eastAsia" w:cs="Times New Roman"/>
                <w:color w:val="auto"/>
                <w:sz w:val="24"/>
                <w:szCs w:val="24"/>
                <w:lang w:val="en-US" w:eastAsia="zh-CN"/>
              </w:rPr>
              <w:t>26</w:t>
            </w:r>
            <w:r>
              <w:rPr>
                <w:rFonts w:hint="eastAsia" w:ascii="Times New Roman" w:hAnsi="Times New Roman" w:eastAsia="宋体" w:cs="Times New Roman"/>
                <w:color w:val="auto"/>
                <w:sz w:val="24"/>
                <w:szCs w:val="24"/>
              </w:rPr>
              <w:t>）过渡阶段浓度限值的二级标准</w:t>
            </w:r>
            <w:r>
              <w:rPr>
                <w:rFonts w:hint="eastAsia" w:ascii="Times New Roman" w:hAnsi="Times New Roman" w:eastAsia="宋体" w:cs="Times New Roman"/>
                <w:color w:val="auto"/>
                <w:sz w:val="24"/>
                <w:szCs w:val="24"/>
                <w:lang w:eastAsia="zh-CN"/>
              </w:rPr>
              <w:t>。</w:t>
            </w:r>
          </w:p>
          <w:p w14:paraId="3861BEEF">
            <w:pPr>
              <w:adjustRightInd w:val="0"/>
              <w:snapToGrid w:val="0"/>
              <w:spacing w:line="360" w:lineRule="auto"/>
              <w:ind w:firstLine="482" w:firstLineChars="200"/>
              <w:rPr>
                <w:rFonts w:ascii="Times New Roman" w:hAnsi="Times New Roman" w:eastAsia="宋体"/>
                <w:b/>
                <w:bCs/>
                <w:color w:val="auto"/>
                <w:kern w:val="0"/>
                <w:sz w:val="24"/>
              </w:rPr>
            </w:pPr>
            <w:bookmarkStart w:id="13" w:name="_Toc294689798"/>
            <w:r>
              <w:rPr>
                <w:rFonts w:ascii="Times New Roman" w:hAnsi="Times New Roman" w:eastAsia="宋体"/>
                <w:b/>
                <w:bCs/>
                <w:color w:val="auto"/>
                <w:sz w:val="24"/>
              </w:rPr>
              <w:t>2、地表水质量现状</w:t>
            </w:r>
            <w:bookmarkEnd w:id="13"/>
          </w:p>
          <w:p w14:paraId="0CA63941">
            <w:pPr>
              <w:spacing w:line="360" w:lineRule="auto"/>
              <w:ind w:firstLine="482"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（1）地表水环境质量标准</w:t>
            </w:r>
          </w:p>
          <w:p w14:paraId="67432E1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区最近</w:t>
            </w:r>
            <w:r>
              <w:rPr>
                <w:rFonts w:hint="eastAsia" w:ascii="Times New Roman" w:hAnsi="Times New Roman" w:eastAsia="宋体" w:cs="Times New Roman"/>
                <w:color w:val="auto"/>
                <w:sz w:val="24"/>
                <w:szCs w:val="24"/>
                <w:lang w:val="en-US" w:eastAsia="zh-CN"/>
              </w:rPr>
              <w:t>的地表水体为</w:t>
            </w:r>
            <w:r>
              <w:rPr>
                <w:rFonts w:hint="eastAsia" w:cs="Times New Roman"/>
                <w:color w:val="auto"/>
                <w:sz w:val="24"/>
                <w:szCs w:val="24"/>
                <w:lang w:val="en-US" w:eastAsia="zh-CN"/>
              </w:rPr>
              <w:t>东南侧800m的米冲水库</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米冲水库主要水功能为农灌用水</w:t>
            </w:r>
            <w:r>
              <w:rPr>
                <w:rFonts w:hint="eastAsia" w:ascii="Times New Roman" w:hAnsi="Times New Roman" w:eastAsia="宋体" w:cs="Times New Roman"/>
                <w:color w:val="auto"/>
                <w:sz w:val="24"/>
                <w:szCs w:val="24"/>
                <w:lang w:val="en-US" w:eastAsia="zh-CN"/>
              </w:rPr>
              <w:t>，径流从通海县纳古镇北部自东北向西南流下，经六街大沟最</w:t>
            </w:r>
            <w:r>
              <w:rPr>
                <w:rFonts w:hint="eastAsia" w:cs="Times New Roman"/>
                <w:color w:val="auto"/>
                <w:sz w:val="24"/>
                <w:szCs w:val="24"/>
                <w:lang w:val="en-US" w:eastAsia="zh-CN"/>
              </w:rPr>
              <w:t>终汇入杞麓湖，</w:t>
            </w:r>
            <w:r>
              <w:rPr>
                <w:rFonts w:hint="eastAsia" w:ascii="Times New Roman" w:hAnsi="Times New Roman" w:eastAsia="宋体" w:cs="Times New Roman"/>
                <w:color w:val="auto"/>
                <w:sz w:val="24"/>
                <w:szCs w:val="24"/>
                <w:lang w:val="en-US" w:eastAsia="zh-CN"/>
              </w:rPr>
              <w:t>项目区域</w:t>
            </w:r>
            <w:r>
              <w:rPr>
                <w:rFonts w:hint="default" w:ascii="Times New Roman" w:hAnsi="Times New Roman" w:eastAsia="宋体" w:cs="Times New Roman"/>
                <w:color w:val="auto"/>
                <w:sz w:val="24"/>
                <w:szCs w:val="24"/>
                <w:lang w:val="en-US" w:eastAsia="zh-CN"/>
              </w:rPr>
              <w:t>属于杞麓湖</w:t>
            </w:r>
            <w:r>
              <w:rPr>
                <w:rFonts w:hint="eastAsia" w:ascii="Times New Roman" w:hAnsi="Times New Roman" w:eastAsia="宋体" w:cs="Times New Roman"/>
                <w:color w:val="auto"/>
                <w:sz w:val="24"/>
                <w:szCs w:val="24"/>
                <w:lang w:val="en-US" w:eastAsia="zh-CN"/>
              </w:rPr>
              <w:t>汇水范围</w:t>
            </w:r>
            <w:r>
              <w:rPr>
                <w:rFonts w:hint="default" w:ascii="Times New Roman" w:hAnsi="Times New Roman" w:eastAsia="宋体" w:cs="Times New Roman"/>
                <w:color w:val="auto"/>
                <w:sz w:val="24"/>
                <w:szCs w:val="24"/>
                <w:lang w:val="en-US" w:eastAsia="zh-CN"/>
              </w:rPr>
              <w:t>。根据云南省水利厅制定的《云南省水功能区划（2014年修订）》（云政复〔2014〕27号），杞麓湖主要为通海农业、景观、渔业用水区，2020年水质目标为Ⅳ类，2030年水质目标为Ⅲ类。杞麓湖执行《地表水环境质量标准》（GB3838-2002）中的Ⅲ类水质标准</w:t>
            </w:r>
            <w:r>
              <w:rPr>
                <w:rFonts w:hint="eastAsia" w:ascii="Times New Roman" w:hAnsi="Times New Roman" w:eastAsia="宋体" w:cs="Times New Roman"/>
                <w:color w:val="auto"/>
                <w:sz w:val="24"/>
                <w:szCs w:val="24"/>
                <w:lang w:val="en-US" w:eastAsia="zh-CN"/>
              </w:rPr>
              <w:t>，《云南省水功能区划（2014年修订）》中未对</w:t>
            </w:r>
            <w:r>
              <w:rPr>
                <w:rFonts w:hint="eastAsia" w:cs="Times New Roman"/>
                <w:color w:val="auto"/>
                <w:sz w:val="24"/>
                <w:szCs w:val="24"/>
                <w:lang w:val="en-US" w:eastAsia="zh-CN"/>
              </w:rPr>
              <w:t>米冲</w:t>
            </w:r>
            <w:r>
              <w:rPr>
                <w:rFonts w:hint="eastAsia" w:ascii="Times New Roman" w:hAnsi="Times New Roman" w:eastAsia="宋体" w:cs="Times New Roman"/>
                <w:color w:val="auto"/>
                <w:sz w:val="24"/>
                <w:szCs w:val="24"/>
                <w:lang w:val="en-US" w:eastAsia="zh-CN"/>
              </w:rPr>
              <w:t>水库及</w:t>
            </w:r>
            <w:r>
              <w:rPr>
                <w:rFonts w:hint="eastAsia" w:cs="Times New Roman"/>
                <w:color w:val="auto"/>
                <w:sz w:val="24"/>
                <w:szCs w:val="24"/>
                <w:lang w:val="en-US" w:eastAsia="zh-CN"/>
              </w:rPr>
              <w:t>六街大沟</w:t>
            </w:r>
            <w:r>
              <w:rPr>
                <w:rFonts w:hint="eastAsia" w:ascii="Times New Roman" w:hAnsi="Times New Roman" w:eastAsia="宋体" w:cs="Times New Roman"/>
                <w:color w:val="auto"/>
                <w:sz w:val="24"/>
                <w:szCs w:val="24"/>
                <w:lang w:val="en-US" w:eastAsia="zh-CN"/>
              </w:rPr>
              <w:t>进行区划，参照</w:t>
            </w:r>
            <w:r>
              <w:rPr>
                <w:rFonts w:hint="eastAsia" w:cs="Times New Roman"/>
                <w:color w:val="auto"/>
                <w:sz w:val="24"/>
                <w:szCs w:val="24"/>
                <w:lang w:val="en-US" w:eastAsia="zh-CN"/>
              </w:rPr>
              <w:t>杞麓湖</w:t>
            </w:r>
            <w:r>
              <w:rPr>
                <w:rFonts w:hint="eastAsia" w:ascii="Times New Roman" w:hAnsi="Times New Roman" w:eastAsia="宋体" w:cs="Times New Roman"/>
                <w:color w:val="auto"/>
                <w:sz w:val="24"/>
                <w:szCs w:val="24"/>
                <w:lang w:val="en-US" w:eastAsia="zh-CN"/>
              </w:rPr>
              <w:t>执行《地表水环境质量标准》（GB3838-2002）Ⅲ类水质标准</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具体标准如下：</w:t>
            </w:r>
          </w:p>
          <w:p w14:paraId="6A9B434E">
            <w:pPr>
              <w:pStyle w:val="7"/>
              <w:adjustRightInd w:val="0"/>
              <w:snapToGrid w:val="0"/>
              <w:spacing w:line="240" w:lineRule="auto"/>
              <w:ind w:firstLine="422"/>
              <w:jc w:val="center"/>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表3-4 《地表水环境质量标准》</w:t>
            </w:r>
            <w:r>
              <w:rPr>
                <w:rFonts w:hint="eastAsia" w:cs="宋体"/>
                <w:b/>
                <w:bCs/>
                <w:color w:val="auto"/>
                <w:spacing w:val="0"/>
                <w:kern w:val="0"/>
                <w:sz w:val="21"/>
                <w:szCs w:val="21"/>
                <w:lang w:val="en-US" w:eastAsia="zh-CN" w:bidi="ar-SA"/>
              </w:rPr>
              <w:t>（摘录）</w:t>
            </w:r>
            <w:r>
              <w:rPr>
                <w:rFonts w:hint="eastAsia" w:ascii="Times New Roman" w:hAnsi="Times New Roman" w:eastAsia="宋体" w:cs="宋体"/>
                <w:b/>
                <w:bCs/>
                <w:color w:val="auto"/>
                <w:spacing w:val="0"/>
                <w:kern w:val="0"/>
                <w:sz w:val="21"/>
                <w:szCs w:val="21"/>
                <w:lang w:val="en-US" w:eastAsia="zh-CN" w:bidi="ar-SA"/>
              </w:rPr>
              <w:t xml:space="preserve">  单位：mg/L，pH除外</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4039"/>
              <w:gridCol w:w="3080"/>
            </w:tblGrid>
            <w:tr w14:paraId="2A41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shd w:val="clear" w:color="auto" w:fill="D7D7D7" w:themeFill="background1" w:themeFillShade="D8"/>
                  <w:noWrap w:val="0"/>
                  <w:vAlign w:val="center"/>
                </w:tcPr>
                <w:p w14:paraId="52AF93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序号</w:t>
                  </w:r>
                </w:p>
              </w:tc>
              <w:tc>
                <w:tcPr>
                  <w:tcW w:w="2441" w:type="pct"/>
                  <w:shd w:val="clear" w:color="auto" w:fill="D7D7D7" w:themeFill="background1" w:themeFillShade="D8"/>
                  <w:noWrap w:val="0"/>
                  <w:vAlign w:val="center"/>
                </w:tcPr>
                <w:p w14:paraId="1EEFF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项目</w:t>
                  </w:r>
                </w:p>
              </w:tc>
              <w:tc>
                <w:tcPr>
                  <w:tcW w:w="1861" w:type="pct"/>
                  <w:shd w:val="clear" w:color="auto" w:fill="D7D7D7" w:themeFill="background1" w:themeFillShade="D8"/>
                  <w:noWrap w:val="0"/>
                  <w:vAlign w:val="center"/>
                </w:tcPr>
                <w:p w14:paraId="7C795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Ⅲ类标准值（单位mg/L）</w:t>
                  </w:r>
                </w:p>
              </w:tc>
            </w:tr>
            <w:tr w14:paraId="63FA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30A73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w:t>
                  </w:r>
                </w:p>
              </w:tc>
              <w:tc>
                <w:tcPr>
                  <w:tcW w:w="2441" w:type="pct"/>
                  <w:noWrap w:val="0"/>
                  <w:vAlign w:val="center"/>
                </w:tcPr>
                <w:p w14:paraId="4C10D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pH值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（无量纲）</w:t>
                  </w:r>
                </w:p>
              </w:tc>
              <w:tc>
                <w:tcPr>
                  <w:tcW w:w="1861" w:type="pct"/>
                  <w:noWrap w:val="0"/>
                  <w:vAlign w:val="center"/>
                </w:tcPr>
                <w:p w14:paraId="6F2F59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rPr>
                    <w:t>6-9</w:t>
                  </w:r>
                </w:p>
              </w:tc>
            </w:tr>
            <w:tr w14:paraId="4479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F12C0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p>
              </w:tc>
              <w:tc>
                <w:tcPr>
                  <w:tcW w:w="2441" w:type="pct"/>
                  <w:noWrap w:val="0"/>
                  <w:vAlign w:val="center"/>
                </w:tcPr>
                <w:p w14:paraId="39446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 xml:space="preserve">溶解氧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en-US" w:eastAsia="zh-CN"/>
                    </w:rPr>
                    <w:t xml:space="preserve">            ≥</w:t>
                  </w:r>
                </w:p>
              </w:tc>
              <w:tc>
                <w:tcPr>
                  <w:tcW w:w="1861" w:type="pct"/>
                  <w:noWrap w:val="0"/>
                  <w:vAlign w:val="center"/>
                </w:tcPr>
                <w:p w14:paraId="64B6F6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lang w:val="en-US" w:eastAsia="zh-CN"/>
                    </w:rPr>
                  </w:pPr>
                  <w:r>
                    <w:rPr>
                      <w:rFonts w:hint="eastAsia" w:ascii="Times New Roman" w:hAnsi="Times New Roman" w:eastAsia="宋体" w:cs="Times New Roman"/>
                      <w:bCs/>
                      <w:color w:val="auto"/>
                      <w:sz w:val="21"/>
                      <w:highlight w:val="none"/>
                      <w:lang w:val="en-US" w:eastAsia="zh-CN"/>
                    </w:rPr>
                    <w:t>5.0</w:t>
                  </w:r>
                </w:p>
              </w:tc>
            </w:tr>
            <w:tr w14:paraId="39A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F88F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w:t>
                  </w:r>
                </w:p>
              </w:tc>
              <w:tc>
                <w:tcPr>
                  <w:tcW w:w="2441" w:type="pct"/>
                  <w:noWrap w:val="0"/>
                  <w:vAlign w:val="center"/>
                </w:tcPr>
                <w:p w14:paraId="5D7EE8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高锰酸盐指数</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A7DD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highlight w:val="none"/>
                      <w:lang w:val="en-US" w:eastAsia="zh-CN"/>
                    </w:rPr>
                  </w:pPr>
                  <w:r>
                    <w:rPr>
                      <w:rFonts w:hint="eastAsia" w:ascii="Times New Roman" w:hAnsi="Times New Roman" w:eastAsia="宋体" w:cs="Times New Roman"/>
                      <w:bCs/>
                      <w:color w:val="auto"/>
                      <w:sz w:val="21"/>
                      <w:highlight w:val="none"/>
                      <w:lang w:val="en-US" w:eastAsia="zh-CN"/>
                    </w:rPr>
                    <w:t>6.0</w:t>
                  </w:r>
                </w:p>
              </w:tc>
            </w:tr>
            <w:tr w14:paraId="073F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25C2D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w:t>
                  </w:r>
                </w:p>
              </w:tc>
              <w:tc>
                <w:tcPr>
                  <w:tcW w:w="2441" w:type="pct"/>
                  <w:noWrap w:val="0"/>
                  <w:vAlign w:val="center"/>
                </w:tcPr>
                <w:p w14:paraId="220364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化学需氧量（COD）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CAB7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w:t>
                  </w:r>
                  <w:r>
                    <w:rPr>
                      <w:rFonts w:hint="default" w:ascii="Times New Roman" w:hAnsi="Times New Roman" w:eastAsia="宋体" w:cs="Times New Roman"/>
                      <w:color w:val="auto"/>
                      <w:sz w:val="21"/>
                      <w:highlight w:val="none"/>
                    </w:rPr>
                    <w:t>0</w:t>
                  </w:r>
                  <w:r>
                    <w:rPr>
                      <w:rFonts w:hint="default" w:ascii="Times New Roman" w:hAnsi="Times New Roman" w:eastAsia="宋体" w:cs="Times New Roman"/>
                      <w:color w:val="auto"/>
                      <w:sz w:val="21"/>
                      <w:highlight w:val="none"/>
                      <w:lang w:val="en-US" w:eastAsia="zh-CN"/>
                    </w:rPr>
                    <w:t>.0</w:t>
                  </w:r>
                </w:p>
              </w:tc>
            </w:tr>
            <w:tr w14:paraId="7D4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5530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w:t>
                  </w:r>
                </w:p>
              </w:tc>
              <w:tc>
                <w:tcPr>
                  <w:tcW w:w="2441" w:type="pct"/>
                  <w:noWrap w:val="0"/>
                  <w:vAlign w:val="center"/>
                </w:tcPr>
                <w:p w14:paraId="538E3C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五日生化需氧量（BOD</w:t>
                  </w:r>
                  <w:r>
                    <w:rPr>
                      <w:rFonts w:hint="default" w:ascii="Times New Roman" w:hAnsi="Times New Roman" w:eastAsia="宋体" w:cs="Times New Roman"/>
                      <w:color w:val="auto"/>
                      <w:sz w:val="21"/>
                      <w:highlight w:val="none"/>
                      <w:vertAlign w:val="subscript"/>
                    </w:rPr>
                    <w:t>5</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AD789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w:t>
                  </w:r>
                  <w:r>
                    <w:rPr>
                      <w:rFonts w:hint="default" w:ascii="Times New Roman" w:hAnsi="Times New Roman" w:eastAsia="宋体" w:cs="Times New Roman"/>
                      <w:color w:val="auto"/>
                      <w:sz w:val="21"/>
                      <w:highlight w:val="none"/>
                      <w:lang w:val="en-US" w:eastAsia="zh-CN"/>
                    </w:rPr>
                    <w:t>.0</w:t>
                  </w:r>
                </w:p>
              </w:tc>
            </w:tr>
            <w:tr w14:paraId="1ACE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79AA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6</w:t>
                  </w:r>
                </w:p>
              </w:tc>
              <w:tc>
                <w:tcPr>
                  <w:tcW w:w="2441" w:type="pct"/>
                  <w:noWrap w:val="0"/>
                  <w:vAlign w:val="center"/>
                </w:tcPr>
                <w:p w14:paraId="147328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氨氮（NH</w:t>
                  </w:r>
                  <w:r>
                    <w:rPr>
                      <w:rFonts w:hint="default" w:ascii="Times New Roman" w:hAnsi="Times New Roman" w:eastAsia="宋体" w:cs="Times New Roman"/>
                      <w:color w:val="auto"/>
                      <w:sz w:val="21"/>
                      <w:highlight w:val="none"/>
                      <w:vertAlign w:val="subscript"/>
                    </w:rPr>
                    <w:t>3</w:t>
                  </w:r>
                  <w:r>
                    <w:rPr>
                      <w:rFonts w:hint="default" w:ascii="Times New Roman" w:hAnsi="Times New Roman" w:eastAsia="宋体" w:cs="Times New Roman"/>
                      <w:color w:val="auto"/>
                      <w:sz w:val="21"/>
                      <w:highlight w:val="none"/>
                    </w:rPr>
                    <w:t xml:space="preserve">-N）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44A55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1.</w:t>
                  </w:r>
                  <w:r>
                    <w:rPr>
                      <w:rFonts w:hint="eastAsia" w:ascii="Times New Roman" w:hAnsi="Times New Roman" w:eastAsia="宋体" w:cs="Times New Roman"/>
                      <w:color w:val="auto"/>
                      <w:sz w:val="21"/>
                      <w:highlight w:val="none"/>
                      <w:lang w:val="en-US" w:eastAsia="zh-CN"/>
                    </w:rPr>
                    <w:t>0</w:t>
                  </w:r>
                </w:p>
              </w:tc>
            </w:tr>
            <w:tr w14:paraId="4D0B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7E97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7</w:t>
                  </w:r>
                </w:p>
              </w:tc>
              <w:tc>
                <w:tcPr>
                  <w:tcW w:w="2441" w:type="pct"/>
                  <w:noWrap w:val="0"/>
                  <w:vAlign w:val="center"/>
                </w:tcPr>
                <w:p w14:paraId="2210E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总磷（以P计）                ≤</w:t>
                  </w:r>
                </w:p>
              </w:tc>
              <w:tc>
                <w:tcPr>
                  <w:tcW w:w="1861" w:type="pct"/>
                  <w:noWrap w:val="0"/>
                  <w:vAlign w:val="center"/>
                </w:tcPr>
                <w:p w14:paraId="59F58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2</w:t>
                  </w:r>
                </w:p>
              </w:tc>
            </w:tr>
            <w:tr w14:paraId="1F38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665CA6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8</w:t>
                  </w:r>
                </w:p>
              </w:tc>
              <w:tc>
                <w:tcPr>
                  <w:tcW w:w="2441" w:type="pct"/>
                  <w:noWrap w:val="0"/>
                  <w:vAlign w:val="center"/>
                </w:tcPr>
                <w:p w14:paraId="725178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eastAsia="zh-CN"/>
                    </w:rPr>
                    <w:t>铜</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5F079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r>
            <w:tr w14:paraId="7BD6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7BDDE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9</w:t>
                  </w:r>
                </w:p>
              </w:tc>
              <w:tc>
                <w:tcPr>
                  <w:tcW w:w="2441" w:type="pct"/>
                  <w:noWrap w:val="0"/>
                  <w:vAlign w:val="center"/>
                </w:tcPr>
                <w:p w14:paraId="175CF8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锌</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C8EB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r>
            <w:tr w14:paraId="3E51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F91D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c>
                <w:tcPr>
                  <w:tcW w:w="2441" w:type="pct"/>
                  <w:noWrap w:val="0"/>
                  <w:vAlign w:val="center"/>
                </w:tcPr>
                <w:p w14:paraId="7A873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氟化物（以</w:t>
                  </w:r>
                  <w:r>
                    <w:rPr>
                      <w:rFonts w:hint="eastAsia" w:ascii="Times New Roman" w:hAnsi="Times New Roman" w:eastAsia="宋体" w:cs="Times New Roman"/>
                      <w:color w:val="auto"/>
                      <w:sz w:val="21"/>
                      <w:highlight w:val="none"/>
                      <w:lang w:val="en-US" w:eastAsia="zh-CN"/>
                    </w:rPr>
                    <w:t>F</w:t>
                  </w:r>
                  <w:r>
                    <w:rPr>
                      <w:rFonts w:hint="eastAsia" w:ascii="Times New Roman" w:hAnsi="Times New Roman" w:eastAsia="宋体" w:cs="Times New Roman"/>
                      <w:color w:val="auto"/>
                      <w:sz w:val="21"/>
                      <w:highlight w:val="none"/>
                      <w:vertAlign w:val="superscript"/>
                      <w:lang w:val="en-US" w:eastAsia="zh-CN"/>
                    </w:rPr>
                    <w:t>-</w:t>
                  </w:r>
                  <w:r>
                    <w:rPr>
                      <w:rFonts w:hint="eastAsia" w:ascii="Times New Roman" w:hAnsi="Times New Roman" w:eastAsia="宋体" w:cs="Times New Roman"/>
                      <w:color w:val="auto"/>
                      <w:sz w:val="21"/>
                      <w:highlight w:val="none"/>
                      <w:lang w:val="en-US" w:eastAsia="zh-CN"/>
                    </w:rPr>
                    <w:t>计</w:t>
                  </w:r>
                  <w:r>
                    <w:rPr>
                      <w:rFonts w:hint="eastAsia"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15C2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1.0</w:t>
                  </w:r>
                </w:p>
              </w:tc>
            </w:tr>
            <w:tr w14:paraId="3D94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BEE1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11</w:t>
                  </w:r>
                </w:p>
              </w:tc>
              <w:tc>
                <w:tcPr>
                  <w:tcW w:w="2441" w:type="pct"/>
                  <w:noWrap w:val="0"/>
                  <w:vAlign w:val="center"/>
                </w:tcPr>
                <w:p w14:paraId="13895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硒</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CF29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0.01</w:t>
                  </w:r>
                </w:p>
              </w:tc>
            </w:tr>
            <w:tr w14:paraId="08AD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DEB85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12</w:t>
                  </w:r>
                </w:p>
              </w:tc>
              <w:tc>
                <w:tcPr>
                  <w:tcW w:w="2441" w:type="pct"/>
                  <w:noWrap w:val="0"/>
                  <w:vAlign w:val="center"/>
                </w:tcPr>
                <w:p w14:paraId="51ECFF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砷                            ≤</w:t>
                  </w:r>
                </w:p>
              </w:tc>
              <w:tc>
                <w:tcPr>
                  <w:tcW w:w="1861" w:type="pct"/>
                  <w:noWrap w:val="0"/>
                  <w:vAlign w:val="center"/>
                </w:tcPr>
                <w:p w14:paraId="2ED26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bidi="ar-SA"/>
                    </w:rPr>
                  </w:pPr>
                  <w:r>
                    <w:rPr>
                      <w:rFonts w:hint="eastAsia" w:ascii="Times New Roman" w:hAnsi="Times New Roman" w:eastAsia="宋体" w:cs="Times New Roman"/>
                      <w:color w:val="auto"/>
                      <w:sz w:val="21"/>
                      <w:highlight w:val="none"/>
                      <w:lang w:val="en-US" w:eastAsia="zh-CN"/>
                    </w:rPr>
                    <w:t>0.05</w:t>
                  </w:r>
                </w:p>
              </w:tc>
            </w:tr>
            <w:tr w14:paraId="7BD4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45B250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13</w:t>
                  </w:r>
                </w:p>
              </w:tc>
              <w:tc>
                <w:tcPr>
                  <w:tcW w:w="2441" w:type="pct"/>
                  <w:noWrap w:val="0"/>
                  <w:vAlign w:val="center"/>
                </w:tcPr>
                <w:p w14:paraId="29039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 xml:space="preserve">汞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65A5E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val="en-US" w:eastAsia="zh-CN" w:bidi="ar-SA"/>
                    </w:rPr>
                  </w:pPr>
                  <w:r>
                    <w:rPr>
                      <w:rFonts w:hint="default" w:ascii="Times New Roman" w:hAnsi="Times New Roman" w:eastAsia="宋体" w:cs="Times New Roman"/>
                      <w:color w:val="auto"/>
                      <w:sz w:val="21"/>
                      <w:highlight w:val="none"/>
                    </w:rPr>
                    <w:t>0.00</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1</w:t>
                  </w:r>
                </w:p>
              </w:tc>
            </w:tr>
            <w:tr w14:paraId="53F7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073B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14</w:t>
                  </w:r>
                </w:p>
              </w:tc>
              <w:tc>
                <w:tcPr>
                  <w:tcW w:w="2441" w:type="pct"/>
                  <w:noWrap w:val="0"/>
                  <w:vAlign w:val="center"/>
                </w:tcPr>
                <w:p w14:paraId="31265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镉</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7920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0.005</w:t>
                  </w:r>
                </w:p>
              </w:tc>
            </w:tr>
            <w:tr w14:paraId="40CF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65AB6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15</w:t>
                  </w:r>
                </w:p>
              </w:tc>
              <w:tc>
                <w:tcPr>
                  <w:tcW w:w="2441" w:type="pct"/>
                  <w:noWrap w:val="0"/>
                  <w:vAlign w:val="center"/>
                </w:tcPr>
                <w:p w14:paraId="40C616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铬（六价）</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81C5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w:t>
                  </w:r>
                </w:p>
              </w:tc>
            </w:tr>
            <w:tr w14:paraId="23EB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1E10B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16</w:t>
                  </w:r>
                </w:p>
              </w:tc>
              <w:tc>
                <w:tcPr>
                  <w:tcW w:w="2441" w:type="pct"/>
                  <w:noWrap w:val="0"/>
                  <w:vAlign w:val="center"/>
                </w:tcPr>
                <w:p w14:paraId="47F0C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铅</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36D5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w:t>
                  </w:r>
                </w:p>
              </w:tc>
            </w:tr>
            <w:tr w14:paraId="251E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BA40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17</w:t>
                  </w:r>
                </w:p>
              </w:tc>
              <w:tc>
                <w:tcPr>
                  <w:tcW w:w="2441" w:type="pct"/>
                  <w:noWrap w:val="0"/>
                  <w:vAlign w:val="center"/>
                </w:tcPr>
                <w:p w14:paraId="294E6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氰化物</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4310F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0.02</w:t>
                  </w:r>
                </w:p>
              </w:tc>
            </w:tr>
            <w:tr w14:paraId="14C3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2A9A4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18</w:t>
                  </w:r>
                </w:p>
              </w:tc>
              <w:tc>
                <w:tcPr>
                  <w:tcW w:w="2441" w:type="pct"/>
                  <w:noWrap w:val="0"/>
                  <w:vAlign w:val="center"/>
                </w:tcPr>
                <w:p w14:paraId="482C4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挥发酚</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1CB2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w:t>
                  </w:r>
                </w:p>
              </w:tc>
            </w:tr>
            <w:tr w14:paraId="22B6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07D979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19</w:t>
                  </w:r>
                </w:p>
              </w:tc>
              <w:tc>
                <w:tcPr>
                  <w:tcW w:w="2441" w:type="pct"/>
                  <w:noWrap w:val="0"/>
                  <w:vAlign w:val="center"/>
                </w:tcPr>
                <w:p w14:paraId="5BEDC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xml:space="preserve">石油类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3C89C0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5</w:t>
                  </w:r>
                </w:p>
              </w:tc>
            </w:tr>
            <w:tr w14:paraId="32D3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1EF952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w:t>
                  </w:r>
                </w:p>
              </w:tc>
              <w:tc>
                <w:tcPr>
                  <w:tcW w:w="2441" w:type="pct"/>
                  <w:noWrap w:val="0"/>
                  <w:vAlign w:val="center"/>
                </w:tcPr>
                <w:p w14:paraId="45BA3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阴离子表面活性剂</w:t>
                  </w:r>
                  <w:r>
                    <w:rPr>
                      <w:rFonts w:hint="default" w:ascii="Times New Roman" w:hAnsi="Times New Roman" w:eastAsia="宋体" w:cs="Times New Roman"/>
                      <w:color w:val="auto"/>
                      <w:sz w:val="21"/>
                      <w:highlight w:val="none"/>
                    </w:rPr>
                    <w:t xml:space="preserve">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65F73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val="en-US" w:eastAsia="zh-CN"/>
                    </w:rPr>
                    <w:t>2</w:t>
                  </w:r>
                </w:p>
              </w:tc>
            </w:tr>
            <w:tr w14:paraId="69B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58E0B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21</w:t>
                  </w:r>
                </w:p>
              </w:tc>
              <w:tc>
                <w:tcPr>
                  <w:tcW w:w="2441" w:type="pct"/>
                  <w:noWrap w:val="0"/>
                  <w:vAlign w:val="center"/>
                </w:tcPr>
                <w:p w14:paraId="041F9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硫化物</w:t>
                  </w:r>
                  <w:r>
                    <w:rPr>
                      <w:rFonts w:hint="default" w:ascii="Times New Roman" w:hAnsi="Times New Roman" w:eastAsia="宋体" w:cs="Times New Roman"/>
                      <w:color w:val="auto"/>
                      <w:sz w:val="21"/>
                      <w:highlight w:val="none"/>
                    </w:rPr>
                    <w:t xml:space="preserve">               </w:t>
                  </w:r>
                  <w:r>
                    <w:rPr>
                      <w:rFonts w:hint="eastAsia"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28A4D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0.2</w:t>
                  </w:r>
                </w:p>
              </w:tc>
            </w:tr>
            <w:tr w14:paraId="23D8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pct"/>
                  <w:noWrap w:val="0"/>
                  <w:vAlign w:val="center"/>
                </w:tcPr>
                <w:p w14:paraId="77FBB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22</w:t>
                  </w:r>
                </w:p>
              </w:tc>
              <w:tc>
                <w:tcPr>
                  <w:tcW w:w="2441" w:type="pct"/>
                  <w:noWrap w:val="0"/>
                  <w:vAlign w:val="center"/>
                </w:tcPr>
                <w:p w14:paraId="33CBD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粪大肠菌群（个</w:t>
                  </w:r>
                  <w:r>
                    <w:rPr>
                      <w:rFonts w:hint="default" w:ascii="Times New Roman" w:hAnsi="Times New Roman" w:eastAsia="宋体" w:cs="Times New Roman"/>
                      <w:color w:val="auto"/>
                      <w:sz w:val="21"/>
                      <w:highlight w:val="none"/>
                      <w:lang w:val="en-US" w:eastAsia="zh-CN"/>
                    </w:rPr>
                    <w:t>/L</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 xml:space="preserve">     </w: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rPr>
                    <w:t xml:space="preserve">      ≤</w:t>
                  </w:r>
                </w:p>
              </w:tc>
              <w:tc>
                <w:tcPr>
                  <w:tcW w:w="1861" w:type="pct"/>
                  <w:noWrap w:val="0"/>
                  <w:vAlign w:val="center"/>
                </w:tcPr>
                <w:p w14:paraId="1BBE8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w:t>
                  </w:r>
                  <w:r>
                    <w:rPr>
                      <w:rFonts w:hint="default" w:ascii="Times New Roman" w:hAnsi="Times New Roman" w:eastAsia="宋体" w:cs="Times New Roman"/>
                      <w:color w:val="auto"/>
                      <w:sz w:val="21"/>
                      <w:highlight w:val="none"/>
                    </w:rPr>
                    <w:t>0000</w:t>
                  </w:r>
                  <w:r>
                    <w:rPr>
                      <w:rFonts w:hint="default" w:ascii="Times New Roman" w:hAnsi="Times New Roman" w:eastAsia="宋体" w:cs="Times New Roman"/>
                      <w:color w:val="auto"/>
                      <w:sz w:val="21"/>
                      <w:highlight w:val="none"/>
                      <w:lang w:val="en-US" w:eastAsia="zh-CN"/>
                    </w:rPr>
                    <w:t>.0</w:t>
                  </w:r>
                </w:p>
              </w:tc>
            </w:tr>
          </w:tbl>
          <w:p w14:paraId="647CB087">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（2）地表水环境质量现状</w:t>
            </w:r>
          </w:p>
          <w:p w14:paraId="189F2D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根据《环境影响评价技术导则地表水环境》（</w:t>
            </w:r>
            <w:r>
              <w:rPr>
                <w:rFonts w:hint="default" w:ascii="Times New Roman" w:hAnsi="Times New Roman" w:eastAsia="宋体" w:cs="Times New Roman"/>
                <w:color w:val="auto"/>
                <w:sz w:val="24"/>
                <w:szCs w:val="24"/>
              </w:rPr>
              <w:t>HJ2.3-2018</w:t>
            </w:r>
            <w:r>
              <w:rPr>
                <w:rFonts w:hint="eastAsia"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rPr>
              <w:t>6.6.3</w:t>
            </w:r>
            <w:r>
              <w:rPr>
                <w:rFonts w:hint="eastAsia" w:ascii="Times New Roman" w:hAnsi="Times New Roman" w:eastAsia="宋体" w:cs="Times New Roman"/>
                <w:color w:val="auto"/>
                <w:sz w:val="24"/>
                <w:szCs w:val="24"/>
              </w:rPr>
              <w:t>水环境质量现状调查”中的规定，在进行水环境质量现状调查时应优先采用国务院生态环境主管部门统一发布的水环境状况信息。</w:t>
            </w:r>
            <w:r>
              <w:rPr>
                <w:rFonts w:hint="eastAsia" w:cs="Times New Roman"/>
                <w:color w:val="auto"/>
                <w:sz w:val="24"/>
                <w:szCs w:val="24"/>
                <w:lang w:eastAsia="zh-CN"/>
              </w:rPr>
              <w:t>根据中国环境全国生态环境信息平台发布的《云南杞麓湖国控断面和全湖平均水质双脱劣》。受多种条件影响，直至2024年湖泊水质仍为劣Ⅴ类，经过省市县三级同题共答、聚力攻坚，2025年，杞麓湖实现了国控断面和全湖平均水质双脱劣。监测数据显示，杞麓湖湖心（国控点）、全湖平均水质类别由2019年至2024年连续6年的劣Ⅴ类，提升为2025年的Ⅴ类；其中，湖心国控点化学需氧量（COD）均值从2024年的41.2mg/L下降为2025年的34.2mg/L，降幅达17.0%；全湖化学需氧量（COD）均值从2024年的44.5mg/L下降为2025年的35.9mg/L，降幅达19.3%。</w:t>
            </w:r>
          </w:p>
          <w:p w14:paraId="0FB23D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因此，</w:t>
            </w:r>
            <w:r>
              <w:rPr>
                <w:rFonts w:hint="eastAsia" w:cs="Times New Roman"/>
                <w:color w:val="auto"/>
                <w:sz w:val="24"/>
                <w:szCs w:val="24"/>
                <w:lang w:eastAsia="zh-CN"/>
              </w:rPr>
              <w:t>杞麓湖水质类别为</w:t>
            </w:r>
            <w:r>
              <w:rPr>
                <w:rFonts w:hint="default" w:ascii="Times New Roman" w:hAnsi="Times New Roman" w:eastAsia="宋体" w:cs="Times New Roman"/>
                <w:color w:val="auto"/>
                <w:sz w:val="24"/>
                <w:szCs w:val="24"/>
              </w:rPr>
              <w:t>Ⅴ类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水质</w:t>
            </w:r>
            <w:r>
              <w:rPr>
                <w:rFonts w:hint="eastAsia" w:cs="Times New Roman"/>
                <w:color w:val="auto"/>
                <w:sz w:val="24"/>
                <w:szCs w:val="24"/>
                <w:lang w:eastAsia="zh-CN"/>
              </w:rPr>
              <w:t>中度</w:t>
            </w:r>
            <w:r>
              <w:rPr>
                <w:rFonts w:hint="default" w:ascii="Times New Roman" w:hAnsi="Times New Roman" w:eastAsia="宋体" w:cs="Times New Roman"/>
                <w:color w:val="auto"/>
                <w:sz w:val="24"/>
                <w:szCs w:val="24"/>
              </w:rPr>
              <w:t>污染，营养状态为中度富营养。项目所在区域地表水体杞麓湖水质不能满足《地表水环境质量标准》（GB3838-2002）Ⅲ类水质标准，不满足环境功能要求，该区域没有水环境容量。水质超标原因主要是由于周围农田及生活面源污染，农村生活污水、农业灌溉用水直接排入河流水体，河道常年污染严重，失去自净能力</w:t>
            </w:r>
            <w:r>
              <w:rPr>
                <w:rFonts w:hint="eastAsia" w:cs="Times New Roman"/>
                <w:color w:val="auto"/>
                <w:sz w:val="24"/>
                <w:szCs w:val="24"/>
                <w:lang w:eastAsia="zh-CN"/>
              </w:rPr>
              <w:t>，现米冲水库水资源总量较小，主要用于农业灌溉、应急供水等使用。</w:t>
            </w:r>
          </w:p>
          <w:p w14:paraId="4DA826A3">
            <w:pPr>
              <w:adjustRightInd w:val="0"/>
              <w:snapToGrid w:val="0"/>
              <w:spacing w:line="360" w:lineRule="auto"/>
              <w:ind w:firstLine="482" w:firstLineChars="200"/>
              <w:rPr>
                <w:rFonts w:ascii="Times New Roman" w:hAnsi="Times New Roman" w:eastAsia="宋体"/>
                <w:b/>
                <w:bCs/>
                <w:color w:val="auto"/>
                <w:sz w:val="24"/>
              </w:rPr>
            </w:pPr>
            <w:bookmarkStart w:id="14" w:name="_Toc294689799"/>
            <w:r>
              <w:rPr>
                <w:rFonts w:ascii="Times New Roman" w:hAnsi="Times New Roman" w:eastAsia="宋体"/>
                <w:b/>
                <w:bCs/>
                <w:color w:val="auto"/>
                <w:sz w:val="24"/>
              </w:rPr>
              <w:t>3、声环境质量现状</w:t>
            </w:r>
            <w:bookmarkEnd w:id="14"/>
          </w:p>
          <w:p w14:paraId="59B3C62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（1）声环境质量执行标准</w:t>
            </w:r>
          </w:p>
          <w:p w14:paraId="17C66A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宋体"/>
                <w:color w:val="auto"/>
                <w:sz w:val="24"/>
              </w:rPr>
              <w:t>本项目位于</w:t>
            </w:r>
            <w:r>
              <w:rPr>
                <w:rFonts w:hint="eastAsia" w:ascii="Times New Roman" w:hAnsi="Times New Roman" w:eastAsia="宋体" w:cs="宋体"/>
                <w:color w:val="auto"/>
                <w:sz w:val="24"/>
                <w:lang w:eastAsia="zh-CN"/>
              </w:rPr>
              <w:t>玉溪市通海县</w:t>
            </w:r>
            <w:r>
              <w:rPr>
                <w:rFonts w:hint="eastAsia" w:cs="宋体"/>
                <w:color w:val="auto"/>
                <w:sz w:val="24"/>
                <w:lang w:eastAsia="zh-CN"/>
              </w:rPr>
              <w:t>纳古</w:t>
            </w:r>
            <w:r>
              <w:rPr>
                <w:rFonts w:hint="eastAsia" w:ascii="Times New Roman" w:hAnsi="Times New Roman" w:eastAsia="宋体" w:cs="宋体"/>
                <w:color w:val="auto"/>
                <w:sz w:val="24"/>
                <w:lang w:eastAsia="zh-CN"/>
              </w:rPr>
              <w:t>镇</w:t>
            </w:r>
            <w:r>
              <w:rPr>
                <w:rFonts w:hint="eastAsia" w:cs="宋体"/>
                <w:color w:val="auto"/>
                <w:sz w:val="24"/>
                <w:lang w:eastAsia="zh-CN"/>
              </w:rPr>
              <w:t>大白龙</w:t>
            </w:r>
            <w:r>
              <w:rPr>
                <w:rFonts w:hint="eastAsia" w:ascii="Times New Roman" w:hAnsi="Times New Roman" w:eastAsia="宋体" w:cs="宋体"/>
                <w:color w:val="auto"/>
                <w:sz w:val="24"/>
              </w:rPr>
              <w:t>，区域属于声环境功能</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rPr>
              <w:t>类区，执行《声环境质量标准》（GB3096-2008）</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rPr>
              <w:t>类标准，标准值见下表。</w:t>
            </w:r>
          </w:p>
          <w:p w14:paraId="75197AA0">
            <w:pPr>
              <w:jc w:val="center"/>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w:t>
            </w:r>
            <w:r>
              <w:rPr>
                <w:rFonts w:hint="eastAsia" w:cs="宋体"/>
                <w:b/>
                <w:bCs/>
                <w:color w:val="auto"/>
                <w:spacing w:val="0"/>
                <w:kern w:val="0"/>
                <w:sz w:val="21"/>
                <w:szCs w:val="21"/>
                <w:lang w:val="en-US" w:eastAsia="zh-CN" w:bidi="ar-SA"/>
              </w:rPr>
              <w:t>6</w:t>
            </w:r>
            <w:r>
              <w:rPr>
                <w:rFonts w:hint="eastAsia" w:ascii="Times New Roman" w:hAnsi="Times New Roman" w:eastAsia="宋体" w:cs="宋体"/>
                <w:b/>
                <w:bCs/>
                <w:color w:val="auto"/>
                <w:spacing w:val="0"/>
                <w:kern w:val="0"/>
                <w:sz w:val="21"/>
                <w:szCs w:val="21"/>
                <w:lang w:val="en-US" w:eastAsia="zh-CN" w:bidi="ar-SA"/>
              </w:rPr>
              <w:t xml:space="preserve">    声环境质量标准</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2547"/>
              <w:gridCol w:w="2091"/>
              <w:gridCol w:w="2094"/>
            </w:tblGrid>
            <w:tr w14:paraId="35F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409" w:type="dxa"/>
                  <w:vMerge w:val="restart"/>
                  <w:tcBorders>
                    <w:top w:val="single" w:color="auto" w:sz="4" w:space="0"/>
                    <w:left w:val="single" w:color="auto" w:sz="4" w:space="0"/>
                    <w:bottom w:val="single" w:color="auto" w:sz="4" w:space="0"/>
                    <w:right w:val="single" w:color="auto" w:sz="4" w:space="0"/>
                  </w:tcBorders>
                  <w:shd w:val="clear" w:color="auto" w:fill="D9D9D9"/>
                  <w:noWrap w:val="0"/>
                  <w:vAlign w:val="center"/>
                </w:tcPr>
                <w:p w14:paraId="21C05C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类别</w:t>
                  </w:r>
                </w:p>
              </w:tc>
              <w:tc>
                <w:tcPr>
                  <w:tcW w:w="2340" w:type="dxa"/>
                  <w:vMerge w:val="restart"/>
                  <w:tcBorders>
                    <w:top w:val="single" w:color="auto" w:sz="4" w:space="0"/>
                    <w:left w:val="single" w:color="auto" w:sz="4" w:space="0"/>
                    <w:bottom w:val="single" w:color="auto" w:sz="4" w:space="0"/>
                    <w:right w:val="single" w:color="auto" w:sz="4" w:space="0"/>
                  </w:tcBorders>
                  <w:shd w:val="clear" w:color="auto" w:fill="D9D9D9"/>
                  <w:noWrap w:val="0"/>
                  <w:vAlign w:val="center"/>
                </w:tcPr>
                <w:p w14:paraId="51CD55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适用区域</w:t>
                  </w:r>
                </w:p>
              </w:tc>
              <w:tc>
                <w:tcPr>
                  <w:tcW w:w="3844"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441EA3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等效声级[dB(A)]</w:t>
                  </w:r>
                </w:p>
              </w:tc>
            </w:tr>
            <w:tr w14:paraId="3AAB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409" w:type="dxa"/>
                  <w:vMerge w:val="continue"/>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33FD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p>
              </w:tc>
              <w:tc>
                <w:tcPr>
                  <w:tcW w:w="2340" w:type="dxa"/>
                  <w:vMerge w:val="continue"/>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D546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p>
              </w:tc>
              <w:tc>
                <w:tcPr>
                  <w:tcW w:w="1921"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E8517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昼间</w:t>
                  </w:r>
                </w:p>
              </w:tc>
              <w:tc>
                <w:tcPr>
                  <w:tcW w:w="1923"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1AD22C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夜间</w:t>
                  </w:r>
                </w:p>
              </w:tc>
            </w:tr>
            <w:tr w14:paraId="2EC2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09" w:type="dxa"/>
                  <w:tcBorders>
                    <w:top w:val="single" w:color="auto" w:sz="4" w:space="0"/>
                    <w:left w:val="single" w:color="auto" w:sz="4" w:space="0"/>
                    <w:bottom w:val="single" w:color="auto" w:sz="4" w:space="0"/>
                    <w:right w:val="single" w:color="auto" w:sz="4" w:space="0"/>
                  </w:tcBorders>
                  <w:noWrap w:val="0"/>
                  <w:vAlign w:val="center"/>
                </w:tcPr>
                <w:p w14:paraId="3AFD8F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lang w:val="en-US" w:eastAsia="zh-CN"/>
                    </w:rPr>
                    <w:t>2</w:t>
                  </w:r>
                  <w:r>
                    <w:rPr>
                      <w:rFonts w:hint="eastAsia" w:ascii="Times New Roman" w:hAnsi="Times New Roman" w:eastAsia="宋体" w:cs="宋体"/>
                      <w:color w:val="auto"/>
                    </w:rPr>
                    <w:t>类</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58744F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color w:val="auto"/>
                    </w:rPr>
                  </w:pPr>
                  <w:r>
                    <w:rPr>
                      <w:rFonts w:hint="eastAsia" w:ascii="Times New Roman" w:hAnsi="Times New Roman" w:eastAsia="宋体" w:cs="宋体"/>
                      <w:color w:val="auto"/>
                    </w:rPr>
                    <w:t>项目区</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901A6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60</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49BAF5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50</w:t>
                  </w:r>
                </w:p>
              </w:tc>
            </w:tr>
          </w:tbl>
          <w:p w14:paraId="7945A567">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2" w:firstLineChars="200"/>
              <w:textAlignment w:val="auto"/>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（2）声环境质量现状</w:t>
            </w:r>
          </w:p>
          <w:p w14:paraId="30EEA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宋体"/>
                <w:color w:val="auto"/>
                <w:sz w:val="24"/>
              </w:rPr>
              <w:t>根据《建设项目环境影响报告表编制技术指南（污染影响类）（试行）》相关内容，项目厂界外50m范围内无声环境敏感目标</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无需进行声环境现状监测。根据现场踏勘，项目区域周边存在工业企业生产活动，声环境质量现状能够达到声环境质量</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rPr>
              <w:t>类标准。</w:t>
            </w:r>
          </w:p>
          <w:p w14:paraId="5C2E8DA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s="Times New Roman"/>
                <w:b/>
                <w:bCs/>
                <w:color w:val="auto"/>
                <w:sz w:val="24"/>
                <w:lang w:val="en-US" w:eastAsia="zh-CN"/>
              </w:rPr>
              <w:t>4、生态环境现状</w:t>
            </w:r>
          </w:p>
          <w:p w14:paraId="228425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val="en-US" w:eastAsia="zh-CN"/>
              </w:rPr>
              <w:t>本项目位于通海县纳古镇大白龙，且项目为租用的厂房，</w:t>
            </w:r>
            <w:r>
              <w:rPr>
                <w:rFonts w:hint="eastAsia" w:ascii="Times New Roman" w:hAnsi="Times New Roman" w:eastAsia="宋体" w:cs="宋体"/>
                <w:color w:val="auto"/>
                <w:sz w:val="24"/>
                <w:lang w:eastAsia="zh-CN"/>
              </w:rPr>
              <w:t>不新增用地。</w:t>
            </w:r>
            <w:r>
              <w:rPr>
                <w:rFonts w:hint="eastAsia" w:ascii="Times New Roman" w:hAnsi="Times New Roman" w:eastAsia="宋体" w:cs="宋体"/>
                <w:color w:val="auto"/>
                <w:sz w:val="24"/>
              </w:rPr>
              <w:t>项目所在地</w:t>
            </w:r>
            <w:r>
              <w:rPr>
                <w:rFonts w:hint="eastAsia" w:ascii="Times New Roman" w:hAnsi="Times New Roman" w:eastAsia="宋体" w:cs="宋体"/>
                <w:color w:val="auto"/>
                <w:sz w:val="24"/>
                <w:lang w:eastAsia="zh-CN"/>
              </w:rPr>
              <w:t>四周均</w:t>
            </w:r>
            <w:r>
              <w:rPr>
                <w:rFonts w:hint="eastAsia" w:ascii="Times New Roman" w:hAnsi="Times New Roman" w:eastAsia="宋体" w:cs="宋体"/>
                <w:color w:val="auto"/>
                <w:sz w:val="24"/>
              </w:rPr>
              <w:t>为</w:t>
            </w:r>
            <w:r>
              <w:rPr>
                <w:rFonts w:hint="eastAsia" w:cs="宋体"/>
                <w:color w:val="auto"/>
                <w:sz w:val="24"/>
                <w:lang w:eastAsia="zh-CN"/>
              </w:rPr>
              <w:t>闲置</w:t>
            </w:r>
            <w:r>
              <w:rPr>
                <w:rFonts w:hint="eastAsia" w:ascii="Times New Roman" w:hAnsi="Times New Roman" w:eastAsia="宋体" w:cs="宋体"/>
                <w:color w:val="auto"/>
                <w:sz w:val="24"/>
              </w:rPr>
              <w:t>山地，项目区周围物种单一。根据现场踏勘和走访调查，在项目区及</w:t>
            </w:r>
            <w:r>
              <w:rPr>
                <w:rFonts w:hint="eastAsia" w:cs="宋体"/>
                <w:color w:val="auto"/>
                <w:sz w:val="24"/>
                <w:lang w:eastAsia="zh-CN"/>
              </w:rPr>
              <w:t>评价</w:t>
            </w:r>
            <w:r>
              <w:rPr>
                <w:rFonts w:hint="eastAsia" w:ascii="Times New Roman" w:hAnsi="Times New Roman" w:eastAsia="宋体" w:cs="宋体"/>
                <w:color w:val="auto"/>
                <w:sz w:val="24"/>
              </w:rPr>
              <w:t>范围内未发现国家级、省级珍稀保护动植物，不经过自然保护区、无古树名木，未发现国家保护的珍稀动植物。生物多样性及其自身调控能力一般，受人为因素影响较大。</w:t>
            </w:r>
          </w:p>
          <w:p w14:paraId="0B32861A">
            <w:pPr>
              <w:adjustRightInd w:val="0"/>
              <w:snapToGrid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5、地下水、土壤环境</w:t>
            </w:r>
          </w:p>
          <w:p w14:paraId="4CFB21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0B72BB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kern w:val="0"/>
                <w:sz w:val="24"/>
                <w:szCs w:val="21"/>
                <w:vertAlign w:val="baseline"/>
                <w:lang w:eastAsia="zh-CN"/>
              </w:rPr>
              <w:t>本项目已采取分区防渗措施，正常情况下无土壤、地下水环境污染途径，原则上不开展环境质量现状调查。</w:t>
            </w:r>
            <w:r>
              <w:rPr>
                <w:rFonts w:hint="eastAsia" w:ascii="Times New Roman" w:hAnsi="Times New Roman" w:eastAsia="宋体" w:cs="宋体"/>
                <w:color w:val="auto"/>
                <w:sz w:val="24"/>
                <w:lang w:val="en-US" w:eastAsia="zh-CN"/>
              </w:rPr>
              <w:t>本项目位于通海县纳古镇大白龙，且项目为租用的厂房</w:t>
            </w:r>
            <w:r>
              <w:rPr>
                <w:rFonts w:hint="eastAsia" w:ascii="Times New Roman" w:hAnsi="Times New Roman" w:cs="宋体"/>
                <w:color w:val="auto"/>
                <w:sz w:val="24"/>
                <w:lang w:val="en-US" w:eastAsia="zh-CN"/>
              </w:rPr>
              <w:t>，用地性质由</w:t>
            </w:r>
            <w:r>
              <w:rPr>
                <w:rFonts w:hint="eastAsia" w:cs="宋体"/>
                <w:color w:val="auto"/>
                <w:kern w:val="0"/>
                <w:sz w:val="24"/>
                <w:lang w:val="en-US" w:eastAsia="zh-CN"/>
              </w:rPr>
              <w:t>物流仓储用地调整为工业用地，</w:t>
            </w:r>
            <w:r>
              <w:rPr>
                <w:rFonts w:hint="default" w:ascii="Times New Roman" w:hAnsi="Times New Roman" w:eastAsia="宋体" w:cs="Times New Roman"/>
                <w:color w:val="auto"/>
                <w:sz w:val="24"/>
                <w:szCs w:val="24"/>
                <w:highlight w:val="none"/>
              </w:rPr>
              <w:t>厂界外500m范围内不涉及集中式饮用水水源和热水、矿泉水、温泉等特殊地下水资源。</w:t>
            </w:r>
            <w:r>
              <w:rPr>
                <w:rFonts w:hint="eastAsia" w:ascii="Times New Roman" w:hAnsi="Times New Roman" w:eastAsia="宋体" w:cs="Times New Roman"/>
                <w:color w:val="auto"/>
                <w:sz w:val="24"/>
                <w:szCs w:val="24"/>
                <w:highlight w:val="none"/>
                <w:lang w:val="en-US" w:eastAsia="zh-CN"/>
              </w:rPr>
              <w:t>项目运营期</w:t>
            </w:r>
            <w:r>
              <w:rPr>
                <w:rFonts w:hint="default" w:ascii="Times New Roman" w:hAnsi="Times New Roman" w:eastAsia="宋体" w:cs="Times New Roman"/>
                <w:color w:val="auto"/>
                <w:sz w:val="24"/>
                <w:szCs w:val="24"/>
                <w:highlight w:val="none"/>
                <w:lang w:val="en-US" w:eastAsia="zh-CN"/>
              </w:rPr>
              <w:t>对土壤和地下水</w:t>
            </w:r>
            <w:r>
              <w:rPr>
                <w:rFonts w:hint="eastAsia" w:ascii="Times New Roman" w:hAnsi="Times New Roman" w:eastAsia="宋体" w:cs="Times New Roman"/>
                <w:color w:val="auto"/>
                <w:sz w:val="24"/>
                <w:szCs w:val="24"/>
                <w:highlight w:val="none"/>
                <w:lang w:val="en-US" w:eastAsia="zh-CN"/>
              </w:rPr>
              <w:t>污染途径</w:t>
            </w:r>
            <w:r>
              <w:rPr>
                <w:rFonts w:hint="default" w:ascii="Times New Roman" w:hAnsi="Times New Roman" w:eastAsia="宋体" w:cs="Times New Roman"/>
                <w:color w:val="auto"/>
                <w:sz w:val="24"/>
                <w:szCs w:val="24"/>
                <w:highlight w:val="none"/>
                <w:lang w:val="en-US" w:eastAsia="zh-CN"/>
              </w:rPr>
              <w:t>为废</w:t>
            </w:r>
            <w:r>
              <w:rPr>
                <w:rFonts w:hint="eastAsia" w:ascii="Times New Roman" w:hAnsi="Times New Roman" w:cs="Times New Roman"/>
                <w:color w:val="auto"/>
                <w:sz w:val="24"/>
                <w:szCs w:val="24"/>
                <w:highlight w:val="none"/>
                <w:lang w:val="en-US" w:eastAsia="zh-CN"/>
              </w:rPr>
              <w:t>机</w:t>
            </w:r>
            <w:r>
              <w:rPr>
                <w:rFonts w:hint="eastAsia" w:ascii="Times New Roman" w:hAnsi="Times New Roman" w:eastAsia="宋体" w:cs="Times New Roman"/>
                <w:color w:val="auto"/>
                <w:sz w:val="24"/>
                <w:szCs w:val="24"/>
                <w:highlight w:val="none"/>
                <w:lang w:val="en-US" w:eastAsia="zh-CN"/>
              </w:rPr>
              <w:t>油</w:t>
            </w:r>
            <w:r>
              <w:rPr>
                <w:rFonts w:hint="eastAsia" w:ascii="Times New Roman" w:hAnsi="Times New Roman" w:cs="Times New Roman"/>
                <w:color w:val="auto"/>
                <w:sz w:val="24"/>
                <w:szCs w:val="24"/>
                <w:highlight w:val="none"/>
                <w:lang w:val="en-US" w:eastAsia="zh-CN"/>
              </w:rPr>
              <w:t>、废液压油</w:t>
            </w:r>
            <w:r>
              <w:rPr>
                <w:rFonts w:hint="default" w:ascii="Times New Roman" w:hAnsi="Times New Roman" w:eastAsia="宋体" w:cs="Times New Roman"/>
                <w:color w:val="auto"/>
                <w:sz w:val="24"/>
                <w:szCs w:val="24"/>
                <w:highlight w:val="none"/>
                <w:lang w:val="en-US" w:eastAsia="zh-CN"/>
              </w:rPr>
              <w:t>，产生的废</w:t>
            </w:r>
            <w:r>
              <w:rPr>
                <w:rFonts w:hint="eastAsia" w:ascii="Times New Roman" w:hAnsi="Times New Roman" w:cs="Times New Roman"/>
                <w:color w:val="auto"/>
                <w:sz w:val="24"/>
                <w:szCs w:val="24"/>
                <w:highlight w:val="none"/>
                <w:lang w:val="en-US" w:eastAsia="zh-CN"/>
              </w:rPr>
              <w:t>机</w:t>
            </w:r>
            <w:r>
              <w:rPr>
                <w:rFonts w:hint="eastAsia" w:ascii="Times New Roman" w:hAnsi="Times New Roman" w:eastAsia="宋体" w:cs="Times New Roman"/>
                <w:color w:val="auto"/>
                <w:sz w:val="24"/>
                <w:szCs w:val="24"/>
                <w:highlight w:val="none"/>
                <w:lang w:val="en-US" w:eastAsia="zh-CN"/>
              </w:rPr>
              <w:t>油</w:t>
            </w:r>
            <w:r>
              <w:rPr>
                <w:rFonts w:hint="eastAsia" w:ascii="Times New Roman" w:hAnsi="Times New Roman" w:cs="Times New Roman"/>
                <w:color w:val="auto"/>
                <w:sz w:val="24"/>
                <w:szCs w:val="24"/>
                <w:highlight w:val="none"/>
                <w:lang w:val="en-US" w:eastAsia="zh-CN"/>
              </w:rPr>
              <w:t>、废液压油</w:t>
            </w:r>
            <w:r>
              <w:rPr>
                <w:rFonts w:hint="default" w:ascii="Times New Roman" w:hAnsi="Times New Roman" w:eastAsia="宋体" w:cs="Times New Roman"/>
                <w:color w:val="auto"/>
                <w:sz w:val="24"/>
                <w:szCs w:val="24"/>
                <w:highlight w:val="none"/>
                <w:lang w:val="en-US" w:eastAsia="zh-CN"/>
              </w:rPr>
              <w:t>暂存</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危废暂存间内</w:t>
            </w:r>
            <w:r>
              <w:rPr>
                <w:rFonts w:hint="eastAsia" w:ascii="Times New Roman" w:hAnsi="Times New Roman" w:cs="Times New Roman"/>
                <w:color w:val="auto"/>
                <w:sz w:val="24"/>
                <w:szCs w:val="24"/>
                <w:highlight w:val="none"/>
                <w:lang w:val="en-US" w:eastAsia="zh-CN"/>
              </w:rPr>
              <w:t>定期</w:t>
            </w:r>
            <w:r>
              <w:rPr>
                <w:rFonts w:hint="eastAsia" w:ascii="Times New Roman" w:hAnsi="Times New Roman" w:eastAsia="宋体" w:cs="Times New Roman"/>
                <w:color w:val="auto"/>
                <w:sz w:val="24"/>
                <w:szCs w:val="24"/>
                <w:highlight w:val="none"/>
                <w:lang w:val="en-US" w:eastAsia="zh-CN"/>
              </w:rPr>
              <w:t>委托有资质的单位</w:t>
            </w:r>
            <w:r>
              <w:rPr>
                <w:rFonts w:hint="eastAsia" w:ascii="Times New Roman" w:hAnsi="Times New Roman" w:cs="Times New Roman"/>
                <w:color w:val="auto"/>
                <w:sz w:val="24"/>
                <w:szCs w:val="24"/>
                <w:highlight w:val="none"/>
                <w:lang w:val="en-US" w:eastAsia="zh-CN"/>
              </w:rPr>
              <w:t>清运、处置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危废暂存间进行重点防渗处理，渗透系数≤10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本次环评</w:t>
            </w:r>
            <w:r>
              <w:rPr>
                <w:rFonts w:hint="eastAsia" w:ascii="Times New Roman" w:hAnsi="Times New Roman" w:eastAsia="宋体" w:cs="宋体"/>
                <w:color w:val="auto"/>
                <w:sz w:val="24"/>
                <w:lang w:val="en-US" w:eastAsia="zh-CN"/>
              </w:rPr>
              <w:t>项目在采取本环评提出的防渗措施后，</w:t>
            </w:r>
            <w:r>
              <w:rPr>
                <w:rFonts w:hint="default" w:ascii="Times New Roman" w:hAnsi="Times New Roman" w:eastAsia="宋体" w:cs="Times New Roman"/>
                <w:color w:val="auto"/>
                <w:sz w:val="24"/>
                <w:szCs w:val="24"/>
                <w:highlight w:val="none"/>
                <w:lang w:val="en-US" w:eastAsia="zh-CN"/>
              </w:rPr>
              <w:t>废</w:t>
            </w:r>
            <w:r>
              <w:rPr>
                <w:rFonts w:hint="eastAsia" w:ascii="Times New Roman" w:hAnsi="Times New Roman" w:cs="Times New Roman"/>
                <w:color w:val="auto"/>
                <w:sz w:val="24"/>
                <w:szCs w:val="24"/>
                <w:highlight w:val="none"/>
                <w:lang w:val="en-US" w:eastAsia="zh-CN"/>
              </w:rPr>
              <w:t>机</w:t>
            </w:r>
            <w:r>
              <w:rPr>
                <w:rFonts w:hint="eastAsia" w:ascii="Times New Roman" w:hAnsi="Times New Roman" w:eastAsia="宋体" w:cs="Times New Roman"/>
                <w:color w:val="auto"/>
                <w:sz w:val="24"/>
                <w:szCs w:val="24"/>
                <w:highlight w:val="none"/>
                <w:lang w:val="en-US" w:eastAsia="zh-CN"/>
              </w:rPr>
              <w:t>油</w:t>
            </w:r>
            <w:r>
              <w:rPr>
                <w:rFonts w:hint="eastAsia" w:ascii="Times New Roman" w:hAnsi="Times New Roman" w:cs="Times New Roman"/>
                <w:color w:val="auto"/>
                <w:sz w:val="24"/>
                <w:szCs w:val="24"/>
                <w:highlight w:val="none"/>
                <w:lang w:val="en-US" w:eastAsia="zh-CN"/>
              </w:rPr>
              <w:t>、废液压油</w:t>
            </w:r>
            <w:r>
              <w:rPr>
                <w:rFonts w:hint="default" w:ascii="Times New Roman" w:hAnsi="Times New Roman" w:eastAsia="宋体" w:cs="Times New Roman"/>
                <w:color w:val="auto"/>
                <w:sz w:val="24"/>
                <w:szCs w:val="24"/>
                <w:highlight w:val="none"/>
                <w:lang w:val="en-US" w:eastAsia="zh-CN"/>
              </w:rPr>
              <w:t>对地下水和土壤环境影响较小</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可不</w:t>
            </w:r>
            <w:r>
              <w:rPr>
                <w:rFonts w:hint="default" w:ascii="Times New Roman" w:hAnsi="Times New Roman" w:eastAsia="宋体" w:cs="Times New Roman"/>
                <w:color w:val="auto"/>
                <w:sz w:val="24"/>
                <w:szCs w:val="24"/>
                <w:highlight w:val="none"/>
                <w:lang w:val="en-US" w:eastAsia="zh-CN"/>
              </w:rPr>
              <w:t>开展地下水及土壤环境质量现状调查</w:t>
            </w:r>
            <w:r>
              <w:rPr>
                <w:rFonts w:hint="eastAsia" w:ascii="Times New Roman" w:hAnsi="Times New Roman" w:cs="Times New Roman"/>
                <w:color w:val="auto"/>
                <w:sz w:val="24"/>
                <w:highlight w:val="none"/>
                <w:lang w:eastAsia="zh-CN"/>
              </w:rPr>
              <w:t>。</w:t>
            </w:r>
          </w:p>
        </w:tc>
      </w:tr>
      <w:tr w14:paraId="4AFFA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87" w:type="dxa"/>
            <w:vAlign w:val="center"/>
          </w:tcPr>
          <w:p w14:paraId="0D492E81">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环境</w:t>
            </w:r>
          </w:p>
          <w:p w14:paraId="4832F0E5">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保护</w:t>
            </w:r>
          </w:p>
          <w:p w14:paraId="1D1B4E26">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目标</w:t>
            </w:r>
          </w:p>
        </w:tc>
        <w:tc>
          <w:tcPr>
            <w:tcW w:w="8500" w:type="dxa"/>
            <w:vAlign w:val="center"/>
          </w:tcPr>
          <w:p w14:paraId="58057EA1">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根据现场踏勘，本项目厂界外50m无噪声保护目标，500m范围内无地下水环境保护目标，500m范围内无任何自然保护区、风景名胜区。</w:t>
            </w:r>
          </w:p>
          <w:p w14:paraId="5719C4B8">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本项目主要环境保护目标见下表。</w:t>
            </w:r>
          </w:p>
          <w:p w14:paraId="5D373885">
            <w:pPr>
              <w:jc w:val="center"/>
              <w:rPr>
                <w:rFonts w:hint="default"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w:t>
            </w:r>
            <w:r>
              <w:rPr>
                <w:rFonts w:hint="eastAsia" w:cs="宋体"/>
                <w:b/>
                <w:bCs/>
                <w:color w:val="auto"/>
                <w:spacing w:val="0"/>
                <w:kern w:val="0"/>
                <w:sz w:val="21"/>
                <w:szCs w:val="21"/>
                <w:lang w:val="en-US" w:eastAsia="zh-CN" w:bidi="ar-SA"/>
              </w:rPr>
              <w:t>7</w:t>
            </w:r>
            <w:r>
              <w:rPr>
                <w:rFonts w:hint="eastAsia" w:ascii="Times New Roman" w:hAnsi="Times New Roman" w:eastAsia="宋体" w:cs="宋体"/>
                <w:b/>
                <w:bCs/>
                <w:color w:val="auto"/>
                <w:spacing w:val="0"/>
                <w:kern w:val="0"/>
                <w:sz w:val="21"/>
                <w:szCs w:val="21"/>
                <w:lang w:val="en-US" w:eastAsia="zh-CN" w:bidi="ar-SA"/>
              </w:rPr>
              <w:t xml:space="preserve"> 项目保护目标一览表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42"/>
              <w:gridCol w:w="776"/>
              <w:gridCol w:w="758"/>
              <w:gridCol w:w="670"/>
              <w:gridCol w:w="1123"/>
              <w:gridCol w:w="1531"/>
              <w:gridCol w:w="1924"/>
            </w:tblGrid>
            <w:tr w14:paraId="5F2E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Merge w:val="restart"/>
                  <w:shd w:val="clear" w:color="auto" w:fill="D7D7D7" w:themeFill="background1" w:themeFillShade="D8"/>
                  <w:vAlign w:val="center"/>
                </w:tcPr>
                <w:p w14:paraId="67043F29">
                  <w:pPr>
                    <w:pStyle w:val="64"/>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保护对象</w:t>
                  </w:r>
                </w:p>
              </w:tc>
              <w:tc>
                <w:tcPr>
                  <w:tcW w:w="509" w:type="pct"/>
                  <w:vMerge w:val="restart"/>
                  <w:shd w:val="clear" w:color="auto" w:fill="D7D7D7" w:themeFill="background1" w:themeFillShade="D8"/>
                  <w:vAlign w:val="center"/>
                </w:tcPr>
                <w:p w14:paraId="724EF95C">
                  <w:pPr>
                    <w:pStyle w:val="64"/>
                    <w:jc w:val="center"/>
                    <w:rPr>
                      <w:rFonts w:ascii="Times New Roman" w:hAnsi="Times New Roman" w:eastAsia="宋体"/>
                      <w:color w:val="auto"/>
                      <w:lang w:val="zh-CN"/>
                    </w:rPr>
                  </w:pPr>
                  <w:r>
                    <w:rPr>
                      <w:rFonts w:hint="eastAsia" w:ascii="Times New Roman" w:hAnsi="Times New Roman" w:eastAsia="宋体"/>
                      <w:color w:val="auto"/>
                      <w:lang w:val="zh-CN"/>
                    </w:rPr>
                    <w:t>名称</w:t>
                  </w:r>
                </w:p>
              </w:tc>
              <w:tc>
                <w:tcPr>
                  <w:tcW w:w="927" w:type="pct"/>
                  <w:gridSpan w:val="2"/>
                  <w:shd w:val="clear" w:color="auto" w:fill="D7D7D7" w:themeFill="background1" w:themeFillShade="D8"/>
                  <w:vAlign w:val="center"/>
                </w:tcPr>
                <w:p w14:paraId="085A9532">
                  <w:pPr>
                    <w:pStyle w:val="64"/>
                    <w:jc w:val="center"/>
                    <w:rPr>
                      <w:rFonts w:ascii="Times New Roman" w:hAnsi="Times New Roman" w:eastAsia="宋体"/>
                      <w:color w:val="auto"/>
                      <w:lang w:val="zh-CN"/>
                    </w:rPr>
                  </w:pPr>
                  <w:r>
                    <w:rPr>
                      <w:rFonts w:hint="eastAsia" w:ascii="Times New Roman" w:hAnsi="Times New Roman" w:eastAsia="宋体"/>
                      <w:color w:val="auto"/>
                      <w:lang w:val="en-US" w:eastAsia="zh-CN"/>
                    </w:rPr>
                    <w:t>地理</w:t>
                  </w:r>
                  <w:r>
                    <w:rPr>
                      <w:rFonts w:hint="eastAsia" w:ascii="Times New Roman" w:hAnsi="Times New Roman" w:eastAsia="宋体"/>
                      <w:color w:val="auto"/>
                      <w:lang w:val="zh-CN"/>
                    </w:rPr>
                    <w:t>坐标</w:t>
                  </w:r>
                </w:p>
              </w:tc>
              <w:tc>
                <w:tcPr>
                  <w:tcW w:w="405" w:type="pct"/>
                  <w:vMerge w:val="restart"/>
                  <w:shd w:val="clear" w:color="auto" w:fill="D7D7D7" w:themeFill="background1" w:themeFillShade="D8"/>
                  <w:vAlign w:val="center"/>
                </w:tcPr>
                <w:p w14:paraId="45660FEB">
                  <w:pPr>
                    <w:pStyle w:val="64"/>
                    <w:jc w:val="center"/>
                    <w:rPr>
                      <w:rFonts w:ascii="Times New Roman" w:hAnsi="Times New Roman" w:eastAsia="宋体"/>
                      <w:color w:val="auto"/>
                      <w:lang w:val="zh-CN"/>
                    </w:rPr>
                  </w:pPr>
                  <w:r>
                    <w:rPr>
                      <w:rFonts w:hint="eastAsia" w:ascii="Times New Roman" w:hAnsi="Times New Roman" w:eastAsia="宋体"/>
                      <w:color w:val="auto"/>
                      <w:lang w:val="zh-CN"/>
                    </w:rPr>
                    <w:t>保护内容</w:t>
                  </w:r>
                </w:p>
              </w:tc>
              <w:tc>
                <w:tcPr>
                  <w:tcW w:w="679" w:type="pct"/>
                  <w:vMerge w:val="restart"/>
                  <w:shd w:val="clear" w:color="auto" w:fill="D7D7D7" w:themeFill="background1" w:themeFillShade="D8"/>
                  <w:vAlign w:val="center"/>
                </w:tcPr>
                <w:p w14:paraId="1699F29D">
                  <w:pPr>
                    <w:pStyle w:val="64"/>
                    <w:jc w:val="center"/>
                    <w:rPr>
                      <w:rFonts w:hint="eastAsia" w:ascii="Times New Roman" w:hAnsi="Times New Roman" w:eastAsia="宋体" w:cs="宋体"/>
                      <w:snapToGrid w:val="0"/>
                      <w:color w:val="auto"/>
                      <w:kern w:val="2"/>
                      <w:sz w:val="21"/>
                      <w:szCs w:val="21"/>
                      <w:lang w:val="zh-CN" w:eastAsia="zh-CN" w:bidi="ar-SA"/>
                    </w:rPr>
                  </w:pPr>
                  <w:r>
                    <w:rPr>
                      <w:rFonts w:hint="eastAsia" w:ascii="Times New Roman" w:hAnsi="Times New Roman" w:eastAsia="宋体"/>
                      <w:color w:val="auto"/>
                      <w:lang w:val="zh-CN"/>
                    </w:rPr>
                    <w:t>相对厂址方位</w:t>
                  </w:r>
                </w:p>
              </w:tc>
              <w:tc>
                <w:tcPr>
                  <w:tcW w:w="924" w:type="pct"/>
                  <w:vMerge w:val="restart"/>
                  <w:shd w:val="clear" w:color="auto" w:fill="D7D7D7" w:themeFill="background1" w:themeFillShade="D8"/>
                  <w:vAlign w:val="center"/>
                </w:tcPr>
                <w:p w14:paraId="57E187E3">
                  <w:pPr>
                    <w:pStyle w:val="64"/>
                    <w:jc w:val="center"/>
                    <w:rPr>
                      <w:rFonts w:hint="eastAsia" w:ascii="Times New Roman" w:hAnsi="Times New Roman" w:eastAsia="宋体" w:cs="宋体"/>
                      <w:snapToGrid w:val="0"/>
                      <w:color w:val="auto"/>
                      <w:kern w:val="2"/>
                      <w:sz w:val="21"/>
                      <w:szCs w:val="21"/>
                      <w:lang w:val="zh-CN" w:eastAsia="zh-CN" w:bidi="ar-SA"/>
                    </w:rPr>
                  </w:pPr>
                  <w:r>
                    <w:rPr>
                      <w:rFonts w:hint="eastAsia" w:ascii="Times New Roman" w:hAnsi="Times New Roman" w:eastAsia="宋体"/>
                      <w:color w:val="auto"/>
                      <w:lang w:val="zh-CN"/>
                    </w:rPr>
                    <w:t>相对厂界距离/m</w:t>
                  </w:r>
                </w:p>
              </w:tc>
              <w:tc>
                <w:tcPr>
                  <w:tcW w:w="1163" w:type="pct"/>
                  <w:vMerge w:val="restart"/>
                  <w:shd w:val="clear" w:color="auto" w:fill="D7D7D7" w:themeFill="background1" w:themeFillShade="D8"/>
                  <w:vAlign w:val="center"/>
                </w:tcPr>
                <w:p w14:paraId="09DFC0BC">
                  <w:pPr>
                    <w:pStyle w:val="64"/>
                    <w:jc w:val="center"/>
                    <w:rPr>
                      <w:rFonts w:ascii="Times New Roman" w:hAnsi="Times New Roman" w:eastAsia="宋体"/>
                      <w:color w:val="auto"/>
                      <w:lang w:val="zh-CN"/>
                    </w:rPr>
                  </w:pPr>
                  <w:r>
                    <w:rPr>
                      <w:rFonts w:hint="eastAsia" w:ascii="Times New Roman" w:hAnsi="Times New Roman" w:eastAsia="宋体"/>
                      <w:color w:val="auto"/>
                      <w:lang w:val="zh-CN"/>
                    </w:rPr>
                    <w:t>环境功能区</w:t>
                  </w:r>
                </w:p>
              </w:tc>
            </w:tr>
            <w:tr w14:paraId="3AB1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391" w:type="pct"/>
                  <w:vMerge w:val="continue"/>
                  <w:shd w:val="clear" w:color="auto" w:fill="D7D7D7" w:themeFill="background1" w:themeFillShade="D8"/>
                  <w:vAlign w:val="center"/>
                </w:tcPr>
                <w:p w14:paraId="26E4F228">
                  <w:pPr>
                    <w:pStyle w:val="64"/>
                    <w:jc w:val="center"/>
                    <w:rPr>
                      <w:rFonts w:ascii="Times New Roman" w:hAnsi="Times New Roman" w:eastAsia="宋体"/>
                      <w:color w:val="auto"/>
                      <w:lang w:val="zh-CN"/>
                    </w:rPr>
                  </w:pPr>
                </w:p>
              </w:tc>
              <w:tc>
                <w:tcPr>
                  <w:tcW w:w="509" w:type="pct"/>
                  <w:vMerge w:val="continue"/>
                  <w:shd w:val="clear" w:color="auto" w:fill="D7D7D7" w:themeFill="background1" w:themeFillShade="D8"/>
                  <w:vAlign w:val="center"/>
                </w:tcPr>
                <w:p w14:paraId="70A05BC6">
                  <w:pPr>
                    <w:pStyle w:val="64"/>
                    <w:jc w:val="center"/>
                    <w:rPr>
                      <w:rFonts w:ascii="Times New Roman" w:hAnsi="Times New Roman" w:eastAsia="宋体"/>
                      <w:color w:val="auto"/>
                      <w:lang w:val="zh-CN"/>
                    </w:rPr>
                  </w:pPr>
                </w:p>
              </w:tc>
              <w:tc>
                <w:tcPr>
                  <w:tcW w:w="469" w:type="pct"/>
                  <w:shd w:val="clear" w:color="auto" w:fill="D7D7D7" w:themeFill="background1" w:themeFillShade="D8"/>
                  <w:vAlign w:val="center"/>
                </w:tcPr>
                <w:p w14:paraId="080EC2C8">
                  <w:pPr>
                    <w:pStyle w:val="64"/>
                    <w:jc w:val="center"/>
                    <w:rPr>
                      <w:rFonts w:hint="eastAsia" w:ascii="Times New Roman" w:hAnsi="Times New Roman" w:eastAsia="宋体"/>
                      <w:color w:val="auto"/>
                      <w:lang w:val="zh-CN" w:eastAsia="zh-CN"/>
                    </w:rPr>
                  </w:pPr>
                  <w:r>
                    <w:rPr>
                      <w:rFonts w:hint="eastAsia" w:ascii="Times New Roman" w:hAnsi="Times New Roman" w:eastAsia="宋体"/>
                      <w:color w:val="auto"/>
                      <w:lang w:val="en-US" w:eastAsia="zh-CN"/>
                    </w:rPr>
                    <w:t>经度</w:t>
                  </w:r>
                </w:p>
              </w:tc>
              <w:tc>
                <w:tcPr>
                  <w:tcW w:w="458" w:type="pct"/>
                  <w:shd w:val="clear" w:color="auto" w:fill="D7D7D7" w:themeFill="background1" w:themeFillShade="D8"/>
                  <w:vAlign w:val="center"/>
                </w:tcPr>
                <w:p w14:paraId="665A0404">
                  <w:pPr>
                    <w:pStyle w:val="64"/>
                    <w:jc w:val="center"/>
                    <w:rPr>
                      <w:rFonts w:hint="eastAsia" w:ascii="Times New Roman" w:hAnsi="Times New Roman" w:eastAsia="宋体"/>
                      <w:color w:val="auto"/>
                      <w:lang w:val="zh-CN" w:eastAsia="zh-CN"/>
                    </w:rPr>
                  </w:pPr>
                  <w:r>
                    <w:rPr>
                      <w:rFonts w:hint="eastAsia" w:ascii="Times New Roman" w:hAnsi="Times New Roman" w:eastAsia="宋体"/>
                      <w:color w:val="auto"/>
                      <w:lang w:val="en-US" w:eastAsia="zh-CN"/>
                    </w:rPr>
                    <w:t>纬度</w:t>
                  </w:r>
                </w:p>
              </w:tc>
              <w:tc>
                <w:tcPr>
                  <w:tcW w:w="405" w:type="pct"/>
                  <w:vMerge w:val="continue"/>
                  <w:shd w:val="clear" w:color="auto" w:fill="D7D7D7" w:themeFill="background1" w:themeFillShade="D8"/>
                  <w:vAlign w:val="center"/>
                </w:tcPr>
                <w:p w14:paraId="27F83789">
                  <w:pPr>
                    <w:pStyle w:val="64"/>
                    <w:jc w:val="center"/>
                    <w:rPr>
                      <w:rFonts w:ascii="Times New Roman" w:hAnsi="Times New Roman" w:eastAsia="宋体"/>
                      <w:color w:val="auto"/>
                      <w:lang w:val="zh-CN"/>
                    </w:rPr>
                  </w:pPr>
                </w:p>
              </w:tc>
              <w:tc>
                <w:tcPr>
                  <w:tcW w:w="679" w:type="pct"/>
                  <w:vMerge w:val="continue"/>
                  <w:shd w:val="clear" w:color="auto" w:fill="D7D7D7" w:themeFill="background1" w:themeFillShade="D8"/>
                  <w:vAlign w:val="center"/>
                </w:tcPr>
                <w:p w14:paraId="04B1A454">
                  <w:pPr>
                    <w:pStyle w:val="64"/>
                    <w:jc w:val="center"/>
                    <w:rPr>
                      <w:rFonts w:ascii="Times New Roman" w:hAnsi="Times New Roman" w:eastAsia="宋体" w:cs="宋体"/>
                      <w:snapToGrid w:val="0"/>
                      <w:color w:val="auto"/>
                      <w:kern w:val="2"/>
                      <w:sz w:val="21"/>
                      <w:szCs w:val="21"/>
                      <w:lang w:val="zh-CN" w:eastAsia="zh-CN" w:bidi="ar-SA"/>
                    </w:rPr>
                  </w:pPr>
                </w:p>
              </w:tc>
              <w:tc>
                <w:tcPr>
                  <w:tcW w:w="924" w:type="pct"/>
                  <w:vMerge w:val="continue"/>
                  <w:shd w:val="clear" w:color="auto" w:fill="D7D7D7" w:themeFill="background1" w:themeFillShade="D8"/>
                  <w:vAlign w:val="center"/>
                </w:tcPr>
                <w:p w14:paraId="19CF4D5D">
                  <w:pPr>
                    <w:pStyle w:val="64"/>
                    <w:jc w:val="center"/>
                    <w:rPr>
                      <w:rFonts w:ascii="Times New Roman" w:hAnsi="Times New Roman" w:eastAsia="宋体" w:cs="宋体"/>
                      <w:snapToGrid w:val="0"/>
                      <w:color w:val="auto"/>
                      <w:kern w:val="2"/>
                      <w:sz w:val="21"/>
                      <w:szCs w:val="21"/>
                      <w:lang w:val="zh-CN" w:eastAsia="zh-CN" w:bidi="ar-SA"/>
                    </w:rPr>
                  </w:pPr>
                </w:p>
              </w:tc>
              <w:tc>
                <w:tcPr>
                  <w:tcW w:w="1163" w:type="pct"/>
                  <w:vMerge w:val="continue"/>
                  <w:shd w:val="clear" w:color="auto" w:fill="D7D7D7" w:themeFill="background1" w:themeFillShade="D8"/>
                  <w:vAlign w:val="center"/>
                </w:tcPr>
                <w:p w14:paraId="49014A79">
                  <w:pPr>
                    <w:pStyle w:val="64"/>
                    <w:jc w:val="center"/>
                    <w:rPr>
                      <w:rFonts w:ascii="Times New Roman" w:hAnsi="Times New Roman" w:eastAsia="宋体"/>
                      <w:color w:val="auto"/>
                      <w:lang w:val="zh-CN"/>
                    </w:rPr>
                  </w:pPr>
                </w:p>
              </w:tc>
            </w:tr>
            <w:tr w14:paraId="212F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1" w:type="pct"/>
                  <w:shd w:val="clear" w:color="auto" w:fill="auto"/>
                  <w:vAlign w:val="center"/>
                </w:tcPr>
                <w:p w14:paraId="52D0CD2F">
                  <w:pPr>
                    <w:pStyle w:val="64"/>
                    <w:jc w:val="center"/>
                    <w:rPr>
                      <w:rFonts w:hint="eastAsia" w:ascii="Times New Roman" w:hAnsi="Times New Roman" w:eastAsia="宋体"/>
                      <w:color w:val="auto"/>
                      <w:lang w:val="zh-CN" w:eastAsia="zh-CN"/>
                    </w:rPr>
                  </w:pPr>
                  <w:r>
                    <w:rPr>
                      <w:rFonts w:hint="eastAsia" w:ascii="Times New Roman" w:hAnsi="Times New Roman" w:eastAsia="宋体"/>
                      <w:color w:val="auto"/>
                      <w:lang w:val="zh-CN"/>
                    </w:rPr>
                    <w:t>环境空气</w:t>
                  </w:r>
                </w:p>
              </w:tc>
              <w:tc>
                <w:tcPr>
                  <w:tcW w:w="3445" w:type="pct"/>
                  <w:gridSpan w:val="6"/>
                  <w:shd w:val="clear" w:color="auto" w:fill="auto"/>
                  <w:vAlign w:val="center"/>
                </w:tcPr>
                <w:p w14:paraId="26280290">
                  <w:pPr>
                    <w:pStyle w:val="64"/>
                    <w:jc w:val="center"/>
                    <w:rPr>
                      <w:rFonts w:hint="default" w:ascii="Times New Roman" w:hAnsi="Times New Roman" w:eastAsia="宋体" w:cs="宋体"/>
                      <w:snapToGrid w:val="0"/>
                      <w:color w:val="auto"/>
                      <w:kern w:val="2"/>
                      <w:sz w:val="21"/>
                      <w:szCs w:val="21"/>
                      <w:lang w:val="en-US" w:eastAsia="zh-CN" w:bidi="ar-SA"/>
                    </w:rPr>
                  </w:pPr>
                  <w:r>
                    <w:rPr>
                      <w:rFonts w:hint="eastAsia"/>
                      <w:color w:val="auto"/>
                      <w:lang w:val="en-US" w:eastAsia="zh-CN"/>
                    </w:rPr>
                    <w:t>厂界外</w:t>
                  </w:r>
                  <w:r>
                    <w:rPr>
                      <w:rFonts w:hint="default" w:ascii="Times New Roman" w:hAnsi="Times New Roman" w:cs="Times New Roman"/>
                      <w:color w:val="auto"/>
                      <w:lang w:val="en-US" w:eastAsia="zh-CN"/>
                    </w:rPr>
                    <w:t>500m</w:t>
                  </w:r>
                  <w:r>
                    <w:rPr>
                      <w:rFonts w:hint="eastAsia"/>
                      <w:color w:val="auto"/>
                      <w:lang w:val="en-US" w:eastAsia="zh-CN"/>
                    </w:rPr>
                    <w:t>范围内无自然保护区、风景名胜区、居住区、文化区和农村地区中人数较集中的区域</w:t>
                  </w:r>
                </w:p>
              </w:tc>
              <w:tc>
                <w:tcPr>
                  <w:tcW w:w="1163" w:type="pct"/>
                  <w:shd w:val="clear" w:color="auto" w:fill="auto"/>
                  <w:vAlign w:val="center"/>
                </w:tcPr>
                <w:p w14:paraId="4D6CF1F1">
                  <w:pPr>
                    <w:pStyle w:val="64"/>
                    <w:jc w:val="center"/>
                    <w:rPr>
                      <w:rFonts w:ascii="Times New Roman" w:hAnsi="Times New Roman" w:eastAsia="宋体"/>
                      <w:color w:val="auto"/>
                      <w:lang w:val="zh-CN"/>
                    </w:rPr>
                  </w:pPr>
                  <w:r>
                    <w:rPr>
                      <w:rFonts w:ascii="Times New Roman" w:hAnsi="Times New Roman" w:eastAsia="宋体"/>
                      <w:color w:val="auto"/>
                    </w:rPr>
                    <w:t>《环境空气质量标准》（GB3095-20</w:t>
                  </w:r>
                  <w:r>
                    <w:rPr>
                      <w:rFonts w:hint="eastAsia" w:ascii="Times New Roman" w:hAnsi="Times New Roman"/>
                      <w:color w:val="auto"/>
                      <w:lang w:val="en-US" w:eastAsia="zh-CN"/>
                    </w:rPr>
                    <w:t>26</w:t>
                  </w:r>
                  <w:r>
                    <w:rPr>
                      <w:rFonts w:ascii="Times New Roman" w:hAnsi="Times New Roman" w:eastAsia="宋体"/>
                      <w:color w:val="auto"/>
                    </w:rPr>
                    <w:t>）</w:t>
                  </w:r>
                  <w:r>
                    <w:rPr>
                      <w:rFonts w:hint="eastAsia" w:ascii="Times New Roman" w:hAnsi="Times New Roman"/>
                      <w:color w:val="auto"/>
                      <w:lang w:eastAsia="zh-CN"/>
                    </w:rPr>
                    <w:t>中</w:t>
                  </w:r>
                  <w:r>
                    <w:rPr>
                      <w:rFonts w:hint="eastAsia" w:ascii="Times New Roman" w:hAnsi="Times New Roman" w:eastAsia="宋体"/>
                      <w:color w:val="auto"/>
                      <w:lang w:val="en-US" w:eastAsia="zh-CN"/>
                    </w:rPr>
                    <w:t>过渡阶段浓度限值</w:t>
                  </w:r>
                  <w:r>
                    <w:rPr>
                      <w:rFonts w:hint="eastAsia" w:ascii="Times New Roman" w:hAnsi="Times New Roman"/>
                      <w:color w:val="auto"/>
                      <w:lang w:val="en-US" w:eastAsia="zh-CN"/>
                    </w:rPr>
                    <w:t>的</w:t>
                  </w:r>
                  <w:r>
                    <w:rPr>
                      <w:rFonts w:hint="eastAsia" w:ascii="Times New Roman" w:hAnsi="Times New Roman" w:eastAsia="宋体"/>
                      <w:color w:val="auto"/>
                    </w:rPr>
                    <w:t>二类区</w:t>
                  </w:r>
                </w:p>
              </w:tc>
            </w:tr>
            <w:tr w14:paraId="395D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91" w:type="pct"/>
                  <w:shd w:val="clear" w:color="auto" w:fill="auto"/>
                  <w:vAlign w:val="center"/>
                </w:tcPr>
                <w:p w14:paraId="21DEF712">
                  <w:pPr>
                    <w:pStyle w:val="64"/>
                    <w:jc w:val="center"/>
                    <w:rPr>
                      <w:rFonts w:hint="eastAsia" w:ascii="Times New Roman" w:hAnsi="Times New Roman" w:eastAsia="宋体"/>
                      <w:color w:val="auto"/>
                      <w:lang w:val="zh-CN"/>
                    </w:rPr>
                  </w:pPr>
                  <w:r>
                    <w:rPr>
                      <w:rFonts w:hint="eastAsia" w:ascii="Times New Roman" w:hAnsi="Times New Roman"/>
                      <w:color w:val="auto"/>
                      <w:lang w:val="zh-CN"/>
                    </w:rPr>
                    <w:t>声环境</w:t>
                  </w:r>
                </w:p>
              </w:tc>
              <w:tc>
                <w:tcPr>
                  <w:tcW w:w="3445" w:type="pct"/>
                  <w:gridSpan w:val="6"/>
                  <w:shd w:val="clear" w:color="auto" w:fill="auto"/>
                  <w:vAlign w:val="center"/>
                </w:tcPr>
                <w:p w14:paraId="72C9EC5C">
                  <w:pPr>
                    <w:pStyle w:val="64"/>
                    <w:jc w:val="center"/>
                    <w:rPr>
                      <w:rFonts w:hint="eastAsia"/>
                      <w:color w:val="auto"/>
                      <w:lang w:val="en-US" w:eastAsia="zh-CN"/>
                    </w:rPr>
                  </w:pPr>
                  <w:r>
                    <w:rPr>
                      <w:rFonts w:hint="default" w:cs="Times New Roman"/>
                      <w:color w:val="auto"/>
                      <w:szCs w:val="21"/>
                    </w:rPr>
                    <w:t>50m范围内无敏感点</w:t>
                  </w:r>
                </w:p>
              </w:tc>
              <w:tc>
                <w:tcPr>
                  <w:tcW w:w="1163" w:type="pct"/>
                  <w:shd w:val="clear" w:color="auto" w:fill="auto"/>
                  <w:vAlign w:val="center"/>
                </w:tcPr>
                <w:p w14:paraId="703D2B31">
                  <w:pPr>
                    <w:pStyle w:val="64"/>
                    <w:jc w:val="center"/>
                    <w:rPr>
                      <w:rFonts w:ascii="Times New Roman" w:hAnsi="Times New Roman" w:eastAsia="宋体"/>
                      <w:color w:val="auto"/>
                    </w:rPr>
                  </w:pPr>
                  <w:r>
                    <w:rPr>
                      <w:rFonts w:hint="default" w:cs="Times New Roman"/>
                      <w:color w:val="auto"/>
                      <w:szCs w:val="21"/>
                    </w:rPr>
                    <w:t>《声环境质量标准》（</w:t>
                  </w:r>
                  <w:r>
                    <w:rPr>
                      <w:rFonts w:hint="default" w:ascii="Times New Roman" w:hAnsi="Times New Roman" w:eastAsia="宋体"/>
                      <w:color w:val="auto"/>
                    </w:rPr>
                    <w:t>GB3096-2008</w:t>
                  </w:r>
                  <w:r>
                    <w:rPr>
                      <w:rFonts w:hint="default" w:cs="Times New Roman"/>
                      <w:color w:val="auto"/>
                      <w:szCs w:val="21"/>
                    </w:rPr>
                    <w:t>）</w:t>
                  </w:r>
                  <w:r>
                    <w:rPr>
                      <w:rFonts w:hint="default" w:ascii="Times New Roman" w:hAnsi="Times New Roman" w:eastAsia="宋体" w:cs="Times New Roman"/>
                      <w:color w:val="auto"/>
                      <w:szCs w:val="21"/>
                      <w:lang w:val="en-US" w:eastAsia="zh-CN"/>
                    </w:rPr>
                    <w:t>2</w:t>
                  </w:r>
                  <w:r>
                    <w:rPr>
                      <w:rFonts w:hint="default" w:cs="Times New Roman"/>
                      <w:color w:val="auto"/>
                      <w:szCs w:val="21"/>
                    </w:rPr>
                    <w:t>类区标准</w:t>
                  </w:r>
                </w:p>
              </w:tc>
            </w:tr>
            <w:tr w14:paraId="57F9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91" w:type="pct"/>
                  <w:vMerge w:val="restart"/>
                  <w:vAlign w:val="center"/>
                </w:tcPr>
                <w:p w14:paraId="6D45C4D5">
                  <w:pPr>
                    <w:pStyle w:val="64"/>
                    <w:jc w:val="center"/>
                    <w:rPr>
                      <w:rFonts w:hint="eastAsia" w:ascii="Times New Roman" w:hAnsi="Times New Roman" w:eastAsia="宋体"/>
                      <w:color w:val="auto"/>
                      <w:lang w:val="en-US" w:eastAsia="zh-CN"/>
                    </w:rPr>
                  </w:pPr>
                  <w:r>
                    <w:rPr>
                      <w:rFonts w:hint="eastAsia" w:ascii="Times New Roman" w:hAnsi="Times New Roman" w:eastAsia="宋体"/>
                      <w:color w:val="auto"/>
                      <w:lang w:val="zh-CN"/>
                    </w:rPr>
                    <w:t>地</w:t>
                  </w:r>
                  <w:r>
                    <w:rPr>
                      <w:rFonts w:hint="eastAsia" w:ascii="Times New Roman" w:hAnsi="Times New Roman" w:eastAsia="宋体"/>
                      <w:color w:val="auto"/>
                      <w:lang w:val="en-US" w:eastAsia="zh-CN"/>
                    </w:rPr>
                    <w:t>表</w:t>
                  </w:r>
                  <w:r>
                    <w:rPr>
                      <w:rFonts w:hint="eastAsia" w:ascii="Times New Roman" w:hAnsi="Times New Roman" w:eastAsia="宋体"/>
                      <w:color w:val="auto"/>
                      <w:lang w:val="zh-CN"/>
                    </w:rPr>
                    <w:t>水</w:t>
                  </w:r>
                </w:p>
              </w:tc>
              <w:tc>
                <w:tcPr>
                  <w:tcW w:w="509" w:type="pct"/>
                  <w:vAlign w:val="center"/>
                </w:tcPr>
                <w:p w14:paraId="7972AF79">
                  <w:pPr>
                    <w:pStyle w:val="64"/>
                    <w:jc w:val="center"/>
                    <w:rPr>
                      <w:rFonts w:hint="eastAsia" w:ascii="Times New Roman" w:hAnsi="Times New Roman" w:eastAsia="宋体"/>
                      <w:color w:val="auto"/>
                      <w:lang w:eastAsia="zh-CN"/>
                    </w:rPr>
                  </w:pPr>
                  <w:r>
                    <w:rPr>
                      <w:rFonts w:hint="eastAsia" w:ascii="Times New Roman" w:hAnsi="Times New Roman" w:eastAsia="宋体"/>
                      <w:color w:val="auto"/>
                      <w:lang w:val="en-US" w:eastAsia="zh-CN"/>
                    </w:rPr>
                    <w:t>杞麓湖</w:t>
                  </w:r>
                </w:p>
              </w:tc>
              <w:tc>
                <w:tcPr>
                  <w:tcW w:w="469" w:type="pct"/>
                  <w:vAlign w:val="center"/>
                </w:tcPr>
                <w:p w14:paraId="404AE2D9">
                  <w:pPr>
                    <w:pStyle w:val="64"/>
                    <w:jc w:val="center"/>
                    <w:rPr>
                      <w:rFonts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458" w:type="pct"/>
                  <w:vAlign w:val="center"/>
                </w:tcPr>
                <w:p w14:paraId="321946DE">
                  <w:pPr>
                    <w:pStyle w:val="64"/>
                    <w:jc w:val="center"/>
                    <w:rPr>
                      <w:rFonts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405" w:type="pct"/>
                  <w:vAlign w:val="center"/>
                </w:tcPr>
                <w:p w14:paraId="312A176A">
                  <w:pPr>
                    <w:pStyle w:val="64"/>
                    <w:jc w:val="center"/>
                    <w:rPr>
                      <w:rFonts w:hint="default" w:ascii="Times New Roman" w:hAnsi="Times New Roman" w:eastAsia="宋体"/>
                      <w:color w:val="auto"/>
                      <w:kern w:val="0"/>
                      <w:lang w:val="en-US"/>
                    </w:rPr>
                  </w:pPr>
                  <w:r>
                    <w:rPr>
                      <w:rFonts w:hint="eastAsia" w:ascii="Times New Roman" w:hAnsi="Times New Roman"/>
                      <w:color w:val="auto"/>
                      <w:kern w:val="0"/>
                      <w:lang w:val="en-US" w:eastAsia="zh-CN"/>
                    </w:rPr>
                    <w:t>湖泊</w:t>
                  </w:r>
                  <w:r>
                    <w:rPr>
                      <w:rFonts w:hint="eastAsia" w:ascii="Times New Roman" w:hAnsi="Times New Roman" w:eastAsia="宋体"/>
                      <w:color w:val="auto"/>
                      <w:kern w:val="0"/>
                    </w:rPr>
                    <w:t>水质</w:t>
                  </w:r>
                </w:p>
              </w:tc>
              <w:tc>
                <w:tcPr>
                  <w:tcW w:w="679" w:type="pct"/>
                  <w:shd w:val="clear" w:color="auto" w:fill="auto"/>
                  <w:vAlign w:val="center"/>
                </w:tcPr>
                <w:p w14:paraId="63AD7448">
                  <w:pPr>
                    <w:pStyle w:val="64"/>
                    <w:jc w:val="center"/>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color w:val="auto"/>
                      <w:kern w:val="0"/>
                      <w:lang w:val="en-US" w:eastAsia="zh-CN"/>
                    </w:rPr>
                    <w:t>东南</w:t>
                  </w:r>
                </w:p>
              </w:tc>
              <w:tc>
                <w:tcPr>
                  <w:tcW w:w="924" w:type="pct"/>
                  <w:shd w:val="clear" w:color="auto" w:fill="auto"/>
                  <w:vAlign w:val="center"/>
                </w:tcPr>
                <w:p w14:paraId="6C1DB3B2">
                  <w:pPr>
                    <w:pStyle w:val="64"/>
                    <w:jc w:val="center"/>
                    <w:rPr>
                      <w:rFonts w:hint="default" w:ascii="Times New Roman" w:hAnsi="Times New Roman" w:eastAsia="宋体" w:cs="宋体"/>
                      <w:snapToGrid w:val="0"/>
                      <w:color w:val="auto"/>
                      <w:kern w:val="2"/>
                      <w:sz w:val="21"/>
                      <w:szCs w:val="21"/>
                      <w:lang w:val="en-US" w:eastAsia="zh-CN" w:bidi="ar-SA"/>
                    </w:rPr>
                  </w:pPr>
                  <w:r>
                    <w:rPr>
                      <w:rFonts w:hint="eastAsia" w:ascii="Times New Roman" w:hAnsi="Times New Roman"/>
                      <w:color w:val="auto"/>
                      <w:lang w:val="en-US" w:eastAsia="zh-CN"/>
                    </w:rPr>
                    <w:t>4000</w:t>
                  </w:r>
                </w:p>
              </w:tc>
              <w:tc>
                <w:tcPr>
                  <w:tcW w:w="1163" w:type="pct"/>
                  <w:vMerge w:val="restart"/>
                  <w:vAlign w:val="center"/>
                </w:tcPr>
                <w:p w14:paraId="6CFEF238">
                  <w:pPr>
                    <w:pStyle w:val="64"/>
                    <w:jc w:val="center"/>
                    <w:rPr>
                      <w:rFonts w:ascii="Times New Roman" w:hAnsi="Times New Roman" w:eastAsia="宋体"/>
                      <w:color w:val="auto"/>
                    </w:rPr>
                  </w:pPr>
                  <w:r>
                    <w:rPr>
                      <w:rFonts w:ascii="Times New Roman" w:hAnsi="Times New Roman" w:eastAsia="宋体"/>
                      <w:color w:val="auto"/>
                      <w:kern w:val="0"/>
                    </w:rPr>
                    <w:t>《地表水环境质量标准》（GB3838-2002）</w:t>
                  </w:r>
                  <w:r>
                    <w:rPr>
                      <w:rFonts w:hint="eastAsia" w:ascii="Times New Roman" w:hAnsi="Times New Roman" w:eastAsia="宋体"/>
                      <w:color w:val="auto"/>
                      <w:kern w:val="0"/>
                      <w:lang w:val="en-US" w:eastAsia="zh-CN"/>
                    </w:rPr>
                    <w:t>Ⅲ</w:t>
                  </w:r>
                  <w:r>
                    <w:rPr>
                      <w:rFonts w:ascii="Times New Roman" w:hAnsi="Times New Roman" w:eastAsia="宋体"/>
                      <w:color w:val="auto"/>
                      <w:kern w:val="0"/>
                    </w:rPr>
                    <w:t>类</w:t>
                  </w:r>
                </w:p>
              </w:tc>
            </w:tr>
            <w:tr w14:paraId="63BE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91" w:type="pct"/>
                  <w:vMerge w:val="continue"/>
                  <w:vAlign w:val="center"/>
                </w:tcPr>
                <w:p w14:paraId="0287C0FD">
                  <w:pPr>
                    <w:pStyle w:val="64"/>
                    <w:jc w:val="center"/>
                    <w:rPr>
                      <w:rFonts w:hint="eastAsia" w:ascii="Times New Roman" w:hAnsi="Times New Roman" w:eastAsia="宋体"/>
                      <w:color w:val="auto"/>
                      <w:lang w:val="zh-CN"/>
                    </w:rPr>
                  </w:pPr>
                </w:p>
              </w:tc>
              <w:tc>
                <w:tcPr>
                  <w:tcW w:w="509" w:type="pct"/>
                  <w:vAlign w:val="center"/>
                </w:tcPr>
                <w:p w14:paraId="551D16F9">
                  <w:pPr>
                    <w:pStyle w:val="64"/>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米冲水库</w:t>
                  </w:r>
                </w:p>
              </w:tc>
              <w:tc>
                <w:tcPr>
                  <w:tcW w:w="469" w:type="pct"/>
                  <w:vAlign w:val="center"/>
                </w:tcPr>
                <w:p w14:paraId="0A1A8279">
                  <w:pPr>
                    <w:pStyle w:val="64"/>
                    <w:jc w:val="center"/>
                    <w:rPr>
                      <w:rFonts w:hint="eastAsia"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458" w:type="pct"/>
                  <w:vAlign w:val="center"/>
                </w:tcPr>
                <w:p w14:paraId="0C5C2758">
                  <w:pPr>
                    <w:pStyle w:val="64"/>
                    <w:jc w:val="center"/>
                    <w:rPr>
                      <w:rFonts w:hint="eastAsia" w:ascii="Times New Roman" w:hAnsi="Times New Roman" w:eastAsia="宋体"/>
                      <w:color w:val="auto"/>
                      <w:spacing w:val="-4"/>
                      <w:kern w:val="0"/>
                    </w:rPr>
                  </w:pPr>
                  <w:r>
                    <w:rPr>
                      <w:rFonts w:hint="eastAsia" w:ascii="Times New Roman" w:hAnsi="Times New Roman" w:eastAsia="宋体"/>
                      <w:color w:val="auto"/>
                      <w:spacing w:val="-4"/>
                      <w:kern w:val="0"/>
                    </w:rPr>
                    <w:t>——</w:t>
                  </w:r>
                </w:p>
              </w:tc>
              <w:tc>
                <w:tcPr>
                  <w:tcW w:w="405" w:type="pct"/>
                  <w:vAlign w:val="center"/>
                </w:tcPr>
                <w:p w14:paraId="328BD948">
                  <w:pPr>
                    <w:pStyle w:val="64"/>
                    <w:jc w:val="center"/>
                    <w:rPr>
                      <w:rFonts w:hint="eastAsia" w:ascii="Times New Roman" w:hAnsi="Times New Roman"/>
                      <w:color w:val="auto"/>
                      <w:kern w:val="0"/>
                      <w:lang w:val="en-US" w:eastAsia="zh-CN"/>
                    </w:rPr>
                  </w:pPr>
                  <w:r>
                    <w:rPr>
                      <w:rFonts w:hint="eastAsia" w:ascii="Times New Roman" w:hAnsi="Times New Roman"/>
                      <w:color w:val="auto"/>
                      <w:kern w:val="0"/>
                      <w:lang w:val="en-US" w:eastAsia="zh-CN"/>
                    </w:rPr>
                    <w:t>水库水质</w:t>
                  </w:r>
                </w:p>
              </w:tc>
              <w:tc>
                <w:tcPr>
                  <w:tcW w:w="679" w:type="pct"/>
                  <w:shd w:val="clear" w:color="auto" w:fill="auto"/>
                  <w:vAlign w:val="center"/>
                </w:tcPr>
                <w:p w14:paraId="367A8014">
                  <w:pPr>
                    <w:pStyle w:val="64"/>
                    <w:jc w:val="center"/>
                    <w:rPr>
                      <w:rFonts w:hint="eastAsia" w:ascii="Times New Roman" w:hAnsi="Times New Roman"/>
                      <w:color w:val="auto"/>
                      <w:kern w:val="0"/>
                      <w:lang w:val="en-US" w:eastAsia="zh-CN"/>
                    </w:rPr>
                  </w:pPr>
                  <w:r>
                    <w:rPr>
                      <w:rFonts w:hint="eastAsia" w:ascii="Times New Roman" w:hAnsi="Times New Roman"/>
                      <w:color w:val="auto"/>
                      <w:kern w:val="0"/>
                      <w:lang w:val="en-US" w:eastAsia="zh-CN"/>
                    </w:rPr>
                    <w:t>东南</w:t>
                  </w:r>
                </w:p>
              </w:tc>
              <w:tc>
                <w:tcPr>
                  <w:tcW w:w="924" w:type="pct"/>
                  <w:shd w:val="clear" w:color="auto" w:fill="auto"/>
                  <w:vAlign w:val="center"/>
                </w:tcPr>
                <w:p w14:paraId="3D3018E7">
                  <w:pPr>
                    <w:pStyle w:val="64"/>
                    <w:jc w:val="center"/>
                    <w:rPr>
                      <w:rFonts w:hint="default" w:ascii="Times New Roman" w:hAnsi="Times New Roman"/>
                      <w:color w:val="auto"/>
                      <w:lang w:val="en-US" w:eastAsia="zh-CN"/>
                    </w:rPr>
                  </w:pPr>
                  <w:r>
                    <w:rPr>
                      <w:rFonts w:hint="eastAsia" w:ascii="Times New Roman" w:hAnsi="Times New Roman"/>
                      <w:color w:val="auto"/>
                      <w:lang w:val="en-US" w:eastAsia="zh-CN"/>
                    </w:rPr>
                    <w:t>800</w:t>
                  </w:r>
                </w:p>
              </w:tc>
              <w:tc>
                <w:tcPr>
                  <w:tcW w:w="1163" w:type="pct"/>
                  <w:vMerge w:val="continue"/>
                  <w:vAlign w:val="center"/>
                </w:tcPr>
                <w:p w14:paraId="32AC4E30">
                  <w:pPr>
                    <w:pStyle w:val="64"/>
                    <w:jc w:val="center"/>
                    <w:rPr>
                      <w:rFonts w:ascii="Times New Roman" w:hAnsi="Times New Roman" w:eastAsia="宋体"/>
                      <w:color w:val="auto"/>
                      <w:kern w:val="0"/>
                    </w:rPr>
                  </w:pPr>
                </w:p>
              </w:tc>
            </w:tr>
            <w:tr w14:paraId="0B22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391" w:type="pct"/>
                  <w:vMerge w:val="continue"/>
                  <w:vAlign w:val="center"/>
                </w:tcPr>
                <w:p w14:paraId="0A464294">
                  <w:pPr>
                    <w:pStyle w:val="64"/>
                    <w:jc w:val="center"/>
                    <w:rPr>
                      <w:rFonts w:hint="eastAsia" w:ascii="Times New Roman" w:hAnsi="Times New Roman" w:eastAsia="宋体"/>
                      <w:color w:val="auto"/>
                      <w:lang w:val="zh-CN"/>
                    </w:rPr>
                  </w:pPr>
                </w:p>
              </w:tc>
              <w:tc>
                <w:tcPr>
                  <w:tcW w:w="509" w:type="pct"/>
                  <w:vAlign w:val="center"/>
                </w:tcPr>
                <w:p w14:paraId="10E8302D">
                  <w:pPr>
                    <w:pStyle w:val="64"/>
                    <w:jc w:val="center"/>
                    <w:rPr>
                      <w:rFonts w:hint="eastAsia" w:ascii="Times New Roman" w:hAnsi="Times New Roman"/>
                      <w:color w:val="auto"/>
                      <w:lang w:val="en-US" w:eastAsia="zh-CN"/>
                    </w:rPr>
                  </w:pPr>
                  <w:r>
                    <w:rPr>
                      <w:rFonts w:hint="eastAsia" w:ascii="Times New Roman" w:hAnsi="Times New Roman"/>
                      <w:color w:val="auto"/>
                      <w:lang w:val="en-US" w:eastAsia="zh-CN"/>
                    </w:rPr>
                    <w:t>六街大沟</w:t>
                  </w:r>
                </w:p>
              </w:tc>
              <w:tc>
                <w:tcPr>
                  <w:tcW w:w="469" w:type="pct"/>
                  <w:shd w:val="clear" w:color="auto" w:fill="auto"/>
                  <w:vAlign w:val="center"/>
                </w:tcPr>
                <w:p w14:paraId="60DF70F0">
                  <w:pPr>
                    <w:pStyle w:val="64"/>
                    <w:jc w:val="center"/>
                    <w:rPr>
                      <w:rFonts w:hint="eastAsia" w:ascii="Times New Roman" w:hAnsi="Times New Roman" w:eastAsia="宋体" w:cs="宋体"/>
                      <w:snapToGrid w:val="0"/>
                      <w:color w:val="auto"/>
                      <w:spacing w:val="-4"/>
                      <w:kern w:val="0"/>
                      <w:sz w:val="21"/>
                      <w:szCs w:val="21"/>
                      <w:lang w:val="en-US" w:eastAsia="zh-CN" w:bidi="ar-SA"/>
                    </w:rPr>
                  </w:pPr>
                  <w:r>
                    <w:rPr>
                      <w:rFonts w:hint="eastAsia" w:ascii="Times New Roman" w:hAnsi="Times New Roman" w:eastAsia="宋体"/>
                      <w:color w:val="auto"/>
                      <w:spacing w:val="-4"/>
                      <w:kern w:val="0"/>
                    </w:rPr>
                    <w:t>——</w:t>
                  </w:r>
                </w:p>
              </w:tc>
              <w:tc>
                <w:tcPr>
                  <w:tcW w:w="458" w:type="pct"/>
                  <w:shd w:val="clear" w:color="auto" w:fill="auto"/>
                  <w:vAlign w:val="center"/>
                </w:tcPr>
                <w:p w14:paraId="78FA9761">
                  <w:pPr>
                    <w:pStyle w:val="64"/>
                    <w:jc w:val="center"/>
                    <w:rPr>
                      <w:rFonts w:hint="eastAsia" w:ascii="Times New Roman" w:hAnsi="Times New Roman" w:eastAsia="宋体" w:cs="宋体"/>
                      <w:snapToGrid w:val="0"/>
                      <w:color w:val="auto"/>
                      <w:spacing w:val="-4"/>
                      <w:kern w:val="0"/>
                      <w:sz w:val="21"/>
                      <w:szCs w:val="21"/>
                      <w:lang w:val="en-US" w:eastAsia="zh-CN" w:bidi="ar-SA"/>
                    </w:rPr>
                  </w:pPr>
                  <w:r>
                    <w:rPr>
                      <w:rFonts w:hint="eastAsia" w:ascii="Times New Roman" w:hAnsi="Times New Roman" w:eastAsia="宋体"/>
                      <w:color w:val="auto"/>
                      <w:spacing w:val="-4"/>
                      <w:kern w:val="0"/>
                    </w:rPr>
                    <w:t>——</w:t>
                  </w:r>
                </w:p>
              </w:tc>
              <w:tc>
                <w:tcPr>
                  <w:tcW w:w="405" w:type="pct"/>
                  <w:shd w:val="clear" w:color="auto" w:fill="auto"/>
                  <w:vAlign w:val="center"/>
                </w:tcPr>
                <w:p w14:paraId="7CD0FF7B">
                  <w:pPr>
                    <w:pStyle w:val="64"/>
                    <w:jc w:val="center"/>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color w:val="auto"/>
                      <w:kern w:val="0"/>
                      <w:lang w:val="en-US" w:eastAsia="zh-CN"/>
                    </w:rPr>
                    <w:t>河流水质</w:t>
                  </w:r>
                </w:p>
              </w:tc>
              <w:tc>
                <w:tcPr>
                  <w:tcW w:w="679" w:type="pct"/>
                  <w:shd w:val="clear" w:color="auto" w:fill="auto"/>
                  <w:vAlign w:val="center"/>
                </w:tcPr>
                <w:p w14:paraId="574B35C1">
                  <w:pPr>
                    <w:pStyle w:val="64"/>
                    <w:jc w:val="center"/>
                    <w:rPr>
                      <w:rFonts w:hint="eastAsia" w:ascii="Times New Roman" w:hAnsi="Times New Roman" w:eastAsia="宋体" w:cs="宋体"/>
                      <w:snapToGrid w:val="0"/>
                      <w:color w:val="auto"/>
                      <w:kern w:val="0"/>
                      <w:sz w:val="21"/>
                      <w:szCs w:val="21"/>
                      <w:lang w:val="en-US" w:eastAsia="zh-CN" w:bidi="ar-SA"/>
                    </w:rPr>
                  </w:pPr>
                  <w:r>
                    <w:rPr>
                      <w:rFonts w:hint="eastAsia" w:ascii="Times New Roman" w:hAnsi="Times New Roman"/>
                      <w:color w:val="auto"/>
                      <w:kern w:val="0"/>
                      <w:lang w:val="en-US" w:eastAsia="zh-CN"/>
                    </w:rPr>
                    <w:t>东南</w:t>
                  </w:r>
                </w:p>
              </w:tc>
              <w:tc>
                <w:tcPr>
                  <w:tcW w:w="924" w:type="pct"/>
                  <w:shd w:val="clear" w:color="auto" w:fill="auto"/>
                  <w:vAlign w:val="center"/>
                </w:tcPr>
                <w:p w14:paraId="5524C47D">
                  <w:pPr>
                    <w:pStyle w:val="64"/>
                    <w:jc w:val="center"/>
                    <w:rPr>
                      <w:rFonts w:hint="default" w:ascii="Times New Roman" w:hAnsi="Times New Roman" w:eastAsia="宋体" w:cs="宋体"/>
                      <w:snapToGrid w:val="0"/>
                      <w:color w:val="auto"/>
                      <w:kern w:val="2"/>
                      <w:sz w:val="21"/>
                      <w:szCs w:val="21"/>
                      <w:lang w:val="en-US" w:eastAsia="zh-CN" w:bidi="ar-SA"/>
                    </w:rPr>
                  </w:pPr>
                  <w:r>
                    <w:rPr>
                      <w:rFonts w:hint="eastAsia" w:ascii="Times New Roman" w:hAnsi="Times New Roman"/>
                      <w:color w:val="auto"/>
                      <w:lang w:val="en-US" w:eastAsia="zh-CN"/>
                    </w:rPr>
                    <w:t>2160</w:t>
                  </w:r>
                </w:p>
              </w:tc>
              <w:tc>
                <w:tcPr>
                  <w:tcW w:w="1163" w:type="pct"/>
                  <w:vMerge w:val="continue"/>
                  <w:vAlign w:val="center"/>
                </w:tcPr>
                <w:p w14:paraId="7E8F1817">
                  <w:pPr>
                    <w:pStyle w:val="64"/>
                    <w:jc w:val="center"/>
                    <w:rPr>
                      <w:rFonts w:ascii="Times New Roman" w:hAnsi="Times New Roman" w:eastAsia="宋体"/>
                      <w:color w:val="auto"/>
                      <w:kern w:val="0"/>
                    </w:rPr>
                  </w:pPr>
                </w:p>
              </w:tc>
            </w:tr>
            <w:tr w14:paraId="5914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91" w:type="pct"/>
                  <w:vAlign w:val="center"/>
                </w:tcPr>
                <w:p w14:paraId="0D62EE2B">
                  <w:pPr>
                    <w:pStyle w:val="64"/>
                    <w:jc w:val="center"/>
                    <w:rPr>
                      <w:rFonts w:hint="eastAsia" w:ascii="Times New Roman" w:hAnsi="Times New Roman" w:eastAsia="宋体"/>
                      <w:color w:val="auto"/>
                      <w:lang w:val="zh-CN"/>
                    </w:rPr>
                  </w:pPr>
                  <w:r>
                    <w:rPr>
                      <w:rFonts w:hint="eastAsia" w:ascii="Times New Roman" w:hAnsi="Times New Roman"/>
                      <w:color w:val="auto"/>
                      <w:lang w:val="zh-CN"/>
                    </w:rPr>
                    <w:t>地下水</w:t>
                  </w:r>
                </w:p>
              </w:tc>
              <w:tc>
                <w:tcPr>
                  <w:tcW w:w="4608" w:type="pct"/>
                  <w:gridSpan w:val="7"/>
                  <w:vAlign w:val="center"/>
                </w:tcPr>
                <w:p w14:paraId="352AFCEB">
                  <w:pPr>
                    <w:pStyle w:val="64"/>
                    <w:jc w:val="center"/>
                    <w:rPr>
                      <w:rFonts w:ascii="Times New Roman" w:hAnsi="Times New Roman" w:eastAsia="宋体"/>
                      <w:color w:val="auto"/>
                      <w:kern w:val="0"/>
                    </w:rPr>
                  </w:pPr>
                  <w:r>
                    <w:rPr>
                      <w:rFonts w:hint="default" w:ascii="Times New Roman" w:hAnsi="Times New Roman" w:cs="Times New Roman"/>
                      <w:color w:val="auto"/>
                      <w:szCs w:val="21"/>
                    </w:rPr>
                    <w:t>500m</w:t>
                  </w:r>
                  <w:r>
                    <w:rPr>
                      <w:rFonts w:cs="Times New Roman"/>
                      <w:color w:val="auto"/>
                      <w:szCs w:val="21"/>
                    </w:rPr>
                    <w:t>范围内无地下水集中式饮用水水源和热水、矿泉水、温泉等特殊地下水资源</w:t>
                  </w:r>
                </w:p>
              </w:tc>
            </w:tr>
            <w:tr w14:paraId="4860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91" w:type="pct"/>
                  <w:vAlign w:val="center"/>
                </w:tcPr>
                <w:p w14:paraId="7E830809">
                  <w:pPr>
                    <w:pStyle w:val="64"/>
                    <w:jc w:val="center"/>
                    <w:rPr>
                      <w:rFonts w:hint="eastAsia" w:ascii="Times New Roman" w:hAnsi="Times New Roman" w:eastAsia="宋体"/>
                      <w:color w:val="auto"/>
                      <w:lang w:val="zh-CN"/>
                    </w:rPr>
                  </w:pPr>
                  <w:r>
                    <w:rPr>
                      <w:rFonts w:hint="eastAsia" w:ascii="Times New Roman" w:hAnsi="Times New Roman"/>
                      <w:color w:val="auto"/>
                      <w:lang w:val="zh-CN"/>
                    </w:rPr>
                    <w:t>生态</w:t>
                  </w:r>
                </w:p>
              </w:tc>
              <w:tc>
                <w:tcPr>
                  <w:tcW w:w="4608" w:type="pct"/>
                  <w:gridSpan w:val="7"/>
                  <w:vAlign w:val="center"/>
                </w:tcPr>
                <w:p w14:paraId="4D4B6EF5">
                  <w:pPr>
                    <w:pStyle w:val="64"/>
                    <w:jc w:val="center"/>
                    <w:rPr>
                      <w:rFonts w:ascii="Times New Roman" w:hAnsi="Times New Roman" w:eastAsia="宋体"/>
                      <w:color w:val="auto"/>
                      <w:kern w:val="0"/>
                    </w:rPr>
                  </w:pPr>
                  <w:r>
                    <w:rPr>
                      <w:rFonts w:cs="Times New Roman"/>
                      <w:color w:val="auto"/>
                      <w:szCs w:val="21"/>
                    </w:rPr>
                    <w:t>本项目无生态环境保护目标。</w:t>
                  </w:r>
                </w:p>
              </w:tc>
            </w:tr>
          </w:tbl>
          <w:p w14:paraId="4AB8F3B9">
            <w:pPr>
              <w:pStyle w:val="35"/>
              <w:ind w:left="0" w:leftChars="0" w:firstLine="0" w:firstLineChars="0"/>
              <w:rPr>
                <w:rFonts w:ascii="Times New Roman" w:hAnsi="Times New Roman" w:eastAsia="宋体"/>
                <w:color w:val="auto"/>
              </w:rPr>
            </w:pPr>
          </w:p>
        </w:tc>
      </w:tr>
      <w:tr w14:paraId="23C77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30" w:hRule="atLeast"/>
          <w:jc w:val="center"/>
        </w:trPr>
        <w:tc>
          <w:tcPr>
            <w:tcW w:w="487" w:type="dxa"/>
            <w:tcMar>
              <w:left w:w="28" w:type="dxa"/>
              <w:right w:w="28" w:type="dxa"/>
            </w:tcMar>
            <w:vAlign w:val="center"/>
          </w:tcPr>
          <w:p w14:paraId="2D39664A">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污染</w:t>
            </w:r>
          </w:p>
          <w:p w14:paraId="73C9223C">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物排</w:t>
            </w:r>
          </w:p>
          <w:p w14:paraId="1AB6E90B">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放控</w:t>
            </w:r>
          </w:p>
          <w:p w14:paraId="35C0D58C">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制标</w:t>
            </w:r>
          </w:p>
          <w:p w14:paraId="061A471D">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准</w:t>
            </w:r>
          </w:p>
        </w:tc>
        <w:tc>
          <w:tcPr>
            <w:tcW w:w="8500" w:type="dxa"/>
            <w:shd w:val="clear" w:color="auto" w:fill="auto"/>
            <w:vAlign w:val="center"/>
          </w:tcPr>
          <w:p w14:paraId="1E65D7F4">
            <w:pPr>
              <w:spacing w:line="360" w:lineRule="auto"/>
              <w:rPr>
                <w:rFonts w:ascii="Times New Roman" w:hAnsi="Times New Roman" w:eastAsia="宋体"/>
                <w:b/>
                <w:color w:val="auto"/>
                <w:sz w:val="24"/>
              </w:rPr>
            </w:pPr>
            <w:r>
              <w:rPr>
                <w:rFonts w:ascii="Times New Roman" w:hAnsi="Times New Roman" w:eastAsia="宋体"/>
                <w:b/>
                <w:color w:val="auto"/>
                <w:sz w:val="24"/>
              </w:rPr>
              <w:t>1、废气</w:t>
            </w:r>
          </w:p>
          <w:p w14:paraId="2921FD7D">
            <w:pPr>
              <w:adjustRightInd w:val="0"/>
              <w:snapToGrid w:val="0"/>
              <w:spacing w:line="360" w:lineRule="auto"/>
              <w:ind w:firstLine="482" w:firstLineChars="200"/>
              <w:rPr>
                <w:rFonts w:ascii="Times New Roman" w:hAnsi="Times New Roman" w:eastAsia="宋体" w:cs="Times New Roman"/>
                <w:b/>
                <w:bCs/>
                <w:color w:val="auto"/>
                <w:sz w:val="24"/>
                <w:lang w:val="zh-CN"/>
              </w:rPr>
            </w:pPr>
            <w:r>
              <w:rPr>
                <w:rFonts w:ascii="Times New Roman" w:hAnsi="Times New Roman" w:eastAsia="宋体" w:cs="Times New Roman"/>
                <w:b/>
                <w:bCs/>
                <w:color w:val="auto"/>
                <w:sz w:val="24"/>
                <w:lang w:val="zh-CN"/>
              </w:rPr>
              <w:t>（1）施工期</w:t>
            </w:r>
          </w:p>
          <w:p w14:paraId="18066AFF">
            <w:pPr>
              <w:adjustRightInd w:val="0"/>
              <w:snapToGrid w:val="0"/>
              <w:spacing w:line="360" w:lineRule="auto"/>
              <w:ind w:firstLine="480" w:firstLineChars="200"/>
              <w:rPr>
                <w:rFonts w:hint="eastAsia" w:ascii="Times New Roman" w:hAnsi="Times New Roman" w:eastAsia="宋体" w:cs="宋体"/>
                <w:color w:val="auto"/>
                <w:kern w:val="2"/>
                <w:sz w:val="24"/>
                <w:szCs w:val="24"/>
                <w:lang w:val="zh-CN" w:eastAsia="zh-CN" w:bidi="ar-SA"/>
              </w:rPr>
            </w:pPr>
            <w:r>
              <w:rPr>
                <w:rFonts w:hint="eastAsia" w:ascii="Times New Roman" w:hAnsi="Times New Roman" w:eastAsia="宋体" w:cs="宋体"/>
                <w:color w:val="auto"/>
                <w:kern w:val="2"/>
                <w:sz w:val="24"/>
                <w:szCs w:val="24"/>
                <w:lang w:val="zh-CN" w:eastAsia="zh-CN" w:bidi="ar-SA"/>
              </w:rPr>
              <w:t>施工期</w:t>
            </w:r>
            <w:r>
              <w:rPr>
                <w:rFonts w:hint="eastAsia" w:ascii="Times New Roman" w:hAnsi="Times New Roman" w:eastAsia="宋体" w:cs="宋体"/>
                <w:color w:val="auto"/>
                <w:kern w:val="2"/>
                <w:sz w:val="24"/>
                <w:szCs w:val="24"/>
                <w:lang w:val="en-US" w:eastAsia="zh-CN" w:bidi="ar-SA"/>
              </w:rPr>
              <w:t>无组织粉尘排放执行《大气污染物综合排放标准》（GB16297-1996）表2中的二级排放标准中无组织排放监控浓度限值要求详见表3-</w:t>
            </w:r>
            <w:r>
              <w:rPr>
                <w:rFonts w:hint="eastAsia" w:cs="宋体"/>
                <w:color w:val="auto"/>
                <w:kern w:val="2"/>
                <w:sz w:val="24"/>
                <w:szCs w:val="24"/>
                <w:lang w:val="en-US" w:eastAsia="zh-CN" w:bidi="ar-SA"/>
              </w:rPr>
              <w:t>8</w:t>
            </w:r>
            <w:r>
              <w:rPr>
                <w:rFonts w:hint="eastAsia" w:ascii="Times New Roman" w:hAnsi="Times New Roman" w:eastAsia="宋体" w:cs="宋体"/>
                <w:color w:val="auto"/>
                <w:kern w:val="2"/>
                <w:sz w:val="24"/>
                <w:szCs w:val="24"/>
                <w:lang w:val="zh-CN" w:eastAsia="zh-CN" w:bidi="ar-SA"/>
              </w:rPr>
              <w:t>。</w:t>
            </w:r>
          </w:p>
          <w:p w14:paraId="49437029">
            <w:pPr>
              <w:jc w:val="center"/>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w:t>
            </w:r>
            <w:r>
              <w:rPr>
                <w:rFonts w:hint="eastAsia" w:cs="宋体"/>
                <w:b/>
                <w:bCs/>
                <w:color w:val="auto"/>
                <w:spacing w:val="0"/>
                <w:kern w:val="0"/>
                <w:sz w:val="21"/>
                <w:szCs w:val="21"/>
                <w:lang w:val="en-US" w:eastAsia="zh-CN" w:bidi="ar-SA"/>
              </w:rPr>
              <w:t>8</w:t>
            </w:r>
            <w:r>
              <w:rPr>
                <w:rFonts w:hint="eastAsia" w:ascii="Times New Roman" w:hAnsi="Times New Roman" w:eastAsia="宋体" w:cs="宋体"/>
                <w:b/>
                <w:bCs/>
                <w:color w:val="auto"/>
                <w:spacing w:val="0"/>
                <w:kern w:val="0"/>
                <w:sz w:val="21"/>
                <w:szCs w:val="21"/>
                <w:lang w:val="en-US" w:eastAsia="zh-CN" w:bidi="ar-SA"/>
              </w:rPr>
              <w:t xml:space="preserve">  大气污染物综合排放标准 单位mg/m</w:t>
            </w:r>
            <w:r>
              <w:rPr>
                <w:rFonts w:hint="eastAsia" w:ascii="Times New Roman" w:hAnsi="Times New Roman" w:eastAsia="宋体" w:cs="宋体"/>
                <w:b/>
                <w:bCs/>
                <w:color w:val="auto"/>
                <w:spacing w:val="0"/>
                <w:kern w:val="0"/>
                <w:sz w:val="21"/>
                <w:szCs w:val="21"/>
                <w:vertAlign w:val="superscript"/>
                <w:lang w:val="en-US" w:eastAsia="zh-CN" w:bidi="ar-SA"/>
              </w:rPr>
              <w:t>3</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2623"/>
              <w:gridCol w:w="3424"/>
            </w:tblGrid>
            <w:tr w14:paraId="1AF4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345" w:type="pct"/>
                  <w:vMerge w:val="restart"/>
                  <w:shd w:val="clear" w:color="auto" w:fill="D7D7D7" w:themeFill="background1" w:themeFillShade="D8"/>
                  <w:vAlign w:val="center"/>
                </w:tcPr>
                <w:p w14:paraId="3B329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污染物</w:t>
                  </w:r>
                </w:p>
              </w:tc>
              <w:tc>
                <w:tcPr>
                  <w:tcW w:w="3654" w:type="pct"/>
                  <w:gridSpan w:val="2"/>
                  <w:shd w:val="clear" w:color="auto" w:fill="D7D7D7" w:themeFill="background1" w:themeFillShade="D8"/>
                  <w:vAlign w:val="center"/>
                </w:tcPr>
                <w:p w14:paraId="20132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无组织排放监控浓度限值</w:t>
                  </w:r>
                </w:p>
              </w:tc>
            </w:tr>
            <w:tr w14:paraId="33A3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45" w:type="pct"/>
                  <w:vMerge w:val="continue"/>
                  <w:shd w:val="clear" w:color="auto" w:fill="D7D7D7" w:themeFill="background1" w:themeFillShade="D8"/>
                  <w:vAlign w:val="center"/>
                </w:tcPr>
                <w:p w14:paraId="40ECAB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p>
              </w:tc>
              <w:tc>
                <w:tcPr>
                  <w:tcW w:w="1585" w:type="pct"/>
                  <w:shd w:val="clear" w:color="auto" w:fill="D7D7D7" w:themeFill="background1" w:themeFillShade="D8"/>
                  <w:vAlign w:val="center"/>
                </w:tcPr>
                <w:p w14:paraId="52747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监控点</w:t>
                  </w:r>
                </w:p>
              </w:tc>
              <w:tc>
                <w:tcPr>
                  <w:tcW w:w="2069" w:type="pct"/>
                  <w:shd w:val="clear" w:color="auto" w:fill="D7D7D7" w:themeFill="background1" w:themeFillShade="D8"/>
                  <w:vAlign w:val="center"/>
                </w:tcPr>
                <w:p w14:paraId="58B1AF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浓度（mg/m</w:t>
                  </w:r>
                  <w:r>
                    <w:rPr>
                      <w:rFonts w:ascii="Times New Roman" w:hAnsi="Times New Roman" w:eastAsia="宋体" w:cs="Times New Roman"/>
                      <w:color w:val="auto"/>
                      <w:sz w:val="21"/>
                      <w:vertAlign w:val="superscript"/>
                    </w:rPr>
                    <w:t>3</w:t>
                  </w:r>
                  <w:r>
                    <w:rPr>
                      <w:rFonts w:ascii="Times New Roman" w:hAnsi="Times New Roman" w:eastAsia="宋体" w:cs="Times New Roman"/>
                      <w:color w:val="auto"/>
                      <w:sz w:val="21"/>
                    </w:rPr>
                    <w:t>）</w:t>
                  </w:r>
                </w:p>
              </w:tc>
            </w:tr>
            <w:tr w14:paraId="3164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5" w:type="pct"/>
                  <w:shd w:val="clear" w:color="auto" w:fill="auto"/>
                  <w:vAlign w:val="center"/>
                </w:tcPr>
                <w:p w14:paraId="2157B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颗粒物</w:t>
                  </w:r>
                </w:p>
              </w:tc>
              <w:tc>
                <w:tcPr>
                  <w:tcW w:w="1585" w:type="pct"/>
                  <w:shd w:val="clear" w:color="auto" w:fill="auto"/>
                  <w:vAlign w:val="center"/>
                </w:tcPr>
                <w:p w14:paraId="3C977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周界外浓度最高点</w:t>
                  </w:r>
                </w:p>
              </w:tc>
              <w:tc>
                <w:tcPr>
                  <w:tcW w:w="2069" w:type="pct"/>
                  <w:shd w:val="clear" w:color="auto" w:fill="auto"/>
                  <w:vAlign w:val="center"/>
                </w:tcPr>
                <w:p w14:paraId="19F6F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rPr>
                  </w:pPr>
                  <w:r>
                    <w:rPr>
                      <w:rFonts w:ascii="Times New Roman" w:hAnsi="Times New Roman" w:eastAsia="宋体" w:cs="Times New Roman"/>
                      <w:color w:val="auto"/>
                      <w:sz w:val="21"/>
                    </w:rPr>
                    <w:t>1.0</w:t>
                  </w:r>
                </w:p>
              </w:tc>
            </w:tr>
          </w:tbl>
          <w:p w14:paraId="7569C7D8">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2" w:firstLineChars="200"/>
              <w:textAlignment w:val="auto"/>
              <w:rPr>
                <w:rFonts w:ascii="Times New Roman" w:hAnsi="Times New Roman" w:eastAsia="宋体" w:cs="Times New Roman"/>
                <w:b/>
                <w:bCs/>
                <w:color w:val="auto"/>
                <w:sz w:val="24"/>
                <w:lang w:val="zh-CN"/>
              </w:rPr>
            </w:pPr>
            <w:r>
              <w:rPr>
                <w:rFonts w:ascii="Times New Roman" w:hAnsi="Times New Roman" w:eastAsia="宋体" w:cs="Times New Roman"/>
                <w:b/>
                <w:bCs/>
                <w:color w:val="auto"/>
                <w:sz w:val="24"/>
                <w:lang w:val="zh-CN"/>
              </w:rPr>
              <w:t>（2）</w:t>
            </w:r>
            <w:r>
              <w:rPr>
                <w:rFonts w:hint="eastAsia" w:ascii="Times New Roman" w:hAnsi="Times New Roman" w:eastAsia="宋体" w:cs="Times New Roman"/>
                <w:b/>
                <w:bCs/>
                <w:color w:val="auto"/>
                <w:sz w:val="24"/>
                <w:lang w:val="zh-CN"/>
              </w:rPr>
              <w:t>运营</w:t>
            </w:r>
            <w:r>
              <w:rPr>
                <w:rFonts w:ascii="Times New Roman" w:hAnsi="Times New Roman" w:eastAsia="宋体" w:cs="Times New Roman"/>
                <w:b/>
                <w:bCs/>
                <w:color w:val="auto"/>
                <w:sz w:val="24"/>
                <w:lang w:val="zh-CN"/>
              </w:rPr>
              <w:t>期</w:t>
            </w:r>
          </w:p>
          <w:p w14:paraId="4ACB9110">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480" w:firstLineChars="200"/>
              <w:textAlignment w:val="auto"/>
              <w:rPr>
                <w:rFonts w:ascii="Times New Roman" w:hAnsi="Times New Roman"/>
                <w:color w:val="auto"/>
                <w:kern w:val="0"/>
                <w:sz w:val="24"/>
              </w:rPr>
            </w:pP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生产过程中焊接及切割产生的废气主要为颗粒物</w:t>
            </w:r>
            <w:r>
              <w:rPr>
                <w:rFonts w:hint="eastAsia" w:ascii="Times New Roman" w:hAnsi="Times New Roman" w:eastAsia="宋体"/>
                <w:color w:val="auto"/>
                <w:sz w:val="24"/>
              </w:rPr>
              <w:t>，</w:t>
            </w:r>
            <w:r>
              <w:rPr>
                <w:rFonts w:hint="eastAsia" w:ascii="Times New Roman"/>
                <w:color w:val="auto"/>
                <w:kern w:val="0"/>
                <w:sz w:val="24"/>
                <w:lang w:val="en-US" w:eastAsia="zh-CN"/>
              </w:rPr>
              <w:t>经集气罩+烟尘净化除尘器处理后无组织排放到厂房内，不设有组织废气排放口，厂界无组织颗粒物</w:t>
            </w:r>
            <w:r>
              <w:rPr>
                <w:rFonts w:ascii="Times New Roman"/>
                <w:color w:val="auto"/>
                <w:kern w:val="0"/>
                <w:sz w:val="24"/>
              </w:rPr>
              <w:t>执行</w:t>
            </w:r>
            <w:r>
              <w:rPr>
                <w:rFonts w:hint="default" w:ascii="Times New Roman" w:hAnsi="Times New Roman" w:eastAsia="宋体" w:cs="Times New Roman"/>
                <w:bCs/>
                <w:color w:val="auto"/>
                <w:sz w:val="24"/>
                <w:highlight w:val="none"/>
              </w:rPr>
              <w:t>《大气污染物综合排放标准》（GB16297-1996）表2中</w:t>
            </w:r>
            <w:r>
              <w:rPr>
                <w:rFonts w:hint="default" w:ascii="Times New Roman" w:hAnsi="Times New Roman" w:eastAsia="宋体" w:cs="Times New Roman"/>
                <w:bCs/>
                <w:color w:val="auto"/>
                <w:sz w:val="24"/>
                <w:highlight w:val="none"/>
                <w:lang w:val="en-US" w:eastAsia="zh-CN"/>
              </w:rPr>
              <w:t>无组织排放监控浓度限值</w:t>
            </w:r>
            <w:r>
              <w:rPr>
                <w:rFonts w:ascii="Times New Roman"/>
                <w:color w:val="auto"/>
                <w:kern w:val="0"/>
                <w:sz w:val="24"/>
              </w:rPr>
              <w:t>，标准限值详见下表。</w:t>
            </w:r>
          </w:p>
          <w:p w14:paraId="471A8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olor w:val="auto"/>
                <w:sz w:val="24"/>
              </w:rPr>
            </w:pPr>
            <w:r>
              <w:rPr>
                <w:rFonts w:hint="eastAsia" w:ascii="Times New Roman"/>
                <w:b/>
                <w:color w:val="auto"/>
                <w:kern w:val="0"/>
                <w:szCs w:val="21"/>
              </w:rPr>
              <w:t>表3-</w:t>
            </w:r>
            <w:r>
              <w:rPr>
                <w:rFonts w:hint="eastAsia" w:ascii="Times New Roman"/>
                <w:b/>
                <w:color w:val="auto"/>
                <w:kern w:val="0"/>
                <w:szCs w:val="21"/>
                <w:lang w:val="en-US" w:eastAsia="zh-CN"/>
              </w:rPr>
              <w:t xml:space="preserve">9   </w:t>
            </w:r>
            <w:r>
              <w:rPr>
                <w:rFonts w:hint="eastAsia" w:ascii="Times New Roman"/>
                <w:b/>
                <w:color w:val="auto"/>
                <w:kern w:val="0"/>
                <w:szCs w:val="21"/>
              </w:rPr>
              <w:t>大气污染物无组织排放限值</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962"/>
              <w:gridCol w:w="1848"/>
              <w:gridCol w:w="3098"/>
            </w:tblGrid>
            <w:tr w14:paraId="2939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3" w:type="dxa"/>
                  <w:vMerge w:val="restart"/>
                  <w:shd w:val="clear" w:color="auto" w:fill="D7D7D7" w:themeFill="background1" w:themeFillShade="D8"/>
                  <w:noWrap w:val="0"/>
                  <w:vAlign w:val="center"/>
                </w:tcPr>
                <w:p w14:paraId="72AE4B8F">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w:t>
                  </w:r>
                </w:p>
              </w:tc>
              <w:tc>
                <w:tcPr>
                  <w:tcW w:w="4129" w:type="dxa"/>
                  <w:gridSpan w:val="2"/>
                  <w:shd w:val="clear" w:color="auto" w:fill="D7D7D7" w:themeFill="background1" w:themeFillShade="D8"/>
                  <w:noWrap w:val="0"/>
                  <w:vAlign w:val="center"/>
                </w:tcPr>
                <w:p w14:paraId="72132AF6">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无组织排放监控浓度值</w:t>
                  </w:r>
                </w:p>
              </w:tc>
              <w:tc>
                <w:tcPr>
                  <w:tcW w:w="3266" w:type="dxa"/>
                  <w:vMerge w:val="restart"/>
                  <w:shd w:val="clear" w:color="auto" w:fill="D7D7D7" w:themeFill="background1" w:themeFillShade="D8"/>
                  <w:noWrap w:val="0"/>
                  <w:vAlign w:val="center"/>
                </w:tcPr>
                <w:p w14:paraId="3B113ADF">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来源</w:t>
                  </w:r>
                </w:p>
              </w:tc>
            </w:tr>
            <w:tr w14:paraId="3BC6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03" w:type="dxa"/>
                  <w:vMerge w:val="continue"/>
                  <w:shd w:val="clear" w:color="auto" w:fill="D7D7D7" w:themeFill="background1" w:themeFillShade="D8"/>
                  <w:noWrap w:val="0"/>
                  <w:vAlign w:val="center"/>
                </w:tcPr>
                <w:p w14:paraId="37743EBE">
                  <w:pPr>
                    <w:adjustRightInd w:val="0"/>
                    <w:snapToGrid w:val="0"/>
                    <w:jc w:val="center"/>
                    <w:rPr>
                      <w:rFonts w:hint="default" w:ascii="Times New Roman" w:hAnsi="Times New Roman" w:eastAsia="宋体" w:cs="Times New Roman"/>
                      <w:bCs/>
                      <w:color w:val="auto"/>
                      <w:sz w:val="21"/>
                      <w:szCs w:val="21"/>
                    </w:rPr>
                  </w:pPr>
                </w:p>
              </w:tc>
              <w:tc>
                <w:tcPr>
                  <w:tcW w:w="2186" w:type="dxa"/>
                  <w:shd w:val="clear" w:color="auto" w:fill="D7D7D7" w:themeFill="background1" w:themeFillShade="D8"/>
                  <w:noWrap w:val="0"/>
                  <w:vAlign w:val="center"/>
                </w:tcPr>
                <w:p w14:paraId="408FFD9D">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监控点</w:t>
                  </w:r>
                </w:p>
              </w:tc>
              <w:tc>
                <w:tcPr>
                  <w:tcW w:w="1943" w:type="dxa"/>
                  <w:shd w:val="clear" w:color="auto" w:fill="D7D7D7" w:themeFill="background1" w:themeFillShade="D8"/>
                  <w:noWrap w:val="0"/>
                  <w:vAlign w:val="center"/>
                </w:tcPr>
                <w:p w14:paraId="308959BD">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浓度（mg/m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w:t>
                  </w:r>
                </w:p>
              </w:tc>
              <w:tc>
                <w:tcPr>
                  <w:tcW w:w="3266" w:type="dxa"/>
                  <w:vMerge w:val="continue"/>
                  <w:shd w:val="clear" w:color="auto" w:fill="D7D7D7" w:themeFill="background1" w:themeFillShade="D8"/>
                  <w:noWrap w:val="0"/>
                  <w:vAlign w:val="center"/>
                </w:tcPr>
                <w:p w14:paraId="5C7851BD">
                  <w:pPr>
                    <w:adjustRightInd w:val="0"/>
                    <w:snapToGrid w:val="0"/>
                    <w:jc w:val="center"/>
                    <w:rPr>
                      <w:rFonts w:hint="default" w:ascii="Times New Roman" w:hAnsi="Times New Roman" w:eastAsia="宋体" w:cs="Times New Roman"/>
                      <w:bCs/>
                      <w:color w:val="auto"/>
                      <w:sz w:val="21"/>
                      <w:szCs w:val="21"/>
                    </w:rPr>
                  </w:pPr>
                </w:p>
              </w:tc>
            </w:tr>
            <w:tr w14:paraId="3E6B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3" w:type="dxa"/>
                  <w:noWrap w:val="0"/>
                  <w:vAlign w:val="center"/>
                </w:tcPr>
                <w:p w14:paraId="4547590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2186" w:type="dxa"/>
                  <w:noWrap w:val="0"/>
                  <w:vAlign w:val="center"/>
                </w:tcPr>
                <w:p w14:paraId="0D604B77">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周界外浓度最高点</w:t>
                  </w:r>
                </w:p>
              </w:tc>
              <w:tc>
                <w:tcPr>
                  <w:tcW w:w="1943" w:type="dxa"/>
                  <w:noWrap w:val="0"/>
                  <w:vAlign w:val="center"/>
                </w:tcPr>
                <w:p w14:paraId="144240F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3266" w:type="dxa"/>
                  <w:noWrap w:val="0"/>
                  <w:vAlign w:val="center"/>
                </w:tcPr>
                <w:p w14:paraId="45999604">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《大气污染物综合排放标准》（GB16297-1996）</w:t>
                  </w:r>
                </w:p>
              </w:tc>
            </w:tr>
          </w:tbl>
          <w:p w14:paraId="316EA6B3">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2、废水</w:t>
            </w:r>
          </w:p>
          <w:p w14:paraId="7CFDDC3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sz w:val="24"/>
                <w:lang w:val="zh-CN"/>
              </w:rPr>
            </w:pPr>
            <w:r>
              <w:rPr>
                <w:rFonts w:ascii="Times New Roman" w:hAnsi="Times New Roman" w:eastAsia="宋体" w:cs="Times New Roman"/>
                <w:b/>
                <w:bCs/>
                <w:color w:val="auto"/>
                <w:sz w:val="24"/>
                <w:lang w:val="zh-CN"/>
              </w:rPr>
              <w:t>（1）施工期</w:t>
            </w:r>
          </w:p>
          <w:p w14:paraId="31F63D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lang w:val="zh-CN"/>
              </w:rPr>
            </w:pPr>
            <w:r>
              <w:rPr>
                <w:rFonts w:hint="eastAsia" w:ascii="Times New Roman" w:hAnsi="Times New Roman" w:eastAsia="宋体" w:cs="宋体"/>
                <w:color w:val="auto"/>
                <w:sz w:val="24"/>
              </w:rPr>
              <w:t>施工期废水主要为施工人员盥洗废水，</w:t>
            </w:r>
            <w:r>
              <w:rPr>
                <w:rFonts w:hint="eastAsia" w:ascii="Times New Roman" w:hAnsi="Times New Roman" w:eastAsia="宋体" w:cs="宋体"/>
                <w:color w:val="auto"/>
                <w:sz w:val="24"/>
                <w:lang w:val="en-US" w:eastAsia="zh-CN"/>
              </w:rPr>
              <w:t>厂区内现有</w:t>
            </w:r>
            <w:r>
              <w:rPr>
                <w:rFonts w:hint="eastAsia" w:ascii="Times New Roman" w:hAnsi="Times New Roman" w:eastAsia="宋体" w:cs="宋体"/>
                <w:color w:val="auto"/>
                <w:sz w:val="24"/>
              </w:rPr>
              <w:t>化粪池处理，</w:t>
            </w:r>
            <w:r>
              <w:rPr>
                <w:rFonts w:hint="eastAsia" w:ascii="Times New Roman" w:hAnsi="Times New Roman" w:eastAsia="宋体" w:cs="宋体"/>
                <w:color w:val="auto"/>
                <w:sz w:val="24"/>
                <w:lang w:val="en-US" w:eastAsia="zh-CN"/>
              </w:rPr>
              <w:t>利用罐车拉运至纳古镇污水处理站处理</w:t>
            </w:r>
            <w:r>
              <w:rPr>
                <w:rFonts w:hint="eastAsia" w:ascii="Times New Roman" w:hAnsi="Times New Roman" w:eastAsia="宋体" w:cs="Times New Roman"/>
                <w:color w:val="auto"/>
                <w:sz w:val="24"/>
                <w:lang w:val="zh-CN"/>
              </w:rPr>
              <w:t>。</w:t>
            </w:r>
          </w:p>
          <w:p w14:paraId="4E973DF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bCs/>
                <w:color w:val="auto"/>
                <w:sz w:val="24"/>
                <w:lang w:val="zh-CN"/>
              </w:rPr>
            </w:pPr>
            <w:r>
              <w:rPr>
                <w:rFonts w:ascii="Times New Roman" w:hAnsi="Times New Roman" w:eastAsia="宋体" w:cs="Times New Roman"/>
                <w:b/>
                <w:bCs/>
                <w:color w:val="auto"/>
                <w:sz w:val="24"/>
                <w:lang w:val="zh-CN"/>
              </w:rPr>
              <w:t>（2）</w:t>
            </w:r>
            <w:r>
              <w:rPr>
                <w:rFonts w:hint="eastAsia" w:ascii="Times New Roman" w:hAnsi="Times New Roman" w:eastAsia="宋体" w:cs="Times New Roman"/>
                <w:b/>
                <w:bCs/>
                <w:color w:val="auto"/>
                <w:sz w:val="24"/>
                <w:lang w:val="zh-CN"/>
              </w:rPr>
              <w:t>运营</w:t>
            </w:r>
            <w:r>
              <w:rPr>
                <w:rFonts w:ascii="Times New Roman" w:hAnsi="Times New Roman" w:eastAsia="宋体" w:cs="Times New Roman"/>
                <w:b/>
                <w:bCs/>
                <w:color w:val="auto"/>
                <w:sz w:val="24"/>
                <w:lang w:val="zh-CN"/>
              </w:rPr>
              <w:t>期</w:t>
            </w:r>
          </w:p>
          <w:p w14:paraId="7C1E92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rPr>
            </w:pPr>
            <w:r>
              <w:rPr>
                <w:rFonts w:hint="eastAsia" w:ascii="Times New Roman" w:hAnsi="Times New Roman" w:eastAsia="宋体" w:cs="宋体"/>
                <w:color w:val="auto"/>
                <w:sz w:val="24"/>
                <w:lang w:val="en-US" w:eastAsia="zh-CN"/>
              </w:rPr>
              <w:t>项</w:t>
            </w:r>
            <w:r>
              <w:rPr>
                <w:rFonts w:hint="eastAsia" w:ascii="Times New Roman" w:hAnsi="Times New Roman" w:eastAsia="宋体" w:cs="宋体"/>
                <w:color w:val="auto"/>
                <w:sz w:val="24"/>
              </w:rPr>
              <w:t>目实行雨污分流，项目厂房顶雨水经厂房墙壁上雨水管道收集后排入厂房四周设置的雨水明沟</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lang w:val="en-US" w:eastAsia="zh-CN"/>
              </w:rPr>
              <w:t>进入周边</w:t>
            </w:r>
            <w:r>
              <w:rPr>
                <w:rFonts w:hint="eastAsia" w:ascii="Times New Roman" w:hAnsi="Times New Roman" w:eastAsia="宋体" w:cs="宋体"/>
                <w:color w:val="auto"/>
                <w:sz w:val="24"/>
              </w:rPr>
              <w:t>雨水管网。</w:t>
            </w:r>
          </w:p>
          <w:p w14:paraId="39991125">
            <w:pPr>
              <w:keepNext w:val="0"/>
              <w:keepLines w:val="0"/>
              <w:pageBreakBefore w:val="0"/>
              <w:widowControl w:val="0"/>
              <w:kinsoku/>
              <w:wordWrap/>
              <w:overflowPunct/>
              <w:topLinePunct w:val="0"/>
              <w:autoSpaceDE/>
              <w:autoSpaceDN/>
              <w:bidi w:val="0"/>
              <w:adjustRightInd w:val="0"/>
              <w:snapToGrid w:val="0"/>
              <w:spacing w:before="160" w:beforeLines="50" w:line="360" w:lineRule="auto"/>
              <w:ind w:firstLine="480" w:firstLineChars="200"/>
              <w:textAlignment w:val="auto"/>
              <w:rPr>
                <w:rFonts w:hint="eastAsia" w:ascii="宋体" w:hAnsi="宋体" w:eastAsia="宋体" w:cs="宋体"/>
                <w:color w:val="auto"/>
                <w:sz w:val="24"/>
                <w:lang w:eastAsia="zh-CN"/>
              </w:rPr>
            </w:pPr>
            <w:r>
              <w:rPr>
                <w:rFonts w:hint="eastAsia" w:ascii="Times New Roman" w:hAnsi="Times New Roman" w:eastAsia="宋体" w:cs="宋体"/>
                <w:color w:val="auto"/>
                <w:sz w:val="24"/>
                <w:lang w:val="en-US" w:eastAsia="zh-CN"/>
              </w:rPr>
              <w:t>本项目生产废水为冷却废水，处理后循环使用，不外排。生活污水经现有化粪池处理后，利用罐车拉运至纳古镇污水处理站处理，属于间接排放。出水水质参考</w:t>
            </w:r>
            <w:r>
              <w:rPr>
                <w:rFonts w:hint="eastAsia"/>
                <w:color w:val="auto"/>
                <w:sz w:val="24"/>
                <w:szCs w:val="24"/>
                <w:lang w:eastAsia="zh-CN"/>
              </w:rPr>
              <w:t>《污水综合排放标准》（GB8978-1996）表4三级标准</w:t>
            </w:r>
            <w:r>
              <w:rPr>
                <w:rFonts w:hint="eastAsia"/>
                <w:color w:val="auto"/>
                <w:sz w:val="24"/>
                <w:szCs w:val="24"/>
              </w:rPr>
              <w:t>后</w:t>
            </w:r>
            <w:r>
              <w:rPr>
                <w:rFonts w:hint="eastAsia"/>
                <w:color w:val="auto"/>
                <w:sz w:val="24"/>
                <w:szCs w:val="24"/>
                <w:lang w:eastAsia="zh-CN"/>
              </w:rPr>
              <w:t>，</w:t>
            </w:r>
            <w:r>
              <w:rPr>
                <w:rFonts w:hint="eastAsia"/>
                <w:color w:val="auto"/>
                <w:sz w:val="24"/>
                <w:lang w:eastAsia="zh-CN"/>
              </w:rPr>
              <w:t>并满足氨氮、总磷指标</w:t>
            </w:r>
            <w:r>
              <w:rPr>
                <w:rFonts w:hint="eastAsia"/>
                <w:color w:val="auto"/>
                <w:sz w:val="24"/>
                <w:szCs w:val="24"/>
                <w:lang w:val="en-US" w:eastAsia="zh-CN"/>
              </w:rPr>
              <w:t>符合</w:t>
            </w:r>
            <w:r>
              <w:rPr>
                <w:rFonts w:hint="eastAsia"/>
                <w:color w:val="auto"/>
                <w:sz w:val="24"/>
                <w:lang w:eastAsia="zh-CN"/>
              </w:rPr>
              <w:t>《污水排入城镇下水道水质标准》（GB/T 31962—2015）表1（B）级标准</w:t>
            </w:r>
            <w:r>
              <w:rPr>
                <w:rFonts w:hint="eastAsia" w:ascii="宋体" w:hAnsi="宋体" w:eastAsia="宋体" w:cs="宋体"/>
                <w:color w:val="auto"/>
                <w:sz w:val="24"/>
                <w:lang w:val="en-US" w:eastAsia="zh-CN"/>
              </w:rPr>
              <w:t>，其</w:t>
            </w:r>
            <w:r>
              <w:rPr>
                <w:rFonts w:hint="eastAsia" w:ascii="宋体" w:hAnsi="宋体" w:eastAsia="宋体" w:cs="宋体"/>
                <w:color w:val="auto"/>
                <w:sz w:val="24"/>
              </w:rPr>
              <w:t>标准限值详见下表</w:t>
            </w:r>
            <w:r>
              <w:rPr>
                <w:rFonts w:hint="eastAsia" w:ascii="宋体" w:hAnsi="宋体" w:eastAsia="宋体" w:cs="宋体"/>
                <w:color w:val="auto"/>
                <w:sz w:val="24"/>
                <w:lang w:eastAsia="zh-CN"/>
              </w:rPr>
              <w:t>。</w:t>
            </w:r>
          </w:p>
          <w:p w14:paraId="0140E83C">
            <w:pPr>
              <w:jc w:val="center"/>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w:t>
            </w:r>
            <w:r>
              <w:rPr>
                <w:rFonts w:hint="eastAsia" w:cs="宋体"/>
                <w:b/>
                <w:bCs/>
                <w:color w:val="auto"/>
                <w:spacing w:val="0"/>
                <w:kern w:val="0"/>
                <w:sz w:val="21"/>
                <w:szCs w:val="21"/>
                <w:lang w:val="en-US" w:eastAsia="zh-CN" w:bidi="ar-SA"/>
              </w:rPr>
              <w:t>10</w:t>
            </w:r>
            <w:r>
              <w:rPr>
                <w:rFonts w:hint="eastAsia" w:ascii="Times New Roman" w:hAnsi="Times New Roman" w:eastAsia="宋体" w:cs="宋体"/>
                <w:b/>
                <w:bCs/>
                <w:color w:val="auto"/>
                <w:spacing w:val="0"/>
                <w:kern w:val="0"/>
                <w:sz w:val="21"/>
                <w:szCs w:val="21"/>
                <w:lang w:val="en-US" w:eastAsia="zh-CN" w:bidi="ar-SA"/>
              </w:rPr>
              <w:t xml:space="preserve"> 项目废水进入纳古镇污水处理站排放标准限值（mg/L）</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143"/>
              <w:gridCol w:w="2686"/>
              <w:gridCol w:w="2686"/>
            </w:tblGrid>
            <w:tr w14:paraId="500C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shd w:val="clear" w:color="auto" w:fill="D7D7D7"/>
                  <w:noWrap w:val="0"/>
                  <w:vAlign w:val="center"/>
                </w:tcPr>
                <w:p w14:paraId="25AEA0E9">
                  <w:pPr>
                    <w:tabs>
                      <w:tab w:val="left" w:pos="1809"/>
                    </w:tabs>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序号</w:t>
                  </w:r>
                </w:p>
              </w:tc>
              <w:tc>
                <w:tcPr>
                  <w:tcW w:w="1295" w:type="pct"/>
                  <w:shd w:val="clear" w:color="auto" w:fill="D7D7D7"/>
                  <w:noWrap w:val="0"/>
                  <w:vAlign w:val="center"/>
                </w:tcPr>
                <w:p w14:paraId="35C7043C">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项目</w:t>
                  </w:r>
                </w:p>
              </w:tc>
              <w:tc>
                <w:tcPr>
                  <w:tcW w:w="1623" w:type="pct"/>
                  <w:shd w:val="clear" w:color="auto" w:fill="D7D7D7"/>
                  <w:noWrap w:val="0"/>
                  <w:vAlign w:val="center"/>
                </w:tcPr>
                <w:p w14:paraId="75ACC59D">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《污水综合排放标准》（GB8978-1996）表4三级标准</w:t>
                  </w:r>
                </w:p>
              </w:tc>
              <w:tc>
                <w:tcPr>
                  <w:tcW w:w="1623" w:type="pct"/>
                  <w:shd w:val="clear" w:color="auto" w:fill="D7D7D7"/>
                  <w:noWrap w:val="0"/>
                  <w:vAlign w:val="center"/>
                </w:tcPr>
                <w:p w14:paraId="3E2EF933">
                  <w:pPr>
                    <w:tabs>
                      <w:tab w:val="left" w:pos="1809"/>
                    </w:tabs>
                    <w:adjustRightInd w:val="0"/>
                    <w:snapToGrid w:val="0"/>
                    <w:spacing w:line="240" w:lineRule="auto"/>
                    <w:ind w:firstLine="0" w:firstLineChars="0"/>
                    <w:jc w:val="center"/>
                    <w:rPr>
                      <w:rFonts w:hint="eastAsia"/>
                      <w:color w:val="auto"/>
                      <w:sz w:val="21"/>
                      <w:szCs w:val="21"/>
                    </w:rPr>
                  </w:pPr>
                  <w:r>
                    <w:rPr>
                      <w:rFonts w:hint="eastAsia"/>
                      <w:color w:val="auto"/>
                      <w:sz w:val="21"/>
                      <w:szCs w:val="21"/>
                    </w:rPr>
                    <w:t>《污水排入城镇下水道水质标准》（GB/T 31962—2015）表1（B）级</w:t>
                  </w:r>
                </w:p>
              </w:tc>
            </w:tr>
            <w:tr w14:paraId="7DF9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5CC564EE">
                  <w:pPr>
                    <w:tabs>
                      <w:tab w:val="left" w:pos="1809"/>
                    </w:tabs>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1295" w:type="pct"/>
                  <w:noWrap w:val="0"/>
                  <w:vAlign w:val="center"/>
                </w:tcPr>
                <w:p w14:paraId="69FD9E08">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pH</w:t>
                  </w:r>
                </w:p>
              </w:tc>
              <w:tc>
                <w:tcPr>
                  <w:tcW w:w="1623" w:type="pct"/>
                  <w:noWrap w:val="0"/>
                  <w:vAlign w:val="center"/>
                </w:tcPr>
                <w:p w14:paraId="4E59F427">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6～9</w:t>
                  </w:r>
                </w:p>
              </w:tc>
              <w:tc>
                <w:tcPr>
                  <w:tcW w:w="1623" w:type="pct"/>
                  <w:noWrap w:val="0"/>
                  <w:vAlign w:val="center"/>
                </w:tcPr>
                <w:p w14:paraId="5AC0B3D9">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r>
            <w:tr w14:paraId="4686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2E3150A5">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w:t>
                  </w:r>
                </w:p>
              </w:tc>
              <w:tc>
                <w:tcPr>
                  <w:tcW w:w="1295" w:type="pct"/>
                  <w:noWrap w:val="0"/>
                  <w:vAlign w:val="center"/>
                </w:tcPr>
                <w:p w14:paraId="3188CDC1">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COD</w:t>
                  </w:r>
                </w:p>
              </w:tc>
              <w:tc>
                <w:tcPr>
                  <w:tcW w:w="1623" w:type="pct"/>
                  <w:noWrap w:val="0"/>
                  <w:vAlign w:val="center"/>
                </w:tcPr>
                <w:p w14:paraId="65CE268E">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500</w:t>
                  </w:r>
                </w:p>
              </w:tc>
              <w:tc>
                <w:tcPr>
                  <w:tcW w:w="1623" w:type="pct"/>
                  <w:noWrap w:val="0"/>
                  <w:vAlign w:val="center"/>
                </w:tcPr>
                <w:p w14:paraId="7EEA98B6">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r>
            <w:tr w14:paraId="24A5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0428566B">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w:t>
                  </w:r>
                </w:p>
              </w:tc>
              <w:tc>
                <w:tcPr>
                  <w:tcW w:w="1295" w:type="pct"/>
                  <w:noWrap w:val="0"/>
                  <w:vAlign w:val="center"/>
                </w:tcPr>
                <w:p w14:paraId="456CF8B6">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1623" w:type="pct"/>
                  <w:noWrap w:val="0"/>
                  <w:vAlign w:val="center"/>
                </w:tcPr>
                <w:p w14:paraId="62334EC0">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300</w:t>
                  </w:r>
                </w:p>
              </w:tc>
              <w:tc>
                <w:tcPr>
                  <w:tcW w:w="1623" w:type="pct"/>
                  <w:noWrap w:val="0"/>
                  <w:vAlign w:val="center"/>
                </w:tcPr>
                <w:p w14:paraId="3D8BE9CA">
                  <w:pPr>
                    <w:tabs>
                      <w:tab w:val="left" w:pos="1809"/>
                    </w:tabs>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r w14:paraId="3C5F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4188B333">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w:t>
                  </w:r>
                </w:p>
              </w:tc>
              <w:tc>
                <w:tcPr>
                  <w:tcW w:w="1295" w:type="pct"/>
                  <w:noWrap w:val="0"/>
                  <w:vAlign w:val="center"/>
                </w:tcPr>
                <w:p w14:paraId="00BBEC71">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SS</w:t>
                  </w:r>
                </w:p>
              </w:tc>
              <w:tc>
                <w:tcPr>
                  <w:tcW w:w="1623" w:type="pct"/>
                  <w:noWrap w:val="0"/>
                  <w:vAlign w:val="center"/>
                </w:tcPr>
                <w:p w14:paraId="2E6538C3">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400</w:t>
                  </w:r>
                </w:p>
              </w:tc>
              <w:tc>
                <w:tcPr>
                  <w:tcW w:w="1623" w:type="pct"/>
                  <w:noWrap w:val="0"/>
                  <w:vAlign w:val="center"/>
                </w:tcPr>
                <w:p w14:paraId="5E3C0151">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r>
            <w:tr w14:paraId="0345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0098069B">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w:t>
                  </w:r>
                </w:p>
              </w:tc>
              <w:tc>
                <w:tcPr>
                  <w:tcW w:w="1295" w:type="pct"/>
                  <w:noWrap w:val="0"/>
                  <w:vAlign w:val="center"/>
                </w:tcPr>
                <w:p w14:paraId="437CFF30">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rPr>
                    <w:t>氨氮（以N计）</w:t>
                  </w:r>
                </w:p>
              </w:tc>
              <w:tc>
                <w:tcPr>
                  <w:tcW w:w="1623" w:type="pct"/>
                  <w:noWrap w:val="0"/>
                  <w:vAlign w:val="center"/>
                </w:tcPr>
                <w:p w14:paraId="37BE8768">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c>
                <w:tcPr>
                  <w:tcW w:w="1623" w:type="pct"/>
                  <w:noWrap w:val="0"/>
                  <w:vAlign w:val="center"/>
                </w:tcPr>
                <w:p w14:paraId="09E2FF30">
                  <w:pPr>
                    <w:tabs>
                      <w:tab w:val="left" w:pos="1809"/>
                    </w:tabs>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45</w:t>
                  </w:r>
                </w:p>
              </w:tc>
            </w:tr>
            <w:tr w14:paraId="0F7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2C546D1A">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6</w:t>
                  </w:r>
                </w:p>
              </w:tc>
              <w:tc>
                <w:tcPr>
                  <w:tcW w:w="1295" w:type="pct"/>
                  <w:noWrap w:val="0"/>
                  <w:vAlign w:val="center"/>
                </w:tcPr>
                <w:p w14:paraId="7A84E231">
                  <w:pPr>
                    <w:tabs>
                      <w:tab w:val="left" w:pos="1809"/>
                    </w:tabs>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磷酸盐</w:t>
                  </w:r>
                  <w:r>
                    <w:rPr>
                      <w:rFonts w:hint="eastAsia"/>
                      <w:color w:val="auto"/>
                      <w:sz w:val="21"/>
                      <w:szCs w:val="21"/>
                    </w:rPr>
                    <w:t>（以P计）</w:t>
                  </w:r>
                </w:p>
              </w:tc>
              <w:tc>
                <w:tcPr>
                  <w:tcW w:w="1623" w:type="pct"/>
                  <w:noWrap w:val="0"/>
                  <w:vAlign w:val="center"/>
                </w:tcPr>
                <w:p w14:paraId="45AC1778">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p>
              </w:tc>
              <w:tc>
                <w:tcPr>
                  <w:tcW w:w="1623" w:type="pct"/>
                  <w:noWrap w:val="0"/>
                  <w:vAlign w:val="center"/>
                </w:tcPr>
                <w:p w14:paraId="1C832122">
                  <w:pPr>
                    <w:tabs>
                      <w:tab w:val="left" w:pos="1809"/>
                    </w:tabs>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8</w:t>
                  </w:r>
                </w:p>
              </w:tc>
            </w:tr>
            <w:tr w14:paraId="03ED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14:paraId="060F91D8">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w:t>
                  </w:r>
                </w:p>
              </w:tc>
              <w:tc>
                <w:tcPr>
                  <w:tcW w:w="1295" w:type="pct"/>
                  <w:noWrap w:val="0"/>
                  <w:vAlign w:val="center"/>
                </w:tcPr>
                <w:p w14:paraId="0E076622">
                  <w:pPr>
                    <w:tabs>
                      <w:tab w:val="left" w:pos="1809"/>
                    </w:tabs>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阴离子表面活性剂</w:t>
                  </w:r>
                </w:p>
              </w:tc>
              <w:tc>
                <w:tcPr>
                  <w:tcW w:w="1623" w:type="pct"/>
                  <w:noWrap w:val="0"/>
                  <w:vAlign w:val="center"/>
                </w:tcPr>
                <w:p w14:paraId="65AFC258">
                  <w:pPr>
                    <w:tabs>
                      <w:tab w:val="left" w:pos="1809"/>
                    </w:tabs>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1623" w:type="pct"/>
                  <w:noWrap w:val="0"/>
                  <w:vAlign w:val="center"/>
                </w:tcPr>
                <w:p w14:paraId="4519D913">
                  <w:pPr>
                    <w:tabs>
                      <w:tab w:val="left" w:pos="1809"/>
                    </w:tabs>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w:t>
                  </w:r>
                </w:p>
              </w:tc>
            </w:tr>
          </w:tbl>
          <w:p w14:paraId="73277281">
            <w:pPr>
              <w:keepNext w:val="0"/>
              <w:keepLines w:val="0"/>
              <w:pageBreakBefore w:val="0"/>
              <w:widowControl w:val="0"/>
              <w:kinsoku/>
              <w:wordWrap/>
              <w:overflowPunct/>
              <w:topLinePunct w:val="0"/>
              <w:autoSpaceDE/>
              <w:autoSpaceDN/>
              <w:bidi w:val="0"/>
              <w:adjustRightInd w:val="0"/>
              <w:snapToGrid w:val="0"/>
              <w:spacing w:before="160" w:beforeLines="50" w:line="360" w:lineRule="auto"/>
              <w:textAlignment w:val="auto"/>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3</w:t>
            </w:r>
            <w:r>
              <w:rPr>
                <w:rFonts w:ascii="Times New Roman" w:hAnsi="Times New Roman" w:eastAsia="宋体" w:cs="Times New Roman"/>
                <w:b/>
                <w:color w:val="auto"/>
                <w:sz w:val="24"/>
                <w:szCs w:val="24"/>
              </w:rPr>
              <w:t>、噪声</w:t>
            </w:r>
          </w:p>
          <w:p w14:paraId="2A47622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（1）施工期</w:t>
            </w:r>
          </w:p>
          <w:p w14:paraId="4197E8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本项目施工期噪声执行《建筑施工噪声排放标准》(GB12523-20</w:t>
            </w:r>
            <w:r>
              <w:rPr>
                <w:rFonts w:hint="eastAsia" w:cs="宋体"/>
                <w:color w:val="auto"/>
                <w:sz w:val="24"/>
                <w:lang w:val="en-US" w:eastAsia="zh-CN"/>
              </w:rPr>
              <w:t>25</w:t>
            </w:r>
            <w:r>
              <w:rPr>
                <w:rFonts w:hint="eastAsia" w:ascii="Times New Roman" w:hAnsi="Times New Roman" w:eastAsia="宋体" w:cs="宋体"/>
                <w:color w:val="auto"/>
                <w:sz w:val="24"/>
                <w:lang w:eastAsia="zh-CN"/>
              </w:rPr>
              <w:t>)标准值，具体见表</w:t>
            </w:r>
            <w:r>
              <w:rPr>
                <w:rFonts w:hint="eastAsia" w:ascii="Times New Roman" w:hAnsi="Times New Roman" w:eastAsia="宋体" w:cs="宋体"/>
                <w:color w:val="auto"/>
                <w:sz w:val="24"/>
                <w:lang w:val="en-US" w:eastAsia="zh-CN"/>
              </w:rPr>
              <w:t>3</w:t>
            </w:r>
            <w:r>
              <w:rPr>
                <w:rFonts w:hint="eastAsia" w:ascii="Times New Roman" w:hAnsi="Times New Roman" w:eastAsia="宋体" w:cs="宋体"/>
                <w:color w:val="auto"/>
                <w:sz w:val="24"/>
                <w:lang w:eastAsia="zh-CN"/>
              </w:rPr>
              <w:t>-1</w:t>
            </w:r>
            <w:r>
              <w:rPr>
                <w:rFonts w:hint="eastAsia" w:cs="宋体"/>
                <w:color w:val="auto"/>
                <w:sz w:val="24"/>
                <w:lang w:val="en-US" w:eastAsia="zh-CN"/>
              </w:rPr>
              <w:t>1</w:t>
            </w:r>
            <w:r>
              <w:rPr>
                <w:rFonts w:hint="eastAsia" w:ascii="Times New Roman" w:hAnsi="Times New Roman" w:eastAsia="宋体" w:cs="宋体"/>
                <w:color w:val="auto"/>
                <w:sz w:val="24"/>
                <w:lang w:eastAsia="zh-CN"/>
              </w:rPr>
              <w:t>。</w:t>
            </w:r>
          </w:p>
          <w:p w14:paraId="6F0B5C0D">
            <w:pPr>
              <w:pStyle w:val="32"/>
              <w:bidi w:val="0"/>
              <w:rPr>
                <w:rFonts w:hint="eastAsia"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表3-1</w:t>
            </w:r>
            <w:r>
              <w:rPr>
                <w:rFonts w:hint="eastAsia" w:cs="宋体"/>
                <w:b/>
                <w:bCs/>
                <w:color w:val="auto"/>
                <w:spacing w:val="0"/>
                <w:kern w:val="0"/>
                <w:sz w:val="21"/>
                <w:szCs w:val="21"/>
                <w:lang w:val="en-US" w:eastAsia="zh-CN" w:bidi="ar-SA"/>
              </w:rPr>
              <w:t>1</w:t>
            </w:r>
            <w:r>
              <w:rPr>
                <w:rFonts w:hint="eastAsia" w:ascii="Times New Roman" w:hAnsi="Times New Roman" w:eastAsia="宋体" w:cs="宋体"/>
                <w:b/>
                <w:bCs/>
                <w:color w:val="auto"/>
                <w:spacing w:val="0"/>
                <w:kern w:val="0"/>
                <w:sz w:val="21"/>
                <w:szCs w:val="21"/>
                <w:lang w:val="en-US" w:eastAsia="zh-CN" w:bidi="ar-SA"/>
              </w:rPr>
              <w:t xml:space="preserve"> 建筑施工场界环境噪声排放标准 单位：dB(A)</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3"/>
              <w:gridCol w:w="4069"/>
            </w:tblGrid>
            <w:tr w14:paraId="505F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pct"/>
                  <w:shd w:val="clear" w:color="auto" w:fill="D7D7D7" w:themeFill="background1" w:themeFillShade="D8"/>
                </w:tcPr>
                <w:p w14:paraId="063E0E1F">
                  <w:pPr>
                    <w:pStyle w:val="31"/>
                    <w:bidi w:val="0"/>
                    <w:rPr>
                      <w:rFonts w:hint="eastAsia" w:eastAsia="宋体"/>
                      <w:color w:val="auto"/>
                      <w:vertAlign w:val="baseline"/>
                      <w:lang w:eastAsia="zh-CN"/>
                    </w:rPr>
                  </w:pPr>
                  <w:r>
                    <w:rPr>
                      <w:rFonts w:hint="eastAsia"/>
                      <w:color w:val="auto"/>
                      <w:vertAlign w:val="baseline"/>
                      <w:lang w:eastAsia="zh-CN"/>
                    </w:rPr>
                    <w:t>昼间</w:t>
                  </w:r>
                </w:p>
              </w:tc>
              <w:tc>
                <w:tcPr>
                  <w:tcW w:w="2459" w:type="pct"/>
                  <w:shd w:val="clear" w:color="auto" w:fill="D7D7D7" w:themeFill="background1" w:themeFillShade="D8"/>
                </w:tcPr>
                <w:p w14:paraId="747B02DA">
                  <w:pPr>
                    <w:pStyle w:val="31"/>
                    <w:bidi w:val="0"/>
                    <w:rPr>
                      <w:rFonts w:hint="eastAsia" w:eastAsia="宋体"/>
                      <w:color w:val="auto"/>
                      <w:vertAlign w:val="baseline"/>
                      <w:lang w:eastAsia="zh-CN"/>
                    </w:rPr>
                  </w:pPr>
                  <w:r>
                    <w:rPr>
                      <w:rFonts w:hint="eastAsia"/>
                      <w:color w:val="auto"/>
                      <w:vertAlign w:val="baseline"/>
                      <w:lang w:eastAsia="zh-CN"/>
                    </w:rPr>
                    <w:t>夜间</w:t>
                  </w:r>
                </w:p>
              </w:tc>
            </w:tr>
            <w:tr w14:paraId="0BA3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0" w:type="pct"/>
                </w:tcPr>
                <w:p w14:paraId="30422ACD">
                  <w:pPr>
                    <w:pStyle w:val="31"/>
                    <w:bidi w:val="0"/>
                    <w:rPr>
                      <w:rFonts w:hint="default" w:eastAsia="宋体"/>
                      <w:color w:val="auto"/>
                      <w:vertAlign w:val="baseline"/>
                      <w:lang w:val="en-US" w:eastAsia="zh-CN"/>
                    </w:rPr>
                  </w:pPr>
                  <w:r>
                    <w:rPr>
                      <w:rFonts w:hint="eastAsia"/>
                      <w:color w:val="auto"/>
                      <w:vertAlign w:val="baseline"/>
                      <w:lang w:val="en-US" w:eastAsia="zh-CN"/>
                    </w:rPr>
                    <w:t>70</w:t>
                  </w:r>
                </w:p>
              </w:tc>
              <w:tc>
                <w:tcPr>
                  <w:tcW w:w="2459" w:type="pct"/>
                </w:tcPr>
                <w:p w14:paraId="430B1B70">
                  <w:pPr>
                    <w:pStyle w:val="31"/>
                    <w:bidi w:val="0"/>
                    <w:rPr>
                      <w:rFonts w:hint="default" w:eastAsia="宋体"/>
                      <w:color w:val="auto"/>
                      <w:vertAlign w:val="baseline"/>
                      <w:lang w:val="en-US" w:eastAsia="zh-CN"/>
                    </w:rPr>
                  </w:pPr>
                  <w:r>
                    <w:rPr>
                      <w:rFonts w:hint="eastAsia"/>
                      <w:color w:val="auto"/>
                      <w:vertAlign w:val="baseline"/>
                      <w:lang w:val="en-US" w:eastAsia="zh-CN"/>
                    </w:rPr>
                    <w:t>55</w:t>
                  </w:r>
                </w:p>
              </w:tc>
            </w:tr>
          </w:tbl>
          <w:p w14:paraId="5275D4B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（2）运营期</w:t>
            </w:r>
          </w:p>
          <w:p w14:paraId="44B23B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auto"/>
                <w:sz w:val="24"/>
                <w:lang w:eastAsia="zh-CN"/>
              </w:rPr>
            </w:pPr>
            <w:r>
              <w:rPr>
                <w:rFonts w:hint="eastAsia" w:ascii="Times New Roman" w:hAnsi="Times New Roman" w:eastAsia="宋体" w:cs="宋体"/>
                <w:color w:val="auto"/>
                <w:sz w:val="24"/>
                <w:lang w:eastAsia="zh-CN"/>
              </w:rPr>
              <w:t>本项目运营期噪声执行《工业企业厂界环境噪声排放标准》（GB12348-2008）2类标准。</w:t>
            </w:r>
          </w:p>
          <w:p w14:paraId="16786B02">
            <w:pPr>
              <w:pStyle w:val="32"/>
              <w:bidi w:val="0"/>
              <w:rPr>
                <w:rFonts w:hint="default" w:ascii="Times New Roman" w:hAnsi="Times New Roman" w:eastAsia="宋体" w:cs="宋体"/>
                <w:b/>
                <w:bCs/>
                <w:color w:val="auto"/>
                <w:spacing w:val="0"/>
                <w:kern w:val="0"/>
                <w:sz w:val="21"/>
                <w:szCs w:val="21"/>
                <w:lang w:val="en-US" w:eastAsia="zh-CN" w:bidi="ar-SA"/>
              </w:rPr>
            </w:pPr>
            <w:r>
              <w:rPr>
                <w:rFonts w:hint="eastAsia" w:ascii="Times New Roman" w:hAnsi="Times New Roman" w:eastAsia="宋体" w:cs="宋体"/>
                <w:b/>
                <w:bCs/>
                <w:color w:val="auto"/>
                <w:spacing w:val="0"/>
                <w:kern w:val="0"/>
                <w:sz w:val="21"/>
                <w:szCs w:val="21"/>
                <w:lang w:val="en-US" w:eastAsia="zh-CN" w:bidi="ar-SA"/>
              </w:rPr>
              <w:t>表3-1</w:t>
            </w:r>
            <w:r>
              <w:rPr>
                <w:rFonts w:hint="eastAsia" w:cs="宋体"/>
                <w:b/>
                <w:bCs/>
                <w:color w:val="auto"/>
                <w:spacing w:val="0"/>
                <w:kern w:val="0"/>
                <w:sz w:val="21"/>
                <w:szCs w:val="21"/>
                <w:lang w:val="en-US" w:eastAsia="zh-CN" w:bidi="ar-SA"/>
              </w:rPr>
              <w:t>2</w:t>
            </w:r>
            <w:r>
              <w:rPr>
                <w:rFonts w:hint="eastAsia" w:ascii="Times New Roman" w:hAnsi="Times New Roman" w:eastAsia="宋体" w:cs="宋体"/>
                <w:b/>
                <w:bCs/>
                <w:color w:val="auto"/>
                <w:spacing w:val="0"/>
                <w:kern w:val="0"/>
                <w:sz w:val="21"/>
                <w:szCs w:val="21"/>
                <w:lang w:val="en-US" w:eastAsia="zh-CN" w:bidi="ar-SA"/>
              </w:rPr>
              <w:t xml:space="preserve"> 工业企业厂界环境噪声排放标准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4327"/>
              <w:gridCol w:w="1294"/>
              <w:gridCol w:w="1135"/>
            </w:tblGrid>
            <w:tr w14:paraId="07C2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restart"/>
                  <w:shd w:val="clear" w:color="auto" w:fill="D7D7D7" w:themeFill="background1" w:themeFillShade="D8"/>
                  <w:vAlign w:val="center"/>
                </w:tcPr>
                <w:p w14:paraId="090CA308">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类别</w:t>
                  </w:r>
                </w:p>
              </w:tc>
              <w:tc>
                <w:tcPr>
                  <w:tcW w:w="2615" w:type="pct"/>
                  <w:vMerge w:val="restart"/>
                  <w:shd w:val="clear" w:color="auto" w:fill="D7D7D7" w:themeFill="background1" w:themeFillShade="D8"/>
                  <w:vAlign w:val="center"/>
                </w:tcPr>
                <w:p w14:paraId="44D715D0">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适用区域</w:t>
                  </w:r>
                </w:p>
              </w:tc>
              <w:tc>
                <w:tcPr>
                  <w:tcW w:w="1468" w:type="pct"/>
                  <w:gridSpan w:val="2"/>
                  <w:shd w:val="clear" w:color="auto" w:fill="D7D7D7" w:themeFill="background1" w:themeFillShade="D8"/>
                  <w:vAlign w:val="center"/>
                </w:tcPr>
                <w:p w14:paraId="0A6CB757">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等效声级[dB(A)]</w:t>
                  </w:r>
                </w:p>
              </w:tc>
            </w:tr>
            <w:tr w14:paraId="2777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vMerge w:val="continue"/>
                  <w:shd w:val="clear" w:color="auto" w:fill="D7D7D7" w:themeFill="background1" w:themeFillShade="D8"/>
                  <w:vAlign w:val="center"/>
                </w:tcPr>
                <w:p w14:paraId="3FFFBA09">
                  <w:pPr>
                    <w:adjustRightInd/>
                    <w:spacing w:line="240" w:lineRule="auto"/>
                    <w:ind w:firstLine="0" w:firstLineChars="0"/>
                    <w:jc w:val="center"/>
                    <w:rPr>
                      <w:rFonts w:ascii="Times New Roman" w:hAnsi="Times New Roman" w:eastAsia="宋体" w:cs="Times New Roman"/>
                      <w:color w:val="auto"/>
                      <w:sz w:val="21"/>
                      <w:szCs w:val="21"/>
                    </w:rPr>
                  </w:pPr>
                </w:p>
              </w:tc>
              <w:tc>
                <w:tcPr>
                  <w:tcW w:w="2615" w:type="pct"/>
                  <w:vMerge w:val="continue"/>
                  <w:shd w:val="clear" w:color="auto" w:fill="D7D7D7" w:themeFill="background1" w:themeFillShade="D8"/>
                  <w:vAlign w:val="center"/>
                </w:tcPr>
                <w:p w14:paraId="5090C170">
                  <w:pPr>
                    <w:adjustRightInd/>
                    <w:spacing w:line="240" w:lineRule="auto"/>
                    <w:ind w:firstLine="0" w:firstLineChars="0"/>
                    <w:jc w:val="center"/>
                    <w:rPr>
                      <w:rFonts w:ascii="Times New Roman" w:hAnsi="Times New Roman" w:eastAsia="宋体" w:cs="Times New Roman"/>
                      <w:color w:val="auto"/>
                      <w:sz w:val="21"/>
                      <w:szCs w:val="21"/>
                    </w:rPr>
                  </w:pPr>
                </w:p>
              </w:tc>
              <w:tc>
                <w:tcPr>
                  <w:tcW w:w="782" w:type="pct"/>
                  <w:shd w:val="clear" w:color="auto" w:fill="D7D7D7" w:themeFill="background1" w:themeFillShade="D8"/>
                  <w:vAlign w:val="center"/>
                </w:tcPr>
                <w:p w14:paraId="5C59BB2E">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昼间</w:t>
                  </w:r>
                </w:p>
              </w:tc>
              <w:tc>
                <w:tcPr>
                  <w:tcW w:w="685" w:type="pct"/>
                  <w:shd w:val="clear" w:color="auto" w:fill="D7D7D7" w:themeFill="background1" w:themeFillShade="D8"/>
                  <w:vAlign w:val="center"/>
                </w:tcPr>
                <w:p w14:paraId="796EB736">
                  <w:pPr>
                    <w:adjustRightIn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夜间</w:t>
                  </w:r>
                </w:p>
              </w:tc>
            </w:tr>
            <w:tr w14:paraId="06FE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pct"/>
                  <w:shd w:val="clear" w:color="auto" w:fill="auto"/>
                  <w:vAlign w:val="center"/>
                </w:tcPr>
                <w:p w14:paraId="328A458D">
                  <w:pPr>
                    <w:adjustRightInd/>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rPr>
                    <w:t>类</w:t>
                  </w:r>
                </w:p>
              </w:tc>
              <w:tc>
                <w:tcPr>
                  <w:tcW w:w="2615" w:type="pct"/>
                  <w:shd w:val="clear" w:color="auto" w:fill="auto"/>
                  <w:vAlign w:val="center"/>
                </w:tcPr>
                <w:p w14:paraId="7D9B1161">
                  <w:pPr>
                    <w:adjustRightInd/>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项目东、南、</w:t>
                  </w:r>
                  <w:r>
                    <w:rPr>
                      <w:rFonts w:hint="eastAsia" w:ascii="Times New Roman" w:hAnsi="Times New Roman" w:eastAsia="宋体" w:cs="Times New Roman"/>
                      <w:color w:val="auto"/>
                      <w:sz w:val="21"/>
                      <w:szCs w:val="21"/>
                      <w:lang w:val="en-US" w:eastAsia="zh-CN"/>
                    </w:rPr>
                    <w:t>西、北</w:t>
                  </w:r>
                  <w:r>
                    <w:rPr>
                      <w:rFonts w:hint="eastAsia" w:ascii="Times New Roman" w:hAnsi="Times New Roman" w:eastAsia="宋体" w:cs="Times New Roman"/>
                      <w:color w:val="auto"/>
                      <w:sz w:val="21"/>
                      <w:szCs w:val="21"/>
                    </w:rPr>
                    <w:t>场界</w:t>
                  </w:r>
                </w:p>
              </w:tc>
              <w:tc>
                <w:tcPr>
                  <w:tcW w:w="782" w:type="pct"/>
                  <w:shd w:val="clear" w:color="auto" w:fill="auto"/>
                  <w:vAlign w:val="center"/>
                </w:tcPr>
                <w:p w14:paraId="40F6AA4D">
                  <w:pPr>
                    <w:adjustRightIn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685" w:type="pct"/>
                  <w:shd w:val="clear" w:color="auto" w:fill="auto"/>
                  <w:vAlign w:val="center"/>
                </w:tcPr>
                <w:p w14:paraId="51F033BF">
                  <w:pPr>
                    <w:adjustRightIn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bl>
          <w:p w14:paraId="6FB21B2A">
            <w:pPr>
              <w:keepNext w:val="0"/>
              <w:keepLines w:val="0"/>
              <w:pageBreakBefore w:val="0"/>
              <w:widowControl w:val="0"/>
              <w:kinsoku/>
              <w:wordWrap/>
              <w:overflowPunct/>
              <w:topLinePunct w:val="0"/>
              <w:autoSpaceDE/>
              <w:autoSpaceDN/>
              <w:bidi w:val="0"/>
              <w:adjustRightInd w:val="0"/>
              <w:snapToGrid w:val="0"/>
              <w:spacing w:before="163" w:beforeLines="50" w:line="360" w:lineRule="auto"/>
              <w:ind w:firstLine="0" w:firstLineChars="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4、固废</w:t>
            </w:r>
          </w:p>
          <w:p w14:paraId="028D78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zh-CN"/>
              </w:rPr>
            </w:pPr>
            <w:r>
              <w:rPr>
                <w:rFonts w:hint="eastAsia" w:ascii="Times New Roman" w:hAnsi="Times New Roman" w:eastAsia="宋体" w:cs="宋体"/>
                <w:color w:val="auto"/>
                <w:sz w:val="24"/>
                <w:lang w:val="zh-CN" w:eastAsia="zh-CN"/>
              </w:rPr>
              <w:t>危险废物暂存执行《危险废物贮存污染控制标准》（GB18597-2023）；危险废物台账执行《危险废物管理计划和管理台账制定技术导则》（HJ1259-2022）。</w:t>
            </w:r>
          </w:p>
        </w:tc>
      </w:tr>
      <w:tr w14:paraId="25899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7" w:type="dxa"/>
            <w:shd w:val="clear" w:color="auto" w:fill="auto"/>
            <w:tcMar>
              <w:left w:w="28" w:type="dxa"/>
              <w:right w:w="28" w:type="dxa"/>
            </w:tcMar>
            <w:vAlign w:val="center"/>
          </w:tcPr>
          <w:p w14:paraId="0FE956B2">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总量</w:t>
            </w:r>
          </w:p>
          <w:p w14:paraId="7D5DF6E4">
            <w:pPr>
              <w:adjustRightInd w:val="0"/>
              <w:snapToGrid w:val="0"/>
              <w:jc w:val="center"/>
              <w:rPr>
                <w:rFonts w:ascii="Times New Roman" w:hAnsi="Times New Roman" w:eastAsia="宋体"/>
                <w:b/>
                <w:bCs/>
                <w:color w:val="auto"/>
                <w:kern w:val="0"/>
                <w:sz w:val="24"/>
              </w:rPr>
            </w:pPr>
            <w:r>
              <w:rPr>
                <w:rFonts w:ascii="Times New Roman" w:hAnsi="Times New Roman" w:eastAsia="宋体"/>
                <w:b/>
                <w:bCs/>
                <w:color w:val="auto"/>
                <w:kern w:val="0"/>
                <w:sz w:val="24"/>
              </w:rPr>
              <w:t>控制</w:t>
            </w:r>
          </w:p>
          <w:p w14:paraId="0307A6AE">
            <w:pPr>
              <w:adjustRightInd w:val="0"/>
              <w:snapToGrid w:val="0"/>
              <w:jc w:val="center"/>
              <w:rPr>
                <w:rFonts w:ascii="Times New Roman" w:hAnsi="Times New Roman" w:eastAsia="宋体" w:cs="Times New Roman"/>
                <w:b/>
                <w:bCs/>
                <w:color w:val="auto"/>
                <w:kern w:val="0"/>
                <w:sz w:val="24"/>
                <w:szCs w:val="24"/>
                <w:lang w:val="en-US" w:eastAsia="zh-CN" w:bidi="ar-SA"/>
              </w:rPr>
            </w:pPr>
            <w:r>
              <w:rPr>
                <w:rFonts w:ascii="Times New Roman" w:hAnsi="Times New Roman" w:eastAsia="宋体"/>
                <w:b/>
                <w:bCs/>
                <w:color w:val="auto"/>
                <w:kern w:val="0"/>
                <w:sz w:val="24"/>
              </w:rPr>
              <w:t>指标</w:t>
            </w:r>
          </w:p>
        </w:tc>
        <w:tc>
          <w:tcPr>
            <w:tcW w:w="8500" w:type="dxa"/>
            <w:shd w:val="clear" w:color="auto" w:fill="auto"/>
            <w:vAlign w:val="top"/>
          </w:tcPr>
          <w:p w14:paraId="3DFECD8D">
            <w:pPr>
              <w:spacing w:line="360" w:lineRule="auto"/>
              <w:ind w:firstLine="482"/>
              <w:jc w:val="both"/>
              <w:rPr>
                <w:rFonts w:hint="eastAsia" w:ascii="Times New Roman" w:hAnsi="Times New Roman" w:eastAsia="宋体"/>
                <w:bCs/>
                <w:color w:val="auto"/>
                <w:sz w:val="24"/>
              </w:rPr>
            </w:pPr>
            <w:r>
              <w:rPr>
                <w:rFonts w:hint="eastAsia" w:ascii="Times New Roman" w:hAnsi="Times New Roman" w:eastAsia="宋体"/>
                <w:bCs/>
                <w:color w:val="auto"/>
                <w:sz w:val="24"/>
              </w:rPr>
              <w:t>根据本工程的具体情况，结合国家污染物排放总量控制原则，总量指标如下：</w:t>
            </w:r>
          </w:p>
          <w:p w14:paraId="0EC6900C">
            <w:pPr>
              <w:spacing w:line="360" w:lineRule="auto"/>
              <w:ind w:firstLine="482"/>
              <w:jc w:val="both"/>
              <w:rPr>
                <w:rFonts w:hint="eastAsia" w:ascii="Times New Roman" w:hAnsi="Times New Roman" w:eastAsia="宋体"/>
                <w:b/>
                <w:bCs w:val="0"/>
                <w:color w:val="auto"/>
                <w:sz w:val="24"/>
                <w:lang w:eastAsia="zh-CN"/>
              </w:rPr>
            </w:pPr>
            <w:r>
              <w:rPr>
                <w:rFonts w:hint="eastAsia" w:ascii="Times New Roman" w:hAnsi="Times New Roman" w:eastAsia="宋体"/>
                <w:b/>
                <w:bCs w:val="0"/>
                <w:color w:val="auto"/>
                <w:sz w:val="24"/>
              </w:rPr>
              <w:t>1、废</w:t>
            </w:r>
            <w:r>
              <w:rPr>
                <w:rFonts w:hint="eastAsia" w:ascii="Times New Roman" w:hAnsi="Times New Roman" w:eastAsia="宋体"/>
                <w:b/>
                <w:bCs w:val="0"/>
                <w:color w:val="auto"/>
                <w:sz w:val="24"/>
                <w:lang w:eastAsia="zh-CN"/>
              </w:rPr>
              <w:t>气</w:t>
            </w:r>
          </w:p>
          <w:p w14:paraId="2B750EA9">
            <w:pPr>
              <w:spacing w:line="360" w:lineRule="auto"/>
              <w:ind w:firstLine="482"/>
              <w:jc w:val="both"/>
              <w:rPr>
                <w:rFonts w:hint="eastAsia"/>
                <w:bCs/>
                <w:color w:val="auto"/>
                <w:sz w:val="24"/>
              </w:rPr>
            </w:pPr>
            <w:r>
              <w:rPr>
                <w:rFonts w:hint="eastAsia" w:ascii="Times New Roman" w:hAnsi="Times New Roman" w:eastAsia="宋体" w:cs="Times New Roman"/>
                <w:bCs/>
                <w:color w:val="auto"/>
                <w:sz w:val="24"/>
              </w:rPr>
              <w:t>本项目废气主要是</w:t>
            </w:r>
            <w:r>
              <w:rPr>
                <w:rFonts w:hint="eastAsia" w:ascii="Times New Roman" w:hAnsi="Times New Roman" w:eastAsia="宋体" w:cs="Times New Roman"/>
                <w:color w:val="auto"/>
                <w:sz w:val="24"/>
                <w:lang w:val="en-US" w:eastAsia="zh-CN"/>
              </w:rPr>
              <w:t>焊接烟气和切割废气</w:t>
            </w:r>
            <w:r>
              <w:rPr>
                <w:rFonts w:hint="eastAsia" w:ascii="Times New Roman" w:hAnsi="Times New Roman" w:eastAsia="宋体" w:cs="Times New Roman"/>
                <w:bCs/>
                <w:color w:val="auto"/>
                <w:sz w:val="24"/>
              </w:rPr>
              <w:t>，颗粒物排放量</w:t>
            </w:r>
            <w:r>
              <w:rPr>
                <w:rFonts w:hint="eastAsia" w:ascii="Times New Roman" w:hAnsi="Times New Roman" w:eastAsia="宋体" w:cs="Times New Roman"/>
                <w:bCs/>
                <w:color w:val="auto"/>
                <w:sz w:val="24"/>
                <w:lang w:eastAsia="zh-CN"/>
              </w:rPr>
              <w:t>为</w:t>
            </w:r>
            <w:r>
              <w:rPr>
                <w:rFonts w:hint="eastAsia" w:ascii="Times New Roman" w:hAnsi="Times New Roman" w:eastAsia="宋体" w:cs="Times New Roman"/>
                <w:bCs/>
                <w:color w:val="auto"/>
                <w:sz w:val="24"/>
                <w:lang w:val="en-US" w:eastAsia="zh-CN"/>
              </w:rPr>
              <w:t>0.</w:t>
            </w:r>
            <w:r>
              <w:rPr>
                <w:rFonts w:hint="eastAsia" w:cs="Times New Roman"/>
                <w:bCs/>
                <w:color w:val="auto"/>
                <w:sz w:val="24"/>
                <w:lang w:val="en-US" w:eastAsia="zh-CN"/>
              </w:rPr>
              <w:t>6229</w:t>
            </w:r>
            <w:r>
              <w:rPr>
                <w:rFonts w:hint="eastAsia" w:ascii="Times New Roman" w:hAnsi="Times New Roman" w:eastAsia="宋体" w:cs="Times New Roman"/>
                <w:bCs/>
                <w:color w:val="auto"/>
                <w:sz w:val="24"/>
              </w:rPr>
              <w:t>t/a</w:t>
            </w:r>
            <w:r>
              <w:rPr>
                <w:rFonts w:hint="eastAsia" w:ascii="Times New Roman" w:hAnsi="Times New Roman" w:eastAsia="宋体"/>
                <w:bCs/>
                <w:color w:val="auto"/>
                <w:sz w:val="24"/>
                <w:lang w:eastAsia="zh-CN"/>
              </w:rPr>
              <w:t>。</w:t>
            </w:r>
          </w:p>
          <w:p w14:paraId="49E3F839">
            <w:pPr>
              <w:spacing w:line="360" w:lineRule="auto"/>
              <w:ind w:firstLine="482"/>
              <w:jc w:val="both"/>
              <w:rPr>
                <w:rFonts w:hint="eastAsia" w:ascii="Times New Roman" w:hAnsi="Times New Roman" w:eastAsia="宋体"/>
                <w:b/>
                <w:bCs w:val="0"/>
                <w:color w:val="auto"/>
                <w:sz w:val="24"/>
                <w:lang w:eastAsia="zh-CN"/>
              </w:rPr>
            </w:pPr>
            <w:r>
              <w:rPr>
                <w:rFonts w:hint="eastAsia" w:ascii="Times New Roman" w:hAnsi="Times New Roman" w:eastAsia="宋体"/>
                <w:b/>
                <w:bCs w:val="0"/>
                <w:color w:val="auto"/>
                <w:sz w:val="24"/>
              </w:rPr>
              <w:t>2、废</w:t>
            </w:r>
            <w:r>
              <w:rPr>
                <w:rFonts w:hint="eastAsia" w:ascii="Times New Roman" w:hAnsi="Times New Roman" w:eastAsia="宋体"/>
                <w:b/>
                <w:bCs w:val="0"/>
                <w:color w:val="auto"/>
                <w:sz w:val="24"/>
                <w:lang w:eastAsia="zh-CN"/>
              </w:rPr>
              <w:t>水</w:t>
            </w:r>
          </w:p>
          <w:p w14:paraId="356B6C31">
            <w:pPr>
              <w:spacing w:line="360" w:lineRule="auto"/>
              <w:ind w:firstLine="482"/>
              <w:jc w:val="both"/>
              <w:rPr>
                <w:rFonts w:hint="eastAsia" w:ascii="Times New Roman" w:hAnsi="Times New Roman" w:eastAsia="宋体"/>
                <w:bCs/>
                <w:color w:val="auto"/>
                <w:sz w:val="24"/>
                <w:lang w:eastAsia="zh-CN"/>
              </w:rPr>
            </w:pPr>
            <w:r>
              <w:rPr>
                <w:rFonts w:hint="eastAsia" w:ascii="Times New Roman" w:hAnsi="Times New Roman" w:eastAsia="宋体" w:cs="宋体"/>
                <w:color w:val="auto"/>
                <w:sz w:val="24"/>
                <w:lang w:val="en-US" w:eastAsia="zh-CN"/>
              </w:rPr>
              <w:t>项目</w:t>
            </w:r>
            <w:r>
              <w:rPr>
                <w:rFonts w:hint="eastAsia" w:ascii="Times New Roman" w:hAnsi="Times New Roman" w:eastAsia="宋体" w:cs="宋体"/>
                <w:color w:val="auto"/>
                <w:sz w:val="24"/>
              </w:rPr>
              <w:t>生产废水处理后循环使用，不外排；生活污水经化粪池处理后，</w:t>
            </w:r>
            <w:r>
              <w:rPr>
                <w:rFonts w:hint="eastAsia" w:ascii="Times New Roman" w:hAnsi="Times New Roman" w:eastAsia="宋体" w:cs="宋体"/>
                <w:color w:val="auto"/>
                <w:sz w:val="24"/>
                <w:lang w:val="en-US" w:eastAsia="zh-CN"/>
              </w:rPr>
              <w:t>利用罐车拉运至纳古镇污水处理站处理，属于间接排放。</w:t>
            </w:r>
            <w:r>
              <w:rPr>
                <w:rFonts w:hint="eastAsia"/>
                <w:bCs/>
                <w:color w:val="auto"/>
                <w:sz w:val="24"/>
              </w:rPr>
              <w:t>废水总量纳入</w:t>
            </w:r>
            <w:r>
              <w:rPr>
                <w:rFonts w:hint="eastAsia"/>
                <w:bCs/>
                <w:color w:val="auto"/>
                <w:sz w:val="24"/>
                <w:lang w:val="en-US" w:eastAsia="zh-CN"/>
              </w:rPr>
              <w:t>纳古镇污水处理站</w:t>
            </w:r>
            <w:r>
              <w:rPr>
                <w:rFonts w:hint="eastAsia"/>
                <w:bCs/>
                <w:color w:val="auto"/>
                <w:sz w:val="24"/>
              </w:rPr>
              <w:t>控制指标，本项目不再单独设置总量控制指标。</w:t>
            </w:r>
          </w:p>
          <w:p w14:paraId="68502CA8">
            <w:pPr>
              <w:spacing w:line="360" w:lineRule="auto"/>
              <w:ind w:firstLine="482"/>
              <w:jc w:val="both"/>
              <w:rPr>
                <w:rFonts w:hint="eastAsia" w:ascii="Times New Roman" w:hAnsi="Times New Roman" w:eastAsia="宋体"/>
                <w:b/>
                <w:bCs w:val="0"/>
                <w:color w:val="auto"/>
                <w:sz w:val="24"/>
              </w:rPr>
            </w:pPr>
            <w:r>
              <w:rPr>
                <w:rFonts w:hint="eastAsia" w:ascii="Times New Roman" w:hAnsi="Times New Roman" w:eastAsia="宋体"/>
                <w:b/>
                <w:bCs w:val="0"/>
                <w:color w:val="auto"/>
                <w:sz w:val="24"/>
              </w:rPr>
              <w:t>3、固体废物</w:t>
            </w:r>
          </w:p>
          <w:p w14:paraId="7692B0B0">
            <w:pPr>
              <w:spacing w:line="360" w:lineRule="auto"/>
              <w:ind w:firstLine="482" w:firstLineChars="0"/>
              <w:jc w:val="both"/>
              <w:rPr>
                <w:rFonts w:hint="eastAsia" w:ascii="Times New Roman" w:hAnsi="Times New Roman" w:eastAsia="宋体"/>
                <w:bCs/>
                <w:color w:val="auto"/>
                <w:sz w:val="24"/>
                <w:lang w:val="zh-CN" w:eastAsia="zh-CN"/>
              </w:rPr>
            </w:pPr>
            <w:r>
              <w:rPr>
                <w:rFonts w:hint="eastAsia" w:ascii="Times New Roman" w:hAnsi="Times New Roman" w:eastAsia="宋体"/>
                <w:bCs/>
                <w:color w:val="auto"/>
                <w:sz w:val="24"/>
              </w:rPr>
              <w:t>固废处置率为100%。</w:t>
            </w:r>
          </w:p>
        </w:tc>
      </w:tr>
    </w:tbl>
    <w:p w14:paraId="67210FCC">
      <w:pPr>
        <w:pStyle w:val="19"/>
        <w:spacing w:before="0" w:beforeAutospacing="0" w:after="0" w:afterAutospacing="0"/>
        <w:jc w:val="center"/>
        <w:outlineLvl w:val="0"/>
        <w:rPr>
          <w:rFonts w:ascii="Times New Roman" w:hAnsi="Times New Roman" w:eastAsia="宋体"/>
          <w:snapToGrid w:val="0"/>
          <w:color w:val="auto"/>
          <w:sz w:val="30"/>
          <w:szCs w:val="30"/>
        </w:rPr>
      </w:pPr>
      <w:r>
        <w:rPr>
          <w:rFonts w:ascii="Times New Roman" w:hAnsi="Times New Roman" w:eastAsia="宋体"/>
          <w:snapToGrid w:val="0"/>
          <w:color w:val="auto"/>
          <w:sz w:val="36"/>
          <w:szCs w:val="36"/>
        </w:rPr>
        <w:br w:type="page"/>
      </w:r>
      <w:bookmarkStart w:id="15" w:name="_Toc25543"/>
      <w:r>
        <w:rPr>
          <w:rFonts w:hint="eastAsia" w:ascii="Times New Roman" w:hAnsi="Times New Roman" w:eastAsia="宋体"/>
          <w:b/>
          <w:bCs/>
          <w:snapToGrid w:val="0"/>
          <w:color w:val="auto"/>
          <w:sz w:val="30"/>
          <w:szCs w:val="30"/>
        </w:rPr>
        <w:t>四、主要环境影响和保护措施</w:t>
      </w:r>
      <w:bookmarkEnd w:id="15"/>
    </w:p>
    <w:tbl>
      <w:tblPr>
        <w:tblStyle w:val="24"/>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43DFC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85" w:type="dxa"/>
            <w:tcMar>
              <w:left w:w="28" w:type="dxa"/>
              <w:right w:w="28" w:type="dxa"/>
            </w:tcMar>
            <w:vAlign w:val="center"/>
          </w:tcPr>
          <w:p w14:paraId="058795DB">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施工</w:t>
            </w:r>
          </w:p>
          <w:p w14:paraId="060D1F26">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期环</w:t>
            </w:r>
          </w:p>
          <w:p w14:paraId="117AA501">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境保</w:t>
            </w:r>
          </w:p>
          <w:p w14:paraId="575439B5">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护措</w:t>
            </w:r>
          </w:p>
          <w:p w14:paraId="155D7659">
            <w:pPr>
              <w:pStyle w:val="19"/>
              <w:adjustRightInd w:val="0"/>
              <w:snapToGrid w:val="0"/>
              <w:spacing w:before="0" w:beforeAutospacing="0" w:after="0" w:afterAutospacing="0"/>
              <w:jc w:val="center"/>
              <w:rPr>
                <w:rFonts w:ascii="Times New Roman" w:hAnsi="Times New Roman" w:eastAsia="宋体" w:cs="宋体"/>
                <w:b/>
                <w:bCs/>
                <w:color w:val="auto"/>
                <w:kern w:val="2"/>
                <w:szCs w:val="24"/>
              </w:rPr>
            </w:pPr>
            <w:r>
              <w:rPr>
                <w:rFonts w:hint="eastAsia" w:ascii="Times New Roman" w:hAnsi="Times New Roman" w:eastAsia="宋体" w:cs="宋体"/>
                <w:b/>
                <w:bCs/>
                <w:color w:val="auto"/>
                <w:kern w:val="2"/>
                <w:szCs w:val="24"/>
              </w:rPr>
              <w:t>施</w:t>
            </w:r>
          </w:p>
        </w:tc>
        <w:tc>
          <w:tcPr>
            <w:tcW w:w="8406" w:type="dxa"/>
            <w:vAlign w:val="center"/>
          </w:tcPr>
          <w:p w14:paraId="6A108E0D">
            <w:pPr>
              <w:adjustRightInd w:val="0"/>
              <w:snapToGrid w:val="0"/>
              <w:spacing w:line="360" w:lineRule="auto"/>
              <w:rPr>
                <w:rFonts w:hint="default" w:ascii="Times New Roman" w:hAnsi="Times New Roman" w:eastAsia="宋体" w:cs="Times New Roman"/>
                <w:b/>
                <w:color w:val="auto"/>
                <w:sz w:val="24"/>
                <w:lang w:val="en-US" w:eastAsia="zh-CN"/>
              </w:rPr>
            </w:pPr>
            <w:r>
              <w:rPr>
                <w:rFonts w:hint="eastAsia" w:cs="Times New Roman"/>
                <w:b/>
                <w:color w:val="auto"/>
                <w:sz w:val="24"/>
                <w:lang w:val="en-US" w:eastAsia="zh-CN"/>
              </w:rPr>
              <w:t>一、</w:t>
            </w:r>
            <w:r>
              <w:rPr>
                <w:rFonts w:hint="eastAsia" w:ascii="Times New Roman" w:hAnsi="Times New Roman" w:eastAsia="宋体" w:cs="Times New Roman"/>
                <w:b/>
                <w:color w:val="auto"/>
                <w:sz w:val="24"/>
                <w:lang w:val="en-US" w:eastAsia="zh-CN"/>
              </w:rPr>
              <w:t>施工期环境保护措施</w:t>
            </w:r>
          </w:p>
          <w:p w14:paraId="1C8ACE2B">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本</w:t>
            </w:r>
            <w:r>
              <w:rPr>
                <w:rFonts w:hint="eastAsia" w:ascii="Times New Roman" w:hAnsi="Times New Roman" w:eastAsia="宋体"/>
                <w:bCs/>
                <w:color w:val="auto"/>
                <w:sz w:val="24"/>
                <w:lang w:val="en-US" w:eastAsia="zh-CN"/>
              </w:rPr>
              <w:t>项目</w:t>
            </w:r>
            <w:r>
              <w:rPr>
                <w:rFonts w:ascii="Times New Roman" w:hAnsi="Times New Roman" w:eastAsia="宋体"/>
                <w:bCs/>
                <w:color w:val="auto"/>
                <w:sz w:val="24"/>
              </w:rPr>
              <w:t>施工期间</w:t>
            </w:r>
            <w:r>
              <w:rPr>
                <w:rFonts w:hint="eastAsia" w:ascii="Times New Roman" w:hAnsi="Times New Roman" w:eastAsia="宋体"/>
                <w:bCs/>
                <w:color w:val="auto"/>
                <w:sz w:val="24"/>
                <w:lang w:val="en-US" w:eastAsia="zh-CN"/>
              </w:rPr>
              <w:t>施工内容主要为</w:t>
            </w:r>
            <w:r>
              <w:rPr>
                <w:rFonts w:hint="eastAsia"/>
                <w:bCs/>
                <w:color w:val="auto"/>
                <w:sz w:val="24"/>
                <w:lang w:val="en-US" w:eastAsia="zh-CN"/>
              </w:rPr>
              <w:t>厂房修缮、</w:t>
            </w:r>
            <w:r>
              <w:rPr>
                <w:rFonts w:ascii="Times New Roman" w:hAnsi="Times New Roman" w:eastAsia="宋体"/>
                <w:bCs/>
                <w:color w:val="auto"/>
                <w:sz w:val="24"/>
              </w:rPr>
              <w:t>配套设备安装等</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均处于封闭的厂房内施工</w:t>
            </w:r>
            <w:r>
              <w:rPr>
                <w:rFonts w:ascii="Times New Roman" w:hAnsi="Times New Roman" w:eastAsia="宋体"/>
                <w:bCs/>
                <w:color w:val="auto"/>
                <w:sz w:val="24"/>
              </w:rPr>
              <w:t>，仅产生噪声、扬尘、固体废弃物和少量生活污水，其排放量随施工期和施工强度不同而有所变化，施工期环境问题随着施工期的结束而消失。</w:t>
            </w:r>
          </w:p>
          <w:p w14:paraId="4A5D6DC3">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1、施工期废气</w:t>
            </w:r>
          </w:p>
          <w:p w14:paraId="417C8E57">
            <w:pPr>
              <w:adjustRightInd w:val="0"/>
              <w:snapToGrid w:val="0"/>
              <w:spacing w:line="360" w:lineRule="auto"/>
              <w:ind w:firstLine="480" w:firstLineChars="200"/>
              <w:rPr>
                <w:rFonts w:hint="eastAsia" w:ascii="Times New Roman" w:hAnsi="Times New Roman" w:eastAsia="宋体"/>
                <w:bCs/>
                <w:color w:val="auto"/>
                <w:sz w:val="24"/>
              </w:rPr>
            </w:pPr>
            <w:r>
              <w:rPr>
                <w:rFonts w:ascii="Times New Roman" w:hAnsi="Times New Roman" w:eastAsia="宋体"/>
                <w:bCs/>
                <w:color w:val="auto"/>
                <w:sz w:val="24"/>
              </w:rPr>
              <w:t>项目施工过程中的大气污染主要来自于</w:t>
            </w:r>
            <w:r>
              <w:rPr>
                <w:rFonts w:hint="eastAsia" w:ascii="Times New Roman" w:hAnsi="Times New Roman" w:eastAsia="宋体"/>
                <w:bCs/>
                <w:color w:val="auto"/>
                <w:sz w:val="24"/>
              </w:rPr>
              <w:t>施工期产生的废气</w:t>
            </w:r>
            <w:r>
              <w:rPr>
                <w:rFonts w:ascii="Times New Roman" w:hAnsi="Times New Roman" w:eastAsia="宋体"/>
                <w:bCs/>
                <w:color w:val="auto"/>
                <w:sz w:val="24"/>
              </w:rPr>
              <w:t>。在整个施工期，产生扬尘的作业有建材</w:t>
            </w:r>
            <w:r>
              <w:rPr>
                <w:rFonts w:hint="eastAsia" w:ascii="Times New Roman" w:hAnsi="Times New Roman" w:eastAsia="宋体"/>
                <w:bCs/>
                <w:color w:val="auto"/>
                <w:sz w:val="24"/>
              </w:rPr>
              <w:t>转运</w:t>
            </w:r>
            <w:r>
              <w:rPr>
                <w:rFonts w:ascii="Times New Roman" w:hAnsi="Times New Roman" w:eastAsia="宋体"/>
                <w:bCs/>
                <w:color w:val="auto"/>
                <w:sz w:val="24"/>
              </w:rPr>
              <w:t>、建材切割、建材焊接、车辆运输扬尘</w:t>
            </w:r>
            <w:r>
              <w:rPr>
                <w:rFonts w:hint="eastAsia" w:ascii="Times New Roman" w:hAnsi="Times New Roman" w:eastAsia="宋体"/>
                <w:bCs/>
                <w:color w:val="auto"/>
                <w:sz w:val="24"/>
              </w:rPr>
              <w:t>。</w:t>
            </w:r>
          </w:p>
          <w:p w14:paraId="25787BC8">
            <w:pPr>
              <w:adjustRightInd w:val="0"/>
              <w:snapToGrid w:val="0"/>
              <w:spacing w:line="360" w:lineRule="auto"/>
              <w:ind w:firstLine="480" w:firstLineChars="200"/>
              <w:rPr>
                <w:rFonts w:hint="eastAsia" w:ascii="Times New Roman" w:hAnsi="Times New Roman" w:eastAsia="宋体" w:cs="宋体"/>
                <w:color w:val="auto"/>
                <w:sz w:val="24"/>
                <w:szCs w:val="28"/>
                <w:lang w:eastAsia="zh-CN"/>
              </w:rPr>
            </w:pPr>
            <w:r>
              <w:rPr>
                <w:rFonts w:hint="eastAsia" w:ascii="Times New Roman" w:hAnsi="Times New Roman" w:eastAsia="宋体" w:cs="宋体"/>
                <w:color w:val="auto"/>
                <w:sz w:val="24"/>
                <w:szCs w:val="28"/>
              </w:rPr>
              <w:t>整个施工过程</w:t>
            </w:r>
            <w:r>
              <w:rPr>
                <w:rFonts w:hint="eastAsia" w:ascii="Times New Roman" w:hAnsi="Times New Roman" w:eastAsia="宋体" w:cs="宋体"/>
                <w:color w:val="auto"/>
                <w:sz w:val="24"/>
                <w:szCs w:val="28"/>
                <w:lang w:val="en-US" w:eastAsia="zh-CN"/>
              </w:rPr>
              <w:t>由于建设内容较少，施工时间较短</w:t>
            </w:r>
            <w:r>
              <w:rPr>
                <w:rFonts w:hint="eastAsia" w:ascii="Times New Roman" w:hAnsi="Times New Roman" w:eastAsia="宋体" w:cs="宋体"/>
                <w:color w:val="auto"/>
                <w:sz w:val="24"/>
                <w:szCs w:val="28"/>
              </w:rPr>
              <w:t>，施工过程产生的废气</w:t>
            </w:r>
            <w:r>
              <w:rPr>
                <w:rFonts w:hint="eastAsia" w:ascii="Times New Roman" w:hAnsi="Times New Roman" w:eastAsia="宋体" w:cs="宋体"/>
                <w:color w:val="auto"/>
                <w:sz w:val="24"/>
                <w:szCs w:val="28"/>
                <w:lang w:val="en-US" w:eastAsia="zh-CN"/>
              </w:rPr>
              <w:t>主要为少量施工扬尘，施工单位对施工场地进行洒水降尘，颗粒物无组织排放可满足</w:t>
            </w:r>
            <w:r>
              <w:rPr>
                <w:rFonts w:ascii="Times New Roman" w:hAnsi="Times New Roman" w:eastAsia="宋体" w:cs="Times New Roman"/>
                <w:color w:val="auto"/>
                <w:sz w:val="24"/>
                <w:lang w:val="zh-CN"/>
              </w:rPr>
              <w:t>《大气污染物综合排放标准》（GB16297-1996）</w:t>
            </w:r>
            <w:r>
              <w:rPr>
                <w:rFonts w:hint="eastAsia" w:ascii="Times New Roman" w:hAnsi="Times New Roman" w:eastAsia="宋体" w:cs="Times New Roman"/>
                <w:color w:val="auto"/>
                <w:sz w:val="24"/>
                <w:lang w:val="zh-CN"/>
              </w:rPr>
              <w:t>，</w:t>
            </w:r>
            <w:r>
              <w:rPr>
                <w:rFonts w:hint="eastAsia" w:ascii="Times New Roman" w:hAnsi="Times New Roman" w:eastAsia="宋体" w:cs="宋体"/>
                <w:color w:val="auto"/>
                <w:sz w:val="24"/>
                <w:szCs w:val="28"/>
              </w:rPr>
              <w:t>对周围大气环境污染较小</w:t>
            </w:r>
            <w:r>
              <w:rPr>
                <w:rFonts w:hint="eastAsia" w:ascii="Times New Roman" w:hAnsi="Times New Roman" w:eastAsia="宋体" w:cs="宋体"/>
                <w:color w:val="auto"/>
                <w:sz w:val="24"/>
                <w:szCs w:val="28"/>
                <w:lang w:eastAsia="zh-CN"/>
              </w:rPr>
              <w:t>。</w:t>
            </w:r>
          </w:p>
          <w:p w14:paraId="2ED68CE3">
            <w:pPr>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bCs/>
                <w:color w:val="auto"/>
                <w:sz w:val="24"/>
              </w:rPr>
              <w:t>施工期工人不在厂区内食宿，不产生油烟废气。</w:t>
            </w:r>
          </w:p>
          <w:p w14:paraId="79F5E314">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2、施工期废水</w:t>
            </w:r>
          </w:p>
          <w:p w14:paraId="778C4A8F">
            <w:pPr>
              <w:pStyle w:val="61"/>
              <w:ind w:firstLine="480"/>
              <w:rPr>
                <w:rFonts w:ascii="Times New Roman" w:hAnsi="Times New Roman" w:eastAsia="宋体"/>
                <w:color w:val="auto"/>
                <w:sz w:val="24"/>
              </w:rPr>
            </w:pPr>
            <w:r>
              <w:rPr>
                <w:rFonts w:ascii="Times New Roman" w:hAnsi="Times New Roman" w:eastAsia="宋体"/>
                <w:bCs/>
                <w:color w:val="auto"/>
                <w:sz w:val="24"/>
              </w:rPr>
              <w:t>施工人数平均</w:t>
            </w:r>
            <w:r>
              <w:rPr>
                <w:rFonts w:hint="eastAsia" w:ascii="Times New Roman" w:hAnsi="Times New Roman"/>
                <w:bCs/>
                <w:color w:val="auto"/>
                <w:sz w:val="24"/>
                <w:lang w:val="en-US" w:eastAsia="zh-CN"/>
              </w:rPr>
              <w:t>20</w:t>
            </w:r>
            <w:r>
              <w:rPr>
                <w:rFonts w:ascii="Times New Roman" w:hAnsi="Times New Roman" w:eastAsia="宋体"/>
                <w:bCs/>
                <w:color w:val="auto"/>
                <w:sz w:val="24"/>
              </w:rPr>
              <w:t>人/d，施工时间约</w:t>
            </w:r>
            <w:r>
              <w:rPr>
                <w:rFonts w:hint="eastAsia" w:ascii="Times New Roman" w:hAnsi="Times New Roman"/>
                <w:bCs/>
                <w:color w:val="auto"/>
                <w:sz w:val="24"/>
                <w:lang w:val="en-US" w:eastAsia="zh-CN"/>
              </w:rPr>
              <w:t>23</w:t>
            </w:r>
            <w:r>
              <w:rPr>
                <w:rFonts w:ascii="Times New Roman" w:hAnsi="Times New Roman" w:eastAsia="宋体"/>
                <w:bCs/>
                <w:color w:val="auto"/>
                <w:sz w:val="24"/>
              </w:rPr>
              <w:t>个月，施工人员不在场区内食宿。生活污水主要为施工人员</w:t>
            </w:r>
            <w:r>
              <w:rPr>
                <w:rFonts w:hint="eastAsia" w:ascii="Times New Roman" w:hAnsi="Times New Roman" w:eastAsia="宋体"/>
                <w:bCs/>
                <w:color w:val="auto"/>
                <w:sz w:val="24"/>
                <w:lang w:val="en-US" w:eastAsia="zh-CN"/>
              </w:rPr>
              <w:t>入厕</w:t>
            </w:r>
            <w:r>
              <w:rPr>
                <w:rFonts w:ascii="Times New Roman" w:hAnsi="Times New Roman" w:eastAsia="宋体"/>
                <w:bCs/>
                <w:color w:val="auto"/>
                <w:sz w:val="24"/>
              </w:rPr>
              <w:t>废水，用水量以15L/人</w:t>
            </w:r>
            <w:r>
              <w:rPr>
                <w:rFonts w:ascii="Times New Roman" w:hAnsi="Times New Roman" w:eastAsia="宋体"/>
                <w:b/>
                <w:bCs w:val="0"/>
                <w:color w:val="auto"/>
                <w:sz w:val="24"/>
              </w:rPr>
              <w:t>·</w:t>
            </w:r>
            <w:r>
              <w:rPr>
                <w:rFonts w:ascii="Times New Roman" w:hAnsi="Times New Roman" w:eastAsia="宋体"/>
                <w:bCs/>
                <w:color w:val="auto"/>
                <w:sz w:val="24"/>
              </w:rPr>
              <w:t>d计，则施工人员用水量为0.</w:t>
            </w:r>
            <w:r>
              <w:rPr>
                <w:rFonts w:hint="eastAsia" w:ascii="Times New Roman" w:hAnsi="Times New Roman"/>
                <w:bCs/>
                <w:color w:val="auto"/>
                <w:sz w:val="24"/>
                <w:lang w:val="en-US" w:eastAsia="zh-CN"/>
              </w:rPr>
              <w:t>3</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/d，施工期生活用水量为</w:t>
            </w:r>
            <w:r>
              <w:rPr>
                <w:rFonts w:hint="eastAsia" w:ascii="Times New Roman" w:hAnsi="Times New Roman"/>
                <w:bCs/>
                <w:color w:val="auto"/>
                <w:sz w:val="24"/>
                <w:lang w:val="en-US" w:eastAsia="zh-CN"/>
              </w:rPr>
              <w:t>207</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。污水产生量按用水量的80%计，则施工人员</w:t>
            </w:r>
            <w:r>
              <w:rPr>
                <w:rFonts w:hint="eastAsia" w:ascii="Times New Roman" w:hAnsi="Times New Roman" w:eastAsia="宋体"/>
                <w:bCs/>
                <w:color w:val="auto"/>
                <w:sz w:val="24"/>
                <w:lang w:val="en-US" w:eastAsia="zh-CN"/>
              </w:rPr>
              <w:t>在整个施工期</w:t>
            </w:r>
            <w:r>
              <w:rPr>
                <w:rFonts w:ascii="Times New Roman" w:hAnsi="Times New Roman" w:eastAsia="宋体"/>
                <w:bCs/>
                <w:color w:val="auto"/>
                <w:sz w:val="24"/>
              </w:rPr>
              <w:t>生活污水产生量预计为0.</w:t>
            </w:r>
            <w:r>
              <w:rPr>
                <w:rFonts w:hint="eastAsia" w:ascii="Times New Roman" w:hAnsi="Times New Roman"/>
                <w:bCs/>
                <w:color w:val="auto"/>
                <w:sz w:val="24"/>
                <w:lang w:val="en-US" w:eastAsia="zh-CN"/>
              </w:rPr>
              <w:t>24</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/d</w:t>
            </w:r>
            <w:r>
              <w:rPr>
                <w:rFonts w:hint="eastAsia" w:ascii="Times New Roman" w:hAnsi="Times New Roman" w:eastAsia="宋体"/>
                <w:bCs/>
                <w:color w:val="auto"/>
                <w:sz w:val="24"/>
                <w:lang w:eastAsia="zh-CN"/>
              </w:rPr>
              <w:t>，</w:t>
            </w:r>
            <w:r>
              <w:rPr>
                <w:rFonts w:hint="eastAsia" w:ascii="Times New Roman" w:hAnsi="Times New Roman"/>
                <w:bCs/>
                <w:color w:val="auto"/>
                <w:sz w:val="24"/>
                <w:lang w:val="en-US" w:eastAsia="zh-CN"/>
              </w:rPr>
              <w:t>165.6</w:t>
            </w:r>
            <w:r>
              <w:rPr>
                <w:rFonts w:ascii="Times New Roman" w:hAnsi="Times New Roman" w:eastAsia="宋体"/>
                <w:bCs/>
                <w:color w:val="auto"/>
                <w:sz w:val="24"/>
              </w:rPr>
              <w:t>m</w:t>
            </w:r>
            <w:r>
              <w:rPr>
                <w:rFonts w:ascii="Times New Roman" w:hAnsi="Times New Roman" w:eastAsia="宋体"/>
                <w:bCs/>
                <w:color w:val="auto"/>
                <w:sz w:val="24"/>
                <w:vertAlign w:val="superscript"/>
              </w:rPr>
              <w:t>3</w:t>
            </w:r>
            <w:r>
              <w:rPr>
                <w:rFonts w:ascii="Times New Roman" w:hAnsi="Times New Roman" w:eastAsia="宋体"/>
                <w:bCs/>
                <w:color w:val="auto"/>
                <w:sz w:val="24"/>
              </w:rPr>
              <w:t>。</w:t>
            </w:r>
            <w:r>
              <w:rPr>
                <w:rFonts w:hint="eastAsia" w:ascii="Times New Roman" w:hAnsi="Times New Roman" w:eastAsia="宋体"/>
                <w:color w:val="auto"/>
                <w:sz w:val="24"/>
              </w:rPr>
              <w:t>施工人员生活污水依托厂区现有化粪池处理后</w:t>
            </w:r>
            <w:r>
              <w:rPr>
                <w:rFonts w:hint="eastAsia" w:ascii="Times New Roman" w:hAnsi="Times New Roman" w:eastAsia="宋体"/>
                <w:color w:val="auto"/>
                <w:sz w:val="24"/>
                <w:lang w:eastAsia="zh-CN"/>
              </w:rPr>
              <w:t>，</w:t>
            </w:r>
            <w:r>
              <w:rPr>
                <w:rFonts w:hint="eastAsia"/>
                <w:color w:val="auto"/>
                <w:sz w:val="24"/>
                <w:szCs w:val="24"/>
                <w:lang w:val="en-US" w:eastAsia="zh-CN"/>
              </w:rPr>
              <w:t>利用罐车拉运至纳古镇污水处理站处理</w:t>
            </w:r>
            <w:r>
              <w:rPr>
                <w:rFonts w:hint="eastAsia" w:ascii="Times New Roman" w:hAnsi="Times New Roman" w:eastAsia="宋体"/>
                <w:color w:val="auto"/>
                <w:sz w:val="24"/>
              </w:rPr>
              <w:t>。</w:t>
            </w:r>
          </w:p>
          <w:p w14:paraId="33F9DD36">
            <w:pPr>
              <w:adjustRightInd w:val="0"/>
              <w:snapToGrid w:val="0"/>
              <w:spacing w:line="360" w:lineRule="auto"/>
              <w:ind w:firstLine="482" w:firstLineChars="200"/>
              <w:rPr>
                <w:rFonts w:ascii="Times New Roman" w:hAnsi="Times New Roman" w:eastAsia="宋体"/>
                <w:b/>
                <w:color w:val="auto"/>
                <w:sz w:val="24"/>
              </w:rPr>
            </w:pPr>
            <w:r>
              <w:rPr>
                <w:rFonts w:ascii="Times New Roman" w:hAnsi="Times New Roman" w:eastAsia="宋体"/>
                <w:b/>
                <w:color w:val="auto"/>
                <w:sz w:val="24"/>
              </w:rPr>
              <w:t>3、施工期噪声</w:t>
            </w:r>
          </w:p>
          <w:p w14:paraId="40E86CDD">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项目施工期噪声主要为运输车辆噪声及设备安装调试时产生的噪声，噪声具有间歇性且持续时间较短，且施工期较短，随着施工期的结束，施工期噪声的影响也随之消失，对周围环境的影响不大。为减缓施工噪声的影响，本环评提出如下措施：</w:t>
            </w:r>
          </w:p>
          <w:p w14:paraId="19F0954F">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①合理布置施工现场，应尽量避免在施工现场的同一地点安排大量的高噪声设备，造成局部声级过高。</w:t>
            </w:r>
          </w:p>
          <w:p w14:paraId="1E01E8C6">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②施工方应对物件装卸、搬运轻拿轻放，严禁抛掷。</w:t>
            </w:r>
          </w:p>
          <w:p w14:paraId="171385EA">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③施工方应合理安排施工时间（禁止在昼间12:00</w:t>
            </w:r>
            <w:r>
              <w:rPr>
                <w:rFonts w:hint="eastAsia" w:ascii="Times New Roman" w:hAnsi="Times New Roman" w:eastAsia="宋体"/>
                <w:bCs/>
                <w:color w:val="auto"/>
                <w:sz w:val="24"/>
              </w:rPr>
              <w:t>～</w:t>
            </w:r>
            <w:r>
              <w:rPr>
                <w:rFonts w:ascii="Times New Roman" w:hAnsi="Times New Roman" w:eastAsia="宋体"/>
                <w:bCs/>
                <w:color w:val="auto"/>
                <w:sz w:val="24"/>
              </w:rPr>
              <w:t>2:00、夜间22:00</w:t>
            </w:r>
            <w:r>
              <w:rPr>
                <w:rFonts w:hint="eastAsia" w:ascii="Times New Roman" w:hAnsi="Times New Roman" w:eastAsia="宋体"/>
                <w:bCs/>
                <w:color w:val="auto"/>
                <w:sz w:val="24"/>
              </w:rPr>
              <w:t>～</w:t>
            </w:r>
            <w:r>
              <w:rPr>
                <w:rFonts w:ascii="Times New Roman" w:hAnsi="Times New Roman" w:eastAsia="宋体"/>
                <w:bCs/>
                <w:color w:val="auto"/>
                <w:sz w:val="24"/>
              </w:rPr>
              <w:t>6:00施工）。</w:t>
            </w:r>
          </w:p>
          <w:p w14:paraId="78D5FDE6">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④对动力机械设备定期进行维修和养护，避免因松动部件振动或消声器损坏而加大设备工作时的声级</w:t>
            </w:r>
            <w:r>
              <w:rPr>
                <w:rFonts w:hint="eastAsia" w:ascii="Times New Roman" w:hAnsi="Times New Roman" w:eastAsia="宋体"/>
                <w:bCs/>
                <w:color w:val="auto"/>
                <w:sz w:val="24"/>
              </w:rPr>
              <w:t>。</w:t>
            </w:r>
          </w:p>
          <w:p w14:paraId="06F6575F">
            <w:pPr>
              <w:adjustRightInd w:val="0"/>
              <w:snapToGrid w:val="0"/>
              <w:spacing w:line="360" w:lineRule="auto"/>
              <w:ind w:firstLine="480" w:firstLineChars="200"/>
              <w:rPr>
                <w:rFonts w:ascii="Times New Roman" w:hAnsi="Times New Roman" w:eastAsia="宋体"/>
                <w:bCs/>
                <w:color w:val="auto"/>
                <w:sz w:val="24"/>
              </w:rPr>
            </w:pPr>
            <w:r>
              <w:rPr>
                <w:rFonts w:ascii="Times New Roman" w:hAnsi="Times New Roman" w:eastAsia="宋体"/>
                <w:bCs/>
                <w:color w:val="auto"/>
                <w:sz w:val="24"/>
              </w:rPr>
              <w:t>施工期产生的噪声主要是设备安装过程使用的各种施工机械产生的，由于设备均安置于房间内部，设备安装、调试噪声经过房间隔声后能</w:t>
            </w:r>
            <w:r>
              <w:rPr>
                <w:rFonts w:hint="eastAsia" w:ascii="Times New Roman" w:hAnsi="Times New Roman" w:eastAsia="宋体"/>
                <w:bCs/>
                <w:color w:val="auto"/>
                <w:sz w:val="24"/>
                <w:lang w:val="en-US" w:eastAsia="zh-CN"/>
              </w:rPr>
              <w:t>满足</w:t>
            </w:r>
            <w:r>
              <w:rPr>
                <w:rFonts w:ascii="Times New Roman" w:hAnsi="Times New Roman" w:eastAsia="宋体" w:cs="Times New Roman"/>
                <w:color w:val="auto"/>
                <w:sz w:val="24"/>
                <w:lang w:val="zh-CN"/>
              </w:rPr>
              <w:t>《建筑施工噪声排放标准》（GB12523-</w:t>
            </w:r>
            <w:r>
              <w:rPr>
                <w:rFonts w:hint="eastAsia" w:cs="Times New Roman"/>
                <w:color w:val="auto"/>
                <w:sz w:val="24"/>
                <w:lang w:val="en-US" w:eastAsia="zh-CN"/>
              </w:rPr>
              <w:t>2025</w:t>
            </w:r>
            <w:r>
              <w:rPr>
                <w:rFonts w:ascii="Times New Roman" w:hAnsi="Times New Roman" w:eastAsia="宋体" w:cs="Times New Roman"/>
                <w:color w:val="auto"/>
                <w:sz w:val="24"/>
                <w:lang w:val="zh-CN"/>
              </w:rPr>
              <w:t>）表1标准</w:t>
            </w:r>
            <w:r>
              <w:rPr>
                <w:rFonts w:ascii="Times New Roman" w:hAnsi="Times New Roman" w:eastAsia="宋体"/>
                <w:bCs/>
                <w:color w:val="auto"/>
                <w:sz w:val="24"/>
              </w:rPr>
              <w:t>。</w:t>
            </w:r>
          </w:p>
          <w:p w14:paraId="2ED887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b/>
                <w:color w:val="auto"/>
                <w:sz w:val="24"/>
              </w:rPr>
            </w:pPr>
            <w:r>
              <w:rPr>
                <w:rFonts w:ascii="Times New Roman" w:hAnsi="Times New Roman" w:eastAsia="宋体"/>
                <w:b/>
                <w:color w:val="auto"/>
                <w:sz w:val="24"/>
              </w:rPr>
              <w:t>4、固体废物</w:t>
            </w:r>
          </w:p>
          <w:p w14:paraId="616B6F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施工阶段的固体废物主要为施工人员产生的生活垃圾和</w:t>
            </w:r>
            <w:r>
              <w:rPr>
                <w:rFonts w:hint="eastAsia" w:ascii="Times New Roman" w:hAnsi="Times New Roman" w:eastAsia="宋体" w:cs="Times New Roman"/>
                <w:color w:val="auto"/>
                <w:sz w:val="24"/>
                <w:szCs w:val="24"/>
                <w:lang w:val="en-US" w:eastAsia="zh-CN"/>
              </w:rPr>
              <w:t>设备安装调试产生的一些废包装</w:t>
            </w:r>
            <w:r>
              <w:rPr>
                <w:rFonts w:hint="default" w:ascii="Times New Roman" w:hAnsi="Times New Roman" w:eastAsia="宋体" w:cs="Times New Roman"/>
                <w:color w:val="auto"/>
                <w:sz w:val="24"/>
                <w:szCs w:val="24"/>
              </w:rPr>
              <w:t>。</w:t>
            </w:r>
          </w:p>
          <w:p w14:paraId="0A93F1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①主要来自设备安装过程中产生的废</w:t>
            </w:r>
            <w:r>
              <w:rPr>
                <w:rFonts w:hint="eastAsia" w:ascii="Times New Roman" w:hAnsi="Times New Roman" w:eastAsia="宋体" w:cs="Times New Roman"/>
                <w:color w:val="auto"/>
                <w:sz w:val="24"/>
                <w:szCs w:val="24"/>
                <w:lang w:val="en-US" w:eastAsia="zh-CN"/>
              </w:rPr>
              <w:t>包装</w:t>
            </w:r>
            <w:r>
              <w:rPr>
                <w:rFonts w:hint="default" w:ascii="Times New Roman" w:hAnsi="Times New Roman" w:eastAsia="宋体" w:cs="Times New Roman"/>
                <w:color w:val="auto"/>
                <w:sz w:val="24"/>
                <w:szCs w:val="24"/>
              </w:rPr>
              <w:t>、废金属等杂物。</w:t>
            </w:r>
            <w:r>
              <w:rPr>
                <w:rFonts w:hint="eastAsia" w:ascii="Times New Roman" w:hAnsi="Times New Roman" w:eastAsia="宋体" w:cs="Times New Roman"/>
                <w:color w:val="auto"/>
                <w:sz w:val="24"/>
                <w:szCs w:val="24"/>
                <w:lang w:val="en-US" w:eastAsia="zh-CN"/>
              </w:rPr>
              <w:t>这些固体废弃物</w:t>
            </w:r>
            <w:r>
              <w:rPr>
                <w:rFonts w:hint="default" w:ascii="Times New Roman" w:hAnsi="Times New Roman" w:eastAsia="宋体" w:cs="Times New Roman"/>
                <w:color w:val="auto"/>
                <w:sz w:val="24"/>
                <w:szCs w:val="24"/>
              </w:rPr>
              <w:t>能回收的尽量</w:t>
            </w:r>
            <w:r>
              <w:rPr>
                <w:rFonts w:hint="eastAsia" w:ascii="Times New Roman" w:hAnsi="Times New Roman" w:eastAsia="宋体" w:cs="Times New Roman"/>
                <w:color w:val="auto"/>
                <w:sz w:val="24"/>
                <w:szCs w:val="24"/>
                <w:lang w:val="en-US" w:eastAsia="zh-CN"/>
              </w:rPr>
              <w:t>统一收集后外售废旧物资回收单位，不能回收的</w:t>
            </w:r>
            <w:r>
              <w:rPr>
                <w:rFonts w:hint="default" w:ascii="Times New Roman" w:hAnsi="Times New Roman" w:eastAsia="宋体" w:cs="Times New Roman"/>
                <w:color w:val="auto"/>
                <w:sz w:val="24"/>
                <w:szCs w:val="24"/>
              </w:rPr>
              <w:t>委托环卫部门处理，对周边环境影响较小。</w:t>
            </w:r>
          </w:p>
          <w:p w14:paraId="7A8F08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②施工期生活垃圾集中堆放，严禁乱扔乱弃、污染环境，并委托环卫部门处理，对周边环境影响较小。</w:t>
            </w:r>
          </w:p>
          <w:p w14:paraId="2A337F2E">
            <w:pPr>
              <w:pStyle w:val="61"/>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olor w:val="auto"/>
                <w:sz w:val="24"/>
              </w:rPr>
            </w:pPr>
            <w:r>
              <w:rPr>
                <w:rFonts w:hint="default" w:ascii="Times New Roman" w:hAnsi="Times New Roman" w:eastAsia="宋体" w:cs="Times New Roman"/>
                <w:b/>
                <w:bCs/>
                <w:color w:val="auto"/>
                <w:sz w:val="24"/>
                <w:szCs w:val="24"/>
              </w:rPr>
              <w:t>综上</w:t>
            </w:r>
            <w:r>
              <w:rPr>
                <w:rFonts w:hint="eastAsia" w:ascii="Times New Roman" w:hAnsi="Times New Roman" w:eastAsia="宋体" w:cs="Times New Roman"/>
                <w:b/>
                <w:bCs/>
                <w:color w:val="auto"/>
                <w:sz w:val="24"/>
                <w:szCs w:val="24"/>
                <w:lang w:eastAsia="zh-CN"/>
              </w:rPr>
              <w:t>所</w:t>
            </w:r>
            <w:r>
              <w:rPr>
                <w:rFonts w:hint="default" w:ascii="Times New Roman" w:hAnsi="Times New Roman" w:eastAsia="宋体" w:cs="Times New Roman"/>
                <w:b/>
                <w:bCs/>
                <w:color w:val="auto"/>
                <w:sz w:val="24"/>
                <w:szCs w:val="24"/>
              </w:rPr>
              <w:t>述，施工期间污染环境的因素，可采取一定的措施避免或减轻其污染，使其达标排放，采取本报告提出的施工期污染防治措施，本项目施工噪声和扬尘对周围环境影响较小，且这些影响随着施工期结束，施工噪声、扬尘等问题也会消失</w:t>
            </w:r>
            <w:r>
              <w:rPr>
                <w:rFonts w:hint="eastAsia" w:ascii="Times New Roman" w:hAnsi="Times New Roman" w:eastAsia="宋体"/>
                <w:color w:val="auto"/>
                <w:sz w:val="24"/>
              </w:rPr>
              <w:t>。</w:t>
            </w:r>
          </w:p>
          <w:p w14:paraId="083157DB">
            <w:pPr>
              <w:pStyle w:val="61"/>
              <w:ind w:left="0" w:leftChars="0" w:firstLine="0" w:firstLineChars="0"/>
              <w:rPr>
                <w:rFonts w:hint="eastAsia" w:ascii="Times New Roman" w:hAnsi="Times New Roman" w:eastAsia="宋体"/>
                <w:color w:val="auto"/>
              </w:rPr>
            </w:pPr>
          </w:p>
          <w:p w14:paraId="26E51E4E">
            <w:pPr>
              <w:pStyle w:val="61"/>
              <w:ind w:left="0" w:leftChars="0" w:firstLine="0" w:firstLineChars="0"/>
              <w:rPr>
                <w:rFonts w:hint="eastAsia" w:ascii="Times New Roman" w:hAnsi="Times New Roman" w:eastAsia="宋体"/>
                <w:color w:val="auto"/>
              </w:rPr>
            </w:pPr>
          </w:p>
          <w:p w14:paraId="73E6F4FD">
            <w:pPr>
              <w:pStyle w:val="61"/>
              <w:ind w:left="0" w:leftChars="0" w:firstLine="0" w:firstLineChars="0"/>
              <w:rPr>
                <w:rFonts w:hint="eastAsia" w:ascii="Times New Roman" w:hAnsi="Times New Roman" w:eastAsia="宋体"/>
                <w:color w:val="auto"/>
              </w:rPr>
            </w:pPr>
          </w:p>
          <w:p w14:paraId="0569F0CA">
            <w:pPr>
              <w:pStyle w:val="61"/>
              <w:ind w:left="0" w:leftChars="0" w:firstLine="0" w:firstLineChars="0"/>
              <w:rPr>
                <w:rFonts w:hint="eastAsia" w:ascii="Times New Roman" w:hAnsi="Times New Roman" w:eastAsia="宋体"/>
                <w:color w:val="auto"/>
              </w:rPr>
            </w:pPr>
          </w:p>
          <w:p w14:paraId="7BFE3505">
            <w:pPr>
              <w:pStyle w:val="61"/>
              <w:ind w:left="0" w:leftChars="0" w:firstLine="0" w:firstLineChars="0"/>
              <w:rPr>
                <w:rFonts w:hint="eastAsia" w:ascii="Times New Roman" w:hAnsi="Times New Roman" w:eastAsia="宋体"/>
                <w:color w:val="auto"/>
              </w:rPr>
            </w:pPr>
          </w:p>
          <w:p w14:paraId="54E5ADBF">
            <w:pPr>
              <w:pStyle w:val="61"/>
              <w:ind w:left="0" w:leftChars="0" w:firstLine="0" w:firstLineChars="0"/>
              <w:rPr>
                <w:rFonts w:hint="eastAsia" w:ascii="Times New Roman" w:hAnsi="Times New Roman" w:eastAsia="宋体"/>
                <w:color w:val="auto"/>
              </w:rPr>
            </w:pPr>
          </w:p>
          <w:p w14:paraId="78556AC0">
            <w:pPr>
              <w:pStyle w:val="61"/>
              <w:ind w:left="0" w:leftChars="0" w:firstLine="0" w:firstLineChars="0"/>
              <w:rPr>
                <w:rFonts w:hint="eastAsia" w:ascii="Times New Roman" w:hAnsi="Times New Roman" w:eastAsia="宋体"/>
                <w:color w:val="auto"/>
              </w:rPr>
            </w:pPr>
          </w:p>
          <w:p w14:paraId="44F9C756">
            <w:pPr>
              <w:pStyle w:val="61"/>
              <w:ind w:left="0" w:leftChars="0" w:firstLine="0" w:firstLineChars="0"/>
              <w:rPr>
                <w:rFonts w:hint="eastAsia" w:ascii="Times New Roman" w:hAnsi="Times New Roman" w:eastAsia="宋体"/>
                <w:color w:val="auto"/>
              </w:rPr>
            </w:pPr>
          </w:p>
          <w:p w14:paraId="147BE0FB">
            <w:pPr>
              <w:pStyle w:val="61"/>
              <w:ind w:left="0" w:leftChars="0" w:firstLine="0" w:firstLineChars="0"/>
              <w:rPr>
                <w:rFonts w:hint="eastAsia" w:ascii="Times New Roman" w:hAnsi="Times New Roman" w:eastAsia="宋体"/>
                <w:color w:val="auto"/>
              </w:rPr>
            </w:pPr>
          </w:p>
          <w:p w14:paraId="74B85879">
            <w:pPr>
              <w:pStyle w:val="61"/>
              <w:ind w:left="0" w:leftChars="0" w:firstLine="0" w:firstLineChars="0"/>
              <w:rPr>
                <w:rFonts w:hint="eastAsia" w:ascii="Times New Roman" w:hAnsi="Times New Roman" w:eastAsia="宋体"/>
                <w:color w:val="auto"/>
              </w:rPr>
            </w:pPr>
          </w:p>
          <w:p w14:paraId="4F7178A5">
            <w:pPr>
              <w:pStyle w:val="61"/>
              <w:ind w:left="0" w:leftChars="0" w:firstLine="0" w:firstLineChars="0"/>
              <w:rPr>
                <w:rFonts w:hint="eastAsia" w:ascii="Times New Roman" w:hAnsi="Times New Roman" w:eastAsia="宋体"/>
                <w:color w:val="auto"/>
              </w:rPr>
            </w:pPr>
          </w:p>
          <w:p w14:paraId="51D9EB65">
            <w:pPr>
              <w:pStyle w:val="61"/>
              <w:ind w:left="0" w:leftChars="0" w:firstLine="0" w:firstLineChars="0"/>
              <w:rPr>
                <w:rFonts w:hint="eastAsia" w:ascii="Times New Roman" w:hAnsi="Times New Roman" w:eastAsia="宋体"/>
                <w:color w:val="auto"/>
              </w:rPr>
            </w:pPr>
          </w:p>
          <w:p w14:paraId="2E0C3F9A">
            <w:pPr>
              <w:pStyle w:val="61"/>
              <w:ind w:left="0" w:leftChars="0" w:firstLine="0" w:firstLineChars="0"/>
              <w:rPr>
                <w:rFonts w:hint="eastAsia" w:ascii="Times New Roman" w:hAnsi="Times New Roman" w:eastAsia="宋体"/>
                <w:color w:val="auto"/>
              </w:rPr>
            </w:pPr>
          </w:p>
        </w:tc>
      </w:tr>
    </w:tbl>
    <w:p w14:paraId="1D6C9566">
      <w:pPr>
        <w:rPr>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003"/>
      </w:tblGrid>
      <w:tr w14:paraId="7582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6" w:hRule="atLeast"/>
        </w:trPr>
        <w:tc>
          <w:tcPr>
            <w:tcW w:w="893" w:type="dxa"/>
            <w:noWrap w:val="0"/>
            <w:vAlign w:val="center"/>
          </w:tcPr>
          <w:p w14:paraId="36C2F1A6">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14426FC4">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68C1552E">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72DBAADC">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74EC1CC7">
            <w:pPr>
              <w:adjustRightInd w:val="0"/>
              <w:snapToGrid w:val="0"/>
              <w:jc w:val="center"/>
              <w:rPr>
                <w:rFonts w:hint="eastAsia" w:ascii="Times New Roman" w:hAnsi="Times New Roman" w:eastAsia="宋体"/>
                <w:color w:val="auto"/>
                <w:vertAlign w:val="baseline"/>
              </w:rPr>
            </w:pPr>
            <w:r>
              <w:rPr>
                <w:rFonts w:hint="default" w:ascii="Times New Roman" w:hAnsi="Times New Roman" w:eastAsia="宋体" w:cs="Times New Roman"/>
                <w:bCs/>
                <w:color w:val="auto"/>
                <w:sz w:val="24"/>
                <w:szCs w:val="24"/>
              </w:rPr>
              <w:t>保护措施</w:t>
            </w:r>
          </w:p>
        </w:tc>
        <w:tc>
          <w:tcPr>
            <w:tcW w:w="14003" w:type="dxa"/>
            <w:noWrap w:val="0"/>
            <w:vAlign w:val="top"/>
          </w:tcPr>
          <w:p w14:paraId="2843C650">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二、运营期环境影响和保护措施</w:t>
            </w:r>
          </w:p>
          <w:p w14:paraId="11D1204E">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1、废气</w:t>
            </w:r>
          </w:p>
          <w:p w14:paraId="0C74A972">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（1）</w:t>
            </w:r>
            <w:r>
              <w:rPr>
                <w:rFonts w:hint="eastAsia" w:ascii="Times New Roman" w:hAnsi="Times New Roman" w:eastAsia="宋体" w:cs="Times New Roman"/>
                <w:b/>
                <w:color w:val="auto"/>
                <w:sz w:val="24"/>
                <w:lang w:val="en-US" w:eastAsia="zh-CN"/>
              </w:rPr>
              <w:t>废气污染源源强核算及相关参数</w:t>
            </w:r>
          </w:p>
          <w:p w14:paraId="0EF802B6">
            <w:pPr>
              <w:pStyle w:val="3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表4-1运营期废气污染源源强核算结果及相关参数一览表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65"/>
              <w:gridCol w:w="890"/>
              <w:gridCol w:w="970"/>
              <w:gridCol w:w="1009"/>
              <w:gridCol w:w="1102"/>
              <w:gridCol w:w="717"/>
              <w:gridCol w:w="943"/>
              <w:gridCol w:w="890"/>
              <w:gridCol w:w="783"/>
              <w:gridCol w:w="850"/>
              <w:gridCol w:w="837"/>
              <w:gridCol w:w="1156"/>
              <w:gridCol w:w="1062"/>
              <w:gridCol w:w="1282"/>
            </w:tblGrid>
            <w:tr w14:paraId="74C3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restart"/>
                  <w:shd w:val="clear" w:color="auto" w:fill="D7D7D7" w:themeFill="background1" w:themeFillShade="D8"/>
                  <w:noWrap w:val="0"/>
                  <w:vAlign w:val="center"/>
                </w:tcPr>
                <w:p w14:paraId="34F97213">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序号</w:t>
                  </w:r>
                </w:p>
              </w:tc>
              <w:tc>
                <w:tcPr>
                  <w:tcW w:w="314" w:type="pct"/>
                  <w:vMerge w:val="restart"/>
                  <w:shd w:val="clear" w:color="auto" w:fill="D7D7D7" w:themeFill="background1" w:themeFillShade="D8"/>
                  <w:noWrap w:val="0"/>
                  <w:vAlign w:val="center"/>
                </w:tcPr>
                <w:p w14:paraId="24746826">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产排污环节</w:t>
                  </w:r>
                </w:p>
              </w:tc>
              <w:tc>
                <w:tcPr>
                  <w:tcW w:w="323" w:type="pct"/>
                  <w:vMerge w:val="restart"/>
                  <w:shd w:val="clear" w:color="auto" w:fill="D7D7D7" w:themeFill="background1" w:themeFillShade="D8"/>
                  <w:noWrap w:val="0"/>
                  <w:vAlign w:val="center"/>
                </w:tcPr>
                <w:p w14:paraId="2172452B">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污染物</w:t>
                  </w:r>
                </w:p>
              </w:tc>
              <w:tc>
                <w:tcPr>
                  <w:tcW w:w="1118" w:type="pct"/>
                  <w:gridSpan w:val="3"/>
                  <w:shd w:val="clear" w:color="auto" w:fill="D7D7D7" w:themeFill="background1" w:themeFillShade="D8"/>
                  <w:noWrap w:val="0"/>
                  <w:vAlign w:val="center"/>
                </w:tcPr>
                <w:p w14:paraId="546B45E2">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污染物产生</w:t>
                  </w:r>
                </w:p>
              </w:tc>
              <w:tc>
                <w:tcPr>
                  <w:tcW w:w="260" w:type="pct"/>
                  <w:vMerge w:val="restart"/>
                  <w:shd w:val="clear" w:color="auto" w:fill="D7D7D7" w:themeFill="background1" w:themeFillShade="D8"/>
                  <w:noWrap w:val="0"/>
                  <w:vAlign w:val="center"/>
                </w:tcPr>
                <w:p w14:paraId="3FE77F50">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排放形式</w:t>
                  </w:r>
                </w:p>
              </w:tc>
              <w:tc>
                <w:tcPr>
                  <w:tcW w:w="342" w:type="pct"/>
                  <w:vMerge w:val="restart"/>
                  <w:shd w:val="clear" w:color="auto" w:fill="D7D7D7" w:themeFill="background1" w:themeFillShade="D8"/>
                  <w:noWrap w:val="0"/>
                  <w:vAlign w:val="center"/>
                </w:tcPr>
                <w:p w14:paraId="764BCA02">
                  <w:pPr>
                    <w:adjustRightInd w:val="0"/>
                    <w:snapToGrid w:val="0"/>
                    <w:jc w:val="center"/>
                    <w:rPr>
                      <w:rFonts w:ascii="Times New Roman" w:hAnsi="Times New Roman"/>
                      <w:bCs/>
                      <w:color w:val="auto"/>
                      <w:spacing w:val="0"/>
                      <w:sz w:val="21"/>
                      <w:szCs w:val="21"/>
                    </w:rPr>
                  </w:pPr>
                  <w:r>
                    <w:rPr>
                      <w:rFonts w:ascii="Times New Roman"/>
                      <w:bCs/>
                      <w:color w:val="auto"/>
                      <w:spacing w:val="0"/>
                      <w:sz w:val="21"/>
                      <w:szCs w:val="21"/>
                    </w:rPr>
                    <w:t>收集效率（</w:t>
                  </w:r>
                  <w:r>
                    <w:rPr>
                      <w:rFonts w:ascii="Times New Roman" w:hAnsi="Times New Roman"/>
                      <w:bCs/>
                      <w:color w:val="auto"/>
                      <w:spacing w:val="0"/>
                      <w:sz w:val="21"/>
                      <w:szCs w:val="21"/>
                    </w:rPr>
                    <w:t>%</w:t>
                  </w:r>
                  <w:r>
                    <w:rPr>
                      <w:rFonts w:ascii="Times New Roman"/>
                      <w:bCs/>
                      <w:color w:val="auto"/>
                      <w:spacing w:val="0"/>
                      <w:sz w:val="21"/>
                      <w:szCs w:val="21"/>
                    </w:rPr>
                    <w:t>）</w:t>
                  </w:r>
                </w:p>
              </w:tc>
              <w:tc>
                <w:tcPr>
                  <w:tcW w:w="916" w:type="pct"/>
                  <w:gridSpan w:val="3"/>
                  <w:shd w:val="clear" w:color="auto" w:fill="D7D7D7" w:themeFill="background1" w:themeFillShade="D8"/>
                  <w:noWrap w:val="0"/>
                  <w:vAlign w:val="center"/>
                </w:tcPr>
                <w:p w14:paraId="13395641">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治理效率</w:t>
                  </w:r>
                </w:p>
              </w:tc>
              <w:tc>
                <w:tcPr>
                  <w:tcW w:w="1109" w:type="pct"/>
                  <w:gridSpan w:val="3"/>
                  <w:shd w:val="clear" w:color="auto" w:fill="D7D7D7" w:themeFill="background1" w:themeFillShade="D8"/>
                  <w:noWrap w:val="0"/>
                  <w:vAlign w:val="center"/>
                </w:tcPr>
                <w:p w14:paraId="1FA5DF4E">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污染物排放</w:t>
                  </w:r>
                </w:p>
              </w:tc>
              <w:tc>
                <w:tcPr>
                  <w:tcW w:w="465" w:type="pct"/>
                  <w:vMerge w:val="restart"/>
                  <w:shd w:val="clear" w:color="auto" w:fill="D7D7D7" w:themeFill="background1" w:themeFillShade="D8"/>
                  <w:noWrap w:val="0"/>
                  <w:vAlign w:val="center"/>
                </w:tcPr>
                <w:p w14:paraId="0E3680FD">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排放标准</w:t>
                  </w:r>
                </w:p>
              </w:tc>
            </w:tr>
            <w:tr w14:paraId="57C7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vMerge w:val="continue"/>
                  <w:shd w:val="clear" w:color="auto" w:fill="D7D7D7" w:themeFill="background1" w:themeFillShade="D8"/>
                  <w:noWrap w:val="0"/>
                  <w:vAlign w:val="center"/>
                </w:tcPr>
                <w:p w14:paraId="1252E140">
                  <w:pPr>
                    <w:adjustRightInd w:val="0"/>
                    <w:snapToGrid w:val="0"/>
                    <w:jc w:val="center"/>
                    <w:rPr>
                      <w:rFonts w:ascii="Times New Roman" w:hAnsi="Times New Roman"/>
                      <w:bCs/>
                      <w:color w:val="auto"/>
                      <w:spacing w:val="0"/>
                      <w:sz w:val="21"/>
                      <w:szCs w:val="21"/>
                    </w:rPr>
                  </w:pPr>
                </w:p>
              </w:tc>
              <w:tc>
                <w:tcPr>
                  <w:tcW w:w="314" w:type="pct"/>
                  <w:vMerge w:val="continue"/>
                  <w:shd w:val="clear" w:color="auto" w:fill="D7D7D7" w:themeFill="background1" w:themeFillShade="D8"/>
                  <w:noWrap w:val="0"/>
                  <w:vAlign w:val="center"/>
                </w:tcPr>
                <w:p w14:paraId="43AB481C">
                  <w:pPr>
                    <w:adjustRightInd w:val="0"/>
                    <w:snapToGrid w:val="0"/>
                    <w:jc w:val="center"/>
                    <w:rPr>
                      <w:rFonts w:ascii="Times New Roman" w:hAnsi="Times New Roman"/>
                      <w:bCs/>
                      <w:color w:val="auto"/>
                      <w:spacing w:val="0"/>
                      <w:sz w:val="21"/>
                      <w:szCs w:val="21"/>
                    </w:rPr>
                  </w:pPr>
                </w:p>
              </w:tc>
              <w:tc>
                <w:tcPr>
                  <w:tcW w:w="323" w:type="pct"/>
                  <w:vMerge w:val="continue"/>
                  <w:shd w:val="clear" w:color="auto" w:fill="D7D7D7" w:themeFill="background1" w:themeFillShade="D8"/>
                  <w:noWrap w:val="0"/>
                  <w:vAlign w:val="center"/>
                </w:tcPr>
                <w:p w14:paraId="030638EF">
                  <w:pPr>
                    <w:adjustRightInd w:val="0"/>
                    <w:snapToGrid w:val="0"/>
                    <w:jc w:val="center"/>
                    <w:rPr>
                      <w:rFonts w:ascii="Times New Roman" w:hAnsi="Times New Roman"/>
                      <w:bCs/>
                      <w:color w:val="auto"/>
                      <w:spacing w:val="0"/>
                      <w:sz w:val="21"/>
                      <w:szCs w:val="21"/>
                    </w:rPr>
                  </w:pPr>
                </w:p>
              </w:tc>
              <w:tc>
                <w:tcPr>
                  <w:tcW w:w="352" w:type="pct"/>
                  <w:shd w:val="clear" w:color="auto" w:fill="D7D7D7" w:themeFill="background1" w:themeFillShade="D8"/>
                  <w:noWrap w:val="0"/>
                  <w:vAlign w:val="center"/>
                </w:tcPr>
                <w:p w14:paraId="2ABD00BA">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产生量（t/a）</w:t>
                  </w:r>
                </w:p>
              </w:tc>
              <w:tc>
                <w:tcPr>
                  <w:tcW w:w="366" w:type="pct"/>
                  <w:shd w:val="clear" w:color="auto" w:fill="D7D7D7" w:themeFill="background1" w:themeFillShade="D8"/>
                  <w:noWrap w:val="0"/>
                  <w:vAlign w:val="center"/>
                </w:tcPr>
                <w:p w14:paraId="72D1A9EF">
                  <w:pPr>
                    <w:adjustRightInd w:val="0"/>
                    <w:snapToGrid w:val="0"/>
                    <w:jc w:val="center"/>
                    <w:rPr>
                      <w:rFonts w:ascii="Times New Roman" w:hAnsi="Times New Roman"/>
                      <w:bCs/>
                      <w:color w:val="auto"/>
                      <w:spacing w:val="0"/>
                      <w:sz w:val="21"/>
                      <w:szCs w:val="21"/>
                    </w:rPr>
                  </w:pPr>
                  <w:r>
                    <w:rPr>
                      <w:rFonts w:hint="eastAsia" w:ascii="Times New Roman" w:hAnsi="Times New Roman"/>
                      <w:bCs/>
                      <w:color w:val="auto"/>
                      <w:spacing w:val="0"/>
                      <w:sz w:val="21"/>
                      <w:szCs w:val="21"/>
                      <w:lang w:val="en-US" w:eastAsia="zh-CN"/>
                    </w:rPr>
                    <w:t>产生</w:t>
                  </w:r>
                  <w:r>
                    <w:rPr>
                      <w:rFonts w:ascii="Times New Roman" w:hAnsi="Times New Roman"/>
                      <w:bCs/>
                      <w:color w:val="auto"/>
                      <w:spacing w:val="0"/>
                      <w:sz w:val="21"/>
                      <w:szCs w:val="21"/>
                    </w:rPr>
                    <w:t>速率（kg/h）</w:t>
                  </w:r>
                </w:p>
              </w:tc>
              <w:tc>
                <w:tcPr>
                  <w:tcW w:w="400" w:type="pct"/>
                  <w:shd w:val="clear" w:color="auto" w:fill="D7D7D7" w:themeFill="background1" w:themeFillShade="D8"/>
                  <w:noWrap w:val="0"/>
                  <w:vAlign w:val="center"/>
                </w:tcPr>
                <w:p w14:paraId="4770142F">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产生浓度（mg/m</w:t>
                  </w:r>
                  <w:r>
                    <w:rPr>
                      <w:rFonts w:ascii="Times New Roman" w:hAnsi="Times New Roman"/>
                      <w:bCs/>
                      <w:color w:val="auto"/>
                      <w:spacing w:val="0"/>
                      <w:sz w:val="21"/>
                      <w:szCs w:val="21"/>
                      <w:vertAlign w:val="superscript"/>
                    </w:rPr>
                    <w:t>3</w:t>
                  </w:r>
                  <w:r>
                    <w:rPr>
                      <w:rFonts w:ascii="Times New Roman" w:hAnsi="Times New Roman"/>
                      <w:bCs/>
                      <w:color w:val="auto"/>
                      <w:spacing w:val="0"/>
                      <w:sz w:val="21"/>
                      <w:szCs w:val="21"/>
                    </w:rPr>
                    <w:t>）</w:t>
                  </w:r>
                </w:p>
              </w:tc>
              <w:tc>
                <w:tcPr>
                  <w:tcW w:w="260" w:type="pct"/>
                  <w:vMerge w:val="continue"/>
                  <w:shd w:val="clear" w:color="auto" w:fill="D7D7D7" w:themeFill="background1" w:themeFillShade="D8"/>
                  <w:noWrap w:val="0"/>
                  <w:vAlign w:val="center"/>
                </w:tcPr>
                <w:p w14:paraId="024319D5">
                  <w:pPr>
                    <w:adjustRightInd w:val="0"/>
                    <w:snapToGrid w:val="0"/>
                    <w:jc w:val="center"/>
                    <w:rPr>
                      <w:rFonts w:ascii="Times New Roman" w:hAnsi="Times New Roman"/>
                      <w:bCs/>
                      <w:color w:val="auto"/>
                      <w:spacing w:val="0"/>
                      <w:sz w:val="21"/>
                      <w:szCs w:val="21"/>
                    </w:rPr>
                  </w:pPr>
                </w:p>
              </w:tc>
              <w:tc>
                <w:tcPr>
                  <w:tcW w:w="342" w:type="pct"/>
                  <w:vMerge w:val="continue"/>
                  <w:shd w:val="clear" w:color="auto" w:fill="D7D7D7" w:themeFill="background1" w:themeFillShade="D8"/>
                  <w:noWrap w:val="0"/>
                  <w:vAlign w:val="center"/>
                </w:tcPr>
                <w:p w14:paraId="01DD276E">
                  <w:pPr>
                    <w:adjustRightInd w:val="0"/>
                    <w:snapToGrid w:val="0"/>
                    <w:jc w:val="center"/>
                    <w:rPr>
                      <w:rFonts w:ascii="Times New Roman" w:hAnsi="Times New Roman"/>
                      <w:bCs/>
                      <w:color w:val="auto"/>
                      <w:spacing w:val="0"/>
                      <w:sz w:val="21"/>
                      <w:szCs w:val="21"/>
                    </w:rPr>
                  </w:pPr>
                </w:p>
              </w:tc>
              <w:tc>
                <w:tcPr>
                  <w:tcW w:w="323" w:type="pct"/>
                  <w:shd w:val="clear" w:color="auto" w:fill="D7D7D7" w:themeFill="background1" w:themeFillShade="D8"/>
                  <w:noWrap w:val="0"/>
                  <w:vAlign w:val="center"/>
                </w:tcPr>
                <w:p w14:paraId="12BB762F">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工艺</w:t>
                  </w:r>
                </w:p>
              </w:tc>
              <w:tc>
                <w:tcPr>
                  <w:tcW w:w="284" w:type="pct"/>
                  <w:shd w:val="clear" w:color="auto" w:fill="D7D7D7" w:themeFill="background1" w:themeFillShade="D8"/>
                  <w:noWrap w:val="0"/>
                  <w:vAlign w:val="center"/>
                </w:tcPr>
                <w:p w14:paraId="3CA576AF">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效率（%）</w:t>
                  </w:r>
                </w:p>
              </w:tc>
              <w:tc>
                <w:tcPr>
                  <w:tcW w:w="308" w:type="pct"/>
                  <w:shd w:val="clear" w:color="auto" w:fill="D7D7D7" w:themeFill="background1" w:themeFillShade="D8"/>
                  <w:noWrap w:val="0"/>
                  <w:vAlign w:val="center"/>
                </w:tcPr>
                <w:p w14:paraId="66B6B6F3">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是否为可行性技术</w:t>
                  </w:r>
                </w:p>
              </w:tc>
              <w:tc>
                <w:tcPr>
                  <w:tcW w:w="303" w:type="pct"/>
                  <w:shd w:val="clear" w:color="auto" w:fill="D7D7D7" w:themeFill="background1" w:themeFillShade="D8"/>
                  <w:noWrap w:val="0"/>
                  <w:vAlign w:val="center"/>
                </w:tcPr>
                <w:p w14:paraId="3FDF7DD9">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排放量（t/a）</w:t>
                  </w:r>
                </w:p>
              </w:tc>
              <w:tc>
                <w:tcPr>
                  <w:tcW w:w="419" w:type="pct"/>
                  <w:shd w:val="clear" w:color="auto" w:fill="D7D7D7" w:themeFill="background1" w:themeFillShade="D8"/>
                  <w:noWrap w:val="0"/>
                  <w:vAlign w:val="center"/>
                </w:tcPr>
                <w:p w14:paraId="6F633855">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排放速率（kg/h）</w:t>
                  </w:r>
                </w:p>
              </w:tc>
              <w:tc>
                <w:tcPr>
                  <w:tcW w:w="385" w:type="pct"/>
                  <w:shd w:val="clear" w:color="auto" w:fill="D7D7D7" w:themeFill="background1" w:themeFillShade="D8"/>
                  <w:noWrap w:val="0"/>
                  <w:vAlign w:val="center"/>
                </w:tcPr>
                <w:p w14:paraId="003DA900">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排放浓度（mg/m</w:t>
                  </w:r>
                  <w:r>
                    <w:rPr>
                      <w:rFonts w:ascii="Times New Roman" w:hAnsi="Times New Roman"/>
                      <w:bCs/>
                      <w:color w:val="auto"/>
                      <w:spacing w:val="0"/>
                      <w:sz w:val="21"/>
                      <w:szCs w:val="21"/>
                      <w:vertAlign w:val="superscript"/>
                    </w:rPr>
                    <w:t>3</w:t>
                  </w:r>
                  <w:r>
                    <w:rPr>
                      <w:rFonts w:ascii="Times New Roman" w:hAnsi="Times New Roman"/>
                      <w:bCs/>
                      <w:color w:val="auto"/>
                      <w:spacing w:val="0"/>
                      <w:sz w:val="21"/>
                      <w:szCs w:val="21"/>
                    </w:rPr>
                    <w:t>）</w:t>
                  </w:r>
                </w:p>
              </w:tc>
              <w:tc>
                <w:tcPr>
                  <w:tcW w:w="465" w:type="pct"/>
                  <w:vMerge w:val="continue"/>
                  <w:shd w:val="clear" w:color="auto" w:fill="D7D7D7" w:themeFill="background1" w:themeFillShade="D8"/>
                  <w:noWrap w:val="0"/>
                  <w:vAlign w:val="center"/>
                </w:tcPr>
                <w:p w14:paraId="6471D4C2">
                  <w:pPr>
                    <w:adjustRightInd w:val="0"/>
                    <w:snapToGrid w:val="0"/>
                    <w:jc w:val="center"/>
                    <w:rPr>
                      <w:rFonts w:ascii="Times New Roman" w:hAnsi="Times New Roman"/>
                      <w:bCs/>
                      <w:color w:val="auto"/>
                      <w:spacing w:val="0"/>
                      <w:sz w:val="21"/>
                      <w:szCs w:val="21"/>
                    </w:rPr>
                  </w:pPr>
                </w:p>
              </w:tc>
            </w:tr>
            <w:tr w14:paraId="6E1B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noWrap w:val="0"/>
                  <w:vAlign w:val="center"/>
                </w:tcPr>
                <w:p w14:paraId="231C4226">
                  <w:pPr>
                    <w:adjustRightInd w:val="0"/>
                    <w:snapToGrid w:val="0"/>
                    <w:jc w:val="center"/>
                    <w:rPr>
                      <w:rFonts w:hint="eastAsia" w:ascii="Times New Roman" w:hAnsi="Times New Roman" w:eastAsia="宋体"/>
                      <w:bCs/>
                      <w:color w:val="auto"/>
                      <w:spacing w:val="0"/>
                      <w:kern w:val="2"/>
                      <w:sz w:val="21"/>
                      <w:szCs w:val="21"/>
                      <w:lang w:val="en-US" w:eastAsia="zh-CN" w:bidi="ar-SA"/>
                    </w:rPr>
                  </w:pPr>
                  <w:r>
                    <w:rPr>
                      <w:rFonts w:hint="eastAsia" w:ascii="Times New Roman" w:hAnsi="Times New Roman"/>
                      <w:bCs/>
                      <w:color w:val="auto"/>
                      <w:spacing w:val="0"/>
                      <w:sz w:val="21"/>
                      <w:szCs w:val="21"/>
                      <w:lang w:val="en-US" w:eastAsia="zh-CN"/>
                    </w:rPr>
                    <w:t>1</w:t>
                  </w:r>
                </w:p>
              </w:tc>
              <w:tc>
                <w:tcPr>
                  <w:tcW w:w="314" w:type="pct"/>
                  <w:noWrap w:val="0"/>
                  <w:vAlign w:val="center"/>
                </w:tcPr>
                <w:p w14:paraId="53201E6C">
                  <w:pPr>
                    <w:adjustRightInd w:val="0"/>
                    <w:snapToGrid w:val="0"/>
                    <w:jc w:val="center"/>
                    <w:rPr>
                      <w:rFonts w:hint="default"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焊接烟气</w:t>
                  </w:r>
                </w:p>
              </w:tc>
              <w:tc>
                <w:tcPr>
                  <w:tcW w:w="323" w:type="pct"/>
                  <w:noWrap w:val="0"/>
                  <w:vAlign w:val="center"/>
                </w:tcPr>
                <w:p w14:paraId="4554FC95">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颗粒物</w:t>
                  </w:r>
                </w:p>
              </w:tc>
              <w:tc>
                <w:tcPr>
                  <w:tcW w:w="352" w:type="pct"/>
                  <w:noWrap w:val="0"/>
                  <w:vAlign w:val="center"/>
                </w:tcPr>
                <w:p w14:paraId="53494780">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2.21</w:t>
                  </w:r>
                  <w:r>
                    <w:rPr>
                      <w:rFonts w:hint="eastAsia"/>
                      <w:bCs/>
                      <w:color w:val="auto"/>
                      <w:spacing w:val="0"/>
                      <w:sz w:val="21"/>
                      <w:szCs w:val="21"/>
                      <w:lang w:val="en-US" w:eastAsia="zh-CN"/>
                    </w:rPr>
                    <w:t>04</w:t>
                  </w:r>
                </w:p>
              </w:tc>
              <w:tc>
                <w:tcPr>
                  <w:tcW w:w="366" w:type="pct"/>
                  <w:noWrap w:val="0"/>
                  <w:vAlign w:val="center"/>
                </w:tcPr>
                <w:p w14:paraId="1B998BC8">
                  <w:pPr>
                    <w:adjustRightInd w:val="0"/>
                    <w:snapToGrid w:val="0"/>
                    <w:jc w:val="center"/>
                    <w:rPr>
                      <w:rFonts w:hint="default"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0.92</w:t>
                  </w:r>
                  <w:r>
                    <w:rPr>
                      <w:rFonts w:hint="eastAsia"/>
                      <w:bCs/>
                      <w:color w:val="auto"/>
                      <w:spacing w:val="0"/>
                      <w:sz w:val="21"/>
                      <w:szCs w:val="21"/>
                      <w:lang w:val="en-US" w:eastAsia="zh-CN"/>
                    </w:rPr>
                    <w:t>10</w:t>
                  </w:r>
                </w:p>
              </w:tc>
              <w:tc>
                <w:tcPr>
                  <w:tcW w:w="400" w:type="pct"/>
                  <w:noWrap w:val="0"/>
                  <w:vAlign w:val="center"/>
                </w:tcPr>
                <w:p w14:paraId="7EAEEF9E">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260" w:type="pct"/>
                  <w:noWrap w:val="0"/>
                  <w:vAlign w:val="center"/>
                </w:tcPr>
                <w:p w14:paraId="61344E41">
                  <w:pPr>
                    <w:adjustRightInd w:val="0"/>
                    <w:snapToGrid w:val="0"/>
                    <w:jc w:val="center"/>
                    <w:rPr>
                      <w:rFonts w:hint="eastAsia"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无</w:t>
                  </w:r>
                  <w:r>
                    <w:rPr>
                      <w:rFonts w:ascii="Times New Roman" w:hAnsi="Times New Roman"/>
                      <w:bCs/>
                      <w:color w:val="auto"/>
                      <w:spacing w:val="0"/>
                      <w:sz w:val="21"/>
                      <w:szCs w:val="21"/>
                    </w:rPr>
                    <w:t>组织</w:t>
                  </w:r>
                </w:p>
              </w:tc>
              <w:tc>
                <w:tcPr>
                  <w:tcW w:w="342" w:type="pct"/>
                  <w:noWrap w:val="0"/>
                  <w:vAlign w:val="center"/>
                </w:tcPr>
                <w:p w14:paraId="659F6ED7">
                  <w:pPr>
                    <w:adjustRightInd w:val="0"/>
                    <w:snapToGrid w:val="0"/>
                    <w:jc w:val="center"/>
                    <w:rPr>
                      <w:rFonts w:hint="default" w:ascii="Times New Roman" w:hAnsi="Times New Roman" w:eastAsia="宋体"/>
                      <w:bCs/>
                      <w:color w:val="auto"/>
                      <w:spacing w:val="0"/>
                      <w:sz w:val="21"/>
                      <w:szCs w:val="21"/>
                      <w:lang w:val="en-US" w:eastAsia="zh-CN"/>
                    </w:rPr>
                  </w:pPr>
                  <w:r>
                    <w:rPr>
                      <w:rFonts w:hint="eastAsia"/>
                      <w:bCs/>
                      <w:color w:val="auto"/>
                      <w:spacing w:val="0"/>
                      <w:sz w:val="21"/>
                      <w:szCs w:val="21"/>
                      <w:lang w:val="en-US" w:eastAsia="zh-CN"/>
                    </w:rPr>
                    <w:t>80</w:t>
                  </w:r>
                </w:p>
              </w:tc>
              <w:tc>
                <w:tcPr>
                  <w:tcW w:w="323" w:type="pct"/>
                  <w:noWrap w:val="0"/>
                  <w:vAlign w:val="center"/>
                </w:tcPr>
                <w:p w14:paraId="78E03C8A">
                  <w:pPr>
                    <w:adjustRightInd w:val="0"/>
                    <w:snapToGrid w:val="0"/>
                    <w:jc w:val="center"/>
                    <w:rPr>
                      <w:rFonts w:hint="eastAsia"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集气罩+</w:t>
                  </w:r>
                  <w:r>
                    <w:rPr>
                      <w:rFonts w:hint="eastAsia" w:ascii="Times New Roman" w:hAnsi="Times New Roman" w:eastAsia="宋体" w:cs="Times New Roman"/>
                      <w:bCs/>
                      <w:color w:val="auto"/>
                      <w:spacing w:val="0"/>
                      <w:sz w:val="21"/>
                      <w:szCs w:val="21"/>
                      <w:lang w:val="en-US" w:eastAsia="zh-CN"/>
                    </w:rPr>
                    <w:t>烟气净化除尘器</w:t>
                  </w:r>
                </w:p>
              </w:tc>
              <w:tc>
                <w:tcPr>
                  <w:tcW w:w="284" w:type="pct"/>
                  <w:noWrap w:val="0"/>
                  <w:vAlign w:val="center"/>
                </w:tcPr>
                <w:p w14:paraId="641B26F5">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bCs/>
                      <w:color w:val="auto"/>
                      <w:spacing w:val="0"/>
                      <w:sz w:val="21"/>
                      <w:szCs w:val="21"/>
                      <w:lang w:val="en-US" w:eastAsia="zh-CN"/>
                    </w:rPr>
                    <w:t>95</w:t>
                  </w:r>
                </w:p>
              </w:tc>
              <w:tc>
                <w:tcPr>
                  <w:tcW w:w="308" w:type="pct"/>
                  <w:noWrap w:val="0"/>
                  <w:vAlign w:val="center"/>
                </w:tcPr>
                <w:p w14:paraId="0A6F5580">
                  <w:pPr>
                    <w:adjustRightInd w:val="0"/>
                    <w:snapToGrid w:val="0"/>
                    <w:jc w:val="center"/>
                    <w:rPr>
                      <w:rFonts w:hint="eastAsia" w:ascii="Times New Roman" w:hAnsi="Times New Roman" w:eastAsia="宋体"/>
                      <w:bCs/>
                      <w:color w:val="auto"/>
                      <w:spacing w:val="0"/>
                      <w:sz w:val="21"/>
                      <w:szCs w:val="21"/>
                      <w:lang w:val="en-US" w:eastAsia="zh-CN"/>
                    </w:rPr>
                  </w:pPr>
                  <w:r>
                    <w:rPr>
                      <w:rFonts w:hint="eastAsia" w:ascii="Times New Roman" w:hAnsi="Times New Roman"/>
                      <w:bCs/>
                      <w:color w:val="auto"/>
                      <w:spacing w:val="0"/>
                      <w:sz w:val="21"/>
                      <w:szCs w:val="21"/>
                      <w:lang w:val="en-US" w:eastAsia="zh-CN"/>
                    </w:rPr>
                    <w:t>/</w:t>
                  </w:r>
                </w:p>
              </w:tc>
              <w:tc>
                <w:tcPr>
                  <w:tcW w:w="837" w:type="dxa"/>
                  <w:noWrap w:val="0"/>
                  <w:vAlign w:val="center"/>
                </w:tcPr>
                <w:p w14:paraId="77574031">
                  <w:pPr>
                    <w:pStyle w:val="64"/>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color w:val="auto"/>
                      <w:sz w:val="21"/>
                      <w:szCs w:val="21"/>
                      <w:lang w:val="en-US" w:eastAsia="zh-CN"/>
                    </w:rPr>
                    <w:t>0.</w:t>
                  </w:r>
                  <w:r>
                    <w:rPr>
                      <w:rFonts w:hint="eastAsia" w:ascii="Times New Roman" w:hAnsi="Times New Roman"/>
                      <w:color w:val="auto"/>
                      <w:sz w:val="21"/>
                      <w:szCs w:val="21"/>
                      <w:lang w:val="en-US" w:eastAsia="zh-CN"/>
                    </w:rPr>
                    <w:t>5305</w:t>
                  </w:r>
                </w:p>
              </w:tc>
              <w:tc>
                <w:tcPr>
                  <w:tcW w:w="419" w:type="pct"/>
                  <w:noWrap w:val="0"/>
                  <w:vAlign w:val="center"/>
                </w:tcPr>
                <w:p w14:paraId="1FAAF04D">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0.</w:t>
                  </w:r>
                  <w:r>
                    <w:rPr>
                      <w:rFonts w:hint="eastAsia"/>
                      <w:bCs/>
                      <w:color w:val="auto"/>
                      <w:spacing w:val="0"/>
                      <w:sz w:val="21"/>
                      <w:szCs w:val="21"/>
                      <w:lang w:val="en-US" w:eastAsia="zh-CN"/>
                    </w:rPr>
                    <w:t>2210</w:t>
                  </w:r>
                </w:p>
              </w:tc>
              <w:tc>
                <w:tcPr>
                  <w:tcW w:w="385" w:type="pct"/>
                  <w:noWrap w:val="0"/>
                  <w:vAlign w:val="center"/>
                </w:tcPr>
                <w:p w14:paraId="56E5B530">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465" w:type="pct"/>
                  <w:vMerge w:val="restart"/>
                  <w:noWrap w:val="0"/>
                  <w:vAlign w:val="center"/>
                </w:tcPr>
                <w:p w14:paraId="58140F9C">
                  <w:pPr>
                    <w:adjustRightInd w:val="0"/>
                    <w:snapToGrid w:val="0"/>
                    <w:jc w:val="center"/>
                    <w:rPr>
                      <w:rFonts w:ascii="Times New Roman" w:hAnsi="Times New Roman"/>
                      <w:bCs/>
                      <w:color w:val="auto"/>
                      <w:spacing w:val="0"/>
                      <w:sz w:val="21"/>
                      <w:szCs w:val="21"/>
                    </w:rPr>
                  </w:pPr>
                  <w:r>
                    <w:rPr>
                      <w:rFonts w:hint="default" w:ascii="Times New Roman" w:hAnsi="Times New Roman" w:eastAsia="宋体" w:cs="Times New Roman"/>
                      <w:bCs/>
                      <w:color w:val="auto"/>
                      <w:spacing w:val="0"/>
                      <w:sz w:val="21"/>
                      <w:szCs w:val="21"/>
                    </w:rPr>
                    <w:t>《大气污染物综合排放标准》（GB16297-1996）表2中</w:t>
                  </w:r>
                  <w:r>
                    <w:rPr>
                      <w:rFonts w:hint="default" w:ascii="Times New Roman" w:hAnsi="Times New Roman" w:eastAsia="宋体" w:cs="Times New Roman"/>
                      <w:bCs/>
                      <w:color w:val="auto"/>
                      <w:spacing w:val="0"/>
                      <w:sz w:val="21"/>
                      <w:szCs w:val="21"/>
                      <w:lang w:val="en-US" w:eastAsia="zh-CN"/>
                    </w:rPr>
                    <w:t>无组织排放监控浓度限值</w:t>
                  </w:r>
                </w:p>
              </w:tc>
            </w:tr>
            <w:tr w14:paraId="3183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 w:type="pct"/>
                  <w:noWrap w:val="0"/>
                  <w:vAlign w:val="center"/>
                </w:tcPr>
                <w:p w14:paraId="0183247C">
                  <w:pPr>
                    <w:adjustRightInd w:val="0"/>
                    <w:snapToGrid w:val="0"/>
                    <w:jc w:val="center"/>
                    <w:rPr>
                      <w:rFonts w:hint="eastAsia" w:ascii="Times New Roman" w:hAnsi="Times New Roman"/>
                      <w:bCs/>
                      <w:color w:val="auto"/>
                      <w:spacing w:val="0"/>
                      <w:kern w:val="2"/>
                      <w:sz w:val="21"/>
                      <w:szCs w:val="21"/>
                      <w:lang w:val="en-US" w:eastAsia="zh-CN" w:bidi="ar-SA"/>
                    </w:rPr>
                  </w:pPr>
                  <w:r>
                    <w:rPr>
                      <w:rFonts w:hint="eastAsia" w:ascii="Times New Roman" w:hAnsi="Times New Roman"/>
                      <w:bCs/>
                      <w:color w:val="auto"/>
                      <w:spacing w:val="0"/>
                      <w:sz w:val="21"/>
                      <w:szCs w:val="21"/>
                      <w:lang w:val="en-US" w:eastAsia="zh-CN"/>
                    </w:rPr>
                    <w:t>2</w:t>
                  </w:r>
                </w:p>
              </w:tc>
              <w:tc>
                <w:tcPr>
                  <w:tcW w:w="314" w:type="pct"/>
                  <w:noWrap w:val="0"/>
                  <w:vAlign w:val="center"/>
                </w:tcPr>
                <w:p w14:paraId="39D527AE">
                  <w:pPr>
                    <w:adjustRightInd w:val="0"/>
                    <w:snapToGrid w:val="0"/>
                    <w:jc w:val="center"/>
                    <w:rPr>
                      <w:rFonts w:hint="eastAsia" w:ascii="Times New Roman" w:hAnsi="Times New Roman" w:eastAsia="宋体"/>
                      <w:bCs/>
                      <w:color w:val="auto"/>
                      <w:spacing w:val="0"/>
                      <w:sz w:val="21"/>
                      <w:szCs w:val="21"/>
                      <w:lang w:eastAsia="zh-CN"/>
                    </w:rPr>
                  </w:pPr>
                  <w:r>
                    <w:rPr>
                      <w:rFonts w:hint="eastAsia" w:ascii="Times New Roman" w:hAnsi="Times New Roman"/>
                      <w:bCs/>
                      <w:color w:val="auto"/>
                      <w:spacing w:val="0"/>
                      <w:sz w:val="21"/>
                      <w:szCs w:val="21"/>
                      <w:lang w:val="en-US" w:eastAsia="zh-CN"/>
                    </w:rPr>
                    <w:t>切割粉尘</w:t>
                  </w:r>
                </w:p>
              </w:tc>
              <w:tc>
                <w:tcPr>
                  <w:tcW w:w="323" w:type="pct"/>
                  <w:noWrap w:val="0"/>
                  <w:vAlign w:val="center"/>
                </w:tcPr>
                <w:p w14:paraId="12E09FD8">
                  <w:pPr>
                    <w:adjustRightInd w:val="0"/>
                    <w:snapToGrid w:val="0"/>
                    <w:jc w:val="center"/>
                    <w:rPr>
                      <w:rFonts w:ascii="Times New Roman" w:hAnsi="Times New Roman"/>
                      <w:bCs/>
                      <w:color w:val="auto"/>
                      <w:spacing w:val="0"/>
                      <w:sz w:val="21"/>
                      <w:szCs w:val="21"/>
                    </w:rPr>
                  </w:pPr>
                  <w:r>
                    <w:rPr>
                      <w:rFonts w:ascii="Times New Roman" w:hAnsi="Times New Roman"/>
                      <w:bCs/>
                      <w:color w:val="auto"/>
                      <w:spacing w:val="0"/>
                      <w:sz w:val="21"/>
                      <w:szCs w:val="21"/>
                    </w:rPr>
                    <w:t>颗粒物</w:t>
                  </w:r>
                </w:p>
              </w:tc>
              <w:tc>
                <w:tcPr>
                  <w:tcW w:w="352" w:type="pct"/>
                  <w:noWrap w:val="0"/>
                  <w:vAlign w:val="center"/>
                </w:tcPr>
                <w:p w14:paraId="13F5E583">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0.0924</w:t>
                  </w:r>
                </w:p>
              </w:tc>
              <w:tc>
                <w:tcPr>
                  <w:tcW w:w="366" w:type="pct"/>
                  <w:noWrap w:val="0"/>
                  <w:vAlign w:val="center"/>
                </w:tcPr>
                <w:p w14:paraId="10944595">
                  <w:pPr>
                    <w:adjustRightInd w:val="0"/>
                    <w:snapToGrid w:val="0"/>
                    <w:jc w:val="center"/>
                    <w:rPr>
                      <w:rFonts w:hint="default"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0.0385</w:t>
                  </w:r>
                </w:p>
              </w:tc>
              <w:tc>
                <w:tcPr>
                  <w:tcW w:w="400" w:type="pct"/>
                  <w:noWrap w:val="0"/>
                  <w:vAlign w:val="center"/>
                </w:tcPr>
                <w:p w14:paraId="25B8E22A">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260" w:type="pct"/>
                  <w:noWrap w:val="0"/>
                  <w:vAlign w:val="center"/>
                </w:tcPr>
                <w:p w14:paraId="7BA32309">
                  <w:pPr>
                    <w:adjustRightInd w:val="0"/>
                    <w:snapToGrid w:val="0"/>
                    <w:jc w:val="center"/>
                    <w:rPr>
                      <w:rFonts w:ascii="Times New Roman" w:hAnsi="Times New Roman"/>
                      <w:bCs/>
                      <w:color w:val="auto"/>
                      <w:spacing w:val="0"/>
                      <w:sz w:val="21"/>
                      <w:szCs w:val="21"/>
                    </w:rPr>
                  </w:pPr>
                  <w:r>
                    <w:rPr>
                      <w:rFonts w:hint="eastAsia" w:ascii="Times New Roman" w:hAnsi="Times New Roman"/>
                      <w:bCs/>
                      <w:color w:val="auto"/>
                      <w:spacing w:val="0"/>
                      <w:sz w:val="21"/>
                      <w:szCs w:val="21"/>
                      <w:lang w:val="en-US" w:eastAsia="zh-CN"/>
                    </w:rPr>
                    <w:t>无</w:t>
                  </w:r>
                  <w:r>
                    <w:rPr>
                      <w:rFonts w:ascii="Times New Roman" w:hAnsi="Times New Roman"/>
                      <w:bCs/>
                      <w:color w:val="auto"/>
                      <w:spacing w:val="0"/>
                      <w:sz w:val="21"/>
                      <w:szCs w:val="21"/>
                    </w:rPr>
                    <w:t>组织</w:t>
                  </w:r>
                </w:p>
              </w:tc>
              <w:tc>
                <w:tcPr>
                  <w:tcW w:w="342" w:type="pct"/>
                  <w:noWrap w:val="0"/>
                  <w:vAlign w:val="center"/>
                </w:tcPr>
                <w:p w14:paraId="41C510F4">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bCs/>
                      <w:color w:val="auto"/>
                      <w:spacing w:val="0"/>
                      <w:sz w:val="21"/>
                      <w:szCs w:val="21"/>
                      <w:lang w:val="en-US" w:eastAsia="zh-CN"/>
                    </w:rPr>
                    <w:t>/</w:t>
                  </w:r>
                </w:p>
              </w:tc>
              <w:tc>
                <w:tcPr>
                  <w:tcW w:w="323" w:type="pct"/>
                  <w:noWrap w:val="0"/>
                  <w:vAlign w:val="center"/>
                </w:tcPr>
                <w:p w14:paraId="5FDC1CDE">
                  <w:pPr>
                    <w:adjustRightInd w:val="0"/>
                    <w:snapToGrid w:val="0"/>
                    <w:jc w:val="center"/>
                    <w:rPr>
                      <w:rFonts w:hint="eastAsia" w:ascii="Times New Roman" w:hAnsi="Times New Roman"/>
                      <w:bCs/>
                      <w:color w:val="auto"/>
                      <w:spacing w:val="0"/>
                      <w:kern w:val="2"/>
                      <w:sz w:val="21"/>
                      <w:szCs w:val="21"/>
                      <w:lang w:val="en-US" w:eastAsia="zh-CN" w:bidi="ar-SA"/>
                    </w:rPr>
                  </w:pPr>
                  <w:r>
                    <w:rPr>
                      <w:rFonts w:hint="eastAsia" w:ascii="Times New Roman" w:hAnsi="Times New Roman" w:eastAsia="宋体" w:cs="Times New Roman"/>
                      <w:b w:val="0"/>
                      <w:bCs/>
                      <w:color w:val="auto"/>
                      <w:kern w:val="0"/>
                      <w:sz w:val="21"/>
                      <w:szCs w:val="21"/>
                      <w:lang w:val="en-US" w:eastAsia="zh-CN"/>
                    </w:rPr>
                    <w:t>加强车间及设备密闭</w:t>
                  </w:r>
                </w:p>
              </w:tc>
              <w:tc>
                <w:tcPr>
                  <w:tcW w:w="284" w:type="pct"/>
                  <w:noWrap w:val="0"/>
                  <w:vAlign w:val="center"/>
                </w:tcPr>
                <w:p w14:paraId="5D2777F0">
                  <w:pPr>
                    <w:adjustRightInd w:val="0"/>
                    <w:snapToGrid w:val="0"/>
                    <w:jc w:val="center"/>
                    <w:rPr>
                      <w:rFonts w:hint="default" w:ascii="Times New Roman" w:hAnsi="Times New Roman" w:eastAsia="宋体"/>
                      <w:bCs/>
                      <w:color w:val="auto"/>
                      <w:spacing w:val="0"/>
                      <w:kern w:val="2"/>
                      <w:sz w:val="21"/>
                      <w:szCs w:val="21"/>
                      <w:lang w:val="en-US" w:eastAsia="zh-CN" w:bidi="ar-SA"/>
                    </w:rPr>
                  </w:pPr>
                  <w:r>
                    <w:rPr>
                      <w:rFonts w:hint="eastAsia"/>
                      <w:bCs/>
                      <w:color w:val="auto"/>
                      <w:spacing w:val="0"/>
                      <w:sz w:val="21"/>
                      <w:szCs w:val="21"/>
                      <w:lang w:val="en-US" w:eastAsia="zh-CN"/>
                    </w:rPr>
                    <w:t>/</w:t>
                  </w:r>
                </w:p>
              </w:tc>
              <w:tc>
                <w:tcPr>
                  <w:tcW w:w="308" w:type="pct"/>
                  <w:noWrap w:val="0"/>
                  <w:vAlign w:val="center"/>
                </w:tcPr>
                <w:p w14:paraId="0704D470">
                  <w:pPr>
                    <w:adjustRightInd w:val="0"/>
                    <w:snapToGrid w:val="0"/>
                    <w:jc w:val="center"/>
                    <w:rPr>
                      <w:rFonts w:ascii="Times New Roman" w:hAnsi="Times New Roman"/>
                      <w:bCs/>
                      <w:color w:val="auto"/>
                      <w:spacing w:val="0"/>
                      <w:kern w:val="2"/>
                      <w:sz w:val="21"/>
                      <w:szCs w:val="21"/>
                      <w:lang w:val="en-US" w:eastAsia="zh-CN" w:bidi="ar-SA"/>
                    </w:rPr>
                  </w:pPr>
                  <w:r>
                    <w:rPr>
                      <w:rFonts w:ascii="Times New Roman" w:hAnsi="Times New Roman"/>
                      <w:bCs/>
                      <w:color w:val="auto"/>
                      <w:spacing w:val="0"/>
                      <w:sz w:val="21"/>
                      <w:szCs w:val="21"/>
                    </w:rPr>
                    <w:t>是</w:t>
                  </w:r>
                </w:p>
              </w:tc>
              <w:tc>
                <w:tcPr>
                  <w:tcW w:w="837" w:type="dxa"/>
                  <w:noWrap w:val="0"/>
                  <w:vAlign w:val="center"/>
                </w:tcPr>
                <w:p w14:paraId="5AF3300C">
                  <w:pPr>
                    <w:pStyle w:val="64"/>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color w:val="auto"/>
                      <w:sz w:val="21"/>
                      <w:szCs w:val="21"/>
                      <w:lang w:val="en-US" w:eastAsia="zh-CN"/>
                    </w:rPr>
                    <w:t>0.0</w:t>
                  </w:r>
                  <w:r>
                    <w:rPr>
                      <w:rFonts w:hint="eastAsia" w:ascii="Times New Roman" w:hAnsi="Times New Roman"/>
                      <w:color w:val="auto"/>
                      <w:sz w:val="21"/>
                      <w:szCs w:val="21"/>
                      <w:lang w:val="en-US" w:eastAsia="zh-CN"/>
                    </w:rPr>
                    <w:t>924</w:t>
                  </w:r>
                </w:p>
              </w:tc>
              <w:tc>
                <w:tcPr>
                  <w:tcW w:w="419" w:type="pct"/>
                  <w:noWrap w:val="0"/>
                  <w:vAlign w:val="center"/>
                </w:tcPr>
                <w:p w14:paraId="7DA37A01">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0.0</w:t>
                  </w:r>
                  <w:r>
                    <w:rPr>
                      <w:rFonts w:hint="eastAsia"/>
                      <w:bCs/>
                      <w:color w:val="auto"/>
                      <w:spacing w:val="0"/>
                      <w:sz w:val="21"/>
                      <w:szCs w:val="21"/>
                      <w:lang w:val="en-US" w:eastAsia="zh-CN"/>
                    </w:rPr>
                    <w:t>385</w:t>
                  </w:r>
                </w:p>
              </w:tc>
              <w:tc>
                <w:tcPr>
                  <w:tcW w:w="385" w:type="pct"/>
                  <w:noWrap w:val="0"/>
                  <w:vAlign w:val="center"/>
                </w:tcPr>
                <w:p w14:paraId="304C3BBC">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465" w:type="pct"/>
                  <w:vMerge w:val="continue"/>
                  <w:noWrap w:val="0"/>
                  <w:vAlign w:val="center"/>
                </w:tcPr>
                <w:p w14:paraId="695EE739">
                  <w:pPr>
                    <w:adjustRightInd w:val="0"/>
                    <w:snapToGrid w:val="0"/>
                    <w:jc w:val="center"/>
                    <w:rPr>
                      <w:rFonts w:ascii="Times New Roman" w:hAnsi="Times New Roman"/>
                      <w:bCs/>
                      <w:color w:val="auto"/>
                      <w:spacing w:val="0"/>
                      <w:sz w:val="21"/>
                      <w:szCs w:val="21"/>
                    </w:rPr>
                  </w:pPr>
                </w:p>
              </w:tc>
            </w:tr>
            <w:tr w14:paraId="4E8B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gridSpan w:val="3"/>
                  <w:noWrap w:val="0"/>
                  <w:vAlign w:val="center"/>
                </w:tcPr>
                <w:p w14:paraId="1457AE72">
                  <w:pPr>
                    <w:adjustRightInd w:val="0"/>
                    <w:snapToGrid w:val="0"/>
                    <w:jc w:val="center"/>
                    <w:rPr>
                      <w:rFonts w:hint="default"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合计</w:t>
                  </w:r>
                </w:p>
              </w:tc>
              <w:tc>
                <w:tcPr>
                  <w:tcW w:w="352" w:type="pct"/>
                  <w:noWrap w:val="0"/>
                  <w:vAlign w:val="center"/>
                </w:tcPr>
                <w:p w14:paraId="1000B869">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2.3024</w:t>
                  </w:r>
                </w:p>
              </w:tc>
              <w:tc>
                <w:tcPr>
                  <w:tcW w:w="366" w:type="pct"/>
                  <w:noWrap w:val="0"/>
                  <w:vAlign w:val="center"/>
                </w:tcPr>
                <w:p w14:paraId="2300B957">
                  <w:pPr>
                    <w:adjustRightInd w:val="0"/>
                    <w:snapToGrid w:val="0"/>
                    <w:jc w:val="center"/>
                    <w:rPr>
                      <w:rFonts w:hint="default"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w:t>
                  </w:r>
                </w:p>
              </w:tc>
              <w:tc>
                <w:tcPr>
                  <w:tcW w:w="400" w:type="pct"/>
                  <w:noWrap w:val="0"/>
                  <w:vAlign w:val="center"/>
                </w:tcPr>
                <w:p w14:paraId="2EBD6116">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260" w:type="pct"/>
                  <w:noWrap w:val="0"/>
                  <w:vAlign w:val="center"/>
                </w:tcPr>
                <w:p w14:paraId="57C5D0A5">
                  <w:pPr>
                    <w:adjustRightInd w:val="0"/>
                    <w:snapToGrid w:val="0"/>
                    <w:jc w:val="center"/>
                    <w:rPr>
                      <w:rFonts w:hint="default" w:ascii="Times New Roman" w:hAnsi="Times New Roman"/>
                      <w:bCs/>
                      <w:color w:val="auto"/>
                      <w:spacing w:val="0"/>
                      <w:sz w:val="21"/>
                      <w:szCs w:val="21"/>
                      <w:lang w:val="en-US" w:eastAsia="zh-CN"/>
                    </w:rPr>
                  </w:pPr>
                  <w:r>
                    <w:rPr>
                      <w:rFonts w:hint="eastAsia" w:ascii="Times New Roman" w:hAnsi="Times New Roman"/>
                      <w:bCs/>
                      <w:color w:val="auto"/>
                      <w:spacing w:val="0"/>
                      <w:sz w:val="21"/>
                      <w:szCs w:val="21"/>
                      <w:lang w:val="en-US" w:eastAsia="zh-CN"/>
                    </w:rPr>
                    <w:t>/</w:t>
                  </w:r>
                </w:p>
              </w:tc>
              <w:tc>
                <w:tcPr>
                  <w:tcW w:w="342" w:type="pct"/>
                  <w:noWrap w:val="0"/>
                  <w:vAlign w:val="center"/>
                </w:tcPr>
                <w:p w14:paraId="4BEAB4F1">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323" w:type="pct"/>
                  <w:noWrap w:val="0"/>
                  <w:vAlign w:val="center"/>
                </w:tcPr>
                <w:p w14:paraId="1BDA0CC1">
                  <w:pPr>
                    <w:adjustRightInd w:val="0"/>
                    <w:snapToGrid w:val="0"/>
                    <w:jc w:val="center"/>
                    <w:rPr>
                      <w:rFonts w:hint="default" w:ascii="Times New Roman" w:hAnsi="Times New Roman"/>
                      <w:bCs/>
                      <w:color w:val="auto"/>
                      <w:spacing w:val="0"/>
                      <w:kern w:val="2"/>
                      <w:sz w:val="21"/>
                      <w:szCs w:val="21"/>
                      <w:lang w:val="en-US" w:eastAsia="zh-CN" w:bidi="ar-SA"/>
                    </w:rPr>
                  </w:pPr>
                  <w:r>
                    <w:rPr>
                      <w:rFonts w:hint="eastAsia" w:ascii="Times New Roman" w:hAnsi="Times New Roman"/>
                      <w:bCs/>
                      <w:color w:val="auto"/>
                      <w:spacing w:val="0"/>
                      <w:kern w:val="2"/>
                      <w:sz w:val="21"/>
                      <w:szCs w:val="21"/>
                      <w:lang w:val="en-US" w:eastAsia="zh-CN" w:bidi="ar-SA"/>
                    </w:rPr>
                    <w:t>/</w:t>
                  </w:r>
                </w:p>
              </w:tc>
              <w:tc>
                <w:tcPr>
                  <w:tcW w:w="284" w:type="pct"/>
                  <w:noWrap w:val="0"/>
                  <w:vAlign w:val="center"/>
                </w:tcPr>
                <w:p w14:paraId="26984094">
                  <w:pPr>
                    <w:adjustRightInd w:val="0"/>
                    <w:snapToGrid w:val="0"/>
                    <w:jc w:val="center"/>
                    <w:rPr>
                      <w:rFonts w:hint="default" w:ascii="Times New Roman" w:hAnsi="Times New Roman" w:eastAsia="宋体"/>
                      <w:bCs/>
                      <w:color w:val="auto"/>
                      <w:spacing w:val="0"/>
                      <w:kern w:val="2"/>
                      <w:sz w:val="21"/>
                      <w:szCs w:val="21"/>
                      <w:lang w:val="en-US" w:eastAsia="zh-CN" w:bidi="ar-SA"/>
                    </w:rPr>
                  </w:pPr>
                  <w:r>
                    <w:rPr>
                      <w:rFonts w:hint="eastAsia" w:ascii="Times New Roman" w:hAnsi="Times New Roman" w:eastAsia="宋体"/>
                      <w:bCs/>
                      <w:color w:val="auto"/>
                      <w:spacing w:val="0"/>
                      <w:kern w:val="2"/>
                      <w:sz w:val="21"/>
                      <w:szCs w:val="21"/>
                      <w:lang w:val="en-US" w:eastAsia="zh-CN" w:bidi="ar-SA"/>
                    </w:rPr>
                    <w:t>/</w:t>
                  </w:r>
                </w:p>
              </w:tc>
              <w:tc>
                <w:tcPr>
                  <w:tcW w:w="308" w:type="pct"/>
                  <w:noWrap w:val="0"/>
                  <w:vAlign w:val="center"/>
                </w:tcPr>
                <w:p w14:paraId="7737AF77">
                  <w:pPr>
                    <w:adjustRightInd w:val="0"/>
                    <w:snapToGrid w:val="0"/>
                    <w:jc w:val="center"/>
                    <w:rPr>
                      <w:rFonts w:hint="default" w:ascii="Times New Roman" w:hAnsi="Times New Roman"/>
                      <w:bCs/>
                      <w:color w:val="auto"/>
                      <w:spacing w:val="0"/>
                      <w:kern w:val="2"/>
                      <w:sz w:val="21"/>
                      <w:szCs w:val="21"/>
                      <w:lang w:val="en-US" w:eastAsia="zh-CN" w:bidi="ar-SA"/>
                    </w:rPr>
                  </w:pPr>
                  <w:r>
                    <w:rPr>
                      <w:rFonts w:hint="eastAsia" w:ascii="Times New Roman" w:hAnsi="Times New Roman"/>
                      <w:bCs/>
                      <w:color w:val="auto"/>
                      <w:spacing w:val="0"/>
                      <w:kern w:val="2"/>
                      <w:sz w:val="21"/>
                      <w:szCs w:val="21"/>
                      <w:lang w:val="en-US" w:eastAsia="zh-CN" w:bidi="ar-SA"/>
                    </w:rPr>
                    <w:t>/</w:t>
                  </w:r>
                </w:p>
              </w:tc>
              <w:tc>
                <w:tcPr>
                  <w:tcW w:w="303" w:type="pct"/>
                  <w:noWrap w:val="0"/>
                  <w:vAlign w:val="center"/>
                </w:tcPr>
                <w:p w14:paraId="36EABF18">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0.</w:t>
                  </w:r>
                  <w:r>
                    <w:rPr>
                      <w:rFonts w:hint="eastAsia"/>
                      <w:bCs/>
                      <w:color w:val="auto"/>
                      <w:spacing w:val="0"/>
                      <w:sz w:val="21"/>
                      <w:szCs w:val="21"/>
                      <w:lang w:val="en-US" w:eastAsia="zh-CN"/>
                    </w:rPr>
                    <w:t>6229</w:t>
                  </w:r>
                </w:p>
              </w:tc>
              <w:tc>
                <w:tcPr>
                  <w:tcW w:w="419" w:type="pct"/>
                  <w:noWrap w:val="0"/>
                  <w:vAlign w:val="center"/>
                </w:tcPr>
                <w:p w14:paraId="63447EBE">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385" w:type="pct"/>
                  <w:noWrap w:val="0"/>
                  <w:vAlign w:val="center"/>
                </w:tcPr>
                <w:p w14:paraId="16979B08">
                  <w:pPr>
                    <w:adjustRightInd w:val="0"/>
                    <w:snapToGrid w:val="0"/>
                    <w:jc w:val="center"/>
                    <w:rPr>
                      <w:rFonts w:hint="default" w:ascii="Times New Roman" w:hAnsi="Times New Roman" w:eastAsia="宋体"/>
                      <w:bCs/>
                      <w:color w:val="auto"/>
                      <w:spacing w:val="0"/>
                      <w:sz w:val="21"/>
                      <w:szCs w:val="21"/>
                      <w:lang w:val="en-US" w:eastAsia="zh-CN"/>
                    </w:rPr>
                  </w:pPr>
                  <w:r>
                    <w:rPr>
                      <w:rFonts w:hint="eastAsia" w:ascii="Times New Roman" w:hAnsi="Times New Roman" w:eastAsia="宋体"/>
                      <w:bCs/>
                      <w:color w:val="auto"/>
                      <w:spacing w:val="0"/>
                      <w:sz w:val="21"/>
                      <w:szCs w:val="21"/>
                      <w:lang w:val="en-US" w:eastAsia="zh-CN"/>
                    </w:rPr>
                    <w:t>/</w:t>
                  </w:r>
                </w:p>
              </w:tc>
              <w:tc>
                <w:tcPr>
                  <w:tcW w:w="465" w:type="pct"/>
                  <w:noWrap w:val="0"/>
                  <w:vAlign w:val="center"/>
                </w:tcPr>
                <w:p w14:paraId="261C5158">
                  <w:pPr>
                    <w:adjustRightInd w:val="0"/>
                    <w:snapToGrid w:val="0"/>
                    <w:jc w:val="center"/>
                    <w:rPr>
                      <w:rFonts w:hint="default" w:ascii="Times New Roman" w:hAnsi="Times New Roman" w:eastAsia="宋体" w:cs="Times New Roman"/>
                      <w:bCs/>
                      <w:color w:val="auto"/>
                      <w:spacing w:val="0"/>
                      <w:sz w:val="21"/>
                      <w:szCs w:val="21"/>
                    </w:rPr>
                  </w:pPr>
                </w:p>
              </w:tc>
            </w:tr>
          </w:tbl>
          <w:p w14:paraId="56A2E43D">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（2）排放口参数</w:t>
            </w:r>
          </w:p>
          <w:p w14:paraId="2FBC08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bCs/>
                <w:color w:val="auto"/>
                <w:sz w:val="24"/>
              </w:rPr>
              <w:t>本项目</w:t>
            </w:r>
            <w:r>
              <w:rPr>
                <w:rFonts w:hint="eastAsia" w:ascii="Times New Roman" w:hAnsi="Times New Roman"/>
                <w:bCs/>
                <w:color w:val="auto"/>
                <w:sz w:val="24"/>
                <w:lang w:val="en-US" w:eastAsia="zh-CN"/>
              </w:rPr>
              <w:t>焊接废气经</w:t>
            </w:r>
            <w:r>
              <w:rPr>
                <w:rFonts w:hint="eastAsia" w:ascii="Times New Roman"/>
                <w:color w:val="auto"/>
                <w:kern w:val="0"/>
                <w:sz w:val="24"/>
                <w:lang w:val="en-US" w:eastAsia="zh-CN"/>
              </w:rPr>
              <w:t>集气罩+烟尘净化除尘器处理后无组织排放到厂房内，</w:t>
            </w:r>
            <w:r>
              <w:rPr>
                <w:rFonts w:hint="eastAsia" w:ascii="Times New Roman" w:hAnsi="Times New Roman"/>
                <w:bCs/>
                <w:color w:val="auto"/>
                <w:sz w:val="24"/>
                <w:lang w:val="en-US" w:eastAsia="zh-CN"/>
              </w:rPr>
              <w:t>不设</w:t>
            </w:r>
            <w:r>
              <w:rPr>
                <w:rFonts w:hint="eastAsia" w:ascii="Times New Roman" w:hAnsi="Times New Roman"/>
                <w:bCs/>
                <w:color w:val="auto"/>
                <w:sz w:val="24"/>
              </w:rPr>
              <w:t>有组织排放口</w:t>
            </w:r>
            <w:r>
              <w:rPr>
                <w:rFonts w:hint="eastAsia" w:ascii="Times New Roman" w:hAnsi="Times New Roman"/>
                <w:bCs/>
                <w:color w:val="auto"/>
                <w:sz w:val="24"/>
                <w:lang w:eastAsia="zh-CN"/>
              </w:rPr>
              <w:t>。</w:t>
            </w:r>
          </w:p>
          <w:p w14:paraId="3D553F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7B52D7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08483D77">
            <w:pPr>
              <w:rPr>
                <w:rFonts w:hint="eastAsia" w:ascii="Times New Roman" w:hAnsi="Times New Roman" w:eastAsia="宋体"/>
                <w:color w:val="auto"/>
              </w:rPr>
            </w:pPr>
          </w:p>
        </w:tc>
      </w:tr>
    </w:tbl>
    <w:p w14:paraId="40AAF2EC">
      <w:pPr>
        <w:adjustRightInd w:val="0"/>
        <w:snapToGrid w:val="0"/>
        <w:spacing w:line="360" w:lineRule="auto"/>
        <w:rPr>
          <w:rFonts w:ascii="Times New Roman" w:hAnsi="Times New Roman" w:eastAsia="宋体" w:cs="宋体"/>
          <w:b/>
          <w:color w:val="auto"/>
          <w:kern w:val="0"/>
          <w:sz w:val="28"/>
          <w:szCs w:val="28"/>
        </w:rPr>
        <w:sectPr>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8406"/>
      </w:tblGrid>
      <w:tr w14:paraId="4363A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7" w:hRule="atLeast"/>
          <w:jc w:val="center"/>
        </w:trPr>
        <w:tc>
          <w:tcPr>
            <w:tcW w:w="485" w:type="dxa"/>
            <w:tcMar>
              <w:left w:w="28" w:type="dxa"/>
              <w:right w:w="28" w:type="dxa"/>
            </w:tcMar>
            <w:vAlign w:val="center"/>
          </w:tcPr>
          <w:p w14:paraId="17FE7401">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运营</w:t>
            </w:r>
          </w:p>
          <w:p w14:paraId="5E413F89">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期环</w:t>
            </w:r>
          </w:p>
          <w:p w14:paraId="1B5142C2">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境影</w:t>
            </w:r>
          </w:p>
          <w:p w14:paraId="3DB91919">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响和</w:t>
            </w:r>
          </w:p>
          <w:p w14:paraId="3D96D4CB">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保护</w:t>
            </w:r>
          </w:p>
          <w:p w14:paraId="3B719A45">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措施</w:t>
            </w:r>
          </w:p>
        </w:tc>
        <w:tc>
          <w:tcPr>
            <w:tcW w:w="8406" w:type="dxa"/>
          </w:tcPr>
          <w:p w14:paraId="123FBC11">
            <w:pPr>
              <w:pStyle w:val="61"/>
              <w:keepNext w:val="0"/>
              <w:keepLines w:val="0"/>
              <w:pageBreakBefore w:val="0"/>
              <w:widowControl w:val="0"/>
              <w:kinsoku/>
              <w:wordWrap/>
              <w:overflowPunct/>
              <w:topLinePunct w:val="0"/>
              <w:autoSpaceDE/>
              <w:autoSpaceDN/>
              <w:bidi w:val="0"/>
              <w:adjustRightInd w:val="0"/>
              <w:snapToGrid w:val="0"/>
              <w:ind w:firstLine="482"/>
              <w:textAlignment w:val="auto"/>
              <w:rPr>
                <w:rFonts w:ascii="Times New Roman" w:hAnsi="Times New Roman" w:eastAsia="宋体"/>
                <w:b/>
                <w:bCs/>
                <w:color w:val="auto"/>
                <w:kern w:val="0"/>
                <w:lang w:val="zh-CN"/>
              </w:rPr>
            </w:pPr>
            <w:r>
              <w:rPr>
                <w:rFonts w:hint="eastAsia" w:ascii="Times New Roman" w:hAnsi="Times New Roman"/>
                <w:b/>
                <w:bCs/>
                <w:color w:val="auto"/>
                <w:kern w:val="0"/>
                <w:lang w:val="en-US" w:eastAsia="zh-CN"/>
              </w:rPr>
              <w:t>（3）</w:t>
            </w:r>
            <w:r>
              <w:rPr>
                <w:rFonts w:hint="eastAsia" w:ascii="Times New Roman" w:hAnsi="Times New Roman" w:eastAsia="宋体"/>
                <w:b/>
                <w:bCs/>
                <w:color w:val="auto"/>
              </w:rPr>
              <w:t>废气产生类别及产生量</w:t>
            </w:r>
          </w:p>
          <w:p w14:paraId="00585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eastAsia="zh-CN"/>
              </w:rPr>
              <w:t>本项目</w:t>
            </w:r>
            <w:r>
              <w:rPr>
                <w:rFonts w:ascii="Times New Roman" w:hAnsi="Times New Roman" w:eastAsia="宋体" w:cs="Times New Roman"/>
                <w:color w:val="auto"/>
                <w:sz w:val="24"/>
              </w:rPr>
              <w:t>运营期产生的废气主要为</w:t>
            </w:r>
            <w:r>
              <w:rPr>
                <w:rFonts w:hint="eastAsia" w:ascii="Times New Roman" w:hAnsi="Times New Roman" w:eastAsia="宋体" w:cs="Times New Roman"/>
                <w:color w:val="auto"/>
                <w:sz w:val="24"/>
                <w:lang w:val="en-US" w:eastAsia="zh-CN"/>
              </w:rPr>
              <w:t>焊接烟气和切割</w:t>
            </w:r>
            <w:r>
              <w:rPr>
                <w:rFonts w:hint="eastAsia" w:cs="Times New Roman"/>
                <w:color w:val="auto"/>
                <w:sz w:val="24"/>
                <w:lang w:val="en-US" w:eastAsia="zh-CN"/>
              </w:rPr>
              <w:t>粉尘</w:t>
            </w:r>
            <w:r>
              <w:rPr>
                <w:rFonts w:hint="eastAsia" w:ascii="Times New Roman" w:hAnsi="Times New Roman" w:eastAsia="宋体" w:cs="Times New Roman"/>
                <w:color w:val="auto"/>
                <w:sz w:val="24"/>
                <w:lang w:val="en-US" w:eastAsia="zh-CN"/>
              </w:rPr>
              <w:t>。</w:t>
            </w:r>
          </w:p>
          <w:p w14:paraId="02F2AC29">
            <w:pPr>
              <w:pStyle w:val="61"/>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ascii="Times New Roman" w:hAnsi="Times New Roman" w:eastAsia="宋体" w:cs="宋体"/>
                <w:b/>
                <w:bCs/>
                <w:color w:val="auto"/>
                <w:kern w:val="0"/>
                <w:lang w:val="en-US" w:eastAsia="zh-CN"/>
              </w:rPr>
            </w:pPr>
            <w:r>
              <w:rPr>
                <w:rFonts w:hint="eastAsia" w:ascii="Times New Roman" w:hAnsi="Times New Roman" w:cs="宋体"/>
                <w:b/>
                <w:bCs/>
                <w:color w:val="auto"/>
                <w:kern w:val="0"/>
                <w:lang w:val="en-US" w:eastAsia="zh-CN"/>
              </w:rPr>
              <w:t>1）</w:t>
            </w:r>
            <w:r>
              <w:rPr>
                <w:rFonts w:hint="eastAsia" w:ascii="Times New Roman" w:hAnsi="Times New Roman"/>
                <w:b/>
                <w:bCs/>
                <w:color w:val="auto"/>
                <w:lang w:val="en-US" w:eastAsia="zh-CN"/>
              </w:rPr>
              <w:t>废气产生及排放量</w:t>
            </w:r>
          </w:p>
          <w:p w14:paraId="33F8347B">
            <w:pPr>
              <w:pStyle w:val="61"/>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ascii="Times New Roman" w:hAnsi="Times New Roman"/>
                <w:b/>
                <w:bCs/>
                <w:color w:val="auto"/>
                <w:lang w:val="en-US" w:eastAsia="zh-CN"/>
              </w:rPr>
            </w:pPr>
            <w:r>
              <w:rPr>
                <w:rFonts w:hint="eastAsia" w:ascii="Times New Roman" w:hAnsi="Times New Roman"/>
                <w:b/>
                <w:bCs/>
                <w:color w:val="auto"/>
                <w:lang w:val="en-US" w:eastAsia="zh-CN"/>
              </w:rPr>
              <w:t>①</w:t>
            </w:r>
            <w:r>
              <w:rPr>
                <w:rFonts w:hint="eastAsia" w:ascii="Times New Roman" w:hAnsi="Times New Roman" w:eastAsia="宋体" w:cs="宋体"/>
                <w:b/>
                <w:bCs/>
                <w:color w:val="auto"/>
                <w:kern w:val="0"/>
                <w:lang w:val="en-US" w:eastAsia="zh-CN"/>
              </w:rPr>
              <w:t>焊接烟气</w:t>
            </w:r>
          </w:p>
          <w:p w14:paraId="55DB50F7">
            <w:pPr>
              <w:pStyle w:val="61"/>
              <w:ind w:firstLine="480"/>
              <w:rPr>
                <w:rFonts w:hint="eastAsia" w:ascii="Times New Roman" w:hAnsi="Times New Roman" w:eastAsia="宋体" w:cs="宋体"/>
                <w:color w:val="auto"/>
                <w:lang w:val="en-US" w:eastAsia="zh-CN"/>
              </w:rPr>
            </w:pPr>
            <w:r>
              <w:rPr>
                <w:rFonts w:hint="eastAsia" w:ascii="Times New Roman" w:hAnsi="Times New Roman" w:eastAsia="宋体"/>
                <w:color w:val="auto"/>
              </w:rPr>
              <w:t>项目</w:t>
            </w:r>
            <w:r>
              <w:rPr>
                <w:rFonts w:hint="eastAsia" w:ascii="Times New Roman" w:hAnsi="Times New Roman" w:eastAsia="宋体"/>
                <w:color w:val="auto"/>
                <w:lang w:val="en-US" w:eastAsia="zh-CN"/>
              </w:rPr>
              <w:t>8</w:t>
            </w:r>
            <w:r>
              <w:rPr>
                <w:rFonts w:hint="eastAsia" w:ascii="Times New Roman" w:hAnsi="Times New Roman" w:eastAsia="宋体"/>
                <w:color w:val="auto"/>
              </w:rPr>
              <w:t>条生产线均采用</w:t>
            </w:r>
            <w:r>
              <w:rPr>
                <w:rFonts w:hint="eastAsia" w:ascii="Times New Roman" w:hAnsi="Times New Roman" w:eastAsia="宋体"/>
                <w:color w:val="auto"/>
                <w:lang w:val="en-US" w:eastAsia="zh-CN"/>
              </w:rPr>
              <w:t>高频焊法，根据</w:t>
            </w:r>
            <w:r>
              <w:rPr>
                <w:rFonts w:hint="default" w:ascii="Times New Roman" w:hAnsi="Times New Roman" w:eastAsia="宋体" w:cs="Times New Roman"/>
                <w:color w:val="auto"/>
                <w:sz w:val="24"/>
                <w:szCs w:val="24"/>
                <w:lang w:val="en-US" w:eastAsia="zh-CN"/>
              </w:rPr>
              <w:t>《排放源统计调查产排污核实方法和系数手册》中</w:t>
            </w:r>
            <w:r>
              <w:rPr>
                <w:rFonts w:hint="default" w:ascii="Times New Roman" w:hAnsi="Times New Roman" w:eastAsia="宋体" w:cs="Times New Roman"/>
                <w:color w:val="auto"/>
                <w:sz w:val="24"/>
              </w:rPr>
              <w:t>《3130钢压延加工行业系数手册》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焊接钢管采用高频焊法颗粒物产生系数为0.011kg/t钢材”，项目使用</w:t>
            </w:r>
            <w:r>
              <w:rPr>
                <w:rFonts w:hint="eastAsia" w:ascii="Times New Roman" w:hAnsi="Times New Roman" w:cs="Times New Roman"/>
                <w:color w:val="auto"/>
                <w:sz w:val="24"/>
                <w:lang w:val="en-US" w:eastAsia="zh-CN"/>
              </w:rPr>
              <w:t>黑管</w:t>
            </w:r>
            <w:r>
              <w:rPr>
                <w:rFonts w:hint="eastAsia" w:ascii="Times New Roman" w:hAnsi="Times New Roman" w:eastAsia="宋体" w:cs="Times New Roman"/>
                <w:color w:val="auto"/>
                <w:sz w:val="24"/>
                <w:lang w:val="en-US" w:eastAsia="zh-CN"/>
              </w:rPr>
              <w:t>的量为</w:t>
            </w:r>
            <w:r>
              <w:rPr>
                <w:rFonts w:hint="eastAsia" w:ascii="Times New Roman" w:hAnsi="Times New Roman" w:cs="Times New Roman"/>
                <w:color w:val="auto"/>
                <w:sz w:val="24"/>
                <w:lang w:val="en-US" w:eastAsia="zh-CN"/>
              </w:rPr>
              <w:t>200942.30</w:t>
            </w:r>
            <w:r>
              <w:rPr>
                <w:rFonts w:hint="eastAsia" w:ascii="Times New Roman" w:hAnsi="Times New Roman" w:eastAsia="宋体" w:cs="Times New Roman"/>
                <w:color w:val="auto"/>
                <w:sz w:val="24"/>
                <w:lang w:val="en-US" w:eastAsia="zh-CN"/>
              </w:rPr>
              <w:t>t/a，故颗粒物产生量为2.21</w:t>
            </w:r>
            <w:r>
              <w:rPr>
                <w:rFonts w:hint="eastAsia" w:ascii="Times New Roman" w:hAnsi="Times New Roman" w:cs="Times New Roman"/>
                <w:color w:val="auto"/>
                <w:sz w:val="24"/>
                <w:lang w:val="en-US" w:eastAsia="zh-CN"/>
              </w:rPr>
              <w:t>04</w:t>
            </w:r>
            <w:r>
              <w:rPr>
                <w:rFonts w:hint="eastAsia" w:ascii="Times New Roman" w:hAnsi="Times New Roman" w:eastAsia="宋体" w:cs="Times New Roman"/>
                <w:color w:val="auto"/>
                <w:sz w:val="24"/>
                <w:lang w:val="en-US" w:eastAsia="zh-CN"/>
              </w:rPr>
              <w:t>t/a</w:t>
            </w:r>
            <w:r>
              <w:rPr>
                <w:rFonts w:hint="eastAsia" w:ascii="Times New Roman" w:hAnsi="Times New Roman" w:cs="Times New Roman"/>
                <w:color w:val="auto"/>
                <w:sz w:val="24"/>
                <w:lang w:val="en-US" w:eastAsia="zh-CN"/>
              </w:rPr>
              <w:t>，0.9210kg/h</w:t>
            </w:r>
            <w:r>
              <w:rPr>
                <w:rFonts w:hint="eastAsia" w:ascii="Times New Roman" w:hAnsi="Times New Roman" w:eastAsia="宋体" w:cs="Times New Roman"/>
                <w:color w:val="auto"/>
                <w:sz w:val="24"/>
                <w:lang w:val="en-US" w:eastAsia="zh-CN"/>
              </w:rPr>
              <w:t>。项目8</w:t>
            </w:r>
            <w:r>
              <w:rPr>
                <w:rFonts w:hint="eastAsia" w:ascii="Times New Roman" w:hAnsi="Times New Roman" w:eastAsia="宋体"/>
                <w:color w:val="auto"/>
              </w:rPr>
              <w:t>条生产线</w:t>
            </w:r>
            <w:r>
              <w:rPr>
                <w:rFonts w:hint="eastAsia" w:ascii="Times New Roman" w:hAnsi="Times New Roman" w:eastAsia="宋体"/>
                <w:color w:val="auto"/>
                <w:lang w:val="en-US" w:eastAsia="zh-CN"/>
              </w:rPr>
              <w:t>的高频直缝焊管机的上端均设置一台集气罩，收尘风量为每条生产线</w:t>
            </w:r>
            <w:r>
              <w:rPr>
                <w:rFonts w:hint="eastAsia" w:ascii="Times New Roman" w:hAnsi="Times New Roman"/>
                <w:color w:val="auto"/>
                <w:lang w:val="en-US" w:eastAsia="zh-CN"/>
              </w:rPr>
              <w:t>3</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w:t>
            </w:r>
            <w:r>
              <w:rPr>
                <w:rFonts w:hint="eastAsia" w:ascii="Times New Roman" w:hAnsi="Times New Roman" w:eastAsia="宋体" w:cs="宋体"/>
                <w:color w:val="auto"/>
                <w:lang w:val="en-US" w:eastAsia="zh-CN"/>
              </w:rPr>
              <w:t>集气收集效率≥</w:t>
            </w:r>
            <w:r>
              <w:rPr>
                <w:rFonts w:hint="eastAsia" w:ascii="Times New Roman" w:hAnsi="Times New Roman" w:cs="宋体"/>
                <w:color w:val="auto"/>
                <w:lang w:val="en-US" w:eastAsia="zh-CN"/>
              </w:rPr>
              <w:t>80</w:t>
            </w:r>
            <w:r>
              <w:rPr>
                <w:rFonts w:hint="eastAsia" w:ascii="Times New Roman" w:hAnsi="Times New Roman" w:eastAsia="宋体" w:cs="宋体"/>
                <w:color w:val="auto"/>
                <w:lang w:val="en-US" w:eastAsia="zh-CN"/>
              </w:rPr>
              <w:t>%，收集的焊接废气分别经集气罩+烟气净化除尘器处理后无组织排放到厂房内，烟气净化除尘器处理效率按95%核算。故收集焊接烟气产生量为1.</w:t>
            </w:r>
            <w:r>
              <w:rPr>
                <w:rFonts w:hint="eastAsia" w:ascii="Times New Roman" w:hAnsi="Times New Roman" w:cs="宋体"/>
                <w:color w:val="auto"/>
                <w:lang w:val="en-US" w:eastAsia="zh-CN"/>
              </w:rPr>
              <w:t>7683</w:t>
            </w:r>
            <w:r>
              <w:rPr>
                <w:rFonts w:hint="eastAsia" w:ascii="Times New Roman" w:hAnsi="Times New Roman" w:eastAsia="宋体" w:cs="宋体"/>
                <w:color w:val="auto"/>
                <w:lang w:val="en-US" w:eastAsia="zh-CN"/>
              </w:rPr>
              <w:t>t/a，产生速率为0.7</w:t>
            </w:r>
            <w:r>
              <w:rPr>
                <w:rFonts w:hint="eastAsia" w:ascii="Times New Roman" w:hAnsi="Times New Roman" w:cs="宋体"/>
                <w:color w:val="auto"/>
                <w:lang w:val="en-US" w:eastAsia="zh-CN"/>
              </w:rPr>
              <w:t>368</w:t>
            </w:r>
            <w:r>
              <w:rPr>
                <w:rFonts w:hint="eastAsia" w:ascii="Times New Roman" w:hAnsi="Times New Roman" w:eastAsia="宋体" w:cs="宋体"/>
                <w:color w:val="auto"/>
                <w:lang w:val="en-US" w:eastAsia="zh-CN"/>
              </w:rPr>
              <w:t>kg/h。通过烟气净化除尘器处理后，焊接烟气排放量为0.0</w:t>
            </w:r>
            <w:r>
              <w:rPr>
                <w:rFonts w:hint="eastAsia" w:ascii="Times New Roman" w:hAnsi="Times New Roman" w:cs="宋体"/>
                <w:color w:val="auto"/>
                <w:lang w:val="en-US" w:eastAsia="zh-CN"/>
              </w:rPr>
              <w:t>884</w:t>
            </w:r>
            <w:r>
              <w:rPr>
                <w:rFonts w:hint="eastAsia" w:ascii="Times New Roman" w:hAnsi="Times New Roman" w:eastAsia="宋体" w:cs="宋体"/>
                <w:color w:val="auto"/>
                <w:lang w:val="en-US" w:eastAsia="zh-CN"/>
              </w:rPr>
              <w:t>t/a，产生速率0.03</w:t>
            </w:r>
            <w:r>
              <w:rPr>
                <w:rFonts w:hint="eastAsia" w:ascii="Times New Roman" w:hAnsi="Times New Roman" w:cs="宋体"/>
                <w:color w:val="auto"/>
                <w:lang w:val="en-US" w:eastAsia="zh-CN"/>
              </w:rPr>
              <w:t>68</w:t>
            </w:r>
            <w:r>
              <w:rPr>
                <w:rFonts w:hint="eastAsia" w:ascii="Times New Roman" w:hAnsi="Times New Roman" w:eastAsia="宋体" w:cs="宋体"/>
                <w:color w:val="auto"/>
                <w:lang w:val="en-US" w:eastAsia="zh-CN"/>
              </w:rPr>
              <w:t>kg/h。</w:t>
            </w:r>
          </w:p>
          <w:p w14:paraId="42AEA4FA">
            <w:pPr>
              <w:pStyle w:val="61"/>
              <w:ind w:firstLine="48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集气罩未收集的</w:t>
            </w:r>
            <w:r>
              <w:rPr>
                <w:rFonts w:hint="eastAsia" w:ascii="Times New Roman" w:hAnsi="Times New Roman" w:cs="宋体"/>
                <w:color w:val="auto"/>
                <w:lang w:val="en-US" w:eastAsia="zh-CN"/>
              </w:rPr>
              <w:t>20</w:t>
            </w:r>
            <w:r>
              <w:rPr>
                <w:rFonts w:hint="eastAsia" w:ascii="Times New Roman" w:hAnsi="Times New Roman" w:eastAsia="宋体" w:cs="宋体"/>
                <w:color w:val="auto"/>
                <w:lang w:val="en-US" w:eastAsia="zh-CN"/>
              </w:rPr>
              <w:t>%烟尘量为0.</w:t>
            </w:r>
            <w:r>
              <w:rPr>
                <w:rFonts w:hint="eastAsia" w:ascii="Times New Roman" w:hAnsi="Times New Roman" w:cs="宋体"/>
                <w:color w:val="auto"/>
                <w:lang w:val="en-US" w:eastAsia="zh-CN"/>
              </w:rPr>
              <w:t>4421</w:t>
            </w:r>
            <w:r>
              <w:rPr>
                <w:rFonts w:hint="eastAsia" w:ascii="Times New Roman" w:hAnsi="Times New Roman" w:eastAsia="宋体" w:cs="宋体"/>
                <w:color w:val="auto"/>
                <w:lang w:val="en-US" w:eastAsia="zh-CN"/>
              </w:rPr>
              <w:t>t/a，0.</w:t>
            </w:r>
            <w:r>
              <w:rPr>
                <w:rFonts w:hint="eastAsia" w:ascii="Times New Roman" w:hAnsi="Times New Roman" w:cs="宋体"/>
                <w:color w:val="auto"/>
                <w:lang w:val="en-US" w:eastAsia="zh-CN"/>
              </w:rPr>
              <w:t>1842</w:t>
            </w:r>
            <w:r>
              <w:rPr>
                <w:rFonts w:hint="eastAsia" w:ascii="Times New Roman" w:hAnsi="Times New Roman" w:eastAsia="宋体" w:cs="宋体"/>
                <w:color w:val="auto"/>
                <w:lang w:val="en-US" w:eastAsia="zh-CN"/>
              </w:rPr>
              <w:t>kg/h。项目生产设备全部设置在封闭厂房内，故未收集的烟尘（0.</w:t>
            </w:r>
            <w:r>
              <w:rPr>
                <w:rFonts w:hint="eastAsia" w:ascii="Times New Roman" w:hAnsi="Times New Roman" w:cs="宋体"/>
                <w:color w:val="auto"/>
                <w:lang w:val="en-US" w:eastAsia="zh-CN"/>
              </w:rPr>
              <w:t>4421</w:t>
            </w:r>
            <w:r>
              <w:rPr>
                <w:rFonts w:hint="eastAsia" w:ascii="Times New Roman" w:hAnsi="Times New Roman" w:eastAsia="宋体" w:cs="宋体"/>
                <w:color w:val="auto"/>
                <w:lang w:val="en-US" w:eastAsia="zh-CN"/>
              </w:rPr>
              <w:t>t/a）和经处理后无组织排放到厂房内的烟尘（0.0</w:t>
            </w:r>
            <w:r>
              <w:rPr>
                <w:rFonts w:hint="eastAsia" w:ascii="Times New Roman" w:hAnsi="Times New Roman" w:cs="宋体"/>
                <w:color w:val="auto"/>
                <w:lang w:val="en-US" w:eastAsia="zh-CN"/>
              </w:rPr>
              <w:t>884</w:t>
            </w:r>
            <w:r>
              <w:rPr>
                <w:rFonts w:hint="eastAsia" w:ascii="Times New Roman" w:hAnsi="Times New Roman" w:eastAsia="宋体" w:cs="宋体"/>
                <w:color w:val="auto"/>
                <w:lang w:val="en-US" w:eastAsia="zh-CN"/>
              </w:rPr>
              <w:t>t/a）</w:t>
            </w:r>
            <w:r>
              <w:rPr>
                <w:rFonts w:hint="eastAsia" w:ascii="Times New Roman" w:hAnsi="Times New Roman" w:cs="宋体"/>
                <w:color w:val="auto"/>
                <w:lang w:val="en-US" w:eastAsia="zh-CN"/>
              </w:rPr>
              <w:t>的总</w:t>
            </w:r>
            <w:r>
              <w:rPr>
                <w:rFonts w:hint="eastAsia" w:ascii="Times New Roman" w:hAnsi="Times New Roman" w:eastAsia="宋体" w:cs="宋体"/>
                <w:color w:val="auto"/>
                <w:lang w:val="en-US" w:eastAsia="zh-CN"/>
              </w:rPr>
              <w:t>排放量为0.</w:t>
            </w:r>
            <w:r>
              <w:rPr>
                <w:rFonts w:hint="eastAsia" w:ascii="Times New Roman" w:hAnsi="Times New Roman" w:cs="宋体"/>
                <w:color w:val="auto"/>
                <w:lang w:val="en-US" w:eastAsia="zh-CN"/>
              </w:rPr>
              <w:t>5305</w:t>
            </w:r>
            <w:r>
              <w:rPr>
                <w:rFonts w:hint="eastAsia" w:ascii="Times New Roman" w:hAnsi="Times New Roman" w:eastAsia="宋体" w:cs="宋体"/>
                <w:color w:val="auto"/>
                <w:lang w:val="en-US" w:eastAsia="zh-CN"/>
              </w:rPr>
              <w:t>t/a，0.</w:t>
            </w:r>
            <w:r>
              <w:rPr>
                <w:rFonts w:hint="eastAsia" w:ascii="Times New Roman" w:hAnsi="Times New Roman" w:cs="宋体"/>
                <w:color w:val="auto"/>
                <w:lang w:val="en-US" w:eastAsia="zh-CN"/>
              </w:rPr>
              <w:t>2210</w:t>
            </w:r>
            <w:r>
              <w:rPr>
                <w:rFonts w:hint="eastAsia" w:ascii="Times New Roman" w:hAnsi="Times New Roman" w:eastAsia="宋体" w:cs="宋体"/>
                <w:color w:val="auto"/>
                <w:lang w:val="en-US" w:eastAsia="zh-CN"/>
              </w:rPr>
              <w:t>kg/h。</w:t>
            </w:r>
          </w:p>
          <w:p w14:paraId="39018536">
            <w:pPr>
              <w:pStyle w:val="61"/>
              <w:keepNext w:val="0"/>
              <w:keepLines w:val="0"/>
              <w:pageBreakBefore w:val="0"/>
              <w:widowControl w:val="0"/>
              <w:kinsoku/>
              <w:wordWrap/>
              <w:overflowPunct/>
              <w:topLinePunct w:val="0"/>
              <w:autoSpaceDE/>
              <w:autoSpaceDN/>
              <w:bidi w:val="0"/>
              <w:adjustRightInd w:val="0"/>
              <w:snapToGrid w:val="0"/>
              <w:ind w:firstLine="482"/>
              <w:textAlignment w:val="auto"/>
              <w:rPr>
                <w:rFonts w:hint="eastAsia" w:ascii="Times New Roman" w:hAnsi="Times New Roman"/>
                <w:b/>
                <w:bCs/>
                <w:color w:val="auto"/>
                <w:lang w:val="en-US" w:eastAsia="zh-CN"/>
              </w:rPr>
            </w:pPr>
            <w:r>
              <w:rPr>
                <w:rFonts w:hint="eastAsia" w:ascii="Times New Roman" w:hAnsi="Times New Roman" w:cs="宋体"/>
                <w:b/>
                <w:bCs/>
                <w:color w:val="auto"/>
                <w:kern w:val="0"/>
                <w:lang w:val="en-US" w:eastAsia="zh-CN"/>
              </w:rPr>
              <w:t>②集气罩分析</w:t>
            </w:r>
          </w:p>
          <w:p w14:paraId="57B5ECF9">
            <w:pPr>
              <w:pStyle w:val="61"/>
              <w:ind w:firstLine="480"/>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a：</w:t>
            </w:r>
            <w:r>
              <w:rPr>
                <w:rFonts w:hint="eastAsia" w:ascii="Times New Roman" w:hAnsi="Times New Roman" w:eastAsia="宋体" w:cs="宋体"/>
                <w:color w:val="auto"/>
                <w:lang w:val="en-US" w:eastAsia="zh-CN"/>
              </w:rPr>
              <w:t>项目共设计8条（1#、2#、3#、4#车间各2条）</w:t>
            </w:r>
            <w:r>
              <w:rPr>
                <w:rFonts w:hint="eastAsia" w:ascii="Times New Roman" w:hAnsi="Times New Roman" w:eastAsia="宋体"/>
                <w:color w:val="auto"/>
                <w:sz w:val="24"/>
                <w:lang w:val="en-US" w:eastAsia="zh-CN"/>
              </w:rPr>
              <w:t>高频焊管生产线</w:t>
            </w:r>
            <w:r>
              <w:rPr>
                <w:rFonts w:hint="eastAsia" w:ascii="Times New Roman" w:hAnsi="Times New Roman" w:eastAsia="宋体" w:cs="宋体"/>
                <w:color w:val="auto"/>
                <w:lang w:val="en-US" w:eastAsia="zh-CN"/>
              </w:rPr>
              <w:t>，每条产线设置1台</w:t>
            </w:r>
            <w:r>
              <w:rPr>
                <w:rFonts w:hint="eastAsia" w:ascii="Times New Roman" w:hAnsi="Times New Roman" w:eastAsia="宋体"/>
                <w:color w:val="auto"/>
                <w:sz w:val="24"/>
                <w:lang w:val="en-US" w:eastAsia="zh-CN"/>
              </w:rPr>
              <w:t>高频焊管机</w:t>
            </w:r>
            <w:r>
              <w:rPr>
                <w:rFonts w:hint="eastAsia" w:ascii="Times New Roman" w:hAnsi="Times New Roman" w:eastAsia="宋体" w:cs="宋体"/>
                <w:color w:val="auto"/>
                <w:lang w:val="en-US" w:eastAsia="zh-CN"/>
              </w:rPr>
              <w:t>，焊接烟尘在</w:t>
            </w:r>
            <w:r>
              <w:rPr>
                <w:rFonts w:hint="eastAsia" w:ascii="Times New Roman" w:hAnsi="Times New Roman" w:eastAsia="宋体"/>
                <w:color w:val="auto"/>
                <w:sz w:val="24"/>
                <w:lang w:val="en-US" w:eastAsia="zh-CN"/>
              </w:rPr>
              <w:t>高频焊管机上产生</w:t>
            </w:r>
            <w:r>
              <w:rPr>
                <w:rFonts w:hint="eastAsia" w:ascii="Times New Roman" w:hAnsi="Times New Roman" w:eastAsia="宋体" w:cs="宋体"/>
                <w:color w:val="auto"/>
                <w:lang w:val="en-US" w:eastAsia="zh-CN"/>
              </w:rPr>
              <w:t>，则每条产线均有1个焊接烟气产生节点，共8个焊接烟气产生节点，因此每条生产线每1个节点共计独立设置1个集气罩，共独立设置8个集气罩，</w:t>
            </w:r>
            <w:r>
              <w:rPr>
                <w:rFonts w:hint="eastAsia" w:ascii="Times New Roman" w:hAnsi="Times New Roman" w:cs="宋体"/>
                <w:color w:val="auto"/>
                <w:lang w:val="en-US" w:eastAsia="zh-CN"/>
              </w:rPr>
              <w:t>现状</w:t>
            </w:r>
            <w:r>
              <w:rPr>
                <w:rFonts w:hint="eastAsia" w:ascii="Times New Roman" w:hAnsi="Times New Roman" w:eastAsia="宋体" w:cs="宋体"/>
                <w:color w:val="auto"/>
                <w:lang w:val="en-US" w:eastAsia="zh-CN"/>
              </w:rPr>
              <w:t>采用半密闭</w:t>
            </w:r>
            <w:r>
              <w:rPr>
                <w:rFonts w:hint="eastAsia" w:ascii="Times New Roman" w:hAnsi="Times New Roman" w:cs="宋体"/>
                <w:color w:val="auto"/>
                <w:lang w:val="en-US" w:eastAsia="zh-CN"/>
              </w:rPr>
              <w:t>圆形</w:t>
            </w:r>
            <w:r>
              <w:rPr>
                <w:rFonts w:hint="eastAsia" w:ascii="Times New Roman" w:hAnsi="Times New Roman" w:eastAsia="宋体" w:cs="宋体"/>
                <w:color w:val="auto"/>
                <w:lang w:val="en-US" w:eastAsia="zh-CN"/>
              </w:rPr>
              <w:t>集气罩，尺寸均设立为</w:t>
            </w:r>
            <w:r>
              <w:rPr>
                <w:rStyle w:val="28"/>
                <w:rFonts w:ascii="宋体" w:hAnsi="宋体" w:eastAsia="宋体" w:cs="宋体"/>
                <w:b/>
                <w:bCs/>
                <w:color w:val="auto"/>
                <w:sz w:val="24"/>
                <w:szCs w:val="24"/>
              </w:rPr>
              <w:t>Φ</w:t>
            </w:r>
            <w:r>
              <w:rPr>
                <w:rStyle w:val="28"/>
                <w:rFonts w:hint="eastAsia" w:ascii="宋体" w:hAnsi="宋体" w:eastAsia="宋体" w:cs="宋体"/>
                <w:b/>
                <w:bCs/>
                <w:color w:val="auto"/>
                <w:sz w:val="24"/>
                <w:szCs w:val="24"/>
                <w:lang w:val="en-US" w:eastAsia="zh-CN"/>
              </w:rPr>
              <w:t>=40cm</w:t>
            </w:r>
            <w:r>
              <w:rPr>
                <w:rFonts w:hint="eastAsia" w:ascii="Times New Roman" w:hAnsi="Times New Roman" w:eastAsia="宋体" w:cs="宋体"/>
                <w:color w:val="auto"/>
                <w:lang w:val="en-US" w:eastAsia="zh-CN"/>
              </w:rPr>
              <w:t>。根据《大气污染控制工程》中集气罩收集风量计算公式：</w:t>
            </w:r>
          </w:p>
          <w:p w14:paraId="149F60F1">
            <w:pPr>
              <w:pStyle w:val="61"/>
              <w:ind w:firstLine="480"/>
              <w:jc w:val="center"/>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Q=KPHv</w:t>
            </w:r>
          </w:p>
          <w:p w14:paraId="17F33AC3">
            <w:pPr>
              <w:pStyle w:val="61"/>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Q一风量，m/s</w:t>
            </w:r>
            <w:r>
              <w:rPr>
                <w:rFonts w:hint="eastAsia" w:ascii="Times New Roman" w:hAnsi="Times New Roman" w:eastAsia="宋体" w:cs="宋体"/>
                <w:color w:val="auto"/>
                <w:lang w:val="en-US" w:eastAsia="zh-CN"/>
              </w:rPr>
              <w:t>；</w:t>
            </w:r>
          </w:p>
          <w:p w14:paraId="7E2E13BB">
            <w:pPr>
              <w:pStyle w:val="61"/>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K一考虑沿高度速度分布不均匀的安全系数，</w:t>
            </w:r>
            <w:r>
              <w:rPr>
                <w:rFonts w:hint="eastAsia" w:ascii="Times New Roman" w:hAnsi="Times New Roman" w:cs="宋体"/>
                <w:color w:val="auto"/>
                <w:lang w:val="en-US" w:eastAsia="zh-CN"/>
              </w:rPr>
              <w:t>项目取1.2</w:t>
            </w:r>
            <w:r>
              <w:rPr>
                <w:rFonts w:hint="eastAsia" w:ascii="Times New Roman" w:hAnsi="Times New Roman" w:eastAsia="宋体" w:cs="宋体"/>
                <w:color w:val="auto"/>
                <w:lang w:val="en-US" w:eastAsia="zh-CN"/>
              </w:rPr>
              <w:t>；</w:t>
            </w:r>
          </w:p>
          <w:p w14:paraId="02FF5F37">
            <w:pPr>
              <w:pStyle w:val="61"/>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P一集气罩敞开面周长，m</w:t>
            </w:r>
            <w:r>
              <w:rPr>
                <w:rFonts w:hint="eastAsia" w:ascii="Times New Roman" w:hAnsi="Times New Roman" w:eastAsia="宋体" w:cs="宋体"/>
                <w:color w:val="auto"/>
                <w:lang w:val="en-US" w:eastAsia="zh-CN"/>
              </w:rPr>
              <w:t>；</w:t>
            </w:r>
          </w:p>
          <w:p w14:paraId="7CE189A6">
            <w:pPr>
              <w:pStyle w:val="61"/>
              <w:ind w:firstLine="48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H</w:t>
            </w:r>
            <w:r>
              <w:rPr>
                <w:rFonts w:hint="eastAsia" w:ascii="Times New Roman" w:hAnsi="Times New Roman" w:eastAsia="宋体" w:cs="宋体"/>
                <w:color w:val="auto"/>
                <w:lang w:val="en-US" w:eastAsia="zh-CN"/>
              </w:rPr>
              <w:t>—</w:t>
            </w:r>
            <w:r>
              <w:rPr>
                <w:rFonts w:hint="default" w:ascii="Times New Roman" w:hAnsi="Times New Roman" w:eastAsia="宋体" w:cs="宋体"/>
                <w:color w:val="auto"/>
                <w:lang w:val="en-US" w:eastAsia="zh-CN"/>
              </w:rPr>
              <w:t>集气罩开口面至污染源距离，m，H取值0.</w:t>
            </w:r>
            <w:r>
              <w:rPr>
                <w:rFonts w:hint="eastAsia" w:ascii="Times New Roman" w:hAnsi="Times New Roman" w:cs="宋体"/>
                <w:color w:val="auto"/>
                <w:lang w:val="en-US" w:eastAsia="zh-CN"/>
              </w:rPr>
              <w:t>5</w:t>
            </w:r>
            <w:r>
              <w:rPr>
                <w:rFonts w:hint="default" w:ascii="Times New Roman" w:hAnsi="Times New Roman" w:eastAsia="宋体" w:cs="宋体"/>
                <w:color w:val="auto"/>
                <w:lang w:val="en-US" w:eastAsia="zh-CN"/>
              </w:rPr>
              <w:t>m</w:t>
            </w:r>
            <w:r>
              <w:rPr>
                <w:rFonts w:hint="eastAsia" w:ascii="Times New Roman" w:hAnsi="Times New Roman" w:eastAsia="宋体" w:cs="宋体"/>
                <w:color w:val="auto"/>
                <w:lang w:val="en-US" w:eastAsia="zh-CN"/>
              </w:rPr>
              <w:t>；</w:t>
            </w:r>
          </w:p>
          <w:p w14:paraId="74F5A771">
            <w:pPr>
              <w:pStyle w:val="61"/>
              <w:ind w:firstLine="48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v</w:t>
            </w:r>
            <w:r>
              <w:rPr>
                <w:rFonts w:hint="default" w:ascii="Times New Roman" w:hAnsi="Times New Roman" w:eastAsia="宋体" w:cs="宋体"/>
                <w:color w:val="auto"/>
                <w:lang w:val="en-US" w:eastAsia="zh-CN"/>
              </w:rPr>
              <w:t>一</w:t>
            </w:r>
            <w:r>
              <w:rPr>
                <w:rFonts w:hint="eastAsia" w:ascii="Times New Roman" w:hAnsi="Times New Roman" w:eastAsia="宋体" w:cs="宋体"/>
                <w:color w:val="auto"/>
                <w:lang w:val="en-US" w:eastAsia="zh-CN"/>
              </w:rPr>
              <w:t>集气罩</w:t>
            </w:r>
            <w:r>
              <w:rPr>
                <w:rFonts w:hint="default" w:ascii="Times New Roman" w:hAnsi="Times New Roman" w:eastAsia="宋体" w:cs="宋体"/>
                <w:color w:val="auto"/>
                <w:lang w:val="en-US" w:eastAsia="zh-CN"/>
              </w:rPr>
              <w:t>开口面最远处风速，m/s，</w:t>
            </w:r>
            <w:r>
              <w:rPr>
                <w:rFonts w:hint="eastAsia" w:ascii="Times New Roman" w:hAnsi="Times New Roman" w:cs="宋体"/>
                <w:color w:val="auto"/>
                <w:lang w:val="en-US" w:eastAsia="zh-CN"/>
              </w:rPr>
              <w:t>根据《袋式除尘工程通用技术规范》（HJ2020-2012）及《大气污染治理工程技术导则》（HJ2000-2010）可知，焊接烟尘的集气罩口风速值为1.0~1.5</w:t>
            </w:r>
            <w:r>
              <w:rPr>
                <w:rFonts w:hint="default" w:ascii="Times New Roman" w:hAnsi="Times New Roman" w:eastAsia="宋体" w:cs="宋体"/>
                <w:color w:val="auto"/>
                <w:lang w:val="en-US" w:eastAsia="zh-CN"/>
              </w:rPr>
              <w:t>m/s</w:t>
            </w:r>
            <w:r>
              <w:rPr>
                <w:rFonts w:hint="eastAsia" w:ascii="Times New Roman" w:hAnsi="Times New Roman" w:cs="宋体"/>
                <w:color w:val="auto"/>
                <w:lang w:val="en-US" w:eastAsia="zh-CN"/>
              </w:rPr>
              <w:t>，项目v</w:t>
            </w:r>
            <w:r>
              <w:rPr>
                <w:rFonts w:hint="default" w:ascii="Times New Roman" w:hAnsi="Times New Roman" w:eastAsia="宋体" w:cs="宋体"/>
                <w:color w:val="auto"/>
                <w:lang w:val="en-US" w:eastAsia="zh-CN"/>
              </w:rPr>
              <w:t>取</w:t>
            </w:r>
            <w:r>
              <w:rPr>
                <w:rFonts w:hint="eastAsia" w:ascii="Times New Roman" w:hAnsi="Times New Roman" w:cs="宋体"/>
                <w:color w:val="auto"/>
                <w:lang w:val="en-US" w:eastAsia="zh-CN"/>
              </w:rPr>
              <w:t>1</w:t>
            </w:r>
            <w:r>
              <w:rPr>
                <w:rFonts w:hint="default" w:ascii="Times New Roman" w:hAnsi="Times New Roman" w:eastAsia="宋体" w:cs="宋体"/>
                <w:color w:val="auto"/>
                <w:lang w:val="en-US" w:eastAsia="zh-CN"/>
              </w:rPr>
              <w:t>m/s</w:t>
            </w:r>
            <w:r>
              <w:rPr>
                <w:rFonts w:hint="eastAsia" w:ascii="Times New Roman" w:hAnsi="Times New Roman" w:eastAsia="宋体" w:cs="宋体"/>
                <w:color w:val="auto"/>
                <w:lang w:val="en-US" w:eastAsia="zh-CN"/>
              </w:rPr>
              <w:t>；</w:t>
            </w:r>
          </w:p>
          <w:p w14:paraId="56F1F1F6">
            <w:pPr>
              <w:pStyle w:val="61"/>
              <w:ind w:firstLine="480"/>
              <w:rPr>
                <w:rFonts w:hint="eastAsia" w:ascii="Times New Roman" w:hAnsi="Times New Roman" w:eastAsia="宋体" w:cs="宋体"/>
                <w:color w:val="auto"/>
                <w:vertAlign w:val="baseline"/>
                <w:lang w:val="en-US" w:eastAsia="zh-CN"/>
              </w:rPr>
            </w:pPr>
            <w:r>
              <w:rPr>
                <w:rFonts w:hint="eastAsia" w:ascii="Times New Roman" w:hAnsi="Times New Roman" w:eastAsia="宋体" w:cs="宋体"/>
                <w:color w:val="auto"/>
                <w:lang w:val="en-US" w:eastAsia="zh-CN"/>
              </w:rPr>
              <w:t>经计算，Q=</w:t>
            </w:r>
            <w:r>
              <w:rPr>
                <w:rFonts w:hint="eastAsia" w:ascii="Times New Roman" w:hAnsi="Times New Roman" w:cs="宋体"/>
                <w:color w:val="auto"/>
                <w:lang w:val="en-US" w:eastAsia="zh-CN"/>
              </w:rPr>
              <w:t>0.7536</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/s，即</w:t>
            </w:r>
            <w:r>
              <w:rPr>
                <w:rFonts w:hint="eastAsia" w:ascii="Times New Roman" w:hAnsi="Times New Roman" w:cs="宋体"/>
                <w:color w:val="auto"/>
                <w:lang w:val="en-US" w:eastAsia="zh-CN"/>
              </w:rPr>
              <w:t>2712.96</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/h，考虑管道的阻力等因素，将处理风量设置为</w:t>
            </w:r>
            <w:r>
              <w:rPr>
                <w:rFonts w:hint="eastAsia" w:ascii="Times New Roman" w:hAnsi="Times New Roman" w:cs="宋体"/>
                <w:color w:val="auto"/>
                <w:lang w:val="en-US" w:eastAsia="zh-CN"/>
              </w:rPr>
              <w:t>3</w:t>
            </w:r>
            <w:r>
              <w:rPr>
                <w:rFonts w:hint="eastAsia" w:ascii="Times New Roman" w:hAnsi="Times New Roman" w:eastAsia="宋体" w:cs="宋体"/>
                <w:color w:val="auto"/>
                <w:lang w:val="en-US" w:eastAsia="zh-CN"/>
              </w:rPr>
              <w:t>000m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/h。每条生产线每个集气罩风量为</w:t>
            </w:r>
            <w:r>
              <w:rPr>
                <w:rFonts w:hint="eastAsia" w:ascii="Times New Roman" w:hAnsi="Times New Roman" w:cs="宋体"/>
                <w:color w:val="auto"/>
                <w:lang w:val="en-US" w:eastAsia="zh-CN"/>
              </w:rPr>
              <w:t>3000</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/h，8条生产线共计</w:t>
            </w:r>
            <w:r>
              <w:rPr>
                <w:rFonts w:hint="eastAsia" w:ascii="Times New Roman" w:hAnsi="Times New Roman" w:cs="宋体"/>
                <w:color w:val="auto"/>
                <w:lang w:val="en-US" w:eastAsia="zh-CN"/>
              </w:rPr>
              <w:t>24</w:t>
            </w:r>
            <w:r>
              <w:rPr>
                <w:rFonts w:hint="eastAsia" w:ascii="Times New Roman" w:hAnsi="Times New Roman" w:eastAsia="宋体" w:cs="宋体"/>
                <w:color w:val="auto"/>
                <w:lang w:val="en-US" w:eastAsia="zh-CN"/>
              </w:rPr>
              <w:t>000m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vertAlign w:val="baseline"/>
                <w:lang w:val="en-US" w:eastAsia="zh-CN"/>
              </w:rPr>
              <w:t>/h。</w:t>
            </w:r>
          </w:p>
          <w:p w14:paraId="2BE243D1">
            <w:pPr>
              <w:pStyle w:val="61"/>
              <w:ind w:firstLine="480"/>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b：</w:t>
            </w:r>
            <w:r>
              <w:rPr>
                <w:rFonts w:hint="eastAsia" w:ascii="Times New Roman" w:hAnsi="Times New Roman" w:eastAsia="宋体"/>
                <w:color w:val="auto"/>
                <w:sz w:val="24"/>
                <w:szCs w:val="24"/>
                <w:lang w:val="en-US" w:eastAsia="zh-CN"/>
              </w:rPr>
              <w:t>为确保焊接烟尘有效收集，本项目焊接工段配置集气罩+</w:t>
            </w:r>
            <w:r>
              <w:rPr>
                <w:rFonts w:hint="eastAsia" w:ascii="Times New Roman" w:hAnsi="Times New Roman"/>
                <w:color w:val="auto"/>
                <w:sz w:val="24"/>
                <w:szCs w:val="24"/>
                <w:lang w:val="en-US" w:eastAsia="zh-CN"/>
              </w:rPr>
              <w:t>烟气</w:t>
            </w:r>
            <w:r>
              <w:rPr>
                <w:rFonts w:hint="eastAsia" w:ascii="Times New Roman" w:hAnsi="Times New Roman" w:eastAsia="宋体"/>
                <w:color w:val="auto"/>
                <w:sz w:val="24"/>
                <w:szCs w:val="24"/>
                <w:lang w:val="en-US" w:eastAsia="zh-CN"/>
              </w:rPr>
              <w:t>净化</w:t>
            </w:r>
            <w:r>
              <w:rPr>
                <w:rFonts w:hint="eastAsia" w:ascii="Times New Roman" w:hAnsi="Times New Roman"/>
                <w:color w:val="auto"/>
                <w:sz w:val="24"/>
                <w:szCs w:val="24"/>
                <w:lang w:val="en-US" w:eastAsia="zh-CN"/>
              </w:rPr>
              <w:t>除尘器</w:t>
            </w:r>
            <w:r>
              <w:rPr>
                <w:rFonts w:hint="eastAsia" w:ascii="Times New Roman" w:hAnsi="Times New Roman" w:eastAsia="宋体"/>
                <w:color w:val="auto"/>
                <w:sz w:val="24"/>
                <w:szCs w:val="24"/>
                <w:lang w:val="en-US" w:eastAsia="zh-CN"/>
              </w:rPr>
              <w:t>，具体保证措施如下：</w:t>
            </w:r>
          </w:p>
          <w:p w14:paraId="1D7E104F">
            <w:pPr>
              <w:pStyle w:val="61"/>
              <w:ind w:firstLine="48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设计安装</w:t>
            </w:r>
            <w:r>
              <w:rPr>
                <w:rFonts w:hint="default" w:ascii="Times New Roman" w:hAnsi="Times New Roman" w:eastAsia="宋体"/>
                <w:color w:val="auto"/>
                <w:sz w:val="24"/>
                <w:szCs w:val="24"/>
                <w:lang w:val="en-US" w:eastAsia="zh-CN"/>
              </w:rPr>
              <w:t>：</w:t>
            </w:r>
            <w:r>
              <w:rPr>
                <w:rFonts w:hint="eastAsia" w:ascii="Times New Roman" w:hAnsi="Times New Roman"/>
                <w:color w:val="auto"/>
                <w:sz w:val="24"/>
                <w:szCs w:val="24"/>
                <w:lang w:val="en-US" w:eastAsia="zh-CN"/>
              </w:rPr>
              <w:t>采用</w:t>
            </w:r>
            <w:r>
              <w:rPr>
                <w:rFonts w:hint="eastAsia" w:ascii="Times New Roman" w:hAnsi="Times New Roman" w:eastAsia="宋体" w:cs="宋体"/>
                <w:color w:val="auto"/>
                <w:lang w:val="en-US" w:eastAsia="zh-CN"/>
              </w:rPr>
              <w:t>半密闭</w:t>
            </w:r>
            <w:r>
              <w:rPr>
                <w:rFonts w:hint="eastAsia" w:ascii="Times New Roman" w:hAnsi="Times New Roman" w:cs="宋体"/>
                <w:color w:val="auto"/>
                <w:lang w:val="en-US" w:eastAsia="zh-CN"/>
              </w:rPr>
              <w:t>圆形</w:t>
            </w:r>
            <w:r>
              <w:rPr>
                <w:rFonts w:hint="eastAsia" w:ascii="Times New Roman" w:hAnsi="Times New Roman" w:eastAsia="宋体" w:cs="宋体"/>
                <w:color w:val="auto"/>
                <w:lang w:val="en-US" w:eastAsia="zh-CN"/>
              </w:rPr>
              <w:t>集气罩</w:t>
            </w:r>
            <w:r>
              <w:rPr>
                <w:rFonts w:hint="default" w:ascii="Times New Roman" w:hAnsi="Times New Roman" w:eastAsia="宋体"/>
                <w:color w:val="auto"/>
                <w:sz w:val="24"/>
                <w:szCs w:val="24"/>
                <w:lang w:val="en-US" w:eastAsia="zh-CN"/>
              </w:rPr>
              <w:t>，覆盖所有焊接点，配套风机风量按</w:t>
            </w:r>
            <w:r>
              <w:rPr>
                <w:rFonts w:hint="eastAsia" w:ascii="Times New Roman" w:hAnsi="Times New Roman" w:eastAsia="宋体" w:cs="宋体"/>
                <w:color w:val="auto"/>
                <w:lang w:val="en-US" w:eastAsia="zh-CN"/>
              </w:rPr>
              <w:t>每条生产线每个</w:t>
            </w:r>
            <w:r>
              <w:rPr>
                <w:rFonts w:hint="eastAsia" w:ascii="Times New Roman" w:hAnsi="Times New Roman"/>
                <w:color w:val="auto"/>
                <w:sz w:val="24"/>
                <w:szCs w:val="24"/>
                <w:lang w:val="en-US" w:eastAsia="zh-CN"/>
              </w:rPr>
              <w:t>3</w:t>
            </w:r>
            <w:r>
              <w:rPr>
                <w:rFonts w:hint="default" w:ascii="Times New Roman" w:hAnsi="Times New Roman" w:eastAsia="宋体"/>
                <w:color w:val="auto"/>
                <w:sz w:val="24"/>
                <w:szCs w:val="24"/>
                <w:lang w:val="en-US" w:eastAsia="zh-CN"/>
              </w:rPr>
              <w:t>000</w:t>
            </w:r>
            <w:r>
              <w:rPr>
                <w:rFonts w:hint="eastAsia" w:ascii="Times New Roman" w:hAnsi="Times New Roman" w:eastAsia="宋体" w:cs="宋体"/>
                <w:color w:val="auto"/>
                <w:lang w:val="en-US" w:eastAsia="zh-CN"/>
              </w:rPr>
              <w:t>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/h</w:t>
            </w:r>
            <w:r>
              <w:rPr>
                <w:rFonts w:hint="default" w:ascii="Times New Roman" w:hAnsi="Times New Roman" w:eastAsia="宋体"/>
                <w:color w:val="auto"/>
                <w:sz w:val="24"/>
                <w:szCs w:val="24"/>
                <w:lang w:val="en-US" w:eastAsia="zh-CN"/>
              </w:rPr>
              <w:t>设计，确保烟尘捕集效率≥</w:t>
            </w:r>
            <w:r>
              <w:rPr>
                <w:rFonts w:hint="eastAsia" w:ascii="Times New Roman" w:hAnsi="Times New Roman"/>
                <w:color w:val="auto"/>
                <w:sz w:val="24"/>
                <w:szCs w:val="24"/>
                <w:lang w:val="en-US" w:eastAsia="zh-CN"/>
              </w:rPr>
              <w:t>80</w:t>
            </w:r>
            <w:r>
              <w:rPr>
                <w:rFonts w:hint="default" w:ascii="Times New Roman" w:hAnsi="Times New Roman" w:eastAsia="宋体"/>
                <w:color w:val="auto"/>
                <w:sz w:val="24"/>
                <w:szCs w:val="24"/>
                <w:lang w:val="en-US" w:eastAsia="zh-CN"/>
              </w:rPr>
              <w:t>%。</w:t>
            </w:r>
          </w:p>
          <w:p w14:paraId="370546BA">
            <w:pPr>
              <w:pStyle w:val="61"/>
              <w:ind w:firstLine="480"/>
              <w:rPr>
                <w:rFonts w:hint="eastAsia"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运行管理：制定《集气罩运行维护规程》，每日班前检查集气罩密封性及风机运行状态，每周清理集气罩及管道积尘，每月检测风量，确保系统持续高效运行。</w:t>
            </w:r>
          </w:p>
          <w:p w14:paraId="359CA887">
            <w:pPr>
              <w:pStyle w:val="61"/>
              <w:ind w:firstLine="480"/>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操作要求：焊工需严格遵守</w:t>
            </w:r>
            <w:r>
              <w:rPr>
                <w:rFonts w:hint="eastAsia" w:ascii="Times New Roman" w:hAnsi="Times New Roman" w:eastAsia="宋体"/>
                <w:color w:val="auto"/>
                <w:sz w:val="24"/>
                <w:szCs w:val="24"/>
                <w:lang w:val="en-US" w:eastAsia="zh-CN"/>
              </w:rPr>
              <w:t>“</w:t>
            </w:r>
            <w:r>
              <w:rPr>
                <w:rFonts w:hint="default" w:ascii="Times New Roman" w:hAnsi="Times New Roman" w:eastAsia="宋体"/>
                <w:color w:val="auto"/>
                <w:sz w:val="24"/>
                <w:szCs w:val="24"/>
                <w:lang w:val="en-US" w:eastAsia="zh-CN"/>
              </w:rPr>
              <w:t>先开集气罩后焊接，焊接结束延时关闭</w:t>
            </w:r>
            <w:r>
              <w:rPr>
                <w:rFonts w:hint="eastAsia" w:ascii="Times New Roman" w:hAnsi="Times New Roman" w:eastAsia="宋体"/>
                <w:color w:val="auto"/>
                <w:sz w:val="24"/>
                <w:szCs w:val="24"/>
                <w:lang w:val="en-US" w:eastAsia="zh-CN"/>
              </w:rPr>
              <w:t>”</w:t>
            </w:r>
            <w:r>
              <w:rPr>
                <w:rFonts w:hint="default" w:ascii="Times New Roman" w:hAnsi="Times New Roman" w:eastAsia="宋体"/>
                <w:color w:val="auto"/>
                <w:sz w:val="24"/>
                <w:szCs w:val="24"/>
                <w:lang w:val="en-US" w:eastAsia="zh-CN"/>
              </w:rPr>
              <w:t>的操作规范，车间管理人员每日巡查记录集气罩使用情况，杜绝违规操作。</w:t>
            </w:r>
          </w:p>
          <w:p w14:paraId="2A76A431">
            <w:pPr>
              <w:pStyle w:val="6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宋体"/>
                <w:b/>
                <w:bCs/>
                <w:color w:val="auto"/>
                <w:kern w:val="0"/>
                <w:lang w:val="en-US" w:eastAsia="zh-CN"/>
              </w:rPr>
            </w:pPr>
            <w:r>
              <w:rPr>
                <w:rFonts w:hint="eastAsia" w:ascii="Times New Roman" w:hAnsi="Times New Roman" w:eastAsia="宋体" w:cs="宋体"/>
                <w:b/>
                <w:bCs/>
                <w:color w:val="auto"/>
                <w:kern w:val="0"/>
                <w:lang w:val="en-US" w:eastAsia="zh-CN"/>
              </w:rPr>
              <w:t>②切割粉尘</w:t>
            </w:r>
          </w:p>
          <w:p w14:paraId="311B6EBC">
            <w:pPr>
              <w:pStyle w:val="61"/>
              <w:ind w:firstLine="480"/>
              <w:rPr>
                <w:rFonts w:hint="eastAsia" w:ascii="Times New Roman" w:hAnsi="Times New Roman" w:eastAsia="宋体" w:cs="宋体"/>
                <w:color w:val="auto"/>
                <w:lang w:val="en-US" w:eastAsia="zh-CN"/>
              </w:rPr>
            </w:pPr>
            <w:r>
              <w:rPr>
                <w:rFonts w:hint="eastAsia" w:ascii="Times New Roman" w:hAnsi="Times New Roman" w:eastAsia="宋体"/>
                <w:color w:val="auto"/>
                <w:sz w:val="24"/>
                <w:szCs w:val="24"/>
                <w:lang w:val="en-US" w:eastAsia="zh-CN"/>
              </w:rPr>
              <w:t>项目每条生产线设置1台飞锯将焊管切割至所需长度（6m左右），切割过程会产生切割烟尘，本项目飞锯工序颗粒物参照</w:t>
            </w:r>
            <w:r>
              <w:rPr>
                <w:rFonts w:hint="default" w:ascii="Times New Roman" w:hAnsi="Times New Roman" w:eastAsia="宋体" w:cs="Times New Roman"/>
                <w:color w:val="auto"/>
                <w:sz w:val="24"/>
                <w:szCs w:val="24"/>
                <w:lang w:val="en-US" w:eastAsia="zh-CN"/>
              </w:rPr>
              <w:t>《排放源统计调查产排污核实方法和系数手册》中</w:t>
            </w:r>
            <w:r>
              <w:rPr>
                <w:rFonts w:hint="default" w:ascii="Times New Roman" w:hAnsi="Times New Roman" w:eastAsia="宋体" w:cs="Times New Roman"/>
                <w:color w:val="auto"/>
                <w:sz w:val="24"/>
              </w:rPr>
              <w:t>《3130钢压延加工行业系数手册》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焊接钢管采用高频焊法颗粒物产生系数为0.011kg/t钢材</w:t>
            </w:r>
            <w:r>
              <w:rPr>
                <w:rFonts w:hint="eastAsia" w:ascii="Times New Roman" w:hAnsi="Times New Roman" w:eastAsia="宋体"/>
                <w:color w:val="auto"/>
                <w:sz w:val="24"/>
                <w:szCs w:val="24"/>
                <w:lang w:val="en-US" w:eastAsia="zh-CN"/>
              </w:rPr>
              <w:t>。”</w:t>
            </w:r>
            <w:r>
              <w:rPr>
                <w:rFonts w:hint="eastAsia" w:ascii="Times New Roman" w:hAnsi="Times New Roman" w:eastAsia="宋体" w:cs="Times New Roman"/>
                <w:color w:val="auto"/>
                <w:sz w:val="24"/>
                <w:lang w:val="en-US" w:eastAsia="zh-CN"/>
              </w:rPr>
              <w:t>项目使用</w:t>
            </w:r>
            <w:r>
              <w:rPr>
                <w:rFonts w:hint="eastAsia" w:ascii="Times New Roman" w:hAnsi="Times New Roman" w:cs="Times New Roman"/>
                <w:color w:val="auto"/>
                <w:sz w:val="24"/>
                <w:lang w:val="en-US" w:eastAsia="zh-CN"/>
              </w:rPr>
              <w:t>黑管</w:t>
            </w:r>
            <w:r>
              <w:rPr>
                <w:rFonts w:hint="eastAsia" w:ascii="Times New Roman" w:hAnsi="Times New Roman" w:eastAsia="宋体" w:cs="Times New Roman"/>
                <w:color w:val="auto"/>
                <w:sz w:val="24"/>
                <w:lang w:val="en-US" w:eastAsia="zh-CN"/>
              </w:rPr>
              <w:t>的量为</w:t>
            </w:r>
            <w:r>
              <w:rPr>
                <w:rFonts w:hint="eastAsia" w:ascii="Times New Roman" w:hAnsi="Times New Roman" w:cs="Times New Roman"/>
                <w:color w:val="auto"/>
                <w:sz w:val="24"/>
                <w:lang w:val="en-US" w:eastAsia="zh-CN"/>
              </w:rPr>
              <w:t>200942.30</w:t>
            </w:r>
            <w:r>
              <w:rPr>
                <w:rFonts w:hint="eastAsia" w:ascii="Times New Roman" w:hAnsi="Times New Roman" w:eastAsia="宋体" w:cs="Times New Roman"/>
                <w:color w:val="auto"/>
                <w:sz w:val="24"/>
                <w:lang w:val="en-US" w:eastAsia="zh-CN"/>
              </w:rPr>
              <w:t>t/a，</w:t>
            </w:r>
            <w:r>
              <w:rPr>
                <w:rFonts w:hint="eastAsia" w:ascii="Times New Roman" w:hAnsi="Times New Roman" w:eastAsia="宋体"/>
                <w:color w:val="auto"/>
                <w:sz w:val="24"/>
                <w:szCs w:val="24"/>
                <w:lang w:val="en-US" w:eastAsia="zh-CN"/>
              </w:rPr>
              <w:t>该产生系数为纵焊接，而本项目飞锯切割为横切，焊管长度一般为6m，本项目最大管周长为25.12cm（</w:t>
            </w:r>
            <w:r>
              <w:rPr>
                <w:rFonts w:hint="default" w:ascii="Times New Roman" w:hAnsi="Times New Roman" w:eastAsia="宋体"/>
                <w:color w:val="auto"/>
              </w:rPr>
              <w:t>φ</w:t>
            </w:r>
            <w:r>
              <w:rPr>
                <w:rFonts w:hint="eastAsia" w:ascii="Times New Roman" w:hAnsi="Times New Roman" w:eastAsia="宋体"/>
                <w:color w:val="auto"/>
                <w:lang w:val="en-US" w:eastAsia="zh-CN"/>
              </w:rPr>
              <w:t>80</w:t>
            </w:r>
            <w:r>
              <w:rPr>
                <w:rFonts w:hint="default" w:ascii="Times New Roman" w:hAnsi="Times New Roman" w:eastAsia="宋体"/>
                <w:color w:val="auto"/>
              </w:rPr>
              <w:t>mm</w:t>
            </w:r>
            <w:r>
              <w:rPr>
                <w:rFonts w:hint="eastAsia" w:ascii="Times New Roman" w:hAnsi="Times New Roman" w:eastAsia="宋体"/>
                <w:color w:val="auto"/>
                <w:sz w:val="24"/>
                <w:szCs w:val="24"/>
                <w:lang w:val="en-US" w:eastAsia="zh-CN"/>
              </w:rPr>
              <w:t>），故比例为23.89:1，故项目飞锯切割粉尘产生系数按0.00046kg/t钢材，故产生的颗粒物为0.0</w:t>
            </w:r>
            <w:r>
              <w:rPr>
                <w:rFonts w:hint="eastAsia" w:ascii="Times New Roman" w:hAnsi="Times New Roman"/>
                <w:color w:val="auto"/>
                <w:sz w:val="24"/>
                <w:szCs w:val="24"/>
                <w:lang w:val="en-US" w:eastAsia="zh-CN"/>
              </w:rPr>
              <w:t>924</w:t>
            </w:r>
            <w:r>
              <w:rPr>
                <w:rFonts w:hint="eastAsia" w:ascii="Times New Roman" w:hAnsi="Times New Roman" w:eastAsia="宋体"/>
                <w:color w:val="auto"/>
                <w:sz w:val="24"/>
                <w:szCs w:val="24"/>
                <w:lang w:val="en-US" w:eastAsia="zh-CN"/>
              </w:rPr>
              <w:t>t/a，0.0</w:t>
            </w:r>
            <w:r>
              <w:rPr>
                <w:rFonts w:hint="eastAsia" w:ascii="Times New Roman" w:hAnsi="Times New Roman"/>
                <w:color w:val="auto"/>
                <w:sz w:val="24"/>
                <w:szCs w:val="24"/>
                <w:lang w:val="en-US" w:eastAsia="zh-CN"/>
              </w:rPr>
              <w:t>385</w:t>
            </w:r>
            <w:r>
              <w:rPr>
                <w:rFonts w:hint="eastAsia" w:ascii="Times New Roman" w:hAnsi="Times New Roman" w:eastAsia="宋体"/>
                <w:color w:val="auto"/>
                <w:sz w:val="24"/>
                <w:szCs w:val="24"/>
                <w:lang w:val="en-US" w:eastAsia="zh-CN"/>
              </w:rPr>
              <w:t>kg/h，此部分颗粒物</w:t>
            </w:r>
            <w:r>
              <w:rPr>
                <w:rFonts w:hint="eastAsia" w:ascii="Times New Roman" w:hAnsi="Times New Roman"/>
                <w:color w:val="auto"/>
                <w:sz w:val="24"/>
                <w:szCs w:val="24"/>
                <w:lang w:val="en-US" w:eastAsia="zh-CN"/>
              </w:rPr>
              <w:t>无组织排放</w:t>
            </w:r>
            <w:r>
              <w:rPr>
                <w:rFonts w:hint="eastAsia" w:ascii="Times New Roman" w:hAnsi="Times New Roman" w:eastAsia="宋体"/>
                <w:color w:val="auto"/>
                <w:sz w:val="24"/>
                <w:szCs w:val="24"/>
                <w:lang w:val="en-US" w:eastAsia="zh-CN"/>
              </w:rPr>
              <w:t>车间内</w:t>
            </w:r>
            <w:r>
              <w:rPr>
                <w:rFonts w:hint="eastAsia" w:ascii="Times New Roman" w:hAnsi="Times New Roman" w:eastAsia="宋体" w:cs="宋体"/>
                <w:color w:val="auto"/>
                <w:lang w:val="en-US" w:eastAsia="zh-CN"/>
              </w:rPr>
              <w:t>，则排放量为0.0</w:t>
            </w:r>
            <w:r>
              <w:rPr>
                <w:rFonts w:hint="eastAsia" w:ascii="Times New Roman" w:hAnsi="Times New Roman" w:cs="宋体"/>
                <w:color w:val="auto"/>
                <w:lang w:val="en-US" w:eastAsia="zh-CN"/>
              </w:rPr>
              <w:t>924</w:t>
            </w:r>
            <w:r>
              <w:rPr>
                <w:rFonts w:hint="eastAsia" w:ascii="Times New Roman" w:hAnsi="Times New Roman" w:eastAsia="宋体" w:cs="宋体"/>
                <w:color w:val="auto"/>
                <w:lang w:val="en-US" w:eastAsia="zh-CN"/>
              </w:rPr>
              <w:t>t/a，排放速率为0.0</w:t>
            </w:r>
            <w:r>
              <w:rPr>
                <w:rFonts w:hint="eastAsia" w:ascii="Times New Roman" w:hAnsi="Times New Roman" w:cs="宋体"/>
                <w:color w:val="auto"/>
                <w:lang w:val="en-US" w:eastAsia="zh-CN"/>
              </w:rPr>
              <w:t>385</w:t>
            </w:r>
            <w:r>
              <w:rPr>
                <w:rFonts w:hint="eastAsia" w:ascii="Times New Roman" w:hAnsi="Times New Roman" w:eastAsia="宋体" w:cs="宋体"/>
                <w:color w:val="auto"/>
                <w:lang w:val="en-US" w:eastAsia="zh-CN"/>
              </w:rPr>
              <w:t>kg/h。</w:t>
            </w:r>
          </w:p>
          <w:p w14:paraId="1C1EAC36">
            <w:pPr>
              <w:pStyle w:val="6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b w:val="0"/>
                <w:bCs w:val="0"/>
                <w:color w:val="auto"/>
                <w:lang w:val="en-US" w:eastAsia="zh-CN"/>
              </w:rPr>
            </w:pPr>
            <w:r>
              <w:rPr>
                <w:rFonts w:hint="eastAsia" w:ascii="Times New Roman" w:hAnsi="Times New Roman"/>
                <w:b w:val="0"/>
                <w:bCs w:val="0"/>
                <w:color w:val="auto"/>
                <w:lang w:val="en-US" w:eastAsia="zh-CN"/>
              </w:rPr>
              <w:t>综上所述，项目大气污染物无组织排放量核算如下表：</w:t>
            </w:r>
          </w:p>
          <w:p w14:paraId="76C04CC5">
            <w:pPr>
              <w:pStyle w:val="32"/>
              <w:bidi w:val="0"/>
              <w:rPr>
                <w:rFonts w:hint="eastAsia" w:ascii="Times New Roman" w:hAnsi="Times New Roman" w:eastAsia="宋体" w:cs="Times New Roman"/>
                <w:color w:val="auto"/>
                <w:lang w:val="en-TT" w:eastAsia="zh-CN"/>
              </w:rPr>
            </w:pPr>
            <w:r>
              <w:rPr>
                <w:rFonts w:hint="eastAsia" w:ascii="Times New Roman" w:hAnsi="Times New Roman" w:eastAsia="宋体" w:cs="Times New Roman"/>
                <w:color w:val="auto"/>
                <w:lang w:val="en-TT" w:eastAsia="zh-CN"/>
              </w:rPr>
              <w:t>表4-</w:t>
            </w:r>
            <w:r>
              <w:rPr>
                <w:rFonts w:hint="eastAsia"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TT" w:eastAsia="zh-CN"/>
              </w:rPr>
              <w:t>项目大气污染物无组织排放量核算表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67"/>
              <w:gridCol w:w="739"/>
              <w:gridCol w:w="933"/>
              <w:gridCol w:w="1607"/>
              <w:gridCol w:w="1525"/>
              <w:gridCol w:w="1191"/>
              <w:gridCol w:w="852"/>
            </w:tblGrid>
            <w:tr w14:paraId="68EA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jc w:val="center"/>
              </w:trPr>
              <w:tc>
                <w:tcPr>
                  <w:tcW w:w="285" w:type="pct"/>
                  <w:vMerge w:val="restart"/>
                  <w:shd w:val="clear" w:color="auto" w:fill="D9D9D9"/>
                  <w:noWrap w:val="0"/>
                  <w:vAlign w:val="center"/>
                </w:tcPr>
                <w:p w14:paraId="2AE90278">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530" w:type="pct"/>
                  <w:vMerge w:val="restart"/>
                  <w:shd w:val="clear" w:color="auto" w:fill="D9D9D9"/>
                  <w:noWrap w:val="0"/>
                  <w:vAlign w:val="center"/>
                </w:tcPr>
                <w:p w14:paraId="26A093AA">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排污口编号</w:t>
                  </w:r>
                </w:p>
              </w:tc>
              <w:tc>
                <w:tcPr>
                  <w:tcW w:w="452" w:type="pct"/>
                  <w:vMerge w:val="restart"/>
                  <w:shd w:val="clear" w:color="auto" w:fill="D9D9D9"/>
                  <w:noWrap w:val="0"/>
                  <w:vAlign w:val="center"/>
                </w:tcPr>
                <w:p w14:paraId="5B609D8F">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产污环节</w:t>
                  </w:r>
                </w:p>
              </w:tc>
              <w:tc>
                <w:tcPr>
                  <w:tcW w:w="568" w:type="pct"/>
                  <w:vMerge w:val="restart"/>
                  <w:shd w:val="clear" w:color="auto" w:fill="D9D9D9"/>
                  <w:noWrap w:val="0"/>
                  <w:vAlign w:val="center"/>
                </w:tcPr>
                <w:p w14:paraId="231BEA2E">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污染物</w:t>
                  </w:r>
                </w:p>
              </w:tc>
              <w:tc>
                <w:tcPr>
                  <w:tcW w:w="982" w:type="pct"/>
                  <w:vMerge w:val="restart"/>
                  <w:shd w:val="clear" w:color="auto" w:fill="D9D9D9"/>
                  <w:noWrap w:val="0"/>
                  <w:vAlign w:val="center"/>
                </w:tcPr>
                <w:p w14:paraId="2C94DD9A">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主要污染防治措施</w:t>
                  </w:r>
                </w:p>
              </w:tc>
              <w:tc>
                <w:tcPr>
                  <w:tcW w:w="1660" w:type="pct"/>
                  <w:gridSpan w:val="2"/>
                  <w:shd w:val="clear" w:color="auto" w:fill="D9D9D9"/>
                  <w:noWrap w:val="0"/>
                  <w:vAlign w:val="center"/>
                </w:tcPr>
                <w:p w14:paraId="12BAF3F6">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国家污染物排放标准</w:t>
                  </w:r>
                </w:p>
              </w:tc>
              <w:tc>
                <w:tcPr>
                  <w:tcW w:w="520" w:type="pct"/>
                  <w:vMerge w:val="restart"/>
                  <w:shd w:val="clear" w:color="auto" w:fill="D9D9D9"/>
                  <w:noWrap w:val="0"/>
                  <w:vAlign w:val="center"/>
                </w:tcPr>
                <w:p w14:paraId="4C01383C">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年排放量（t</w:t>
                  </w:r>
                  <w:r>
                    <w:rPr>
                      <w:rFonts w:ascii="Times New Roman" w:hAnsi="Times New Roman" w:eastAsia="宋体"/>
                      <w:color w:val="auto"/>
                      <w:sz w:val="21"/>
                      <w:szCs w:val="21"/>
                    </w:rPr>
                    <w:t>/a</w:t>
                  </w:r>
                  <w:r>
                    <w:rPr>
                      <w:rFonts w:hint="eastAsia" w:ascii="Times New Roman" w:hAnsi="Times New Roman" w:eastAsia="宋体"/>
                      <w:color w:val="auto"/>
                      <w:sz w:val="21"/>
                      <w:szCs w:val="21"/>
                    </w:rPr>
                    <w:t>）</w:t>
                  </w:r>
                </w:p>
              </w:tc>
            </w:tr>
            <w:tr w14:paraId="5D85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85" w:type="pct"/>
                  <w:vMerge w:val="continue"/>
                  <w:shd w:val="clear" w:color="auto" w:fill="auto"/>
                  <w:noWrap w:val="0"/>
                  <w:vAlign w:val="center"/>
                </w:tcPr>
                <w:p w14:paraId="03747047">
                  <w:pPr>
                    <w:pStyle w:val="64"/>
                    <w:jc w:val="center"/>
                    <w:rPr>
                      <w:rFonts w:ascii="Times New Roman" w:hAnsi="Times New Roman" w:eastAsia="宋体"/>
                      <w:color w:val="auto"/>
                      <w:sz w:val="21"/>
                      <w:szCs w:val="21"/>
                    </w:rPr>
                  </w:pPr>
                </w:p>
              </w:tc>
              <w:tc>
                <w:tcPr>
                  <w:tcW w:w="530" w:type="pct"/>
                  <w:vMerge w:val="continue"/>
                  <w:shd w:val="clear" w:color="auto" w:fill="auto"/>
                  <w:noWrap w:val="0"/>
                  <w:vAlign w:val="center"/>
                </w:tcPr>
                <w:p w14:paraId="4DE9A590">
                  <w:pPr>
                    <w:pStyle w:val="64"/>
                    <w:jc w:val="center"/>
                    <w:rPr>
                      <w:rFonts w:ascii="Times New Roman" w:hAnsi="Times New Roman" w:eastAsia="宋体"/>
                      <w:color w:val="auto"/>
                      <w:sz w:val="21"/>
                      <w:szCs w:val="21"/>
                    </w:rPr>
                  </w:pPr>
                </w:p>
              </w:tc>
              <w:tc>
                <w:tcPr>
                  <w:tcW w:w="452" w:type="pct"/>
                  <w:vMerge w:val="continue"/>
                  <w:shd w:val="clear" w:color="auto" w:fill="auto"/>
                  <w:noWrap w:val="0"/>
                  <w:vAlign w:val="center"/>
                </w:tcPr>
                <w:p w14:paraId="646514EC">
                  <w:pPr>
                    <w:pStyle w:val="64"/>
                    <w:jc w:val="center"/>
                    <w:rPr>
                      <w:rFonts w:ascii="Times New Roman" w:hAnsi="Times New Roman" w:eastAsia="宋体"/>
                      <w:color w:val="auto"/>
                      <w:sz w:val="21"/>
                      <w:szCs w:val="21"/>
                    </w:rPr>
                  </w:pPr>
                </w:p>
              </w:tc>
              <w:tc>
                <w:tcPr>
                  <w:tcW w:w="568" w:type="pct"/>
                  <w:vMerge w:val="continue"/>
                  <w:shd w:val="clear" w:color="auto" w:fill="auto"/>
                  <w:noWrap w:val="0"/>
                  <w:vAlign w:val="center"/>
                </w:tcPr>
                <w:p w14:paraId="0AAB6209">
                  <w:pPr>
                    <w:pStyle w:val="64"/>
                    <w:jc w:val="center"/>
                    <w:rPr>
                      <w:rFonts w:ascii="Times New Roman" w:hAnsi="Times New Roman" w:eastAsia="宋体"/>
                      <w:color w:val="auto"/>
                      <w:sz w:val="21"/>
                      <w:szCs w:val="21"/>
                    </w:rPr>
                  </w:pPr>
                </w:p>
              </w:tc>
              <w:tc>
                <w:tcPr>
                  <w:tcW w:w="982" w:type="pct"/>
                  <w:vMerge w:val="continue"/>
                  <w:shd w:val="clear" w:color="auto" w:fill="auto"/>
                  <w:noWrap w:val="0"/>
                  <w:vAlign w:val="center"/>
                </w:tcPr>
                <w:p w14:paraId="61B0DE0C">
                  <w:pPr>
                    <w:pStyle w:val="64"/>
                    <w:jc w:val="center"/>
                    <w:rPr>
                      <w:rFonts w:ascii="Times New Roman" w:hAnsi="Times New Roman" w:eastAsia="宋体"/>
                      <w:color w:val="auto"/>
                      <w:sz w:val="21"/>
                      <w:szCs w:val="21"/>
                    </w:rPr>
                  </w:pPr>
                </w:p>
              </w:tc>
              <w:tc>
                <w:tcPr>
                  <w:tcW w:w="932" w:type="pct"/>
                  <w:shd w:val="clear" w:color="auto" w:fill="D9D9D9"/>
                  <w:noWrap w:val="0"/>
                  <w:vAlign w:val="center"/>
                </w:tcPr>
                <w:p w14:paraId="1605B314">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标准名称</w:t>
                  </w:r>
                </w:p>
              </w:tc>
              <w:tc>
                <w:tcPr>
                  <w:tcW w:w="727" w:type="pct"/>
                  <w:shd w:val="clear" w:color="auto" w:fill="D9D9D9"/>
                  <w:noWrap w:val="0"/>
                  <w:vAlign w:val="center"/>
                </w:tcPr>
                <w:p w14:paraId="22D557A7">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浓度限值/mg/</w:t>
                  </w:r>
                  <w:r>
                    <w:rPr>
                      <w:rFonts w:hint="eastAsia" w:ascii="Times New Roman" w:hAnsi="Times New Roman"/>
                      <w:color w:val="auto"/>
                      <w:sz w:val="21"/>
                      <w:szCs w:val="21"/>
                      <w:lang w:val="en-US" w:eastAsia="zh-CN"/>
                    </w:rPr>
                    <w:t>m</w:t>
                  </w:r>
                  <w:r>
                    <w:rPr>
                      <w:rFonts w:hint="eastAsia" w:ascii="Times New Roman" w:hAnsi="Times New Roman"/>
                      <w:color w:val="auto"/>
                      <w:sz w:val="21"/>
                      <w:szCs w:val="21"/>
                      <w:vertAlign w:val="superscript"/>
                      <w:lang w:val="en-US" w:eastAsia="zh-CN"/>
                    </w:rPr>
                    <w:t>3</w:t>
                  </w:r>
                </w:p>
              </w:tc>
              <w:tc>
                <w:tcPr>
                  <w:tcW w:w="520" w:type="pct"/>
                  <w:vMerge w:val="continue"/>
                  <w:noWrap w:val="0"/>
                  <w:vAlign w:val="center"/>
                </w:tcPr>
                <w:p w14:paraId="1B7A460A">
                  <w:pPr>
                    <w:pStyle w:val="64"/>
                    <w:jc w:val="center"/>
                    <w:rPr>
                      <w:rFonts w:ascii="Times New Roman" w:hAnsi="Times New Roman" w:eastAsia="宋体"/>
                      <w:color w:val="auto"/>
                      <w:sz w:val="21"/>
                      <w:szCs w:val="21"/>
                    </w:rPr>
                  </w:pPr>
                </w:p>
              </w:tc>
            </w:tr>
            <w:tr w14:paraId="0C90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6E596260">
                  <w:pPr>
                    <w:pStyle w:val="64"/>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w:t>
                  </w:r>
                </w:p>
              </w:tc>
              <w:tc>
                <w:tcPr>
                  <w:tcW w:w="530" w:type="pct"/>
                  <w:noWrap w:val="0"/>
                  <w:vAlign w:val="center"/>
                </w:tcPr>
                <w:p w14:paraId="6CF866DB">
                  <w:pPr>
                    <w:pStyle w:val="64"/>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c>
                <w:tcPr>
                  <w:tcW w:w="452" w:type="pct"/>
                  <w:noWrap w:val="0"/>
                  <w:vAlign w:val="center"/>
                </w:tcPr>
                <w:p w14:paraId="3D7588E2">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焊接</w:t>
                  </w:r>
                </w:p>
              </w:tc>
              <w:tc>
                <w:tcPr>
                  <w:tcW w:w="568" w:type="pct"/>
                  <w:noWrap w:val="0"/>
                  <w:vAlign w:val="center"/>
                </w:tcPr>
                <w:p w14:paraId="29BF8AC7">
                  <w:pPr>
                    <w:pStyle w:val="64"/>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982" w:type="pct"/>
                  <w:noWrap w:val="0"/>
                  <w:vAlign w:val="center"/>
                </w:tcPr>
                <w:p w14:paraId="67688ABD">
                  <w:pPr>
                    <w:pStyle w:val="64"/>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集气罩+</w:t>
                  </w:r>
                  <w:r>
                    <w:rPr>
                      <w:rFonts w:hint="eastAsia" w:ascii="Times New Roman" w:hAnsi="Times New Roman"/>
                      <w:color w:val="auto"/>
                      <w:sz w:val="21"/>
                      <w:szCs w:val="21"/>
                      <w:lang w:val="en-US" w:eastAsia="zh-CN"/>
                    </w:rPr>
                    <w:t>烟尘净化</w:t>
                  </w:r>
                  <w:r>
                    <w:rPr>
                      <w:rFonts w:hint="eastAsia" w:ascii="Times New Roman" w:hAnsi="Times New Roman" w:eastAsia="宋体"/>
                      <w:color w:val="auto"/>
                      <w:sz w:val="21"/>
                      <w:szCs w:val="21"/>
                      <w:lang w:val="en-US" w:eastAsia="zh-CN"/>
                    </w:rPr>
                    <w:t>除尘器处理</w:t>
                  </w:r>
                </w:p>
              </w:tc>
              <w:tc>
                <w:tcPr>
                  <w:tcW w:w="932" w:type="pct"/>
                  <w:vMerge w:val="restart"/>
                  <w:noWrap w:val="0"/>
                  <w:vAlign w:val="center"/>
                </w:tcPr>
                <w:p w14:paraId="54EA980E">
                  <w:pPr>
                    <w:pStyle w:val="64"/>
                    <w:jc w:val="center"/>
                    <w:rPr>
                      <w:rFonts w:ascii="Times New Roman" w:hAnsi="Times New Roman" w:eastAsia="宋体"/>
                      <w:color w:val="auto"/>
                      <w:sz w:val="21"/>
                      <w:szCs w:val="21"/>
                    </w:rPr>
                  </w:pPr>
                  <w:r>
                    <w:rPr>
                      <w:rFonts w:ascii="Times New Roman" w:hAnsi="Times New Roman" w:eastAsia="宋体"/>
                      <w:color w:val="auto"/>
                      <w:sz w:val="21"/>
                      <w:szCs w:val="21"/>
                    </w:rPr>
                    <w:t>GB16297-1996</w:t>
                  </w:r>
                </w:p>
              </w:tc>
              <w:tc>
                <w:tcPr>
                  <w:tcW w:w="727" w:type="pct"/>
                  <w:vMerge w:val="restart"/>
                  <w:noWrap w:val="0"/>
                  <w:vAlign w:val="center"/>
                </w:tcPr>
                <w:p w14:paraId="12AC30B7">
                  <w:pPr>
                    <w:pStyle w:val="64"/>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.0</w:t>
                  </w:r>
                </w:p>
              </w:tc>
              <w:tc>
                <w:tcPr>
                  <w:tcW w:w="520" w:type="pct"/>
                  <w:noWrap w:val="0"/>
                  <w:vAlign w:val="center"/>
                </w:tcPr>
                <w:p w14:paraId="76350F7E">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w:t>
                  </w:r>
                  <w:r>
                    <w:rPr>
                      <w:rFonts w:hint="eastAsia" w:ascii="Times New Roman" w:hAnsi="Times New Roman"/>
                      <w:color w:val="auto"/>
                      <w:sz w:val="21"/>
                      <w:szCs w:val="21"/>
                      <w:lang w:val="en-US" w:eastAsia="zh-CN"/>
                    </w:rPr>
                    <w:t>5305</w:t>
                  </w:r>
                </w:p>
              </w:tc>
            </w:tr>
            <w:tr w14:paraId="2D23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4B03B422">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530" w:type="pct"/>
                  <w:noWrap w:val="0"/>
                  <w:vAlign w:val="center"/>
                </w:tcPr>
                <w:p w14:paraId="08278279">
                  <w:pPr>
                    <w:pStyle w:val="64"/>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w:t>
                  </w:r>
                </w:p>
              </w:tc>
              <w:tc>
                <w:tcPr>
                  <w:tcW w:w="452" w:type="pct"/>
                  <w:noWrap w:val="0"/>
                  <w:vAlign w:val="center"/>
                </w:tcPr>
                <w:p w14:paraId="0F398922">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切割</w:t>
                  </w:r>
                </w:p>
              </w:tc>
              <w:tc>
                <w:tcPr>
                  <w:tcW w:w="568" w:type="pct"/>
                  <w:noWrap w:val="0"/>
                  <w:vAlign w:val="center"/>
                </w:tcPr>
                <w:p w14:paraId="6643B462">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982" w:type="pct"/>
                  <w:noWrap w:val="0"/>
                  <w:vAlign w:val="center"/>
                </w:tcPr>
                <w:p w14:paraId="732F8F25">
                  <w:pPr>
                    <w:pStyle w:val="64"/>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加强车间</w:t>
                  </w:r>
                  <w:r>
                    <w:rPr>
                      <w:rFonts w:hint="eastAsia" w:ascii="Times New Roman" w:hAnsi="Times New Roman" w:eastAsia="宋体"/>
                      <w:color w:val="auto"/>
                      <w:sz w:val="21"/>
                      <w:szCs w:val="21"/>
                    </w:rPr>
                    <w:t>封闭</w:t>
                  </w:r>
                </w:p>
              </w:tc>
              <w:tc>
                <w:tcPr>
                  <w:tcW w:w="932" w:type="pct"/>
                  <w:vMerge w:val="continue"/>
                  <w:noWrap w:val="0"/>
                  <w:vAlign w:val="center"/>
                </w:tcPr>
                <w:p w14:paraId="23C3D415">
                  <w:pPr>
                    <w:pStyle w:val="64"/>
                    <w:jc w:val="center"/>
                    <w:rPr>
                      <w:rFonts w:ascii="Times New Roman" w:hAnsi="Times New Roman" w:eastAsia="宋体"/>
                      <w:color w:val="auto"/>
                      <w:sz w:val="21"/>
                      <w:szCs w:val="21"/>
                    </w:rPr>
                  </w:pPr>
                </w:p>
              </w:tc>
              <w:tc>
                <w:tcPr>
                  <w:tcW w:w="727" w:type="pct"/>
                  <w:vMerge w:val="continue"/>
                  <w:noWrap w:val="0"/>
                  <w:vAlign w:val="center"/>
                </w:tcPr>
                <w:p w14:paraId="7EFDD716">
                  <w:pPr>
                    <w:pStyle w:val="64"/>
                    <w:jc w:val="center"/>
                    <w:rPr>
                      <w:rFonts w:hint="eastAsia" w:ascii="Times New Roman" w:hAnsi="Times New Roman" w:eastAsia="宋体"/>
                      <w:color w:val="auto"/>
                      <w:sz w:val="21"/>
                      <w:szCs w:val="21"/>
                    </w:rPr>
                  </w:pPr>
                </w:p>
              </w:tc>
              <w:tc>
                <w:tcPr>
                  <w:tcW w:w="520" w:type="pct"/>
                  <w:noWrap w:val="0"/>
                  <w:vAlign w:val="center"/>
                </w:tcPr>
                <w:p w14:paraId="22F793A9">
                  <w:pPr>
                    <w:pStyle w:val="64"/>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w:t>
                  </w:r>
                  <w:r>
                    <w:rPr>
                      <w:rFonts w:hint="eastAsia" w:ascii="Times New Roman" w:hAnsi="Times New Roman"/>
                      <w:color w:val="auto"/>
                      <w:sz w:val="21"/>
                      <w:szCs w:val="21"/>
                      <w:lang w:val="en-US" w:eastAsia="zh-CN"/>
                    </w:rPr>
                    <w:t>924</w:t>
                  </w:r>
                </w:p>
              </w:tc>
            </w:tr>
            <w:tr w14:paraId="0658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4630E327">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无组织排放总计</w:t>
                  </w:r>
                </w:p>
              </w:tc>
            </w:tr>
            <w:tr w14:paraId="2AC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7" w:type="pct"/>
                  <w:gridSpan w:val="4"/>
                  <w:noWrap w:val="0"/>
                  <w:vAlign w:val="center"/>
                </w:tcPr>
                <w:p w14:paraId="61708082">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无组织排放总计</w:t>
                  </w:r>
                </w:p>
              </w:tc>
              <w:tc>
                <w:tcPr>
                  <w:tcW w:w="1914" w:type="pct"/>
                  <w:gridSpan w:val="2"/>
                  <w:noWrap w:val="0"/>
                  <w:vAlign w:val="center"/>
                </w:tcPr>
                <w:p w14:paraId="0C3E4EDD">
                  <w:pPr>
                    <w:pStyle w:val="64"/>
                    <w:jc w:val="center"/>
                    <w:rPr>
                      <w:rFonts w:ascii="Times New Roman" w:hAnsi="Times New Roman" w:eastAsia="宋体"/>
                      <w:color w:val="auto"/>
                      <w:sz w:val="21"/>
                      <w:szCs w:val="21"/>
                    </w:rPr>
                  </w:pPr>
                  <w:r>
                    <w:rPr>
                      <w:rFonts w:hint="eastAsia" w:ascii="Times New Roman" w:hAnsi="Times New Roman" w:eastAsia="宋体"/>
                      <w:color w:val="auto"/>
                      <w:sz w:val="21"/>
                      <w:szCs w:val="21"/>
                    </w:rPr>
                    <w:t>颗粒物</w:t>
                  </w:r>
                </w:p>
              </w:tc>
              <w:tc>
                <w:tcPr>
                  <w:tcW w:w="1248" w:type="pct"/>
                  <w:gridSpan w:val="2"/>
                  <w:noWrap w:val="0"/>
                  <w:vAlign w:val="center"/>
                </w:tcPr>
                <w:p w14:paraId="41EB0486">
                  <w:pPr>
                    <w:pStyle w:val="64"/>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0.6229</w:t>
                  </w:r>
                </w:p>
              </w:tc>
            </w:tr>
          </w:tbl>
          <w:p w14:paraId="327A54D1">
            <w:pPr>
              <w:pStyle w:val="61"/>
              <w:ind w:firstLine="482"/>
              <w:rPr>
                <w:rFonts w:hint="default" w:ascii="Times New Roman" w:hAnsi="Times New Roman" w:eastAsia="宋体"/>
                <w:color w:val="auto"/>
                <w:sz w:val="24"/>
                <w:lang w:val="en-US" w:eastAsia="zh-CN"/>
              </w:rPr>
            </w:pPr>
            <w:r>
              <w:rPr>
                <w:rFonts w:hint="eastAsia" w:ascii="Times New Roman" w:hAnsi="Times New Roman" w:eastAsia="宋体"/>
                <w:b/>
                <w:bCs/>
                <w:color w:val="auto"/>
              </w:rPr>
              <w:t>（</w:t>
            </w:r>
            <w:r>
              <w:rPr>
                <w:rFonts w:hint="eastAsia" w:ascii="Times New Roman" w:hAnsi="Times New Roman"/>
                <w:b/>
                <w:bCs/>
                <w:color w:val="auto"/>
                <w:lang w:val="en-US" w:eastAsia="zh-CN"/>
              </w:rPr>
              <w:t>4</w:t>
            </w:r>
            <w:r>
              <w:rPr>
                <w:rFonts w:hint="eastAsia" w:ascii="Times New Roman" w:hAnsi="Times New Roman" w:eastAsia="宋体"/>
                <w:b/>
                <w:bCs/>
                <w:color w:val="auto"/>
              </w:rPr>
              <w:t>）废气达标排放情况分析</w:t>
            </w:r>
          </w:p>
          <w:p w14:paraId="0EFA6C5F">
            <w:pPr>
              <w:pStyle w:val="61"/>
              <w:ind w:firstLine="480"/>
              <w:rPr>
                <w:rFonts w:hint="eastAsia" w:ascii="Times New Roman" w:hAnsi="Times New Roman" w:eastAsia="宋体" w:cs="宋体"/>
                <w:b w:val="0"/>
                <w:bCs w:val="0"/>
                <w:color w:val="auto"/>
                <w:sz w:val="24"/>
                <w:szCs w:val="24"/>
                <w:lang w:val="en-US" w:eastAsia="zh-CN"/>
              </w:rPr>
            </w:pPr>
            <w:r>
              <w:rPr>
                <w:rFonts w:hint="eastAsia" w:ascii="Times New Roman" w:hAnsi="Times New Roman" w:eastAsia="宋体"/>
                <w:bCs/>
                <w:color w:val="auto"/>
                <w:sz w:val="24"/>
                <w:lang w:val="en-US" w:eastAsia="zh-CN"/>
              </w:rPr>
              <w:t>项目</w:t>
            </w:r>
            <w:r>
              <w:rPr>
                <w:rFonts w:hint="eastAsia" w:ascii="Times New Roman" w:hAnsi="Times New Roman" w:eastAsia="宋体"/>
                <w:bCs/>
                <w:color w:val="auto"/>
                <w:sz w:val="24"/>
              </w:rPr>
              <w:t>生产线</w:t>
            </w:r>
            <w:r>
              <w:rPr>
                <w:rFonts w:hint="eastAsia" w:ascii="Times New Roman" w:hAnsi="Times New Roman" w:eastAsia="宋体"/>
                <w:bCs/>
                <w:color w:val="auto"/>
                <w:sz w:val="24"/>
                <w:lang w:val="en-US" w:eastAsia="zh-CN"/>
              </w:rPr>
              <w:t>全部设置在封</w:t>
            </w:r>
            <w:r>
              <w:rPr>
                <w:rFonts w:ascii="Times New Roman" w:hAnsi="Times New Roman" w:eastAsia="宋体"/>
                <w:bCs/>
                <w:color w:val="auto"/>
                <w:sz w:val="24"/>
              </w:rPr>
              <w:t>闭的</w:t>
            </w:r>
            <w:r>
              <w:rPr>
                <w:rFonts w:hint="eastAsia" w:ascii="Times New Roman" w:hAnsi="Times New Roman" w:eastAsia="宋体"/>
                <w:bCs/>
                <w:color w:val="auto"/>
                <w:sz w:val="24"/>
                <w:lang w:val="en-US" w:eastAsia="zh-CN"/>
              </w:rPr>
              <w:t>厂房</w:t>
            </w:r>
            <w:r>
              <w:rPr>
                <w:rFonts w:ascii="Times New Roman" w:hAnsi="Times New Roman" w:eastAsia="宋体"/>
                <w:bCs/>
                <w:color w:val="auto"/>
                <w:sz w:val="24"/>
              </w:rPr>
              <w:t>内</w:t>
            </w:r>
            <w:r>
              <w:rPr>
                <w:rFonts w:hint="eastAsia" w:ascii="Times New Roman" w:hAnsi="Times New Roman" w:eastAsia="宋体"/>
                <w:bCs/>
                <w:color w:val="auto"/>
                <w:sz w:val="24"/>
              </w:rPr>
              <w:t>，无组织</w:t>
            </w:r>
            <w:r>
              <w:rPr>
                <w:rFonts w:ascii="Times New Roman" w:hAnsi="Times New Roman" w:eastAsia="宋体"/>
                <w:bCs/>
                <w:color w:val="auto"/>
                <w:sz w:val="24"/>
              </w:rPr>
              <w:t>粉尘可沉降于</w:t>
            </w:r>
            <w:r>
              <w:rPr>
                <w:rFonts w:hint="eastAsia" w:ascii="Times New Roman" w:hAnsi="Times New Roman" w:eastAsia="宋体"/>
                <w:bCs/>
                <w:color w:val="auto"/>
                <w:sz w:val="24"/>
                <w:lang w:val="en-US" w:eastAsia="zh-CN"/>
              </w:rPr>
              <w:t>厂房</w:t>
            </w:r>
            <w:r>
              <w:rPr>
                <w:rFonts w:ascii="Times New Roman" w:hAnsi="Times New Roman" w:eastAsia="宋体"/>
                <w:bCs/>
                <w:color w:val="auto"/>
                <w:sz w:val="24"/>
              </w:rPr>
              <w:t>内部，</w:t>
            </w:r>
            <w:r>
              <w:rPr>
                <w:rFonts w:hint="eastAsia" w:ascii="Times New Roman" w:hAnsi="Times New Roman" w:eastAsia="宋体"/>
                <w:bCs/>
                <w:color w:val="auto"/>
                <w:sz w:val="24"/>
                <w:lang w:val="en-US" w:eastAsia="zh-CN"/>
              </w:rPr>
              <w:t>根据前文核算</w:t>
            </w:r>
            <w:r>
              <w:rPr>
                <w:rFonts w:hint="eastAsia" w:ascii="Times New Roman" w:hAnsi="Times New Roman" w:eastAsia="宋体"/>
                <w:color w:val="auto"/>
                <w:kern w:val="0"/>
                <w:sz w:val="24"/>
              </w:rPr>
              <w:t>，</w:t>
            </w:r>
            <w:r>
              <w:rPr>
                <w:rFonts w:hint="eastAsia" w:ascii="Times New Roman" w:hAnsi="Times New Roman" w:eastAsia="宋体"/>
                <w:color w:val="auto"/>
                <w:kern w:val="0"/>
                <w:sz w:val="24"/>
                <w:lang w:val="en-US" w:eastAsia="zh-CN"/>
              </w:rPr>
              <w:t>本项目</w:t>
            </w:r>
            <w:r>
              <w:rPr>
                <w:rFonts w:hint="eastAsia" w:ascii="Times New Roman" w:hAnsi="Times New Roman" w:eastAsia="宋体"/>
                <w:color w:val="auto"/>
                <w:kern w:val="0"/>
                <w:sz w:val="24"/>
              </w:rPr>
              <w:t>无组织颗粒物</w:t>
            </w:r>
            <w:r>
              <w:rPr>
                <w:rFonts w:hint="eastAsia" w:ascii="Times New Roman" w:hAnsi="Times New Roman" w:eastAsia="宋体"/>
                <w:color w:val="auto"/>
                <w:kern w:val="0"/>
                <w:sz w:val="24"/>
                <w:lang w:val="en-US" w:eastAsia="zh-CN"/>
              </w:rPr>
              <w:t>总</w:t>
            </w:r>
            <w:r>
              <w:rPr>
                <w:rFonts w:hint="eastAsia" w:ascii="Times New Roman" w:hAnsi="Times New Roman" w:eastAsia="宋体"/>
                <w:color w:val="auto"/>
                <w:kern w:val="0"/>
                <w:sz w:val="24"/>
              </w:rPr>
              <w:t>排放速率为</w:t>
            </w:r>
            <w:r>
              <w:rPr>
                <w:rFonts w:hint="eastAsia" w:ascii="Times New Roman" w:hAnsi="Times New Roman"/>
                <w:color w:val="auto"/>
                <w:kern w:val="0"/>
                <w:sz w:val="24"/>
                <w:lang w:val="en-US" w:eastAsia="zh-CN"/>
              </w:rPr>
              <w:t>0.2595</w:t>
            </w:r>
            <w:r>
              <w:rPr>
                <w:rFonts w:hint="eastAsia" w:ascii="Times New Roman" w:hAnsi="Times New Roman" w:eastAsia="宋体"/>
                <w:color w:val="auto"/>
                <w:kern w:val="0"/>
                <w:sz w:val="24"/>
              </w:rPr>
              <w:t>kg/h</w:t>
            </w:r>
            <w:r>
              <w:rPr>
                <w:rFonts w:hint="eastAsia" w:ascii="Times New Roman" w:hAnsi="Times New Roman" w:eastAsia="宋体"/>
                <w:color w:val="auto"/>
                <w:kern w:val="0"/>
                <w:sz w:val="24"/>
                <w:lang w:eastAsia="zh-CN"/>
              </w:rPr>
              <w:t>。</w:t>
            </w:r>
            <w:r>
              <w:rPr>
                <w:rFonts w:hint="eastAsia" w:ascii="Times New Roman" w:hAnsi="Times New Roman" w:eastAsia="宋体"/>
                <w:color w:val="auto"/>
                <w:kern w:val="0"/>
                <w:sz w:val="24"/>
                <w:lang w:val="en-US" w:eastAsia="zh-CN"/>
              </w:rPr>
              <w:t>本项目</w:t>
            </w:r>
            <w:r>
              <w:rPr>
                <w:rFonts w:hint="eastAsia" w:ascii="Times New Roman" w:hAnsi="Times New Roman" w:eastAsia="宋体" w:cs="Times New Roman"/>
                <w:b w:val="0"/>
                <w:bCs w:val="0"/>
                <w:color w:val="auto"/>
                <w:sz w:val="24"/>
                <w:szCs w:val="24"/>
                <w:lang w:val="en-US" w:eastAsia="zh-CN"/>
              </w:rPr>
              <w:t>无组织颗粒物排放浓度采用“环安科技在线模型计算平台”中的“</w:t>
            </w:r>
            <w:r>
              <w:rPr>
                <w:rFonts w:hint="default" w:ascii="Times New Roman" w:hAnsi="Times New Roman" w:cs="Times New Roman"/>
                <w:color w:val="auto"/>
                <w:lang w:val="en-US" w:eastAsia="zh-CN"/>
              </w:rPr>
              <w:t>AERSCREEN</w:t>
            </w:r>
            <w:r>
              <w:rPr>
                <w:rFonts w:hint="eastAsia"/>
                <w:color w:val="auto"/>
                <w:lang w:val="en-US" w:eastAsia="zh-CN"/>
              </w:rPr>
              <w:t>模式</w:t>
            </w:r>
            <w:r>
              <w:rPr>
                <w:rFonts w:hint="eastAsia" w:ascii="Times New Roman" w:hAnsi="Times New Roman" w:eastAsia="宋体" w:cs="Times New Roman"/>
                <w:b w:val="0"/>
                <w:bCs w:val="0"/>
                <w:color w:val="auto"/>
                <w:sz w:val="24"/>
                <w:szCs w:val="24"/>
                <w:lang w:val="en-US" w:eastAsia="zh-CN"/>
              </w:rPr>
              <w:t>”预测总厂界无组织排放浓度，预测结果取最大值进行分析，具体详见下表</w:t>
            </w:r>
            <w:r>
              <w:rPr>
                <w:rFonts w:hint="eastAsia" w:ascii="Times New Roman" w:hAnsi="Times New Roman" w:eastAsia="宋体" w:cs="宋体"/>
                <w:b w:val="0"/>
                <w:bCs w:val="0"/>
                <w:color w:val="auto"/>
                <w:sz w:val="24"/>
                <w:szCs w:val="24"/>
                <w:lang w:val="en-US" w:eastAsia="zh-CN"/>
              </w:rPr>
              <w:t>。</w:t>
            </w:r>
          </w:p>
          <w:p w14:paraId="5F330A2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t xml:space="preserve">   厂界无组织废气预测结果汇总表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129"/>
              <w:gridCol w:w="1129"/>
              <w:gridCol w:w="2059"/>
              <w:gridCol w:w="1943"/>
              <w:gridCol w:w="1172"/>
            </w:tblGrid>
            <w:tr w14:paraId="6612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shd w:val="clear" w:color="auto" w:fill="D7D7D7"/>
                  <w:noWrap w:val="0"/>
                  <w:vAlign w:val="center"/>
                </w:tcPr>
                <w:p w14:paraId="07EB027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序号</w:t>
                  </w:r>
                </w:p>
              </w:tc>
              <w:tc>
                <w:tcPr>
                  <w:tcW w:w="690" w:type="pct"/>
                  <w:shd w:val="clear" w:color="auto" w:fill="D7D7D7"/>
                  <w:noWrap w:val="0"/>
                  <w:vAlign w:val="center"/>
                </w:tcPr>
                <w:p w14:paraId="5EBD5199">
                  <w:pPr>
                    <w:jc w:val="center"/>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方位</w:t>
                  </w:r>
                </w:p>
              </w:tc>
              <w:tc>
                <w:tcPr>
                  <w:tcW w:w="690" w:type="pct"/>
                  <w:shd w:val="clear" w:color="auto" w:fill="D7D7D7"/>
                  <w:noWrap w:val="0"/>
                  <w:vAlign w:val="center"/>
                </w:tcPr>
                <w:p w14:paraId="2C2D14DD">
                  <w:pPr>
                    <w:jc w:val="center"/>
                    <w:rPr>
                      <w:rFonts w:hint="default" w:ascii="Times New Roman" w:hAnsi="Times New Roman" w:eastAsia="宋体"/>
                      <w:color w:val="auto"/>
                      <w:vertAlign w:val="baseline"/>
                      <w:lang w:val="en-US" w:eastAsia="zh-CN"/>
                    </w:rPr>
                  </w:pPr>
                  <w:r>
                    <w:rPr>
                      <w:rFonts w:hint="eastAsia"/>
                      <w:color w:val="auto"/>
                      <w:vertAlign w:val="baseline"/>
                      <w:lang w:val="en-US" w:eastAsia="zh-CN"/>
                    </w:rPr>
                    <w:t>污染源</w:t>
                  </w:r>
                </w:p>
              </w:tc>
              <w:tc>
                <w:tcPr>
                  <w:tcW w:w="1258" w:type="pct"/>
                  <w:shd w:val="clear" w:color="auto" w:fill="D7D7D7"/>
                  <w:noWrap w:val="0"/>
                  <w:vAlign w:val="center"/>
                </w:tcPr>
                <w:p w14:paraId="2ECCBA0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预测浓度（mg/m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w:t>
                  </w:r>
                </w:p>
              </w:tc>
              <w:tc>
                <w:tcPr>
                  <w:tcW w:w="1187" w:type="pct"/>
                  <w:shd w:val="clear" w:color="auto" w:fill="D7D7D7"/>
                  <w:noWrap w:val="0"/>
                  <w:vAlign w:val="center"/>
                </w:tcPr>
                <w:p w14:paraId="18BCDBD7">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标准限值（mg/m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w:t>
                  </w:r>
                </w:p>
              </w:tc>
              <w:tc>
                <w:tcPr>
                  <w:tcW w:w="716" w:type="pct"/>
                  <w:shd w:val="clear" w:color="auto" w:fill="D7D7D7"/>
                  <w:noWrap w:val="0"/>
                  <w:vAlign w:val="center"/>
                </w:tcPr>
                <w:p w14:paraId="285A5699">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达标情况</w:t>
                  </w:r>
                </w:p>
              </w:tc>
            </w:tr>
            <w:tr w14:paraId="4EA7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noWrap w:val="0"/>
                  <w:vAlign w:val="center"/>
                </w:tcPr>
                <w:p w14:paraId="3A1DC90B">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1</w:t>
                  </w:r>
                </w:p>
              </w:tc>
              <w:tc>
                <w:tcPr>
                  <w:tcW w:w="690" w:type="pct"/>
                  <w:noWrap w:val="0"/>
                  <w:vAlign w:val="center"/>
                </w:tcPr>
                <w:p w14:paraId="30F31315">
                  <w:pPr>
                    <w:jc w:val="center"/>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厂界东</w:t>
                  </w:r>
                </w:p>
              </w:tc>
              <w:tc>
                <w:tcPr>
                  <w:tcW w:w="690" w:type="pct"/>
                  <w:vMerge w:val="restart"/>
                  <w:noWrap w:val="0"/>
                  <w:vAlign w:val="center"/>
                </w:tcPr>
                <w:p w14:paraId="12847480">
                  <w:pPr>
                    <w:jc w:val="center"/>
                    <w:rPr>
                      <w:rFonts w:hint="default" w:ascii="Times New Roman" w:hAnsi="Times New Roman" w:eastAsia="宋体"/>
                      <w:color w:val="auto"/>
                      <w:vertAlign w:val="baseline"/>
                      <w:lang w:val="en-US" w:eastAsia="zh-CN"/>
                    </w:rPr>
                  </w:pPr>
                  <w:r>
                    <w:rPr>
                      <w:rFonts w:hint="eastAsia"/>
                      <w:color w:val="auto"/>
                      <w:vertAlign w:val="baseline"/>
                      <w:lang w:val="en-US" w:eastAsia="zh-CN"/>
                    </w:rPr>
                    <w:t>TSP</w:t>
                  </w:r>
                </w:p>
              </w:tc>
              <w:tc>
                <w:tcPr>
                  <w:tcW w:w="2059" w:type="dxa"/>
                  <w:noWrap w:val="0"/>
                  <w:vAlign w:val="center"/>
                </w:tcPr>
                <w:p w14:paraId="4F28F593">
                  <w:pPr>
                    <w:jc w:val="center"/>
                    <w:rPr>
                      <w:rFonts w:hint="default" w:ascii="Times New Roman" w:hAnsi="Times New Roman" w:eastAsia="宋体"/>
                      <w:color w:val="auto"/>
                      <w:vertAlign w:val="baseline"/>
                      <w:lang w:val="en-US" w:eastAsia="zh-CN"/>
                    </w:rPr>
                  </w:pPr>
                  <w:r>
                    <w:rPr>
                      <w:rFonts w:hint="eastAsia" w:ascii="Times New Roman" w:hAnsi="Times New Roman" w:eastAsia="宋体" w:cs="Times New Roman"/>
                      <w:color w:val="auto"/>
                      <w:vertAlign w:val="baseline"/>
                      <w:lang w:val="en-US" w:eastAsia="zh-CN"/>
                    </w:rPr>
                    <w:t>0.</w:t>
                  </w:r>
                  <w:r>
                    <w:rPr>
                      <w:rFonts w:hint="eastAsia" w:cs="Times New Roman"/>
                      <w:color w:val="auto"/>
                      <w:vertAlign w:val="baseline"/>
                      <w:lang w:val="en-US" w:eastAsia="zh-CN"/>
                    </w:rPr>
                    <w:t>082</w:t>
                  </w:r>
                </w:p>
              </w:tc>
              <w:tc>
                <w:tcPr>
                  <w:tcW w:w="1187" w:type="pct"/>
                  <w:vMerge w:val="restart"/>
                  <w:noWrap w:val="0"/>
                  <w:vAlign w:val="center"/>
                </w:tcPr>
                <w:p w14:paraId="56E2D79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1.0</w:t>
                  </w:r>
                </w:p>
              </w:tc>
              <w:tc>
                <w:tcPr>
                  <w:tcW w:w="716" w:type="pct"/>
                  <w:noWrap w:val="0"/>
                  <w:vAlign w:val="center"/>
                </w:tcPr>
                <w:p w14:paraId="4ABEA60C">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r w14:paraId="21A2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noWrap w:val="0"/>
                  <w:vAlign w:val="center"/>
                </w:tcPr>
                <w:p w14:paraId="43EA2ACB">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2</w:t>
                  </w:r>
                </w:p>
              </w:tc>
              <w:tc>
                <w:tcPr>
                  <w:tcW w:w="690" w:type="pct"/>
                  <w:noWrap w:val="0"/>
                  <w:vAlign w:val="center"/>
                </w:tcPr>
                <w:p w14:paraId="7642C4A4">
                  <w:pPr>
                    <w:jc w:val="center"/>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厂界南</w:t>
                  </w:r>
                </w:p>
              </w:tc>
              <w:tc>
                <w:tcPr>
                  <w:tcW w:w="690" w:type="pct"/>
                  <w:vMerge w:val="continue"/>
                  <w:noWrap w:val="0"/>
                  <w:vAlign w:val="center"/>
                </w:tcPr>
                <w:p w14:paraId="1DD00A78">
                  <w:pPr>
                    <w:jc w:val="center"/>
                    <w:rPr>
                      <w:rFonts w:hint="default" w:ascii="Times New Roman" w:hAnsi="Times New Roman" w:eastAsia="宋体"/>
                      <w:color w:val="auto"/>
                      <w:vertAlign w:val="baseline"/>
                      <w:lang w:val="en-US" w:eastAsia="zh-CN"/>
                    </w:rPr>
                  </w:pPr>
                </w:p>
              </w:tc>
              <w:tc>
                <w:tcPr>
                  <w:tcW w:w="2059" w:type="dxa"/>
                  <w:noWrap w:val="0"/>
                  <w:vAlign w:val="center"/>
                </w:tcPr>
                <w:p w14:paraId="400386F1">
                  <w:pPr>
                    <w:jc w:val="center"/>
                    <w:rPr>
                      <w:rFonts w:hint="default" w:ascii="Times New Roman" w:hAnsi="Times New Roman" w:eastAsia="宋体"/>
                      <w:color w:val="auto"/>
                      <w:vertAlign w:val="baseline"/>
                      <w:lang w:val="en-US" w:eastAsia="zh-CN"/>
                    </w:rPr>
                  </w:pPr>
                  <w:r>
                    <w:rPr>
                      <w:rFonts w:hint="eastAsia"/>
                      <w:color w:val="auto"/>
                      <w:vertAlign w:val="baseline"/>
                      <w:lang w:val="en-US" w:eastAsia="zh-CN"/>
                    </w:rPr>
                    <w:t>0.087</w:t>
                  </w:r>
                </w:p>
              </w:tc>
              <w:tc>
                <w:tcPr>
                  <w:tcW w:w="1187" w:type="pct"/>
                  <w:vMerge w:val="continue"/>
                  <w:noWrap w:val="0"/>
                  <w:vAlign w:val="center"/>
                </w:tcPr>
                <w:p w14:paraId="5A749D3F">
                  <w:pPr>
                    <w:jc w:val="center"/>
                    <w:rPr>
                      <w:rFonts w:hint="default" w:ascii="Times New Roman" w:hAnsi="Times New Roman" w:eastAsia="宋体"/>
                      <w:color w:val="auto"/>
                      <w:vertAlign w:val="baseline"/>
                      <w:lang w:val="en-US" w:eastAsia="zh-CN"/>
                    </w:rPr>
                  </w:pPr>
                </w:p>
              </w:tc>
              <w:tc>
                <w:tcPr>
                  <w:tcW w:w="716" w:type="pct"/>
                  <w:noWrap w:val="0"/>
                  <w:vAlign w:val="center"/>
                </w:tcPr>
                <w:p w14:paraId="02AE615A">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r w14:paraId="086F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noWrap w:val="0"/>
                  <w:vAlign w:val="center"/>
                </w:tcPr>
                <w:p w14:paraId="4515D9C9">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3</w:t>
                  </w:r>
                </w:p>
              </w:tc>
              <w:tc>
                <w:tcPr>
                  <w:tcW w:w="690" w:type="pct"/>
                  <w:noWrap w:val="0"/>
                  <w:vAlign w:val="center"/>
                </w:tcPr>
                <w:p w14:paraId="333DC178">
                  <w:pPr>
                    <w:jc w:val="center"/>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厂界西</w:t>
                  </w:r>
                </w:p>
              </w:tc>
              <w:tc>
                <w:tcPr>
                  <w:tcW w:w="690" w:type="pct"/>
                  <w:vMerge w:val="continue"/>
                  <w:noWrap w:val="0"/>
                  <w:vAlign w:val="center"/>
                </w:tcPr>
                <w:p w14:paraId="197E5E8B">
                  <w:pPr>
                    <w:jc w:val="center"/>
                    <w:rPr>
                      <w:rFonts w:hint="default" w:ascii="Times New Roman" w:hAnsi="Times New Roman" w:eastAsia="宋体"/>
                      <w:color w:val="auto"/>
                      <w:vertAlign w:val="baseline"/>
                      <w:lang w:val="en-US" w:eastAsia="zh-CN"/>
                    </w:rPr>
                  </w:pPr>
                </w:p>
              </w:tc>
              <w:tc>
                <w:tcPr>
                  <w:tcW w:w="2059" w:type="dxa"/>
                  <w:noWrap w:val="0"/>
                  <w:vAlign w:val="center"/>
                </w:tcPr>
                <w:p w14:paraId="429ADADA">
                  <w:pPr>
                    <w:jc w:val="center"/>
                    <w:rPr>
                      <w:rFonts w:hint="default" w:ascii="Times New Roman" w:hAnsi="Times New Roman" w:eastAsia="宋体"/>
                      <w:color w:val="auto"/>
                      <w:vertAlign w:val="baseline"/>
                      <w:lang w:val="en-US" w:eastAsia="zh-CN"/>
                    </w:rPr>
                  </w:pPr>
                  <w:r>
                    <w:rPr>
                      <w:rFonts w:hint="eastAsia"/>
                      <w:color w:val="auto"/>
                      <w:vertAlign w:val="baseline"/>
                      <w:lang w:val="en-US" w:eastAsia="zh-CN"/>
                    </w:rPr>
                    <w:t>0.070</w:t>
                  </w:r>
                </w:p>
              </w:tc>
              <w:tc>
                <w:tcPr>
                  <w:tcW w:w="1187" w:type="pct"/>
                  <w:vMerge w:val="continue"/>
                  <w:noWrap w:val="0"/>
                  <w:vAlign w:val="center"/>
                </w:tcPr>
                <w:p w14:paraId="766E69BB">
                  <w:pPr>
                    <w:jc w:val="center"/>
                    <w:rPr>
                      <w:rFonts w:hint="default" w:ascii="Times New Roman" w:hAnsi="Times New Roman" w:eastAsia="宋体"/>
                      <w:color w:val="auto"/>
                      <w:vertAlign w:val="baseline"/>
                      <w:lang w:val="en-US" w:eastAsia="zh-CN"/>
                    </w:rPr>
                  </w:pPr>
                </w:p>
              </w:tc>
              <w:tc>
                <w:tcPr>
                  <w:tcW w:w="716" w:type="pct"/>
                  <w:noWrap w:val="0"/>
                  <w:vAlign w:val="center"/>
                </w:tcPr>
                <w:p w14:paraId="13FEA6C5">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r w14:paraId="72D3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5" w:type="pct"/>
                  <w:noWrap w:val="0"/>
                  <w:vAlign w:val="center"/>
                </w:tcPr>
                <w:p w14:paraId="15B06BCF">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4</w:t>
                  </w:r>
                </w:p>
              </w:tc>
              <w:tc>
                <w:tcPr>
                  <w:tcW w:w="690" w:type="pct"/>
                  <w:noWrap w:val="0"/>
                  <w:vAlign w:val="center"/>
                </w:tcPr>
                <w:p w14:paraId="1CDFB511">
                  <w:pPr>
                    <w:jc w:val="center"/>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厂界北</w:t>
                  </w:r>
                </w:p>
              </w:tc>
              <w:tc>
                <w:tcPr>
                  <w:tcW w:w="690" w:type="pct"/>
                  <w:vMerge w:val="continue"/>
                  <w:noWrap w:val="0"/>
                  <w:vAlign w:val="center"/>
                </w:tcPr>
                <w:p w14:paraId="70F6839F">
                  <w:pPr>
                    <w:jc w:val="center"/>
                    <w:rPr>
                      <w:rFonts w:hint="default" w:ascii="Times New Roman" w:hAnsi="Times New Roman" w:eastAsia="宋体"/>
                      <w:color w:val="auto"/>
                      <w:vertAlign w:val="baseline"/>
                      <w:lang w:val="en-US" w:eastAsia="zh-CN"/>
                    </w:rPr>
                  </w:pPr>
                </w:p>
              </w:tc>
              <w:tc>
                <w:tcPr>
                  <w:tcW w:w="2059" w:type="dxa"/>
                  <w:noWrap w:val="0"/>
                  <w:vAlign w:val="center"/>
                </w:tcPr>
                <w:p w14:paraId="1807C0C8">
                  <w:pPr>
                    <w:jc w:val="center"/>
                    <w:rPr>
                      <w:rFonts w:hint="default" w:ascii="Times New Roman" w:hAnsi="Times New Roman" w:eastAsia="宋体"/>
                      <w:color w:val="auto"/>
                      <w:vertAlign w:val="baseline"/>
                      <w:lang w:val="en-US" w:eastAsia="zh-CN"/>
                    </w:rPr>
                  </w:pPr>
                  <w:r>
                    <w:rPr>
                      <w:rFonts w:hint="eastAsia"/>
                      <w:color w:val="auto"/>
                      <w:vertAlign w:val="baseline"/>
                      <w:lang w:val="en-US" w:eastAsia="zh-CN"/>
                    </w:rPr>
                    <w:t>0.091</w:t>
                  </w:r>
                </w:p>
              </w:tc>
              <w:tc>
                <w:tcPr>
                  <w:tcW w:w="1187" w:type="pct"/>
                  <w:vMerge w:val="continue"/>
                  <w:noWrap w:val="0"/>
                  <w:vAlign w:val="center"/>
                </w:tcPr>
                <w:p w14:paraId="5462638B">
                  <w:pPr>
                    <w:jc w:val="center"/>
                    <w:rPr>
                      <w:rFonts w:hint="default" w:ascii="Times New Roman" w:hAnsi="Times New Roman" w:eastAsia="宋体"/>
                      <w:color w:val="auto"/>
                      <w:vertAlign w:val="baseline"/>
                      <w:lang w:val="en-US" w:eastAsia="zh-CN"/>
                    </w:rPr>
                  </w:pPr>
                </w:p>
              </w:tc>
              <w:tc>
                <w:tcPr>
                  <w:tcW w:w="716" w:type="pct"/>
                  <w:noWrap w:val="0"/>
                  <w:vAlign w:val="center"/>
                </w:tcPr>
                <w:p w14:paraId="45A285DE">
                  <w:pPr>
                    <w:jc w:val="center"/>
                    <w:rPr>
                      <w:rFonts w:hint="default"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达标</w:t>
                  </w:r>
                </w:p>
              </w:tc>
            </w:tr>
          </w:tbl>
          <w:p w14:paraId="4AB679E7">
            <w:pPr>
              <w:pStyle w:val="61"/>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ascii="Times New Roman" w:hAnsi="Times New Roman" w:eastAsia="宋体"/>
                <w:color w:val="auto"/>
              </w:rPr>
            </w:pPr>
            <w:r>
              <w:rPr>
                <w:rFonts w:hint="eastAsia" w:ascii="Times New Roman" w:hAnsi="Times New Roman" w:eastAsia="宋体" w:cs="宋体"/>
                <w:b w:val="0"/>
                <w:bCs w:val="0"/>
                <w:color w:val="auto"/>
                <w:sz w:val="24"/>
                <w:szCs w:val="24"/>
                <w:lang w:val="en-US" w:eastAsia="zh-CN"/>
              </w:rPr>
              <w:t>由上表可知，</w:t>
            </w:r>
            <w:r>
              <w:rPr>
                <w:rFonts w:hint="eastAsia" w:ascii="Times New Roman" w:hAnsi="Times New Roman" w:eastAsia="宋体"/>
                <w:color w:val="auto"/>
              </w:rPr>
              <w:t>无组织排放的颗粒物厂界可满足《大气污染物综合排放标准》（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r>
              <w:rPr>
                <w:rFonts w:hint="eastAsia" w:ascii="Times New Roman" w:hAnsi="Times New Roman" w:eastAsia="宋体"/>
                <w:color w:val="auto"/>
                <w:lang w:eastAsia="zh-CN"/>
              </w:rPr>
              <w:t>。</w:t>
            </w:r>
            <w:r>
              <w:rPr>
                <w:rFonts w:ascii="Times New Roman" w:hAnsi="Times New Roman" w:eastAsia="宋体"/>
                <w:color w:val="auto"/>
              </w:rPr>
              <w:t>项目</w:t>
            </w:r>
            <w:r>
              <w:rPr>
                <w:rFonts w:hint="eastAsia" w:ascii="Times New Roman" w:hAnsi="Times New Roman" w:eastAsia="宋体"/>
                <w:color w:val="auto"/>
              </w:rPr>
              <w:t>无组织粉尘排放量较少</w:t>
            </w:r>
            <w:r>
              <w:rPr>
                <w:rFonts w:ascii="Times New Roman" w:hAnsi="Times New Roman" w:eastAsia="宋体"/>
                <w:color w:val="auto"/>
              </w:rPr>
              <w:t>，生产过程产生的</w:t>
            </w:r>
            <w:r>
              <w:rPr>
                <w:rFonts w:hint="eastAsia" w:ascii="Times New Roman" w:hAnsi="Times New Roman" w:eastAsia="宋体"/>
                <w:color w:val="auto"/>
              </w:rPr>
              <w:t>颗粒物</w:t>
            </w:r>
            <w:r>
              <w:rPr>
                <w:rFonts w:ascii="Times New Roman" w:hAnsi="Times New Roman" w:eastAsia="宋体"/>
                <w:color w:val="auto"/>
              </w:rPr>
              <w:t>经空气自然稀释后对区域大气环境影响较小。</w:t>
            </w:r>
          </w:p>
          <w:p w14:paraId="0FCDC32C">
            <w:pPr>
              <w:pStyle w:val="61"/>
              <w:ind w:firstLine="482"/>
              <w:rPr>
                <w:rFonts w:ascii="Times New Roman" w:hAnsi="Times New Roman" w:eastAsia="宋体"/>
                <w:b/>
                <w:bCs/>
                <w:color w:val="auto"/>
              </w:rPr>
            </w:pPr>
            <w:r>
              <w:rPr>
                <w:rFonts w:hint="eastAsia" w:ascii="Times New Roman" w:hAnsi="Times New Roman" w:eastAsia="宋体"/>
                <w:b/>
                <w:bCs/>
                <w:color w:val="auto"/>
              </w:rPr>
              <w:t>（</w:t>
            </w:r>
            <w:r>
              <w:rPr>
                <w:rFonts w:hint="eastAsia" w:ascii="Times New Roman" w:hAnsi="Times New Roman"/>
                <w:b/>
                <w:bCs/>
                <w:color w:val="auto"/>
                <w:lang w:val="en-US" w:eastAsia="zh-CN"/>
              </w:rPr>
              <w:t>5</w:t>
            </w:r>
            <w:r>
              <w:rPr>
                <w:rFonts w:hint="eastAsia" w:ascii="Times New Roman" w:hAnsi="Times New Roman" w:eastAsia="宋体"/>
                <w:b/>
                <w:bCs/>
                <w:color w:val="auto"/>
              </w:rPr>
              <w:t>）废气治理措施可行性分析</w:t>
            </w:r>
          </w:p>
          <w:p w14:paraId="733DF03A">
            <w:pPr>
              <w:pStyle w:val="61"/>
              <w:ind w:firstLine="48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w:t>
            </w:r>
            <w:r>
              <w:rPr>
                <w:rFonts w:ascii="Times New Roman" w:hAnsi="Times New Roman" w:eastAsia="宋体"/>
                <w:color w:val="auto"/>
                <w:kern w:val="0"/>
                <w:sz w:val="24"/>
              </w:rPr>
              <w:t>《排污许可申请与核发技术规范钢铁工业》（HJ846-2017）无组织废气</w:t>
            </w:r>
            <w:r>
              <w:rPr>
                <w:rFonts w:hint="eastAsia" w:ascii="Times New Roman" w:hAnsi="Times New Roman" w:eastAsia="宋体"/>
                <w:color w:val="auto"/>
                <w:kern w:val="0"/>
                <w:sz w:val="24"/>
                <w:lang w:val="en-US" w:eastAsia="zh-CN"/>
              </w:rPr>
              <w:t>推荐</w:t>
            </w:r>
            <w:r>
              <w:rPr>
                <w:rFonts w:ascii="Times New Roman" w:hAnsi="Times New Roman" w:eastAsia="宋体"/>
                <w:color w:val="auto"/>
                <w:kern w:val="0"/>
                <w:sz w:val="24"/>
              </w:rPr>
              <w:t>可行技术为</w:t>
            </w:r>
            <w:r>
              <w:rPr>
                <w:rFonts w:hint="eastAsia" w:ascii="Times New Roman" w:hAnsi="Times New Roman" w:eastAsia="宋体"/>
                <w:color w:val="auto"/>
                <w:kern w:val="0"/>
                <w:sz w:val="24"/>
                <w:lang w:eastAsia="zh-CN"/>
              </w:rPr>
              <w:t>“</w:t>
            </w:r>
            <w:r>
              <w:rPr>
                <w:rFonts w:ascii="Times New Roman" w:hAnsi="Times New Roman" w:eastAsia="宋体"/>
                <w:color w:val="auto"/>
                <w:kern w:val="0"/>
                <w:sz w:val="24"/>
              </w:rPr>
              <w:t>各废气产生点配备有效的废气捕集装置，如局部密闭罩、整体密闭罩、大容积密闭罩</w:t>
            </w:r>
            <w:r>
              <w:rPr>
                <w:rFonts w:hint="eastAsia" w:ascii="Times New Roman" w:hAnsi="Times New Roman" w:eastAsia="宋体"/>
                <w:color w:val="auto"/>
                <w:kern w:val="0"/>
                <w:sz w:val="24"/>
                <w:lang w:eastAsia="zh-CN"/>
              </w:rPr>
              <w:t>。”</w:t>
            </w:r>
            <w:r>
              <w:rPr>
                <w:rFonts w:ascii="Times New Roman" w:hAnsi="Times New Roman" w:eastAsia="宋体"/>
                <w:color w:val="auto"/>
                <w:kern w:val="0"/>
                <w:sz w:val="24"/>
              </w:rPr>
              <w:t>本项目</w:t>
            </w:r>
            <w:r>
              <w:rPr>
                <w:rFonts w:hint="eastAsia" w:ascii="Times New Roman" w:hAnsi="Times New Roman" w:eastAsia="宋体" w:cs="Times New Roman"/>
                <w:color w:val="auto"/>
                <w:kern w:val="2"/>
                <w:sz w:val="24"/>
                <w:szCs w:val="24"/>
                <w:lang w:val="en-US" w:eastAsia="zh-CN" w:bidi="ar-SA"/>
              </w:rPr>
              <w:t>焊接产生的烟尘</w:t>
            </w:r>
            <w:r>
              <w:rPr>
                <w:rFonts w:hint="eastAsia" w:ascii="Times New Roman" w:hAnsi="Times New Roman" w:eastAsia="宋体"/>
                <w:color w:val="auto"/>
                <w:kern w:val="0"/>
                <w:sz w:val="24"/>
                <w:lang w:val="en-US" w:eastAsia="zh-CN"/>
              </w:rPr>
              <w:t>经通过8个集气罩收集后进入8套</w:t>
            </w:r>
            <w:r>
              <w:rPr>
                <w:rFonts w:hint="eastAsia" w:ascii="Times New Roman" w:hAnsi="Times New Roman" w:eastAsia="宋体" w:cs="宋体"/>
                <w:color w:val="auto"/>
                <w:lang w:val="en-US" w:eastAsia="zh-CN"/>
              </w:rPr>
              <w:t>烟尘净化除尘器</w:t>
            </w:r>
            <w:r>
              <w:rPr>
                <w:rFonts w:hint="eastAsia" w:ascii="Times New Roman" w:hAnsi="Times New Roman" w:eastAsia="宋体"/>
                <w:color w:val="auto"/>
                <w:kern w:val="0"/>
                <w:sz w:val="24"/>
                <w:lang w:val="en-US" w:eastAsia="zh-CN"/>
              </w:rPr>
              <w:t>处理后无组织排放，且8条</w:t>
            </w:r>
            <w:r>
              <w:rPr>
                <w:rFonts w:ascii="Times New Roman" w:hAnsi="Times New Roman" w:eastAsia="宋体"/>
                <w:color w:val="auto"/>
                <w:kern w:val="0"/>
                <w:sz w:val="24"/>
              </w:rPr>
              <w:t>生产线</w:t>
            </w:r>
            <w:r>
              <w:rPr>
                <w:rFonts w:hint="eastAsia" w:ascii="Times New Roman" w:hAnsi="Times New Roman" w:eastAsia="宋体"/>
                <w:color w:val="auto"/>
                <w:kern w:val="0"/>
                <w:sz w:val="24"/>
                <w:lang w:val="en-US" w:eastAsia="zh-CN"/>
              </w:rPr>
              <w:t>全部设置在封闭</w:t>
            </w:r>
            <w:r>
              <w:rPr>
                <w:rFonts w:ascii="Times New Roman" w:hAnsi="Times New Roman" w:eastAsia="宋体"/>
                <w:color w:val="auto"/>
                <w:kern w:val="0"/>
                <w:sz w:val="24"/>
              </w:rPr>
              <w:t>的</w:t>
            </w:r>
            <w:r>
              <w:rPr>
                <w:rFonts w:hint="eastAsia" w:ascii="Times New Roman" w:hAnsi="Times New Roman" w:eastAsia="宋体"/>
                <w:color w:val="auto"/>
                <w:kern w:val="0"/>
                <w:sz w:val="24"/>
                <w:lang w:val="en-US" w:eastAsia="zh-CN"/>
              </w:rPr>
              <w:t>厂房内，厂房内设有换气扇，对照</w:t>
            </w:r>
            <w:r>
              <w:rPr>
                <w:rFonts w:ascii="Times New Roman" w:hAnsi="Times New Roman" w:eastAsia="宋体"/>
                <w:color w:val="auto"/>
                <w:kern w:val="0"/>
                <w:sz w:val="24"/>
              </w:rPr>
              <w:t>《排污许可申请与核发技术规范钢铁工业》（HJ846-2017）</w:t>
            </w:r>
            <w:r>
              <w:rPr>
                <w:rFonts w:hint="eastAsia" w:ascii="Times New Roman" w:hAnsi="Times New Roman" w:eastAsia="宋体"/>
                <w:color w:val="auto"/>
                <w:kern w:val="0"/>
                <w:sz w:val="24"/>
                <w:lang w:val="en-US" w:eastAsia="zh-CN"/>
              </w:rPr>
              <w:t>，项目焊接采取的废气治理设施属于</w:t>
            </w:r>
            <w:r>
              <w:rPr>
                <w:rFonts w:ascii="Times New Roman" w:hAnsi="Times New Roman" w:eastAsia="宋体"/>
                <w:bCs/>
                <w:color w:val="auto"/>
                <w:sz w:val="24"/>
              </w:rPr>
              <w:t>可行技术</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项目废气治理措施可行。</w:t>
            </w:r>
          </w:p>
          <w:p w14:paraId="600B69D2">
            <w:pPr>
              <w:pStyle w:val="61"/>
              <w:ind w:firstLine="482"/>
              <w:rPr>
                <w:rFonts w:hint="eastAsia" w:ascii="Times New Roman" w:hAnsi="Times New Roman" w:eastAsia="宋体" w:cs="宋体"/>
                <w:b/>
                <w:bCs/>
                <w:color w:val="auto"/>
                <w:lang w:val="en-US" w:eastAsia="zh-CN"/>
              </w:rPr>
            </w:pPr>
            <w:r>
              <w:rPr>
                <w:rFonts w:hint="eastAsia" w:ascii="Times New Roman" w:hAnsi="Times New Roman" w:eastAsia="宋体"/>
                <w:color w:val="auto"/>
                <w:sz w:val="24"/>
                <w:szCs w:val="24"/>
                <w:lang w:val="en-US" w:eastAsia="zh-CN"/>
              </w:rPr>
              <w:t>项目每条生产线设置</w:t>
            </w:r>
            <w:r>
              <w:rPr>
                <w:rFonts w:hint="eastAsia" w:ascii="Times New Roman" w:hAnsi="Times New Roman"/>
                <w:color w:val="auto"/>
                <w:sz w:val="24"/>
                <w:szCs w:val="24"/>
                <w:lang w:val="en-US" w:eastAsia="zh-CN"/>
              </w:rPr>
              <w:t>一套除尘设备，具备显著优势：其一，系统独立运行，单台设备检修、故障时，不影响其余车间其余设备的正常生产，避免整体停机造成的产能损失。其二，除尘治理针对性强，可按需为每套设备匹配适配风量的除尘设施，精准对应单台粉尘排放量，保障稳定治理效率。其三，环保监测与溯源便捷，设备排放数据独立可查，便于快速定位超标隐患，契合分源管控要求。其四，管路布局灵活，就近连接设备，减少管路长度与阻力损耗，降低风机能耗。同时，规避多股气流合并引发的管路堵塞、压力失衡风险，运维检修更高效，安全稳定性突出。其五，项目生产过程是随设备订单而调整生产生产线数量，有时候不会每条生产线都会开启，这样便于配套的环保设施运行。综上所述，项目</w:t>
            </w:r>
            <w:r>
              <w:rPr>
                <w:rFonts w:hint="eastAsia" w:ascii="Times New Roman" w:hAnsi="Times New Roman" w:eastAsia="宋体"/>
                <w:color w:val="auto"/>
                <w:sz w:val="24"/>
                <w:szCs w:val="24"/>
                <w:lang w:val="en-US" w:eastAsia="zh-CN"/>
              </w:rPr>
              <w:t>每条生产线设置</w:t>
            </w:r>
            <w:r>
              <w:rPr>
                <w:rFonts w:hint="eastAsia" w:ascii="Times New Roman" w:hAnsi="Times New Roman"/>
                <w:color w:val="auto"/>
                <w:sz w:val="24"/>
                <w:szCs w:val="24"/>
                <w:lang w:val="en-US" w:eastAsia="zh-CN"/>
              </w:rPr>
              <w:t>一套除尘设备的方案合理。</w:t>
            </w:r>
          </w:p>
          <w:p w14:paraId="2A205341">
            <w:pPr>
              <w:pStyle w:val="61"/>
              <w:ind w:firstLine="482"/>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w:t>
            </w:r>
            <w:r>
              <w:rPr>
                <w:rFonts w:hint="eastAsia" w:ascii="Times New Roman" w:hAnsi="Times New Roman" w:cs="宋体"/>
                <w:b/>
                <w:bCs/>
                <w:color w:val="auto"/>
                <w:lang w:val="en-US" w:eastAsia="zh-CN"/>
              </w:rPr>
              <w:t>6</w:t>
            </w:r>
            <w:r>
              <w:rPr>
                <w:rFonts w:hint="eastAsia" w:ascii="Times New Roman" w:hAnsi="Times New Roman" w:eastAsia="宋体" w:cs="宋体"/>
                <w:b/>
                <w:bCs/>
                <w:color w:val="auto"/>
                <w:lang w:val="en-US" w:eastAsia="zh-CN"/>
              </w:rPr>
              <w:t>）</w:t>
            </w:r>
            <w:r>
              <w:rPr>
                <w:rFonts w:hint="eastAsia" w:ascii="Times New Roman" w:hAnsi="Times New Roman" w:cs="宋体"/>
                <w:b/>
                <w:bCs/>
                <w:color w:val="auto"/>
                <w:lang w:val="en-US" w:eastAsia="zh-CN"/>
              </w:rPr>
              <w:t>监测要求</w:t>
            </w:r>
          </w:p>
          <w:p w14:paraId="1CFF41A0">
            <w:pPr>
              <w:adjustRightInd w:val="0"/>
              <w:snapToGrid w:val="0"/>
              <w:spacing w:line="360" w:lineRule="auto"/>
              <w:ind w:firstLine="480" w:firstLineChars="200"/>
              <w:rPr>
                <w:rFonts w:hint="eastAsia" w:ascii="Times New Roman" w:hAnsi="Times New Roman" w:eastAsia="宋体"/>
                <w:color w:val="auto"/>
                <w:sz w:val="24"/>
              </w:rPr>
            </w:pPr>
            <w:r>
              <w:rPr>
                <w:rFonts w:ascii="Times New Roman" w:hAnsi="Times New Roman" w:eastAsia="宋体"/>
                <w:color w:val="auto"/>
                <w:sz w:val="24"/>
              </w:rPr>
              <w:t>根据《排污单位自行监测技术指南总则》（HJ819-2017）</w:t>
            </w:r>
            <w:r>
              <w:rPr>
                <w:rFonts w:hint="eastAsia" w:ascii="Times New Roman" w:hAnsi="Times New Roman" w:eastAsia="宋体"/>
                <w:color w:val="auto"/>
                <w:sz w:val="24"/>
                <w:lang w:val="en-US" w:eastAsia="zh-CN"/>
              </w:rPr>
              <w:t>并参考</w:t>
            </w:r>
            <w:r>
              <w:rPr>
                <w:rFonts w:hint="eastAsia" w:ascii="Times New Roman" w:hAnsi="Times New Roman" w:eastAsia="宋体"/>
                <w:color w:val="auto"/>
                <w:sz w:val="24"/>
                <w:lang w:eastAsia="zh-CN"/>
              </w:rPr>
              <w:t>《排污单位自行监测技术指南钢铁工业及炼焦化学工业》（HJ878-2017）</w:t>
            </w:r>
            <w:r>
              <w:rPr>
                <w:rFonts w:ascii="Times New Roman" w:hAnsi="Times New Roman" w:eastAsia="宋体"/>
                <w:color w:val="auto"/>
                <w:sz w:val="24"/>
              </w:rPr>
              <w:t>，项目废气监测计划具体如下表</w:t>
            </w:r>
            <w:r>
              <w:rPr>
                <w:rFonts w:hint="eastAsia" w:ascii="Times New Roman" w:hAnsi="Times New Roman" w:eastAsia="宋体"/>
                <w:color w:val="auto"/>
                <w:sz w:val="24"/>
              </w:rPr>
              <w:t>。</w:t>
            </w:r>
          </w:p>
          <w:p w14:paraId="4BB6157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t xml:space="preserve">    项目废气监测频次与最低监测频次</w:t>
            </w:r>
          </w:p>
          <w:tbl>
            <w:tblPr>
              <w:tblStyle w:val="24"/>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4"/>
              <w:gridCol w:w="1682"/>
              <w:gridCol w:w="899"/>
              <w:gridCol w:w="1257"/>
              <w:gridCol w:w="1024"/>
              <w:gridCol w:w="6"/>
              <w:gridCol w:w="2455"/>
            </w:tblGrid>
            <w:tr w14:paraId="7CA2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478" w:type="pct"/>
                  <w:shd w:val="clear" w:color="auto" w:fill="D9D9D9"/>
                  <w:noWrap w:val="0"/>
                  <w:vAlign w:val="center"/>
                </w:tcPr>
                <w:p w14:paraId="4F196794">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类别</w:t>
                  </w:r>
                </w:p>
              </w:tc>
              <w:tc>
                <w:tcPr>
                  <w:tcW w:w="1038" w:type="pct"/>
                  <w:shd w:val="clear" w:color="auto" w:fill="D9D9D9"/>
                  <w:noWrap w:val="0"/>
                  <w:vAlign w:val="center"/>
                </w:tcPr>
                <w:p w14:paraId="0559E4D9">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监测位置</w:t>
                  </w:r>
                </w:p>
              </w:tc>
              <w:tc>
                <w:tcPr>
                  <w:tcW w:w="555" w:type="pct"/>
                  <w:shd w:val="clear" w:color="auto" w:fill="D9D9D9"/>
                  <w:noWrap w:val="0"/>
                  <w:vAlign w:val="center"/>
                </w:tcPr>
                <w:p w14:paraId="706989D4">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点数</w:t>
                  </w:r>
                </w:p>
              </w:tc>
              <w:tc>
                <w:tcPr>
                  <w:tcW w:w="776" w:type="pct"/>
                  <w:shd w:val="clear" w:color="auto" w:fill="D9D9D9"/>
                  <w:noWrap w:val="0"/>
                  <w:vAlign w:val="center"/>
                </w:tcPr>
                <w:p w14:paraId="666085FF">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监测项目</w:t>
                  </w:r>
                </w:p>
              </w:tc>
              <w:tc>
                <w:tcPr>
                  <w:tcW w:w="636" w:type="pct"/>
                  <w:gridSpan w:val="2"/>
                  <w:shd w:val="clear" w:color="auto" w:fill="D9D9D9"/>
                  <w:noWrap w:val="0"/>
                  <w:vAlign w:val="center"/>
                </w:tcPr>
                <w:p w14:paraId="12FB55B9">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监测频率</w:t>
                  </w:r>
                </w:p>
              </w:tc>
              <w:tc>
                <w:tcPr>
                  <w:tcW w:w="1515" w:type="pct"/>
                  <w:shd w:val="clear" w:color="auto" w:fill="D9D9D9"/>
                  <w:noWrap w:val="0"/>
                  <w:vAlign w:val="center"/>
                </w:tcPr>
                <w:p w14:paraId="16754BAA">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执行标准</w:t>
                  </w:r>
                </w:p>
              </w:tc>
            </w:tr>
            <w:tr w14:paraId="5BDB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6" w:hRule="atLeast"/>
                <w:jc w:val="center"/>
              </w:trPr>
              <w:tc>
                <w:tcPr>
                  <w:tcW w:w="478" w:type="pct"/>
                  <w:noWrap w:val="0"/>
                  <w:vAlign w:val="center"/>
                </w:tcPr>
                <w:p w14:paraId="037FADB3">
                  <w:pPr>
                    <w:pStyle w:val="80"/>
                    <w:spacing w:before="0" w:after="0"/>
                    <w:rPr>
                      <w:rFonts w:hint="eastAsia" w:ascii="Times New Roman" w:hAnsi="Times New Roman" w:eastAsia="宋体"/>
                      <w:bCs/>
                      <w:color w:val="auto"/>
                      <w:sz w:val="21"/>
                      <w:szCs w:val="21"/>
                      <w:lang w:val="en-US" w:eastAsia="zh-CN"/>
                    </w:rPr>
                  </w:pPr>
                  <w:r>
                    <w:rPr>
                      <w:rFonts w:ascii="Times New Roman" w:hAnsi="Times New Roman" w:eastAsia="宋体"/>
                      <w:bCs/>
                      <w:color w:val="auto"/>
                      <w:sz w:val="21"/>
                      <w:szCs w:val="21"/>
                    </w:rPr>
                    <w:t>无组织</w:t>
                  </w:r>
                </w:p>
              </w:tc>
              <w:tc>
                <w:tcPr>
                  <w:tcW w:w="1038" w:type="pct"/>
                  <w:noWrap w:val="0"/>
                  <w:vAlign w:val="center"/>
                </w:tcPr>
                <w:p w14:paraId="372EAB08">
                  <w:pPr>
                    <w:pStyle w:val="80"/>
                    <w:spacing w:before="0" w:after="0"/>
                    <w:rPr>
                      <w:rFonts w:hint="default" w:ascii="Times New Roman" w:hAnsi="Times New Roman" w:eastAsia="宋体"/>
                      <w:bCs/>
                      <w:color w:val="auto"/>
                      <w:sz w:val="21"/>
                      <w:szCs w:val="21"/>
                      <w:lang w:val="en-US" w:eastAsia="zh-CN"/>
                    </w:rPr>
                  </w:pPr>
                  <w:r>
                    <w:rPr>
                      <w:rFonts w:ascii="Times New Roman"/>
                      <w:b w:val="0"/>
                      <w:bCs/>
                      <w:color w:val="auto"/>
                      <w:szCs w:val="21"/>
                    </w:rPr>
                    <w:t>厂界上风向</w:t>
                  </w:r>
                  <w:r>
                    <w:rPr>
                      <w:rFonts w:ascii="Times New Roman" w:hAnsi="Times New Roman"/>
                      <w:b w:val="0"/>
                      <w:bCs/>
                      <w:color w:val="auto"/>
                      <w:szCs w:val="21"/>
                    </w:rPr>
                    <w:t>2-50m</w:t>
                  </w:r>
                  <w:r>
                    <w:rPr>
                      <w:rFonts w:ascii="Times New Roman"/>
                      <w:b w:val="0"/>
                      <w:bCs/>
                      <w:color w:val="auto"/>
                      <w:szCs w:val="21"/>
                    </w:rPr>
                    <w:t>范围内</w:t>
                  </w:r>
                  <w:r>
                    <w:rPr>
                      <w:rFonts w:ascii="Times New Roman" w:hAnsi="Times New Roman"/>
                      <w:b w:val="0"/>
                      <w:bCs/>
                      <w:color w:val="auto"/>
                      <w:szCs w:val="21"/>
                    </w:rPr>
                    <w:t>1</w:t>
                  </w:r>
                  <w:r>
                    <w:rPr>
                      <w:rFonts w:ascii="Times New Roman"/>
                      <w:b w:val="0"/>
                      <w:bCs/>
                      <w:color w:val="auto"/>
                      <w:szCs w:val="21"/>
                    </w:rPr>
                    <w:t>个，下风向</w:t>
                  </w:r>
                  <w:r>
                    <w:rPr>
                      <w:rFonts w:ascii="Times New Roman" w:hAnsi="Times New Roman"/>
                      <w:b w:val="0"/>
                      <w:bCs/>
                      <w:color w:val="auto"/>
                      <w:szCs w:val="21"/>
                    </w:rPr>
                    <w:t>10m</w:t>
                  </w:r>
                  <w:r>
                    <w:rPr>
                      <w:rFonts w:ascii="Times New Roman"/>
                      <w:b w:val="0"/>
                      <w:bCs/>
                      <w:color w:val="auto"/>
                      <w:szCs w:val="21"/>
                    </w:rPr>
                    <w:t>范围内</w:t>
                  </w:r>
                  <w:r>
                    <w:rPr>
                      <w:rFonts w:ascii="Times New Roman" w:hAnsi="Times New Roman"/>
                      <w:b w:val="0"/>
                      <w:bCs/>
                      <w:color w:val="auto"/>
                      <w:szCs w:val="21"/>
                    </w:rPr>
                    <w:t>3</w:t>
                  </w:r>
                  <w:r>
                    <w:rPr>
                      <w:rFonts w:ascii="Times New Roman"/>
                      <w:b w:val="0"/>
                      <w:bCs/>
                      <w:color w:val="auto"/>
                      <w:szCs w:val="21"/>
                    </w:rPr>
                    <w:t>个</w:t>
                  </w:r>
                </w:p>
              </w:tc>
              <w:tc>
                <w:tcPr>
                  <w:tcW w:w="555" w:type="pct"/>
                  <w:noWrap w:val="0"/>
                  <w:vAlign w:val="center"/>
                </w:tcPr>
                <w:p w14:paraId="596FD801">
                  <w:pPr>
                    <w:pStyle w:val="80"/>
                    <w:spacing w:before="0" w:after="0"/>
                    <w:rPr>
                      <w:rFonts w:hint="eastAsia" w:ascii="Times New Roman" w:hAnsi="Times New Roman" w:eastAsia="宋体"/>
                      <w:bCs/>
                      <w:color w:val="auto"/>
                      <w:sz w:val="21"/>
                      <w:szCs w:val="21"/>
                      <w:lang w:val="en-US" w:eastAsia="zh-CN"/>
                    </w:rPr>
                  </w:pPr>
                  <w:r>
                    <w:rPr>
                      <w:rFonts w:ascii="Times New Roman" w:hAnsi="Times New Roman" w:eastAsia="宋体"/>
                      <w:bCs/>
                      <w:color w:val="auto"/>
                      <w:sz w:val="21"/>
                      <w:szCs w:val="21"/>
                    </w:rPr>
                    <w:t>4</w:t>
                  </w:r>
                </w:p>
              </w:tc>
              <w:tc>
                <w:tcPr>
                  <w:tcW w:w="776" w:type="pct"/>
                  <w:noWrap w:val="0"/>
                  <w:vAlign w:val="center"/>
                </w:tcPr>
                <w:p w14:paraId="580F7E13">
                  <w:pPr>
                    <w:pStyle w:val="80"/>
                    <w:ind w:firstLine="92" w:firstLineChars="0"/>
                    <w:jc w:val="center"/>
                    <w:rPr>
                      <w:rFonts w:ascii="Times New Roman" w:hAnsi="Times New Roman" w:eastAsia="宋体"/>
                      <w:bCs/>
                      <w:color w:val="auto"/>
                      <w:sz w:val="21"/>
                      <w:szCs w:val="21"/>
                    </w:rPr>
                  </w:pPr>
                  <w:r>
                    <w:rPr>
                      <w:rFonts w:ascii="Times New Roman" w:hAnsi="Times New Roman" w:eastAsia="宋体"/>
                      <w:bCs/>
                      <w:color w:val="auto"/>
                      <w:sz w:val="21"/>
                      <w:szCs w:val="21"/>
                    </w:rPr>
                    <w:t>颗粒物</w:t>
                  </w:r>
                </w:p>
              </w:tc>
              <w:tc>
                <w:tcPr>
                  <w:tcW w:w="632" w:type="pct"/>
                  <w:noWrap w:val="0"/>
                  <w:vAlign w:val="center"/>
                </w:tcPr>
                <w:p w14:paraId="2801358D">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1次/</w:t>
                  </w:r>
                  <w:r>
                    <w:rPr>
                      <w:rFonts w:hint="eastAsia" w:ascii="Times New Roman" w:hAnsi="Times New Roman" w:eastAsia="宋体"/>
                      <w:bCs/>
                      <w:color w:val="auto"/>
                      <w:sz w:val="21"/>
                      <w:szCs w:val="21"/>
                      <w:lang w:val="en-US" w:eastAsia="zh-CN"/>
                    </w:rPr>
                    <w:t>季度</w:t>
                  </w:r>
                </w:p>
              </w:tc>
              <w:tc>
                <w:tcPr>
                  <w:tcW w:w="1519" w:type="pct"/>
                  <w:gridSpan w:val="2"/>
                  <w:noWrap w:val="0"/>
                  <w:vAlign w:val="center"/>
                </w:tcPr>
                <w:p w14:paraId="1F9BBECC">
                  <w:pPr>
                    <w:pStyle w:val="80"/>
                    <w:spacing w:before="0" w:after="0"/>
                    <w:rPr>
                      <w:rFonts w:ascii="Times New Roman" w:hAnsi="Times New Roman" w:eastAsia="宋体"/>
                      <w:bCs/>
                      <w:color w:val="auto"/>
                      <w:sz w:val="21"/>
                      <w:szCs w:val="21"/>
                    </w:rPr>
                  </w:pPr>
                  <w:r>
                    <w:rPr>
                      <w:rFonts w:ascii="Times New Roman" w:hAnsi="Times New Roman" w:eastAsia="宋体"/>
                      <w:bCs/>
                      <w:color w:val="auto"/>
                      <w:sz w:val="21"/>
                      <w:szCs w:val="21"/>
                    </w:rPr>
                    <w:t>《大气污染物综合排放标准》</w:t>
                  </w:r>
                  <w:r>
                    <w:rPr>
                      <w:rFonts w:hint="eastAsia" w:ascii="Times New Roman" w:hAnsi="Times New Roman" w:eastAsia="宋体"/>
                      <w:bCs/>
                      <w:color w:val="auto"/>
                      <w:sz w:val="21"/>
                      <w:szCs w:val="21"/>
                      <w:lang w:eastAsia="zh-CN"/>
                    </w:rPr>
                    <w:t>（GB16297-1996）</w:t>
                  </w:r>
                  <w:r>
                    <w:rPr>
                      <w:rFonts w:ascii="Times New Roman" w:hAnsi="Times New Roman" w:eastAsia="宋体"/>
                      <w:bCs/>
                      <w:color w:val="auto"/>
                      <w:sz w:val="21"/>
                      <w:szCs w:val="21"/>
                    </w:rPr>
                    <w:t>表2二级标准</w:t>
                  </w:r>
                </w:p>
              </w:tc>
            </w:tr>
          </w:tbl>
          <w:p w14:paraId="3897672A">
            <w:pPr>
              <w:pStyle w:val="61"/>
              <w:ind w:firstLine="482"/>
              <w:rPr>
                <w:rFonts w:hint="eastAsia" w:ascii="Times New Roman" w:hAnsi="Times New Roman" w:eastAsia="宋体" w:cs="宋体"/>
                <w:b/>
                <w:bCs/>
                <w:color w:val="auto"/>
                <w:lang w:val="en-US" w:eastAsia="zh-CN"/>
              </w:rPr>
            </w:pPr>
            <w:r>
              <w:rPr>
                <w:rFonts w:hint="eastAsia" w:ascii="Times New Roman" w:hAnsi="Times New Roman" w:eastAsia="宋体" w:cs="宋体"/>
                <w:b/>
                <w:bCs/>
                <w:color w:val="auto"/>
                <w:lang w:val="en-US" w:eastAsia="zh-CN"/>
              </w:rPr>
              <w:t>（</w:t>
            </w:r>
            <w:r>
              <w:rPr>
                <w:rFonts w:hint="eastAsia" w:ascii="Times New Roman" w:hAnsi="Times New Roman" w:cs="宋体"/>
                <w:b/>
                <w:bCs/>
                <w:color w:val="auto"/>
                <w:lang w:val="en-US" w:eastAsia="zh-CN"/>
              </w:rPr>
              <w:t>7</w:t>
            </w:r>
            <w:r>
              <w:rPr>
                <w:rFonts w:hint="eastAsia" w:ascii="Times New Roman" w:hAnsi="Times New Roman" w:eastAsia="宋体" w:cs="宋体"/>
                <w:b/>
                <w:bCs/>
                <w:color w:val="auto"/>
                <w:lang w:val="en-US" w:eastAsia="zh-CN"/>
              </w:rPr>
              <w:t>）大气环境影响评价结论</w:t>
            </w:r>
          </w:p>
          <w:p w14:paraId="2BE3D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rPr>
            </w:pPr>
            <w:r>
              <w:rPr>
                <w:rFonts w:hint="eastAsia" w:ascii="Times New Roman" w:hAnsi="Times New Roman" w:eastAsia="宋体" w:cs="Times New Roman"/>
                <w:bCs/>
                <w:color w:val="auto"/>
                <w:sz w:val="24"/>
                <w:szCs w:val="24"/>
                <w:lang w:val="en-US" w:eastAsia="zh-CN"/>
              </w:rPr>
              <w:t>项目主要位于玉溪市通海县纳古镇大白龙，区域环境空气为《环境空气质量标准》（GB3095-20</w:t>
            </w:r>
            <w:r>
              <w:rPr>
                <w:rFonts w:hint="eastAsia" w:cs="Times New Roman"/>
                <w:bCs/>
                <w:color w:val="auto"/>
                <w:sz w:val="24"/>
                <w:szCs w:val="24"/>
                <w:lang w:val="en-US" w:eastAsia="zh-CN"/>
              </w:rPr>
              <w:t>26</w:t>
            </w:r>
            <w:r>
              <w:rPr>
                <w:rFonts w:hint="eastAsia" w:ascii="Times New Roman" w:hAnsi="Times New Roman" w:eastAsia="宋体" w:cs="Times New Roman"/>
                <w:bCs/>
                <w:color w:val="auto"/>
                <w:sz w:val="24"/>
                <w:szCs w:val="24"/>
                <w:lang w:val="en-US" w:eastAsia="zh-CN"/>
              </w:rPr>
              <w:t>）中过渡阶段浓度限值的二类区。根据202</w:t>
            </w:r>
            <w:r>
              <w:rPr>
                <w:rFonts w:hint="eastAsia" w:cs="Times New Roman"/>
                <w:bCs/>
                <w:color w:val="auto"/>
                <w:sz w:val="24"/>
                <w:szCs w:val="24"/>
                <w:lang w:val="en-US" w:eastAsia="zh-CN"/>
              </w:rPr>
              <w:t>4</w:t>
            </w:r>
            <w:r>
              <w:rPr>
                <w:rFonts w:hint="eastAsia" w:ascii="Times New Roman" w:hAnsi="Times New Roman" w:eastAsia="宋体" w:cs="Times New Roman"/>
                <w:bCs/>
                <w:color w:val="auto"/>
                <w:sz w:val="24"/>
                <w:szCs w:val="24"/>
                <w:lang w:val="en-US" w:eastAsia="zh-CN"/>
              </w:rPr>
              <w:t>年通海县环境监测站的环境空气质量指数（AQI）有效监测数据进行环境质量现状调查与评价，基本污染物环境质量现状监测SO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、NO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、PM</w:t>
            </w:r>
            <w:r>
              <w:rPr>
                <w:rFonts w:hint="eastAsia" w:ascii="Times New Roman" w:hAnsi="Times New Roman" w:eastAsia="宋体" w:cs="Times New Roman"/>
                <w:bCs/>
                <w:color w:val="auto"/>
                <w:sz w:val="24"/>
                <w:szCs w:val="24"/>
                <w:vertAlign w:val="subscript"/>
                <w:lang w:val="en-US" w:eastAsia="zh-CN"/>
              </w:rPr>
              <w:t>10</w:t>
            </w:r>
            <w:r>
              <w:rPr>
                <w:rFonts w:hint="eastAsia" w:ascii="Times New Roman" w:hAnsi="Times New Roman" w:eastAsia="宋体" w:cs="Times New Roman"/>
                <w:bCs/>
                <w:color w:val="auto"/>
                <w:sz w:val="24"/>
                <w:szCs w:val="24"/>
                <w:lang w:val="en-US" w:eastAsia="zh-CN"/>
              </w:rPr>
              <w:t>、PM</w:t>
            </w:r>
            <w:r>
              <w:rPr>
                <w:rFonts w:hint="eastAsia" w:ascii="Times New Roman" w:hAnsi="Times New Roman" w:eastAsia="宋体" w:cs="Times New Roman"/>
                <w:bCs/>
                <w:color w:val="auto"/>
                <w:sz w:val="24"/>
                <w:szCs w:val="24"/>
                <w:vertAlign w:val="subscript"/>
                <w:lang w:val="en-US" w:eastAsia="zh-CN"/>
              </w:rPr>
              <w:t>2.5</w:t>
            </w:r>
            <w:r>
              <w:rPr>
                <w:rFonts w:hint="eastAsia" w:ascii="Times New Roman" w:hAnsi="Times New Roman" w:eastAsia="宋体" w:cs="Times New Roman"/>
                <w:bCs/>
                <w:color w:val="auto"/>
                <w:sz w:val="24"/>
                <w:szCs w:val="24"/>
                <w:lang w:val="en-US" w:eastAsia="zh-CN"/>
              </w:rPr>
              <w:t>、O</w:t>
            </w:r>
            <w:r>
              <w:rPr>
                <w:rFonts w:hint="eastAsia" w:ascii="Times New Roman" w:hAnsi="Times New Roman" w:eastAsia="宋体" w:cs="Times New Roman"/>
                <w:bCs/>
                <w:color w:val="auto"/>
                <w:sz w:val="24"/>
                <w:szCs w:val="24"/>
                <w:vertAlign w:val="subscript"/>
                <w:lang w:val="en-US" w:eastAsia="zh-CN"/>
              </w:rPr>
              <w:t>3</w:t>
            </w:r>
            <w:r>
              <w:rPr>
                <w:rFonts w:hint="eastAsia" w:ascii="Times New Roman" w:hAnsi="Times New Roman" w:eastAsia="宋体" w:cs="Times New Roman"/>
                <w:bCs/>
                <w:color w:val="auto"/>
                <w:sz w:val="24"/>
                <w:szCs w:val="24"/>
                <w:lang w:val="en-US" w:eastAsia="zh-CN"/>
              </w:rPr>
              <w:t>、CO六项污染物均满足《环境空气质量标准》（GB3095－20</w:t>
            </w:r>
            <w:r>
              <w:rPr>
                <w:rFonts w:hint="eastAsia" w:cs="Times New Roman"/>
                <w:bCs/>
                <w:color w:val="auto"/>
                <w:sz w:val="24"/>
                <w:szCs w:val="24"/>
                <w:lang w:val="en-US" w:eastAsia="zh-CN"/>
              </w:rPr>
              <w:t>26</w:t>
            </w:r>
            <w:r>
              <w:rPr>
                <w:rFonts w:hint="eastAsia" w:ascii="Times New Roman" w:hAnsi="Times New Roman" w:eastAsia="宋体" w:cs="Times New Roman"/>
                <w:bCs/>
                <w:color w:val="auto"/>
                <w:sz w:val="24"/>
                <w:szCs w:val="24"/>
                <w:lang w:val="en-US" w:eastAsia="zh-CN"/>
              </w:rPr>
              <w:t>）过渡阶段浓度限值的二级标准，项目所在区域为达标区。</w:t>
            </w:r>
            <w:r>
              <w:rPr>
                <w:rFonts w:hint="eastAsia" w:ascii="Times New Roman" w:hAnsi="Times New Roman" w:eastAsia="宋体" w:cs="Times New Roman"/>
                <w:color w:val="auto"/>
                <w:sz w:val="24"/>
              </w:rPr>
              <w:t>厂界外</w:t>
            </w:r>
            <w:r>
              <w:rPr>
                <w:rFonts w:ascii="Times New Roman" w:hAnsi="Times New Roman" w:eastAsia="宋体" w:cs="Times New Roman"/>
                <w:color w:val="auto"/>
                <w:sz w:val="24"/>
              </w:rPr>
              <w:t>500m范围</w:t>
            </w:r>
            <w:r>
              <w:rPr>
                <w:rFonts w:hint="eastAsia" w:ascii="Times New Roman" w:hAnsi="Times New Roman" w:eastAsia="宋体" w:cs="Times New Roman"/>
                <w:color w:val="auto"/>
                <w:sz w:val="24"/>
                <w:lang w:eastAsia="zh-CN"/>
              </w:rPr>
              <w:t>无</w:t>
            </w:r>
            <w:r>
              <w:rPr>
                <w:rFonts w:hint="eastAsia" w:ascii="Times New Roman" w:hAnsi="Times New Roman" w:eastAsia="宋体" w:cs="Times New Roman"/>
                <w:color w:val="auto"/>
                <w:sz w:val="24"/>
              </w:rPr>
              <w:t>环境保护目标，</w:t>
            </w:r>
            <w:r>
              <w:rPr>
                <w:rFonts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焊接产生的烟尘经通过8个集气罩收集后进入</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套</w:t>
            </w:r>
            <w:r>
              <w:rPr>
                <w:rFonts w:hint="eastAsia" w:cs="Times New Roman"/>
                <w:color w:val="auto"/>
                <w:sz w:val="24"/>
                <w:lang w:val="en-US" w:eastAsia="zh-CN"/>
              </w:rPr>
              <w:t>烟尘净化</w:t>
            </w:r>
            <w:r>
              <w:rPr>
                <w:rFonts w:hint="eastAsia" w:ascii="Times New Roman" w:hAnsi="Times New Roman" w:eastAsia="宋体" w:cs="Times New Roman"/>
                <w:color w:val="auto"/>
                <w:sz w:val="24"/>
                <w:lang w:val="en-US" w:eastAsia="zh-CN"/>
              </w:rPr>
              <w:t>除尘器处理后</w:t>
            </w:r>
            <w:r>
              <w:rPr>
                <w:rFonts w:hint="eastAsia"/>
                <w:color w:val="auto"/>
                <w:kern w:val="0"/>
                <w:sz w:val="24"/>
                <w:lang w:val="en-US" w:eastAsia="zh-CN"/>
              </w:rPr>
              <w:t>无组织排放到厂房内</w:t>
            </w:r>
            <w:r>
              <w:rPr>
                <w:rFonts w:hint="eastAsia" w:ascii="Times New Roman" w:hAnsi="Times New Roman" w:eastAsia="宋体"/>
                <w:color w:val="auto"/>
                <w:sz w:val="24"/>
                <w:lang w:eastAsia="zh-CN"/>
              </w:rPr>
              <w:t>，</w:t>
            </w:r>
            <w:r>
              <w:rPr>
                <w:rFonts w:hint="eastAsia" w:ascii="Times New Roman" w:hAnsi="Times New Roman" w:eastAsia="宋体" w:cs="Times New Roman"/>
                <w:color w:val="auto"/>
                <w:sz w:val="24"/>
                <w:lang w:val="en-US" w:eastAsia="zh-CN"/>
              </w:rPr>
              <w:t>且8条</w:t>
            </w:r>
            <w:r>
              <w:rPr>
                <w:rFonts w:ascii="Times New Roman" w:hAnsi="Times New Roman" w:eastAsia="宋体" w:cs="Times New Roman"/>
                <w:color w:val="auto"/>
                <w:sz w:val="24"/>
              </w:rPr>
              <w:t>生产线</w:t>
            </w:r>
            <w:r>
              <w:rPr>
                <w:rFonts w:hint="eastAsia" w:ascii="Times New Roman" w:hAnsi="Times New Roman" w:eastAsia="宋体" w:cs="Times New Roman"/>
                <w:color w:val="auto"/>
                <w:sz w:val="24"/>
                <w:lang w:val="en-US" w:eastAsia="zh-CN"/>
              </w:rPr>
              <w:t>全部设置在封闭</w:t>
            </w:r>
            <w:r>
              <w:rPr>
                <w:rFonts w:ascii="Times New Roman" w:hAnsi="Times New Roman" w:eastAsia="宋体" w:cs="Times New Roman"/>
                <w:color w:val="auto"/>
                <w:sz w:val="24"/>
              </w:rPr>
              <w:t>的</w:t>
            </w:r>
            <w:r>
              <w:rPr>
                <w:rFonts w:hint="eastAsia" w:ascii="Times New Roman" w:hAnsi="Times New Roman" w:eastAsia="宋体" w:cs="Times New Roman"/>
                <w:color w:val="auto"/>
                <w:sz w:val="24"/>
                <w:lang w:val="en-US" w:eastAsia="zh-CN"/>
              </w:rPr>
              <w:t>厂房内</w:t>
            </w:r>
            <w:r>
              <w:rPr>
                <w:rFonts w:hint="eastAsia" w:ascii="Times New Roman" w:hAnsi="Times New Roman" w:eastAsia="宋体" w:cs="宋体"/>
                <w:color w:val="auto"/>
                <w:sz w:val="24"/>
                <w:lang w:eastAsia="zh-CN"/>
              </w:rPr>
              <w:t>，</w:t>
            </w:r>
            <w:r>
              <w:rPr>
                <w:rFonts w:hint="eastAsia" w:ascii="Times New Roman" w:hAnsi="Times New Roman" w:eastAsia="宋体" w:cs="Times New Roman"/>
                <w:color w:val="auto"/>
                <w:sz w:val="24"/>
                <w:lang w:val="en-US" w:eastAsia="zh-CN"/>
              </w:rPr>
              <w:t>厂房内设有换气扇，</w:t>
            </w: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rPr>
              <w:t>无组织排放的颗粒物</w:t>
            </w:r>
            <w:r>
              <w:rPr>
                <w:rFonts w:ascii="Times New Roman" w:hAnsi="Times New Roman" w:eastAsia="宋体" w:cs="Times New Roman"/>
                <w:color w:val="auto"/>
                <w:sz w:val="24"/>
              </w:rPr>
              <w:t>排放浓度满足《大气污染物综合排放标准》（GB16297-1996）表2标准中企业周边大气污染物颗粒物排放</w:t>
            </w:r>
            <w:r>
              <w:rPr>
                <w:rFonts w:hint="eastAsia" w:ascii="Times New Roman" w:hAnsi="Times New Roman" w:eastAsia="宋体" w:cs="Times New Roman"/>
                <w:color w:val="auto"/>
                <w:sz w:val="24"/>
              </w:rPr>
              <w:t>浓度限值</w:t>
            </w:r>
            <w:r>
              <w:rPr>
                <w:rFonts w:hint="eastAsia" w:ascii="Times New Roman" w:hAnsi="Times New Roman" w:eastAsia="宋体" w:cs="Times New Roman"/>
                <w:color w:val="auto"/>
                <w:sz w:val="24"/>
                <w:lang w:val="en-US" w:eastAsia="zh-CN"/>
              </w:rPr>
              <w:t>。</w:t>
            </w:r>
          </w:p>
        </w:tc>
      </w:tr>
    </w:tbl>
    <w:p w14:paraId="5DEB8005">
      <w:pPr>
        <w:pStyle w:val="13"/>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003"/>
      </w:tblGrid>
      <w:tr w14:paraId="2E4E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6" w:hRule="atLeast"/>
        </w:trPr>
        <w:tc>
          <w:tcPr>
            <w:tcW w:w="893" w:type="dxa"/>
            <w:noWrap w:val="0"/>
            <w:vAlign w:val="center"/>
          </w:tcPr>
          <w:p w14:paraId="3E0E477A">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0AE2B0C6">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46C0DEAF">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7421F400">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4BABBC0F">
            <w:pPr>
              <w:adjustRightInd w:val="0"/>
              <w:snapToGrid w:val="0"/>
              <w:jc w:val="center"/>
              <w:rPr>
                <w:rFonts w:hint="eastAsia" w:ascii="Times New Roman" w:hAnsi="Times New Roman" w:eastAsia="宋体"/>
                <w:color w:val="auto"/>
                <w:vertAlign w:val="baseline"/>
              </w:rPr>
            </w:pPr>
            <w:r>
              <w:rPr>
                <w:rFonts w:hint="default" w:ascii="Times New Roman" w:hAnsi="Times New Roman" w:eastAsia="宋体" w:cs="Times New Roman"/>
                <w:bCs/>
                <w:color w:val="auto"/>
                <w:sz w:val="24"/>
                <w:szCs w:val="24"/>
              </w:rPr>
              <w:t>保护措施</w:t>
            </w:r>
          </w:p>
        </w:tc>
        <w:tc>
          <w:tcPr>
            <w:tcW w:w="14003" w:type="dxa"/>
            <w:noWrap w:val="0"/>
            <w:vAlign w:val="top"/>
          </w:tcPr>
          <w:p w14:paraId="4B5A020B">
            <w:pPr>
              <w:pStyle w:val="35"/>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废水</w:t>
            </w:r>
          </w:p>
          <w:p w14:paraId="2BDD2996">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（1）</w:t>
            </w:r>
            <w:r>
              <w:rPr>
                <w:rFonts w:ascii="Times New Roman" w:hAnsi="Times New Roman" w:eastAsia="宋体"/>
                <w:b/>
                <w:bCs/>
                <w:color w:val="auto"/>
                <w:spacing w:val="0"/>
                <w:kern w:val="2"/>
                <w:sz w:val="24"/>
                <w:lang w:val="en-US"/>
              </w:rPr>
              <w:t>废水污染源源强核算结果及相关参数</w:t>
            </w:r>
          </w:p>
          <w:p w14:paraId="5CBEC3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lang w:val="en-US" w:eastAsia="zh-CN"/>
              </w:rPr>
              <w:t>本项目运营期废</w:t>
            </w:r>
            <w:r>
              <w:rPr>
                <w:rFonts w:hint="eastAsia" w:ascii="Times New Roman" w:hAnsi="Times New Roman" w:eastAsia="宋体"/>
                <w:color w:val="auto"/>
                <w:sz w:val="24"/>
                <w:szCs w:val="24"/>
                <w:lang w:val="en-US" w:eastAsia="zh-CN"/>
              </w:rPr>
              <w:t>水</w:t>
            </w:r>
            <w:r>
              <w:rPr>
                <w:rFonts w:hint="default" w:ascii="Times New Roman" w:hAnsi="Times New Roman" w:eastAsia="宋体"/>
                <w:color w:val="auto"/>
                <w:sz w:val="24"/>
                <w:szCs w:val="24"/>
                <w:lang w:val="en-US" w:eastAsia="zh-CN"/>
              </w:rPr>
              <w:t>污染物源强核算及相关参数详见</w:t>
            </w:r>
            <w:r>
              <w:rPr>
                <w:rFonts w:hint="eastAsia" w:ascii="Times New Roman" w:hAnsi="Times New Roman" w:eastAsia="宋体"/>
                <w:color w:val="auto"/>
                <w:sz w:val="24"/>
                <w:szCs w:val="24"/>
                <w:lang w:val="en-US" w:eastAsia="zh-CN"/>
              </w:rPr>
              <w:t>下表</w:t>
            </w:r>
            <w:r>
              <w:rPr>
                <w:rFonts w:hint="default" w:ascii="Times New Roman" w:hAnsi="Times New Roman" w:eastAsia="宋体"/>
                <w:color w:val="auto"/>
                <w:sz w:val="24"/>
                <w:szCs w:val="24"/>
                <w:lang w:val="en-US" w:eastAsia="zh-CN"/>
              </w:rPr>
              <w:t>。</w:t>
            </w:r>
          </w:p>
          <w:p w14:paraId="5D7C0897">
            <w:pPr>
              <w:pStyle w:val="3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5</w:t>
            </w:r>
            <w:r>
              <w:rPr>
                <w:rFonts w:hint="default" w:ascii="Times New Roman" w:hAnsi="Times New Roman" w:eastAsia="宋体" w:cs="Times New Roman"/>
                <w:color w:val="auto"/>
                <w:lang w:val="en-US" w:eastAsia="zh-CN"/>
              </w:rPr>
              <w:t>运营期废</w:t>
            </w:r>
            <w:r>
              <w:rPr>
                <w:rFonts w:hint="eastAsia" w:ascii="Times New Roman" w:hAnsi="Times New Roman" w:eastAsia="宋体" w:cs="Times New Roman"/>
                <w:color w:val="auto"/>
                <w:lang w:val="en-US" w:eastAsia="zh-CN"/>
              </w:rPr>
              <w:t>水</w:t>
            </w:r>
            <w:r>
              <w:rPr>
                <w:rFonts w:hint="default" w:ascii="Times New Roman" w:hAnsi="Times New Roman" w:eastAsia="宋体" w:cs="Times New Roman"/>
                <w:color w:val="auto"/>
                <w:lang w:val="en-US" w:eastAsia="zh-CN"/>
              </w:rPr>
              <w:t>污染物源强核算及相关参数</w:t>
            </w:r>
            <w:r>
              <w:rPr>
                <w:rFonts w:hint="eastAsia" w:ascii="Times New Roman" w:hAnsi="Times New Roman" w:eastAsia="宋体" w:cs="Times New Roman"/>
                <w:color w:val="auto"/>
                <w:lang w:val="en-US" w:eastAsia="zh-CN"/>
              </w:rPr>
              <w:t>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951"/>
              <w:gridCol w:w="959"/>
              <w:gridCol w:w="1053"/>
              <w:gridCol w:w="1147"/>
              <w:gridCol w:w="1124"/>
              <w:gridCol w:w="1636"/>
              <w:gridCol w:w="778"/>
              <w:gridCol w:w="1159"/>
              <w:gridCol w:w="941"/>
              <w:gridCol w:w="1099"/>
              <w:gridCol w:w="2478"/>
            </w:tblGrid>
            <w:tr w14:paraId="48C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1" w:type="pct"/>
                  <w:vMerge w:val="restart"/>
                  <w:shd w:val="clear" w:color="auto" w:fill="D7D7D7" w:themeFill="background1" w:themeFillShade="D8"/>
                  <w:noWrap w:val="0"/>
                  <w:vAlign w:val="center"/>
                </w:tcPr>
                <w:p w14:paraId="5A0D3A4B">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345" w:type="pct"/>
                  <w:vMerge w:val="restart"/>
                  <w:shd w:val="clear" w:color="auto" w:fill="D7D7D7" w:themeFill="background1" w:themeFillShade="D8"/>
                  <w:noWrap w:val="0"/>
                  <w:vAlign w:val="center"/>
                </w:tcPr>
                <w:p w14:paraId="31BBD7EC">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产排污环节</w:t>
                  </w:r>
                </w:p>
              </w:tc>
              <w:tc>
                <w:tcPr>
                  <w:tcW w:w="348" w:type="pct"/>
                  <w:vMerge w:val="restart"/>
                  <w:shd w:val="clear" w:color="auto" w:fill="D7D7D7" w:themeFill="background1" w:themeFillShade="D8"/>
                  <w:noWrap w:val="0"/>
                  <w:vAlign w:val="center"/>
                </w:tcPr>
                <w:p w14:paraId="0542C173">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w:t>
                  </w:r>
                </w:p>
              </w:tc>
              <w:tc>
                <w:tcPr>
                  <w:tcW w:w="798" w:type="pct"/>
                  <w:gridSpan w:val="2"/>
                  <w:shd w:val="clear" w:color="auto" w:fill="D7D7D7" w:themeFill="background1" w:themeFillShade="D8"/>
                  <w:noWrap w:val="0"/>
                  <w:vAlign w:val="center"/>
                </w:tcPr>
                <w:p w14:paraId="30C98C70">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废水产生</w:t>
                  </w:r>
                </w:p>
              </w:tc>
              <w:tc>
                <w:tcPr>
                  <w:tcW w:w="408" w:type="pct"/>
                  <w:vMerge w:val="restart"/>
                  <w:shd w:val="clear" w:color="auto" w:fill="D7D7D7" w:themeFill="background1" w:themeFillShade="D8"/>
                  <w:noWrap w:val="0"/>
                  <w:vAlign w:val="center"/>
                </w:tcPr>
                <w:p w14:paraId="5295C4E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排放方式</w:t>
                  </w:r>
                </w:p>
              </w:tc>
              <w:tc>
                <w:tcPr>
                  <w:tcW w:w="1297" w:type="pct"/>
                  <w:gridSpan w:val="3"/>
                  <w:shd w:val="clear" w:color="auto" w:fill="D7D7D7" w:themeFill="background1" w:themeFillShade="D8"/>
                  <w:noWrap w:val="0"/>
                  <w:vAlign w:val="center"/>
                </w:tcPr>
                <w:p w14:paraId="4E87F117">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治理设施</w:t>
                  </w:r>
                </w:p>
              </w:tc>
              <w:tc>
                <w:tcPr>
                  <w:tcW w:w="740" w:type="pct"/>
                  <w:gridSpan w:val="2"/>
                  <w:shd w:val="clear" w:color="auto" w:fill="D7D7D7" w:themeFill="background1" w:themeFillShade="D8"/>
                  <w:noWrap w:val="0"/>
                  <w:vAlign w:val="center"/>
                </w:tcPr>
                <w:p w14:paraId="32C3889A">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废水排放</w:t>
                  </w:r>
                </w:p>
              </w:tc>
              <w:tc>
                <w:tcPr>
                  <w:tcW w:w="899" w:type="pct"/>
                  <w:vMerge w:val="restart"/>
                  <w:shd w:val="clear" w:color="auto" w:fill="D7D7D7" w:themeFill="background1" w:themeFillShade="D8"/>
                  <w:noWrap w:val="0"/>
                  <w:vAlign w:val="center"/>
                </w:tcPr>
                <w:p w14:paraId="7739325F">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排放标准</w:t>
                  </w:r>
                </w:p>
              </w:tc>
            </w:tr>
            <w:tr w14:paraId="1C16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1" w:type="pct"/>
                  <w:vMerge w:val="continue"/>
                  <w:shd w:val="clear" w:color="auto" w:fill="D7D7D7" w:themeFill="background1" w:themeFillShade="D8"/>
                  <w:noWrap w:val="0"/>
                  <w:vAlign w:val="center"/>
                </w:tcPr>
                <w:p w14:paraId="63CA7539">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shd w:val="clear" w:color="auto" w:fill="D7D7D7" w:themeFill="background1" w:themeFillShade="D8"/>
                  <w:noWrap w:val="0"/>
                  <w:vAlign w:val="center"/>
                </w:tcPr>
                <w:p w14:paraId="7FDB4E25">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8" w:type="pct"/>
                  <w:vMerge w:val="continue"/>
                  <w:shd w:val="clear" w:color="auto" w:fill="D7D7D7" w:themeFill="background1" w:themeFillShade="D8"/>
                  <w:noWrap w:val="0"/>
                  <w:vAlign w:val="center"/>
                </w:tcPr>
                <w:p w14:paraId="68FDBD9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82" w:type="pct"/>
                  <w:shd w:val="clear" w:color="auto" w:fill="D7D7D7" w:themeFill="background1" w:themeFillShade="D8"/>
                  <w:noWrap w:val="0"/>
                  <w:vAlign w:val="center"/>
                </w:tcPr>
                <w:p w14:paraId="6CB26086">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产生量（t/a）</w:t>
                  </w:r>
                </w:p>
              </w:tc>
              <w:tc>
                <w:tcPr>
                  <w:tcW w:w="416" w:type="pct"/>
                  <w:shd w:val="clear" w:color="auto" w:fill="D7D7D7" w:themeFill="background1" w:themeFillShade="D8"/>
                  <w:noWrap w:val="0"/>
                  <w:vAlign w:val="center"/>
                </w:tcPr>
                <w:p w14:paraId="5612729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产生浓度（mg/L）</w:t>
                  </w:r>
                </w:p>
              </w:tc>
              <w:tc>
                <w:tcPr>
                  <w:tcW w:w="408" w:type="pct"/>
                  <w:vMerge w:val="continue"/>
                  <w:shd w:val="clear" w:color="auto" w:fill="D7D7D7" w:themeFill="background1" w:themeFillShade="D8"/>
                  <w:noWrap w:val="0"/>
                  <w:vAlign w:val="center"/>
                </w:tcPr>
                <w:p w14:paraId="79E62C3A">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594" w:type="pct"/>
                  <w:shd w:val="clear" w:color="auto" w:fill="D7D7D7" w:themeFill="background1" w:themeFillShade="D8"/>
                  <w:noWrap w:val="0"/>
                  <w:vAlign w:val="center"/>
                </w:tcPr>
                <w:p w14:paraId="22750780">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治理设施</w:t>
                  </w:r>
                </w:p>
              </w:tc>
              <w:tc>
                <w:tcPr>
                  <w:tcW w:w="282" w:type="pct"/>
                  <w:shd w:val="clear" w:color="auto" w:fill="D7D7D7" w:themeFill="background1" w:themeFillShade="D8"/>
                  <w:noWrap w:val="0"/>
                  <w:vAlign w:val="center"/>
                </w:tcPr>
                <w:p w14:paraId="73FFD0DE">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效率（%）</w:t>
                  </w:r>
                </w:p>
              </w:tc>
              <w:tc>
                <w:tcPr>
                  <w:tcW w:w="420" w:type="pct"/>
                  <w:shd w:val="clear" w:color="auto" w:fill="D7D7D7" w:themeFill="background1" w:themeFillShade="D8"/>
                  <w:noWrap w:val="0"/>
                  <w:vAlign w:val="center"/>
                </w:tcPr>
                <w:p w14:paraId="4C4E6D8F">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是否为可行性技术</w:t>
                  </w:r>
                </w:p>
              </w:tc>
              <w:tc>
                <w:tcPr>
                  <w:tcW w:w="341" w:type="pct"/>
                  <w:shd w:val="clear" w:color="auto" w:fill="D7D7D7" w:themeFill="background1" w:themeFillShade="D8"/>
                  <w:noWrap w:val="0"/>
                  <w:vAlign w:val="center"/>
                </w:tcPr>
                <w:p w14:paraId="718D1BEF">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排放量（t/a）</w:t>
                  </w:r>
                </w:p>
              </w:tc>
              <w:tc>
                <w:tcPr>
                  <w:tcW w:w="399" w:type="pct"/>
                  <w:shd w:val="clear" w:color="auto" w:fill="D7D7D7" w:themeFill="background1" w:themeFillShade="D8"/>
                  <w:noWrap w:val="0"/>
                  <w:vAlign w:val="center"/>
                </w:tcPr>
                <w:p w14:paraId="58CDDD5C">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排放浓度（mg/L）</w:t>
                  </w:r>
                </w:p>
              </w:tc>
              <w:tc>
                <w:tcPr>
                  <w:tcW w:w="899" w:type="pct"/>
                  <w:vMerge w:val="continue"/>
                  <w:shd w:val="clear" w:color="auto" w:fill="D7D7D7" w:themeFill="background1" w:themeFillShade="D8"/>
                  <w:noWrap w:val="0"/>
                  <w:vAlign w:val="center"/>
                </w:tcPr>
                <w:p w14:paraId="2AD5E8F9">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24B5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1" w:type="pct"/>
                  <w:vMerge w:val="restart"/>
                  <w:noWrap w:val="0"/>
                  <w:vAlign w:val="center"/>
                </w:tcPr>
                <w:p w14:paraId="171ABFBA">
                  <w:pPr>
                    <w:keepNext w:val="0"/>
                    <w:keepLines w:val="0"/>
                    <w:pageBreakBefore w:val="0"/>
                    <w:widowControl w:val="0"/>
                    <w:wordWrap/>
                    <w:topLinePunct w:val="0"/>
                    <w:autoSpaceDN/>
                    <w:bidi w:val="0"/>
                    <w:adjustRightInd w:val="0"/>
                    <w:snapToGrid w:val="0"/>
                    <w:spacing w:line="240" w:lineRule="exact"/>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1</w:t>
                  </w:r>
                </w:p>
              </w:tc>
              <w:tc>
                <w:tcPr>
                  <w:tcW w:w="345" w:type="pct"/>
                  <w:vMerge w:val="restart"/>
                  <w:noWrap w:val="0"/>
                  <w:vAlign w:val="center"/>
                </w:tcPr>
                <w:p w14:paraId="23C3EC3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olor w:val="auto"/>
                      <w:sz w:val="21"/>
                      <w:szCs w:val="21"/>
                      <w:lang w:val="en-US" w:eastAsia="zh-CN"/>
                    </w:rPr>
                  </w:pPr>
                  <w:r>
                    <w:rPr>
                      <w:rFonts w:ascii="Times New Roman" w:hAnsi="Times New Roman" w:eastAsia="宋体"/>
                      <w:color w:val="auto"/>
                      <w:sz w:val="21"/>
                      <w:szCs w:val="21"/>
                    </w:rPr>
                    <w:t>生活</w:t>
                  </w:r>
                  <w:r>
                    <w:rPr>
                      <w:rFonts w:hint="eastAsia" w:ascii="Times New Roman" w:hAnsi="Times New Roman"/>
                      <w:color w:val="auto"/>
                      <w:sz w:val="21"/>
                      <w:szCs w:val="21"/>
                      <w:lang w:val="en-US" w:eastAsia="zh-CN"/>
                    </w:rPr>
                    <w:t>污水</w:t>
                  </w:r>
                </w:p>
              </w:tc>
              <w:tc>
                <w:tcPr>
                  <w:tcW w:w="348" w:type="pct"/>
                  <w:noWrap w:val="0"/>
                  <w:vAlign w:val="center"/>
                </w:tcPr>
                <w:p w14:paraId="4EF8F50A">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废水量</w:t>
                  </w:r>
                </w:p>
              </w:tc>
              <w:tc>
                <w:tcPr>
                  <w:tcW w:w="382" w:type="pct"/>
                  <w:noWrap w:val="0"/>
                  <w:vAlign w:val="center"/>
                </w:tcPr>
                <w:p w14:paraId="37B151E5">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396</w:t>
                  </w:r>
                </w:p>
              </w:tc>
              <w:tc>
                <w:tcPr>
                  <w:tcW w:w="416" w:type="pct"/>
                  <w:noWrap w:val="0"/>
                  <w:vAlign w:val="center"/>
                </w:tcPr>
                <w:p w14:paraId="6AC45705">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408" w:type="pct"/>
                  <w:vMerge w:val="restart"/>
                  <w:noWrap w:val="0"/>
                  <w:vAlign w:val="center"/>
                </w:tcPr>
                <w:p w14:paraId="00F2747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间接排放</w:t>
                  </w:r>
                </w:p>
              </w:tc>
              <w:tc>
                <w:tcPr>
                  <w:tcW w:w="594" w:type="pct"/>
                  <w:vMerge w:val="restart"/>
                  <w:noWrap w:val="0"/>
                  <w:vAlign w:val="center"/>
                </w:tcPr>
                <w:p w14:paraId="3E26CCF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生活污水依托厂区现有化粪池（</w:t>
                  </w:r>
                  <w:r>
                    <w:rPr>
                      <w:rFonts w:hint="eastAsia" w:ascii="Times New Roman" w:hAnsi="Times New Roman" w:cs="宋体"/>
                      <w:color w:val="auto"/>
                      <w:sz w:val="21"/>
                      <w:szCs w:val="21"/>
                      <w:lang w:val="en-US" w:eastAsia="zh-CN"/>
                    </w:rPr>
                    <w:t>10</w:t>
                  </w:r>
                  <w:r>
                    <w:rPr>
                      <w:rFonts w:hint="eastAsia" w:ascii="Times New Roman" w:hAnsi="Times New Roman" w:eastAsia="宋体" w:cs="宋体"/>
                      <w:color w:val="auto"/>
                      <w:sz w:val="21"/>
                      <w:szCs w:val="21"/>
                      <w:lang w:val="en-US" w:eastAsia="zh-CN"/>
                    </w:rPr>
                    <w:t>m</w:t>
                  </w:r>
                  <w:r>
                    <w:rPr>
                      <w:rFonts w:hint="eastAsia" w:ascii="Times New Roman" w:hAnsi="Times New Roman" w:eastAsia="宋体" w:cs="宋体"/>
                      <w:color w:val="auto"/>
                      <w:sz w:val="21"/>
                      <w:szCs w:val="21"/>
                      <w:vertAlign w:val="superscript"/>
                      <w:lang w:val="en-US" w:eastAsia="zh-CN"/>
                    </w:rPr>
                    <w:t>3</w:t>
                  </w:r>
                  <w:r>
                    <w:rPr>
                      <w:rFonts w:hint="eastAsia" w:ascii="Times New Roman" w:hAnsi="Times New Roman" w:eastAsia="宋体" w:cs="宋体"/>
                      <w:color w:val="auto"/>
                      <w:sz w:val="21"/>
                      <w:szCs w:val="21"/>
                      <w:lang w:val="en-US" w:eastAsia="zh-CN"/>
                    </w:rPr>
                    <w:t>）处理，</w:t>
                  </w:r>
                  <w:r>
                    <w:rPr>
                      <w:rFonts w:hint="eastAsia" w:ascii="Times New Roman" w:hAnsi="Times New Roman" w:eastAsia="宋体" w:cs="宋体"/>
                      <w:color w:val="auto"/>
                      <w:sz w:val="21"/>
                      <w:lang w:val="en-US" w:eastAsia="zh-CN"/>
                    </w:rPr>
                    <w:t>利用罐车拉运至纳古镇污水处理站处理</w:t>
                  </w:r>
                  <w:r>
                    <w:rPr>
                      <w:rFonts w:hint="eastAsia" w:ascii="Times New Roman" w:hAnsi="Times New Roman" w:eastAsia="宋体" w:cs="Times New Roman"/>
                      <w:color w:val="auto"/>
                      <w:sz w:val="21"/>
                      <w:lang w:val="zh-CN"/>
                    </w:rPr>
                    <w:t>。</w:t>
                  </w:r>
                </w:p>
              </w:tc>
              <w:tc>
                <w:tcPr>
                  <w:tcW w:w="282" w:type="pct"/>
                  <w:noWrap w:val="0"/>
                  <w:vAlign w:val="center"/>
                </w:tcPr>
                <w:p w14:paraId="2F58F0E7">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ascii="Times New Roman" w:hAnsi="Times New Roman" w:eastAsia="宋体"/>
                      <w:color w:val="auto"/>
                      <w:kern w:val="44"/>
                      <w:sz w:val="21"/>
                      <w:szCs w:val="21"/>
                    </w:rPr>
                    <w:t>/</w:t>
                  </w:r>
                </w:p>
              </w:tc>
              <w:tc>
                <w:tcPr>
                  <w:tcW w:w="420" w:type="pct"/>
                  <w:vMerge w:val="restart"/>
                  <w:noWrap w:val="0"/>
                  <w:vAlign w:val="center"/>
                </w:tcPr>
                <w:p w14:paraId="29DF84AD">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是</w:t>
                  </w:r>
                </w:p>
              </w:tc>
              <w:tc>
                <w:tcPr>
                  <w:tcW w:w="341" w:type="pct"/>
                  <w:noWrap w:val="0"/>
                  <w:vAlign w:val="center"/>
                </w:tcPr>
                <w:p w14:paraId="6CE63D5D">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olor w:val="auto"/>
                      <w:sz w:val="21"/>
                      <w:szCs w:val="21"/>
                      <w:lang w:val="en-US" w:eastAsia="zh-CN"/>
                    </w:rPr>
                    <w:t>396</w:t>
                  </w:r>
                </w:p>
              </w:tc>
              <w:tc>
                <w:tcPr>
                  <w:tcW w:w="399" w:type="pct"/>
                  <w:noWrap w:val="0"/>
                  <w:vAlign w:val="center"/>
                </w:tcPr>
                <w:p w14:paraId="037EC835">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ascii="Times New Roman" w:hAnsi="Times New Roman" w:eastAsia="宋体"/>
                      <w:color w:val="auto"/>
                      <w:kern w:val="44"/>
                      <w:sz w:val="21"/>
                      <w:szCs w:val="21"/>
                    </w:rPr>
                    <w:t>/</w:t>
                  </w:r>
                </w:p>
              </w:tc>
              <w:tc>
                <w:tcPr>
                  <w:tcW w:w="899" w:type="pct"/>
                  <w:vMerge w:val="restart"/>
                  <w:noWrap w:val="0"/>
                  <w:vAlign w:val="center"/>
                </w:tcPr>
                <w:p w14:paraId="6FD2A54C">
                  <w:pPr>
                    <w:keepNext w:val="0"/>
                    <w:keepLines w:val="0"/>
                    <w:pageBreakBefore w:val="0"/>
                    <w:widowControl w:val="0"/>
                    <w:wordWrap/>
                    <w:topLinePunct w:val="0"/>
                    <w:autoSpaceDN/>
                    <w:bidi w:val="0"/>
                    <w:adjustRightInd w:val="0"/>
                    <w:snapToGrid w:val="0"/>
                    <w:spacing w:line="240" w:lineRule="exact"/>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Times New Roman"/>
                      <w:color w:val="auto"/>
                      <w:sz w:val="21"/>
                      <w:szCs w:val="21"/>
                      <w:lang w:val="en-US" w:eastAsia="zh-CN"/>
                    </w:rPr>
                    <w:t>达到《污水综合排放标准》（GB8978-1996）表4三级标准，并满足氨氮、总磷指标符合《污水排入城镇下水道水质标准》（GB/T 31962—2015）表1（B）级标准</w:t>
                  </w:r>
                </w:p>
              </w:tc>
            </w:tr>
            <w:tr w14:paraId="0225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 w:type="pct"/>
                  <w:vMerge w:val="continue"/>
                  <w:noWrap w:val="0"/>
                  <w:vAlign w:val="center"/>
                </w:tcPr>
                <w:p w14:paraId="77C257B9">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3B8FCFDD">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kern w:val="44"/>
                      <w:sz w:val="21"/>
                      <w:szCs w:val="21"/>
                    </w:rPr>
                  </w:pPr>
                </w:p>
              </w:tc>
              <w:tc>
                <w:tcPr>
                  <w:tcW w:w="348" w:type="pct"/>
                  <w:noWrap w:val="0"/>
                  <w:vAlign w:val="center"/>
                </w:tcPr>
                <w:p w14:paraId="3D18FBE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SS</w:t>
                  </w:r>
                </w:p>
              </w:tc>
              <w:tc>
                <w:tcPr>
                  <w:tcW w:w="382" w:type="pct"/>
                  <w:noWrap w:val="0"/>
                  <w:vAlign w:val="center"/>
                </w:tcPr>
                <w:p w14:paraId="3A624C8D">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0.0792</w:t>
                  </w:r>
                </w:p>
              </w:tc>
              <w:tc>
                <w:tcPr>
                  <w:tcW w:w="416" w:type="pct"/>
                  <w:noWrap w:val="0"/>
                  <w:vAlign w:val="center"/>
                </w:tcPr>
                <w:p w14:paraId="26710AC5">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200</w:t>
                  </w:r>
                </w:p>
              </w:tc>
              <w:tc>
                <w:tcPr>
                  <w:tcW w:w="408" w:type="pct"/>
                  <w:vMerge w:val="continue"/>
                  <w:noWrap w:val="0"/>
                  <w:vAlign w:val="center"/>
                </w:tcPr>
                <w:p w14:paraId="480A6F3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15517BB3">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7E4C759F">
                  <w:pPr>
                    <w:pStyle w:val="62"/>
                    <w:keepNext w:val="0"/>
                    <w:keepLines w:val="0"/>
                    <w:pageBreakBefore w:val="0"/>
                    <w:widowControl w:val="0"/>
                    <w:kinsoku w:val="0"/>
                    <w:wordWrap/>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420" w:type="pct"/>
                  <w:vMerge w:val="continue"/>
                  <w:noWrap w:val="0"/>
                  <w:vAlign w:val="center"/>
                </w:tcPr>
                <w:p w14:paraId="63C37512">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4A3CC0BD">
                  <w:pPr>
                    <w:keepNext w:val="0"/>
                    <w:keepLines w:val="0"/>
                    <w:pageBreakBefore w:val="0"/>
                    <w:widowControl/>
                    <w:suppressLineNumbers w:val="0"/>
                    <w:wordWrap/>
                    <w:topLinePunct w:val="0"/>
                    <w:autoSpaceDN/>
                    <w:bidi w:val="0"/>
                    <w:adjustRightInd w:val="0"/>
                    <w:snapToGrid w:val="0"/>
                    <w:jc w:val="center"/>
                    <w:textAlignment w:val="center"/>
                    <w:rPr>
                      <w:rFonts w:hint="default" w:ascii="Times New Roman" w:hAnsi="Times New Roman" w:eastAsia="宋体" w:cs="宋体"/>
                      <w:color w:val="auto"/>
                      <w:sz w:val="21"/>
                      <w:szCs w:val="21"/>
                      <w:lang w:val="en-US" w:eastAsia="zh-CN"/>
                    </w:rPr>
                  </w:pPr>
                  <w:r>
                    <w:rPr>
                      <w:rFonts w:hint="eastAsia" w:cs="Times New Roman"/>
                      <w:color w:val="auto"/>
                      <w:kern w:val="44"/>
                      <w:sz w:val="21"/>
                      <w:szCs w:val="21"/>
                      <w:lang w:val="en-US" w:eastAsia="zh-CN"/>
                    </w:rPr>
                    <w:t>0.0396</w:t>
                  </w:r>
                </w:p>
              </w:tc>
              <w:tc>
                <w:tcPr>
                  <w:tcW w:w="399" w:type="pct"/>
                  <w:noWrap w:val="0"/>
                  <w:vAlign w:val="center"/>
                </w:tcPr>
                <w:p w14:paraId="5049EDA5">
                  <w:pPr>
                    <w:pStyle w:val="62"/>
                    <w:keepNext w:val="0"/>
                    <w:keepLines w:val="0"/>
                    <w:pageBreakBefore w:val="0"/>
                    <w:widowControl w:val="0"/>
                    <w:kinsoku w:val="0"/>
                    <w:wordWrap/>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bCs/>
                      <w:color w:val="auto"/>
                      <w:sz w:val="21"/>
                      <w:szCs w:val="21"/>
                      <w:lang w:val="en-US" w:eastAsia="zh-CN"/>
                    </w:rPr>
                    <w:t>100</w:t>
                  </w:r>
                </w:p>
              </w:tc>
              <w:tc>
                <w:tcPr>
                  <w:tcW w:w="899" w:type="pct"/>
                  <w:vMerge w:val="continue"/>
                  <w:noWrap w:val="0"/>
                  <w:vAlign w:val="center"/>
                </w:tcPr>
                <w:p w14:paraId="284CF0B0">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03C0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61" w:type="pct"/>
                  <w:vMerge w:val="continue"/>
                  <w:noWrap w:val="0"/>
                  <w:vAlign w:val="center"/>
                </w:tcPr>
                <w:p w14:paraId="202F66D4">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052E935">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25541E6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pH</w:t>
                  </w:r>
                </w:p>
              </w:tc>
              <w:tc>
                <w:tcPr>
                  <w:tcW w:w="382" w:type="pct"/>
                  <w:noWrap w:val="0"/>
                  <w:vAlign w:val="center"/>
                </w:tcPr>
                <w:p w14:paraId="5C784774">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w:t>
                  </w:r>
                </w:p>
              </w:tc>
              <w:tc>
                <w:tcPr>
                  <w:tcW w:w="416" w:type="pct"/>
                  <w:noWrap w:val="0"/>
                  <w:vAlign w:val="center"/>
                </w:tcPr>
                <w:p w14:paraId="14C65F6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7～8</w:t>
                  </w:r>
                </w:p>
              </w:tc>
              <w:tc>
                <w:tcPr>
                  <w:tcW w:w="408" w:type="pct"/>
                  <w:vMerge w:val="continue"/>
                  <w:noWrap w:val="0"/>
                  <w:vAlign w:val="center"/>
                </w:tcPr>
                <w:p w14:paraId="4EE867A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49C120A3">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1AD319B5">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609DD974">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48D953D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olor w:val="auto"/>
                      <w:sz w:val="21"/>
                      <w:szCs w:val="21"/>
                      <w:lang w:val="en-US" w:eastAsia="zh-CN"/>
                    </w:rPr>
                    <w:t>——</w:t>
                  </w:r>
                </w:p>
              </w:tc>
              <w:tc>
                <w:tcPr>
                  <w:tcW w:w="399" w:type="pct"/>
                  <w:noWrap w:val="0"/>
                  <w:vAlign w:val="center"/>
                </w:tcPr>
                <w:p w14:paraId="0CDC15B2">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7～8</w:t>
                  </w:r>
                </w:p>
              </w:tc>
              <w:tc>
                <w:tcPr>
                  <w:tcW w:w="899" w:type="pct"/>
                  <w:vMerge w:val="continue"/>
                  <w:noWrap w:val="0"/>
                  <w:vAlign w:val="center"/>
                </w:tcPr>
                <w:p w14:paraId="7EA02C0A">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49D8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1" w:type="pct"/>
                  <w:vMerge w:val="continue"/>
                  <w:noWrap w:val="0"/>
                  <w:vAlign w:val="center"/>
                </w:tcPr>
                <w:p w14:paraId="40B4D2C7">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09B3AB47">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4CF81AB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CODcr</w:t>
                  </w:r>
                </w:p>
              </w:tc>
              <w:tc>
                <w:tcPr>
                  <w:tcW w:w="382" w:type="pct"/>
                  <w:noWrap w:val="0"/>
                  <w:vAlign w:val="center"/>
                </w:tcPr>
                <w:p w14:paraId="550CEBCE">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0.1188</w:t>
                  </w:r>
                </w:p>
              </w:tc>
              <w:tc>
                <w:tcPr>
                  <w:tcW w:w="416" w:type="pct"/>
                  <w:noWrap w:val="0"/>
                  <w:vAlign w:val="center"/>
                </w:tcPr>
                <w:p w14:paraId="2FDDF096">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408" w:type="pct"/>
                  <w:vMerge w:val="continue"/>
                  <w:noWrap w:val="0"/>
                  <w:vAlign w:val="center"/>
                </w:tcPr>
                <w:p w14:paraId="181FABD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32BA0C6B">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37184B3B">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0309A179">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75E80D9B">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0.1188</w:t>
                  </w:r>
                </w:p>
              </w:tc>
              <w:tc>
                <w:tcPr>
                  <w:tcW w:w="399" w:type="pct"/>
                  <w:noWrap w:val="0"/>
                  <w:vAlign w:val="center"/>
                </w:tcPr>
                <w:p w14:paraId="680CF823">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899" w:type="pct"/>
                  <w:vMerge w:val="continue"/>
                  <w:noWrap w:val="0"/>
                  <w:vAlign w:val="center"/>
                </w:tcPr>
                <w:p w14:paraId="1E173EC6">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309E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1" w:type="pct"/>
                  <w:vMerge w:val="continue"/>
                  <w:noWrap w:val="0"/>
                  <w:vAlign w:val="center"/>
                </w:tcPr>
                <w:p w14:paraId="178C7C76">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B3B84EE">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195136B8">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BOD</w:t>
                  </w:r>
                  <w:r>
                    <w:rPr>
                      <w:rFonts w:hint="eastAsia" w:ascii="Times New Roman" w:hAnsi="Times New Roman" w:eastAsia="宋体" w:cs="宋体"/>
                      <w:color w:val="auto"/>
                      <w:sz w:val="21"/>
                      <w:szCs w:val="21"/>
                      <w:vertAlign w:val="subscript"/>
                      <w:lang w:val="en-US" w:eastAsia="zh-CN"/>
                    </w:rPr>
                    <w:t>5</w:t>
                  </w:r>
                </w:p>
              </w:tc>
              <w:tc>
                <w:tcPr>
                  <w:tcW w:w="382" w:type="pct"/>
                  <w:noWrap w:val="0"/>
                  <w:vAlign w:val="center"/>
                </w:tcPr>
                <w:p w14:paraId="042B481D">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w:t>
                  </w:r>
                  <w:r>
                    <w:rPr>
                      <w:rFonts w:hint="eastAsia" w:ascii="Times New Roman" w:hAnsi="Times New Roman" w:cs="宋体"/>
                      <w:color w:val="auto"/>
                      <w:sz w:val="21"/>
                      <w:szCs w:val="21"/>
                      <w:lang w:val="en-US" w:eastAsia="zh-CN"/>
                    </w:rPr>
                    <w:t>792</w:t>
                  </w:r>
                </w:p>
              </w:tc>
              <w:tc>
                <w:tcPr>
                  <w:tcW w:w="416" w:type="pct"/>
                  <w:noWrap w:val="0"/>
                  <w:vAlign w:val="center"/>
                </w:tcPr>
                <w:p w14:paraId="6C4AFCDC">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200</w:t>
                  </w:r>
                </w:p>
              </w:tc>
              <w:tc>
                <w:tcPr>
                  <w:tcW w:w="408" w:type="pct"/>
                  <w:vMerge w:val="continue"/>
                  <w:noWrap w:val="0"/>
                  <w:vAlign w:val="center"/>
                </w:tcPr>
                <w:p w14:paraId="10931291">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6A2E93FB">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726F3375">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0FAA183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143B75CE">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w:t>
                  </w:r>
                  <w:r>
                    <w:rPr>
                      <w:rFonts w:hint="eastAsia" w:ascii="Times New Roman" w:hAnsi="Times New Roman" w:cs="宋体"/>
                      <w:color w:val="auto"/>
                      <w:sz w:val="21"/>
                      <w:szCs w:val="21"/>
                      <w:lang w:val="en-US" w:eastAsia="zh-CN"/>
                    </w:rPr>
                    <w:t>792</w:t>
                  </w:r>
                </w:p>
              </w:tc>
              <w:tc>
                <w:tcPr>
                  <w:tcW w:w="399" w:type="pct"/>
                  <w:noWrap w:val="0"/>
                  <w:vAlign w:val="center"/>
                </w:tcPr>
                <w:p w14:paraId="54F4F3DD">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200</w:t>
                  </w:r>
                </w:p>
              </w:tc>
              <w:tc>
                <w:tcPr>
                  <w:tcW w:w="899" w:type="pct"/>
                  <w:vMerge w:val="continue"/>
                  <w:noWrap w:val="0"/>
                  <w:vAlign w:val="center"/>
                </w:tcPr>
                <w:p w14:paraId="229CFE92">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43F5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1" w:type="pct"/>
                  <w:vMerge w:val="continue"/>
                  <w:noWrap w:val="0"/>
                  <w:vAlign w:val="center"/>
                </w:tcPr>
                <w:p w14:paraId="4F98088C">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73B78212">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6C062BE1">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氨氮</w:t>
                  </w:r>
                </w:p>
              </w:tc>
              <w:tc>
                <w:tcPr>
                  <w:tcW w:w="382" w:type="pct"/>
                  <w:noWrap w:val="0"/>
                  <w:vAlign w:val="center"/>
                </w:tcPr>
                <w:p w14:paraId="60F053C2">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w:t>
                  </w:r>
                  <w:r>
                    <w:rPr>
                      <w:rFonts w:hint="eastAsia" w:ascii="Times New Roman" w:hAnsi="Times New Roman" w:cs="宋体"/>
                      <w:color w:val="auto"/>
                      <w:sz w:val="21"/>
                      <w:szCs w:val="21"/>
                      <w:lang w:val="en-US" w:eastAsia="zh-CN"/>
                    </w:rPr>
                    <w:t>119</w:t>
                  </w:r>
                </w:p>
              </w:tc>
              <w:tc>
                <w:tcPr>
                  <w:tcW w:w="416" w:type="pct"/>
                  <w:noWrap w:val="0"/>
                  <w:vAlign w:val="center"/>
                </w:tcPr>
                <w:p w14:paraId="610E3C3D">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w:t>
                  </w:r>
                </w:p>
              </w:tc>
              <w:tc>
                <w:tcPr>
                  <w:tcW w:w="408" w:type="pct"/>
                  <w:vMerge w:val="continue"/>
                  <w:noWrap w:val="0"/>
                  <w:vAlign w:val="center"/>
                </w:tcPr>
                <w:p w14:paraId="7E6BE620">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65473309">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14781661">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188B5911">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771CF8C5">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w:t>
                  </w:r>
                  <w:r>
                    <w:rPr>
                      <w:rFonts w:hint="eastAsia" w:ascii="Times New Roman" w:hAnsi="Times New Roman" w:cs="宋体"/>
                      <w:color w:val="auto"/>
                      <w:sz w:val="21"/>
                      <w:szCs w:val="21"/>
                      <w:lang w:val="en-US" w:eastAsia="zh-CN"/>
                    </w:rPr>
                    <w:t>119</w:t>
                  </w:r>
                </w:p>
              </w:tc>
              <w:tc>
                <w:tcPr>
                  <w:tcW w:w="399" w:type="pct"/>
                  <w:noWrap w:val="0"/>
                  <w:vAlign w:val="center"/>
                </w:tcPr>
                <w:p w14:paraId="025D9FD9">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w:t>
                  </w:r>
                </w:p>
              </w:tc>
              <w:tc>
                <w:tcPr>
                  <w:tcW w:w="899" w:type="pct"/>
                  <w:vMerge w:val="continue"/>
                  <w:noWrap w:val="0"/>
                  <w:vAlign w:val="center"/>
                </w:tcPr>
                <w:p w14:paraId="5858185D">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r w14:paraId="1498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1" w:type="pct"/>
                  <w:vMerge w:val="continue"/>
                  <w:noWrap w:val="0"/>
                  <w:vAlign w:val="center"/>
                </w:tcPr>
                <w:p w14:paraId="7D863CC4">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c>
                <w:tcPr>
                  <w:tcW w:w="345" w:type="pct"/>
                  <w:vMerge w:val="continue"/>
                  <w:noWrap w:val="0"/>
                  <w:vAlign w:val="center"/>
                </w:tcPr>
                <w:p w14:paraId="3F96BEEE">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ascii="Times New Roman" w:hAnsi="Times New Roman" w:eastAsia="宋体"/>
                      <w:color w:val="auto"/>
                      <w:sz w:val="21"/>
                      <w:szCs w:val="21"/>
                    </w:rPr>
                  </w:pPr>
                </w:p>
              </w:tc>
              <w:tc>
                <w:tcPr>
                  <w:tcW w:w="348" w:type="pct"/>
                  <w:noWrap w:val="0"/>
                  <w:vAlign w:val="center"/>
                </w:tcPr>
                <w:p w14:paraId="679F71E7">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总磷</w:t>
                  </w:r>
                </w:p>
              </w:tc>
              <w:tc>
                <w:tcPr>
                  <w:tcW w:w="382" w:type="pct"/>
                  <w:noWrap w:val="0"/>
                  <w:vAlign w:val="center"/>
                </w:tcPr>
                <w:p w14:paraId="3AC28118">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0.00</w:t>
                  </w:r>
                  <w:r>
                    <w:rPr>
                      <w:rFonts w:hint="eastAsia" w:ascii="Times New Roman" w:hAnsi="Times New Roman" w:cs="宋体"/>
                      <w:color w:val="auto"/>
                      <w:sz w:val="21"/>
                      <w:szCs w:val="21"/>
                      <w:lang w:val="en-US" w:eastAsia="zh-CN"/>
                    </w:rPr>
                    <w:t>2</w:t>
                  </w:r>
                </w:p>
              </w:tc>
              <w:tc>
                <w:tcPr>
                  <w:tcW w:w="416" w:type="pct"/>
                  <w:noWrap w:val="0"/>
                  <w:vAlign w:val="center"/>
                </w:tcPr>
                <w:p w14:paraId="537EDA73">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w:t>
                  </w:r>
                </w:p>
              </w:tc>
              <w:tc>
                <w:tcPr>
                  <w:tcW w:w="408" w:type="pct"/>
                  <w:vMerge w:val="continue"/>
                  <w:noWrap w:val="0"/>
                  <w:vAlign w:val="center"/>
                </w:tcPr>
                <w:p w14:paraId="2EA04776">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594" w:type="pct"/>
                  <w:vMerge w:val="continue"/>
                  <w:noWrap w:val="0"/>
                  <w:vAlign w:val="center"/>
                </w:tcPr>
                <w:p w14:paraId="1BF92121">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282" w:type="pct"/>
                  <w:noWrap w:val="0"/>
                  <w:vAlign w:val="center"/>
                </w:tcPr>
                <w:p w14:paraId="71890D20">
                  <w:pPr>
                    <w:keepNext w:val="0"/>
                    <w:keepLines w:val="0"/>
                    <w:pageBreakBefore w:val="0"/>
                    <w:widowControl w:val="0"/>
                    <w:kinsoku w:val="0"/>
                    <w:wordWrap/>
                    <w:overflowPunct w:val="0"/>
                    <w:topLinePunct w:val="0"/>
                    <w:autoSpaceDE w:val="0"/>
                    <w:autoSpaceDN/>
                    <w:bidi w:val="0"/>
                    <w:adjustRightInd w:val="0"/>
                    <w:snapToGrid w:val="0"/>
                    <w:spacing w:line="240" w:lineRule="exact"/>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0" w:type="pct"/>
                  <w:vMerge w:val="continue"/>
                  <w:noWrap w:val="0"/>
                  <w:vAlign w:val="center"/>
                </w:tcPr>
                <w:p w14:paraId="38691454">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eastAsia" w:ascii="Times New Roman" w:hAnsi="Times New Roman" w:eastAsia="宋体" w:cs="宋体"/>
                      <w:color w:val="auto"/>
                      <w:sz w:val="21"/>
                      <w:szCs w:val="21"/>
                      <w:lang w:val="en-US" w:eastAsia="zh-CN"/>
                    </w:rPr>
                  </w:pPr>
                </w:p>
              </w:tc>
              <w:tc>
                <w:tcPr>
                  <w:tcW w:w="341" w:type="pct"/>
                  <w:noWrap w:val="0"/>
                  <w:vAlign w:val="center"/>
                </w:tcPr>
                <w:p w14:paraId="2C75DD5F">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0.00</w:t>
                  </w:r>
                  <w:r>
                    <w:rPr>
                      <w:rFonts w:hint="eastAsia" w:ascii="Times New Roman" w:hAnsi="Times New Roman" w:cs="宋体"/>
                      <w:color w:val="auto"/>
                      <w:sz w:val="21"/>
                      <w:szCs w:val="21"/>
                      <w:lang w:val="en-US" w:eastAsia="zh-CN"/>
                    </w:rPr>
                    <w:t>2</w:t>
                  </w:r>
                </w:p>
              </w:tc>
              <w:tc>
                <w:tcPr>
                  <w:tcW w:w="399" w:type="pct"/>
                  <w:noWrap w:val="0"/>
                  <w:vAlign w:val="center"/>
                </w:tcPr>
                <w:p w14:paraId="6A780F77">
                  <w:pPr>
                    <w:pStyle w:val="62"/>
                    <w:keepNext w:val="0"/>
                    <w:keepLines w:val="0"/>
                    <w:pageBreakBefore w:val="0"/>
                    <w:widowControl w:val="0"/>
                    <w:kinsoku w:val="0"/>
                    <w:wordWrap/>
                    <w:overflowPunct w:val="0"/>
                    <w:topLinePunct w:val="0"/>
                    <w:autoSpaceDE w:val="0"/>
                    <w:autoSpaceDN/>
                    <w:bidi w:val="0"/>
                    <w:adjustRightInd w:val="0"/>
                    <w:snapToGrid w:val="0"/>
                    <w:spacing w:line="240" w:lineRule="exact"/>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5</w:t>
                  </w:r>
                </w:p>
              </w:tc>
              <w:tc>
                <w:tcPr>
                  <w:tcW w:w="899" w:type="pct"/>
                  <w:vMerge w:val="continue"/>
                  <w:noWrap w:val="0"/>
                  <w:vAlign w:val="center"/>
                </w:tcPr>
                <w:p w14:paraId="6CD13E03">
                  <w:pPr>
                    <w:keepNext w:val="0"/>
                    <w:keepLines w:val="0"/>
                    <w:pageBreakBefore w:val="0"/>
                    <w:widowControl w:val="0"/>
                    <w:wordWrap/>
                    <w:topLinePunct w:val="0"/>
                    <w:autoSpaceDN/>
                    <w:bidi w:val="0"/>
                    <w:adjustRightInd w:val="0"/>
                    <w:snapToGrid w:val="0"/>
                    <w:spacing w:line="240" w:lineRule="exact"/>
                    <w:jc w:val="center"/>
                    <w:textAlignment w:val="auto"/>
                    <w:rPr>
                      <w:rFonts w:ascii="Times New Roman" w:hAnsi="Times New Roman" w:eastAsia="宋体"/>
                      <w:color w:val="auto"/>
                      <w:sz w:val="21"/>
                      <w:szCs w:val="21"/>
                    </w:rPr>
                  </w:pPr>
                </w:p>
              </w:tc>
            </w:tr>
          </w:tbl>
          <w:p w14:paraId="4C3258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44677D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1E9A2D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74735D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p>
          <w:p w14:paraId="16520046">
            <w:pPr>
              <w:rPr>
                <w:rFonts w:hint="eastAsia" w:ascii="Times New Roman" w:hAnsi="Times New Roman" w:eastAsia="宋体"/>
                <w:color w:val="auto"/>
              </w:rPr>
            </w:pPr>
          </w:p>
        </w:tc>
      </w:tr>
    </w:tbl>
    <w:p w14:paraId="2B3CB721">
      <w:pPr>
        <w:rPr>
          <w:rFonts w:ascii="Times New Roman" w:hAnsi="Times New Roman" w:eastAsia="宋体"/>
          <w:color w:val="auto"/>
        </w:rPr>
        <w:sectPr>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4"/>
        <w:tblW w:w="88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406"/>
      </w:tblGrid>
      <w:tr w14:paraId="2FD74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4" w:hRule="atLeast"/>
          <w:jc w:val="center"/>
        </w:trPr>
        <w:tc>
          <w:tcPr>
            <w:tcW w:w="485" w:type="dxa"/>
            <w:noWrap w:val="0"/>
            <w:tcMar>
              <w:left w:w="28" w:type="dxa"/>
              <w:right w:w="28" w:type="dxa"/>
            </w:tcMar>
            <w:vAlign w:val="center"/>
          </w:tcPr>
          <w:p w14:paraId="075D144D">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运营</w:t>
            </w:r>
          </w:p>
          <w:p w14:paraId="0F29D7FD">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期环</w:t>
            </w:r>
          </w:p>
          <w:p w14:paraId="67A75D3E">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境影</w:t>
            </w:r>
          </w:p>
          <w:p w14:paraId="749D587D">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响和</w:t>
            </w:r>
          </w:p>
          <w:p w14:paraId="5A46DD13">
            <w:pPr>
              <w:adjustRightInd w:val="0"/>
              <w:snapToGrid w:val="0"/>
              <w:jc w:val="center"/>
              <w:rPr>
                <w:rFonts w:hint="eastAsia" w:ascii="Times New Roman" w:hAnsi="Times New Roman" w:eastAsia="宋体" w:cs="宋体"/>
                <w:b/>
                <w:bCs/>
                <w:color w:val="auto"/>
                <w:sz w:val="24"/>
              </w:rPr>
            </w:pPr>
            <w:r>
              <w:rPr>
                <w:rFonts w:hint="eastAsia" w:ascii="Times New Roman" w:hAnsi="Times New Roman" w:eastAsia="宋体" w:cs="宋体"/>
                <w:b/>
                <w:bCs/>
                <w:color w:val="auto"/>
                <w:sz w:val="24"/>
              </w:rPr>
              <w:t>保护</w:t>
            </w:r>
          </w:p>
          <w:p w14:paraId="4954CFDF">
            <w:pPr>
              <w:adjustRightInd w:val="0"/>
              <w:snapToGrid w:val="0"/>
              <w:jc w:val="center"/>
              <w:rPr>
                <w:rFonts w:ascii="Times New Roman" w:hAnsi="Times New Roman" w:eastAsia="宋体" w:cs="宋体"/>
                <w:b/>
                <w:bCs/>
                <w:color w:val="auto"/>
                <w:sz w:val="24"/>
              </w:rPr>
            </w:pPr>
            <w:r>
              <w:rPr>
                <w:rFonts w:hint="eastAsia" w:ascii="Times New Roman" w:hAnsi="Times New Roman" w:eastAsia="宋体" w:cs="宋体"/>
                <w:b/>
                <w:bCs/>
                <w:color w:val="auto"/>
                <w:sz w:val="24"/>
              </w:rPr>
              <w:t>措施</w:t>
            </w:r>
          </w:p>
        </w:tc>
        <w:tc>
          <w:tcPr>
            <w:tcW w:w="8406" w:type="dxa"/>
            <w:noWrap w:val="0"/>
            <w:vAlign w:val="top"/>
          </w:tcPr>
          <w:p w14:paraId="71B27004">
            <w:pPr>
              <w:keepNext w:val="0"/>
              <w:keepLines w:val="0"/>
              <w:pageBreakBefore w:val="0"/>
              <w:widowControl w:val="0"/>
              <w:numPr>
                <w:ilvl w:val="0"/>
                <w:numId w:val="0"/>
              </w:numPr>
              <w:kinsoku/>
              <w:wordWrap/>
              <w:overflowPunct/>
              <w:topLinePunct w:val="0"/>
              <w:autoSpaceDE/>
              <w:autoSpaceDN/>
              <w:bidi w:val="0"/>
              <w:adjustRightInd w:val="0"/>
              <w:snapToGrid w:val="0"/>
              <w:spacing w:before="160" w:beforeLines="50" w:line="360" w:lineRule="auto"/>
              <w:ind w:left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主要污染工序及源强分析</w:t>
            </w:r>
          </w:p>
          <w:p w14:paraId="1C3B22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本项目运营期产生的废水主要有冷却废水、生活</w:t>
            </w:r>
            <w:r>
              <w:rPr>
                <w:rFonts w:hint="eastAsia" w:cs="Times New Roman"/>
                <w:b w:val="0"/>
                <w:bCs w:val="0"/>
                <w:color w:val="auto"/>
                <w:sz w:val="24"/>
                <w:szCs w:val="24"/>
                <w:lang w:val="en-US" w:eastAsia="zh-CN"/>
              </w:rPr>
              <w:t>污水</w:t>
            </w:r>
            <w:r>
              <w:rPr>
                <w:rFonts w:hint="eastAsia" w:ascii="Times New Roman" w:hAnsi="Times New Roman" w:eastAsia="宋体" w:cs="Times New Roman"/>
                <w:b w:val="0"/>
                <w:bCs w:val="0"/>
                <w:color w:val="auto"/>
                <w:sz w:val="24"/>
                <w:szCs w:val="24"/>
                <w:lang w:val="en-US" w:eastAsia="zh-CN"/>
              </w:rPr>
              <w:t>，通过合理的方式处置。</w:t>
            </w:r>
          </w:p>
          <w:p w14:paraId="0E16F6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kern w:val="2"/>
                <w:sz w:val="24"/>
                <w:szCs w:val="24"/>
                <w:lang w:val="en-US" w:eastAsia="zh-CN" w:bidi="ar-SA"/>
              </w:rPr>
              <w:t>①</w:t>
            </w:r>
            <w:r>
              <w:rPr>
                <w:rFonts w:hint="eastAsia" w:ascii="Times New Roman" w:hAnsi="Times New Roman" w:eastAsia="宋体" w:cs="Times New Roman"/>
                <w:b/>
                <w:bCs/>
                <w:color w:val="auto"/>
                <w:sz w:val="24"/>
                <w:szCs w:val="24"/>
                <w:lang w:val="en-US" w:eastAsia="zh-CN"/>
              </w:rPr>
              <w:t>生活</w:t>
            </w:r>
            <w:r>
              <w:rPr>
                <w:rFonts w:hint="eastAsia" w:cs="Times New Roman"/>
                <w:b/>
                <w:bCs/>
                <w:color w:val="auto"/>
                <w:sz w:val="24"/>
                <w:szCs w:val="24"/>
                <w:lang w:val="en-US" w:eastAsia="zh-CN"/>
              </w:rPr>
              <w:t>污水</w:t>
            </w:r>
          </w:p>
          <w:p w14:paraId="34DB791F">
            <w:pPr>
              <w:pStyle w:val="61"/>
              <w:ind w:firstLine="480"/>
              <w:rPr>
                <w:rFonts w:ascii="Times New Roman" w:hAnsi="Times New Roman" w:eastAsia="宋体"/>
                <w:color w:val="auto"/>
                <w:sz w:val="24"/>
              </w:rPr>
            </w:pPr>
            <w:r>
              <w:rPr>
                <w:rFonts w:ascii="Times New Roman" w:hAnsi="Times New Roman" w:eastAsia="宋体"/>
                <w:color w:val="auto"/>
                <w:sz w:val="24"/>
              </w:rPr>
              <w:t>厂区内共有员工</w:t>
            </w:r>
            <w:r>
              <w:rPr>
                <w:rFonts w:hint="eastAsia" w:ascii="Times New Roman" w:hAnsi="Times New Roman"/>
                <w:color w:val="auto"/>
                <w:sz w:val="24"/>
                <w:lang w:val="en-US" w:eastAsia="zh-CN"/>
              </w:rPr>
              <w:t>55</w:t>
            </w:r>
            <w:r>
              <w:rPr>
                <w:rFonts w:ascii="Times New Roman" w:hAnsi="Times New Roman" w:eastAsia="宋体"/>
                <w:color w:val="auto"/>
                <w:sz w:val="24"/>
              </w:rPr>
              <w:t>人，</w:t>
            </w:r>
            <w:r>
              <w:rPr>
                <w:rFonts w:hint="eastAsia" w:ascii="Times New Roman" w:hAnsi="Times New Roman" w:eastAsia="宋体"/>
                <w:color w:val="auto"/>
                <w:sz w:val="24"/>
              </w:rPr>
              <w:t>项目区内</w:t>
            </w:r>
            <w:r>
              <w:rPr>
                <w:rFonts w:hint="eastAsia" w:ascii="Times New Roman" w:hAnsi="Times New Roman" w:eastAsia="宋体"/>
                <w:color w:val="auto"/>
                <w:sz w:val="24"/>
                <w:lang w:val="en-US" w:eastAsia="zh-CN"/>
              </w:rPr>
              <w:t>不</w:t>
            </w:r>
            <w:r>
              <w:rPr>
                <w:rFonts w:hint="eastAsia" w:ascii="Times New Roman" w:hAnsi="Times New Roman" w:eastAsia="宋体"/>
                <w:color w:val="auto"/>
                <w:sz w:val="24"/>
              </w:rPr>
              <w:t>提供住宿和</w:t>
            </w:r>
            <w:r>
              <w:rPr>
                <w:rFonts w:hint="eastAsia" w:ascii="Times New Roman" w:hAnsi="Times New Roman" w:eastAsia="宋体"/>
                <w:color w:val="auto"/>
                <w:sz w:val="24"/>
                <w:lang w:val="en-US" w:eastAsia="zh-CN"/>
              </w:rPr>
              <w:t>用</w:t>
            </w:r>
            <w:r>
              <w:rPr>
                <w:rFonts w:hint="eastAsia" w:ascii="Times New Roman" w:hAnsi="Times New Roman" w:eastAsia="宋体"/>
                <w:color w:val="auto"/>
                <w:sz w:val="24"/>
              </w:rPr>
              <w:t>餐，通过工程分析核算，生产员工</w:t>
            </w:r>
            <w:r>
              <w:rPr>
                <w:rFonts w:ascii="Times New Roman" w:hAnsi="Times New Roman" w:eastAsia="宋体"/>
                <w:color w:val="auto"/>
                <w:sz w:val="24"/>
              </w:rPr>
              <w:t>日用水量</w:t>
            </w:r>
            <w:r>
              <w:rPr>
                <w:rFonts w:hint="eastAsia" w:ascii="Times New Roman" w:hAnsi="Times New Roman"/>
                <w:color w:val="auto"/>
                <w:sz w:val="24"/>
                <w:lang w:val="en-US" w:eastAsia="zh-CN"/>
              </w:rPr>
              <w:t>1.65</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/d，年用水量为</w:t>
            </w:r>
            <w:r>
              <w:rPr>
                <w:rFonts w:hint="eastAsia" w:ascii="Times New Roman" w:hAnsi="Times New Roman"/>
                <w:color w:val="auto"/>
                <w:sz w:val="24"/>
                <w:lang w:val="en-US" w:eastAsia="zh-CN"/>
              </w:rPr>
              <w:t>492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/a。生活污水按生活用水量的0.8计，最高日生活污水排放量约</w:t>
            </w:r>
            <w:r>
              <w:rPr>
                <w:rFonts w:hint="eastAsia" w:ascii="Times New Roman" w:hAnsi="Times New Roman"/>
                <w:color w:val="auto"/>
                <w:sz w:val="24"/>
                <w:lang w:val="en-US" w:eastAsia="zh-CN"/>
              </w:rPr>
              <w:t>1.32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/d，全年约</w:t>
            </w:r>
            <w:r>
              <w:rPr>
                <w:rFonts w:hint="eastAsia" w:ascii="Times New Roman" w:hAnsi="Times New Roman"/>
                <w:color w:val="auto"/>
                <w:sz w:val="24"/>
                <w:lang w:val="en-US" w:eastAsia="zh-CN"/>
              </w:rPr>
              <w:t>396</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/a。</w:t>
            </w:r>
            <w:r>
              <w:rPr>
                <w:rFonts w:hint="eastAsia" w:ascii="Times New Roman" w:hAnsi="Times New Roman" w:eastAsia="宋体"/>
                <w:color w:val="auto"/>
                <w:sz w:val="24"/>
                <w:szCs w:val="24"/>
                <w:lang w:val="en-US" w:eastAsia="zh-CN"/>
              </w:rPr>
              <w:t>生活</w:t>
            </w:r>
            <w:r>
              <w:rPr>
                <w:rFonts w:hint="eastAsia" w:ascii="Times New Roman" w:hAnsi="Times New Roman"/>
                <w:color w:val="auto"/>
                <w:sz w:val="24"/>
                <w:szCs w:val="24"/>
                <w:lang w:val="en-US" w:eastAsia="zh-CN"/>
              </w:rPr>
              <w:t>污水</w:t>
            </w:r>
            <w:r>
              <w:rPr>
                <w:rFonts w:hint="eastAsia" w:ascii="Times New Roman" w:hAnsi="Times New Roman" w:eastAsia="宋体"/>
                <w:color w:val="auto"/>
                <w:sz w:val="24"/>
                <w:szCs w:val="24"/>
                <w:lang w:val="en-US" w:eastAsia="zh-CN"/>
              </w:rPr>
              <w:t>中主要污染物浓度为COD</w:t>
            </w:r>
            <w:r>
              <w:rPr>
                <w:rFonts w:hint="eastAsia" w:ascii="Times New Roman" w:hAnsi="Times New Roman" w:eastAsia="宋体"/>
                <w:color w:val="auto"/>
                <w:sz w:val="24"/>
                <w:szCs w:val="24"/>
                <w:vertAlign w:val="subscript"/>
                <w:lang w:val="en-US" w:eastAsia="zh-CN"/>
              </w:rPr>
              <w:t>cr</w:t>
            </w:r>
            <w:r>
              <w:rPr>
                <w:rFonts w:hint="eastAsia" w:ascii="Times New Roman" w:hAnsi="Times New Roman" w:eastAsia="宋体"/>
                <w:color w:val="auto"/>
                <w:sz w:val="24"/>
                <w:szCs w:val="24"/>
                <w:lang w:val="en-US" w:eastAsia="zh-CN"/>
              </w:rPr>
              <w:t>：300mg/L，BOD</w:t>
            </w:r>
            <w:r>
              <w:rPr>
                <w:rFonts w:hint="eastAsia" w:ascii="Times New Roman" w:hAnsi="Times New Roman" w:eastAsia="宋体"/>
                <w:color w:val="auto"/>
                <w:sz w:val="24"/>
                <w:szCs w:val="24"/>
                <w:vertAlign w:val="subscript"/>
                <w:lang w:val="en-US" w:eastAsia="zh-CN"/>
              </w:rPr>
              <w:t>5</w:t>
            </w:r>
            <w:r>
              <w:rPr>
                <w:rFonts w:hint="eastAsia" w:ascii="Times New Roman" w:hAnsi="Times New Roman" w:eastAsia="宋体"/>
                <w:color w:val="auto"/>
                <w:sz w:val="24"/>
                <w:szCs w:val="24"/>
                <w:lang w:val="en-US" w:eastAsia="zh-CN"/>
              </w:rPr>
              <w:t>：200mg/L，NH</w:t>
            </w:r>
            <w:r>
              <w:rPr>
                <w:rFonts w:hint="eastAsia" w:ascii="Times New Roman" w:hAnsi="Times New Roman" w:eastAsia="宋体"/>
                <w:color w:val="auto"/>
                <w:sz w:val="24"/>
                <w:szCs w:val="24"/>
                <w:vertAlign w:val="subscript"/>
                <w:lang w:val="en-US" w:eastAsia="zh-CN"/>
              </w:rPr>
              <w:t>3</w:t>
            </w:r>
            <w:r>
              <w:rPr>
                <w:rFonts w:hint="eastAsia" w:ascii="Times New Roman" w:hAnsi="Times New Roman" w:eastAsia="宋体"/>
                <w:color w:val="auto"/>
                <w:sz w:val="24"/>
                <w:szCs w:val="24"/>
                <w:lang w:val="en-US" w:eastAsia="zh-CN"/>
              </w:rPr>
              <w:t>-N：30mg/L、SS：200mg/L，产生的生活</w:t>
            </w:r>
            <w:r>
              <w:rPr>
                <w:rFonts w:hint="eastAsia" w:ascii="Times New Roman" w:hAnsi="Times New Roman"/>
                <w:color w:val="auto"/>
                <w:sz w:val="24"/>
                <w:szCs w:val="24"/>
                <w:lang w:val="en-US" w:eastAsia="zh-CN"/>
              </w:rPr>
              <w:t>污水</w:t>
            </w:r>
            <w:r>
              <w:rPr>
                <w:rFonts w:hint="eastAsia" w:ascii="Times New Roman" w:hAnsi="Times New Roman" w:eastAsia="宋体"/>
                <w:color w:val="auto"/>
                <w:sz w:val="24"/>
                <w:szCs w:val="24"/>
                <w:lang w:val="en-US" w:eastAsia="zh-CN"/>
              </w:rPr>
              <w:t>依托厂区现有的化粪池（</w:t>
            </w:r>
            <w:r>
              <w:rPr>
                <w:rFonts w:hint="eastAsia" w:ascii="Times New Roman" w:hAnsi="Times New Roman"/>
                <w:color w:val="auto"/>
                <w:sz w:val="24"/>
                <w:szCs w:val="24"/>
                <w:lang w:val="en-US" w:eastAsia="zh-CN"/>
              </w:rPr>
              <w:t>10</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p>
          <w:p w14:paraId="623DA907">
            <w:pPr>
              <w:pStyle w:val="61"/>
              <w:ind w:firstLine="480"/>
              <w:rPr>
                <w:rFonts w:hint="default" w:ascii="Times New Roman" w:hAnsi="Times New Roman" w:eastAsia="宋体"/>
                <w:b/>
                <w:bCs/>
                <w:color w:val="auto"/>
                <w:sz w:val="24"/>
                <w:lang w:val="en-US" w:eastAsia="zh-CN"/>
              </w:rPr>
            </w:pPr>
            <w:r>
              <w:rPr>
                <w:rFonts w:hint="eastAsia" w:ascii="Times New Roman" w:hAnsi="Times New Roman"/>
                <w:b/>
                <w:bCs/>
                <w:color w:val="auto"/>
                <w:sz w:val="24"/>
                <w:lang w:val="en-US" w:eastAsia="zh-CN"/>
              </w:rPr>
              <w:t>②</w:t>
            </w:r>
            <w:r>
              <w:rPr>
                <w:rFonts w:hint="eastAsia" w:ascii="Times New Roman" w:hAnsi="Times New Roman" w:eastAsia="宋体"/>
                <w:b/>
                <w:bCs/>
                <w:color w:val="auto"/>
                <w:sz w:val="24"/>
                <w:lang w:val="en-US" w:eastAsia="zh-CN"/>
              </w:rPr>
              <w:t>冷却废水</w:t>
            </w:r>
          </w:p>
          <w:p w14:paraId="7C0AB6A1">
            <w:pPr>
              <w:pStyle w:val="61"/>
              <w:ind w:firstLine="480"/>
              <w:rPr>
                <w:rFonts w:hint="default" w:ascii="Times New Roman" w:hAnsi="Times New Roman" w:eastAsia="宋体" w:cs="宋体"/>
                <w:color w:val="auto"/>
                <w:sz w:val="24"/>
                <w:lang w:val="en-US"/>
              </w:rPr>
            </w:pPr>
            <w:r>
              <w:rPr>
                <w:rFonts w:hint="eastAsia" w:ascii="Times New Roman" w:hAnsi="Times New Roman" w:eastAsia="宋体" w:cs="宋体"/>
                <w:color w:val="auto"/>
                <w:sz w:val="24"/>
                <w:lang w:eastAsia="zh-CN"/>
              </w:rPr>
              <w:t>本项目的生产废水主要是直接冷却水。直接冷却水主要是对焊管进行冷却，与物料直接接触，为直接冷却水，通过生产线下方排水沟引入</w:t>
            </w:r>
            <w:r>
              <w:rPr>
                <w:rFonts w:hint="eastAsia" w:ascii="Times New Roman" w:hAnsi="Times New Roman" w:eastAsia="宋体" w:cs="宋体"/>
                <w:color w:val="auto"/>
                <w:sz w:val="24"/>
                <w:lang w:val="en-US" w:eastAsia="zh-CN"/>
              </w:rPr>
              <w:t>沉淀水池</w:t>
            </w:r>
            <w:r>
              <w:rPr>
                <w:rFonts w:hint="eastAsia" w:ascii="Times New Roman" w:hAnsi="Times New Roman" w:eastAsia="宋体" w:cs="宋体"/>
                <w:color w:val="auto"/>
                <w:sz w:val="24"/>
                <w:lang w:eastAsia="zh-CN"/>
              </w:rPr>
              <w:t>，焊管直接冷却水经沉淀、冷却后循环利用，不足时定期补充，不外排。</w:t>
            </w:r>
            <w:r>
              <w:rPr>
                <w:rFonts w:hint="eastAsia" w:ascii="Times New Roman" w:hAnsi="Times New Roman" w:eastAsia="宋体" w:cs="宋体"/>
                <w:color w:val="auto"/>
                <w:sz w:val="24"/>
                <w:lang w:val="en-US" w:eastAsia="zh-CN"/>
              </w:rPr>
              <w:t>厂区现状在</w:t>
            </w:r>
            <w:r>
              <w:rPr>
                <w:rFonts w:hint="eastAsia" w:ascii="Times New Roman" w:hAnsi="Times New Roman" w:eastAsia="宋体"/>
                <w:color w:val="auto"/>
                <w:szCs w:val="21"/>
                <w:lang w:val="en-US" w:eastAsia="zh-CN"/>
              </w:rPr>
              <w:t>生产车间</w:t>
            </w:r>
            <w:r>
              <w:rPr>
                <w:rFonts w:hint="eastAsia" w:ascii="Times New Roman" w:hAnsi="Times New Roman"/>
                <w:color w:val="auto"/>
                <w:szCs w:val="21"/>
                <w:lang w:val="en-US" w:eastAsia="zh-CN"/>
              </w:rPr>
              <w:t>西侧</w:t>
            </w:r>
            <w:r>
              <w:rPr>
                <w:rFonts w:hint="eastAsia" w:ascii="Times New Roman" w:hAnsi="Times New Roman" w:eastAsia="宋体"/>
                <w:color w:val="auto"/>
                <w:szCs w:val="21"/>
                <w:lang w:val="en-US" w:eastAsia="zh-CN"/>
              </w:rPr>
              <w:t>设置</w:t>
            </w:r>
            <w:r>
              <w:rPr>
                <w:rFonts w:hint="eastAsia" w:ascii="Times New Roman" w:hAnsi="Times New Roman"/>
                <w:color w:val="auto"/>
                <w:szCs w:val="21"/>
                <w:lang w:val="en-US" w:eastAsia="zh-CN"/>
              </w:rPr>
              <w:t>两</w:t>
            </w:r>
            <w:r>
              <w:rPr>
                <w:rFonts w:hint="eastAsia" w:ascii="Times New Roman" w:hAnsi="Times New Roman" w:eastAsia="宋体"/>
                <w:color w:val="auto"/>
                <w:szCs w:val="21"/>
                <w:lang w:val="en-US" w:eastAsia="zh-CN"/>
              </w:rPr>
              <w:t>个沉淀池，容积</w:t>
            </w:r>
            <w:r>
              <w:rPr>
                <w:rFonts w:hint="eastAsia" w:ascii="Times New Roman" w:hAnsi="Times New Roman"/>
                <w:color w:val="auto"/>
                <w:szCs w:val="21"/>
                <w:lang w:val="en-US" w:eastAsia="zh-CN"/>
              </w:rPr>
              <w:t>各</w:t>
            </w:r>
            <w:r>
              <w:rPr>
                <w:rFonts w:hint="eastAsia" w:ascii="Times New Roman" w:hAnsi="Times New Roman" w:eastAsia="宋体"/>
                <w:color w:val="auto"/>
                <w:szCs w:val="21"/>
                <w:lang w:val="en-US" w:eastAsia="zh-CN"/>
              </w:rPr>
              <w:t>为</w:t>
            </w:r>
            <w:r>
              <w:rPr>
                <w:rFonts w:hint="eastAsia" w:ascii="Times New Roman" w:hAnsi="Times New Roman"/>
                <w:color w:val="auto"/>
                <w:szCs w:val="21"/>
                <w:lang w:val="en-US" w:eastAsia="zh-CN"/>
              </w:rPr>
              <w:t>300</w:t>
            </w:r>
            <w:r>
              <w:rPr>
                <w:rFonts w:hint="eastAsia" w:ascii="Times New Roman" w:hAnsi="Times New Roman" w:eastAsia="宋体"/>
                <w:color w:val="auto"/>
                <w:szCs w:val="21"/>
                <w:lang w:val="en-US" w:eastAsia="zh-CN"/>
              </w:rPr>
              <w:t>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p>
          <w:p w14:paraId="018581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（3）污水</w:t>
            </w:r>
            <w:r>
              <w:rPr>
                <w:rFonts w:hint="eastAsia" w:ascii="Times New Roman" w:hAnsi="Times New Roman" w:eastAsia="宋体" w:cs="Times New Roman"/>
                <w:b/>
                <w:bCs/>
                <w:color w:val="auto"/>
                <w:sz w:val="24"/>
                <w:szCs w:val="24"/>
                <w:lang w:val="en-US" w:eastAsia="zh-CN"/>
              </w:rPr>
              <w:t>排放口基本情况表</w:t>
            </w:r>
          </w:p>
          <w:p w14:paraId="48970725">
            <w:pPr>
              <w:pStyle w:val="61"/>
              <w:ind w:firstLine="480"/>
              <w:rPr>
                <w:rFonts w:ascii="Times New Roman" w:hAnsi="Times New Roman" w:eastAsia="宋体"/>
                <w:color w:val="auto"/>
              </w:rPr>
            </w:pPr>
            <w:r>
              <w:rPr>
                <w:rFonts w:hint="eastAsia" w:ascii="Times New Roman" w:hAnsi="Times New Roman" w:eastAsia="宋体"/>
                <w:color w:val="auto"/>
                <w:sz w:val="24"/>
              </w:rPr>
              <w:t>本项目员工生活污水依托</w:t>
            </w:r>
            <w:r>
              <w:rPr>
                <w:rFonts w:hint="eastAsia" w:ascii="Times New Roman" w:hAnsi="Times New Roman" w:eastAsia="宋体"/>
                <w:color w:val="auto"/>
                <w:sz w:val="24"/>
                <w:szCs w:val="24"/>
                <w:lang w:val="en-US" w:eastAsia="zh-CN"/>
              </w:rPr>
              <w:t>厂区的化粪池（</w:t>
            </w:r>
            <w:r>
              <w:rPr>
                <w:rFonts w:hint="eastAsia" w:ascii="Times New Roman" w:hAnsi="Times New Roman"/>
                <w:color w:val="auto"/>
                <w:sz w:val="24"/>
                <w:szCs w:val="24"/>
                <w:lang w:val="en-US" w:eastAsia="zh-CN"/>
              </w:rPr>
              <w:t>10</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本项目不需要设置</w:t>
            </w:r>
            <w:r>
              <w:rPr>
                <w:rFonts w:hint="eastAsia" w:ascii="Times New Roman" w:hAnsi="Times New Roman"/>
                <w:color w:val="auto"/>
                <w:sz w:val="24"/>
                <w:lang w:eastAsia="zh-CN"/>
              </w:rPr>
              <w:t>污水</w:t>
            </w:r>
            <w:r>
              <w:rPr>
                <w:rFonts w:hint="eastAsia" w:ascii="Times New Roman" w:hAnsi="Times New Roman" w:eastAsia="宋体"/>
                <w:color w:val="auto"/>
                <w:sz w:val="24"/>
              </w:rPr>
              <w:t>排放口</w:t>
            </w:r>
            <w:r>
              <w:rPr>
                <w:rFonts w:hint="eastAsia" w:ascii="Times New Roman" w:hAnsi="Times New Roman" w:eastAsia="宋体"/>
                <w:color w:val="auto"/>
              </w:rPr>
              <w:t>。</w:t>
            </w:r>
          </w:p>
          <w:p w14:paraId="7774AF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监测要求</w:t>
            </w:r>
          </w:p>
          <w:p w14:paraId="0E989F58">
            <w:pPr>
              <w:pStyle w:val="61"/>
              <w:ind w:firstLine="480"/>
              <w:rPr>
                <w:color w:val="auto"/>
              </w:rPr>
            </w:pPr>
            <w:r>
              <w:rPr>
                <w:rFonts w:hint="eastAsia" w:ascii="Times New Roman" w:hAnsi="Times New Roman" w:eastAsia="宋体"/>
                <w:color w:val="auto"/>
                <w:sz w:val="24"/>
              </w:rPr>
              <w:t>本项目员工生活污水依托</w:t>
            </w:r>
            <w:r>
              <w:rPr>
                <w:rFonts w:hint="eastAsia" w:ascii="Times New Roman" w:hAnsi="Times New Roman" w:eastAsia="宋体"/>
                <w:color w:val="auto"/>
                <w:sz w:val="24"/>
                <w:szCs w:val="24"/>
                <w:lang w:val="en-US" w:eastAsia="zh-CN"/>
              </w:rPr>
              <w:t>厂区的化粪池（</w:t>
            </w:r>
            <w:r>
              <w:rPr>
                <w:rFonts w:hint="eastAsia" w:ascii="Times New Roman" w:hAnsi="Times New Roman"/>
                <w:color w:val="auto"/>
                <w:sz w:val="24"/>
                <w:szCs w:val="24"/>
                <w:lang w:val="en-US" w:eastAsia="zh-CN"/>
              </w:rPr>
              <w:t>10</w:t>
            </w:r>
            <w:r>
              <w:rPr>
                <w:rFonts w:hint="eastAsia" w:ascii="Times New Roman" w:hAnsi="Times New Roman" w:eastAsia="宋体"/>
                <w:color w:val="auto"/>
                <w:sz w:val="24"/>
                <w:szCs w:val="24"/>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r>
              <w:rPr>
                <w:rFonts w:hint="eastAsia"/>
                <w:color w:val="auto"/>
              </w:rPr>
              <w:t>，不设置监测要求。</w:t>
            </w:r>
          </w:p>
          <w:p w14:paraId="07284BD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（5）污水处理</w:t>
            </w:r>
            <w:r>
              <w:rPr>
                <w:rFonts w:hint="eastAsia" w:ascii="Times New Roman" w:hAnsi="Times New Roman" w:eastAsia="宋体" w:cs="Times New Roman"/>
                <w:b/>
                <w:bCs/>
                <w:color w:val="auto"/>
                <w:sz w:val="24"/>
                <w:szCs w:val="24"/>
                <w:lang w:val="en-US" w:eastAsia="zh-CN"/>
              </w:rPr>
              <w:t>可行性分析</w:t>
            </w:r>
          </w:p>
          <w:p w14:paraId="232E73A1">
            <w:pPr>
              <w:pStyle w:val="61"/>
              <w:ind w:firstLine="488"/>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1）</w:t>
            </w:r>
            <w:r>
              <w:rPr>
                <w:rFonts w:hint="eastAsia" w:ascii="Times New Roman" w:hAnsi="Times New Roman" w:eastAsia="宋体"/>
                <w:color w:val="auto"/>
                <w:sz w:val="24"/>
                <w:lang w:val="en-US" w:eastAsia="zh-CN"/>
              </w:rPr>
              <w:t>项目生活</w:t>
            </w:r>
            <w:r>
              <w:rPr>
                <w:rFonts w:hint="eastAsia" w:ascii="Times New Roman" w:hAnsi="Times New Roman"/>
                <w:color w:val="auto"/>
                <w:sz w:val="24"/>
                <w:lang w:val="en-US" w:eastAsia="zh-CN"/>
              </w:rPr>
              <w:t>污水</w:t>
            </w:r>
          </w:p>
          <w:p w14:paraId="0C0A9432">
            <w:pPr>
              <w:pStyle w:val="61"/>
              <w:ind w:firstLine="488"/>
              <w:rPr>
                <w:rFonts w:hint="default" w:ascii="Times New Roman" w:hAnsi="Times New Roman" w:eastAsia="宋体"/>
                <w:color w:val="auto"/>
                <w:sz w:val="24"/>
                <w:lang w:val="en-US" w:eastAsia="zh-CN"/>
              </w:rPr>
            </w:pPr>
            <w:r>
              <w:rPr>
                <w:rFonts w:hint="eastAsia" w:ascii="Times New Roman" w:hAnsi="Times New Roman" w:eastAsia="宋体"/>
                <w:color w:val="auto"/>
                <w:sz w:val="24"/>
              </w:rPr>
              <w:t>运营期有工作人员</w:t>
            </w:r>
            <w:r>
              <w:rPr>
                <w:rFonts w:hint="eastAsia" w:ascii="Times New Roman" w:hAnsi="Times New Roman"/>
                <w:color w:val="auto"/>
                <w:sz w:val="24"/>
                <w:lang w:val="en-US" w:eastAsia="zh-CN"/>
              </w:rPr>
              <w:t>55</w:t>
            </w:r>
            <w:r>
              <w:rPr>
                <w:rFonts w:hint="eastAsia" w:ascii="Times New Roman" w:hAnsi="Times New Roman" w:eastAsia="宋体"/>
                <w:color w:val="auto"/>
                <w:sz w:val="24"/>
              </w:rPr>
              <w:t>人，项目区内</w:t>
            </w:r>
            <w:r>
              <w:rPr>
                <w:rFonts w:hint="eastAsia" w:ascii="Times New Roman" w:hAnsi="Times New Roman" w:eastAsia="宋体"/>
                <w:color w:val="auto"/>
                <w:sz w:val="24"/>
                <w:lang w:val="en-US" w:eastAsia="zh-CN"/>
              </w:rPr>
              <w:t>不</w:t>
            </w:r>
            <w:r>
              <w:rPr>
                <w:rFonts w:hint="eastAsia" w:ascii="Times New Roman" w:hAnsi="Times New Roman" w:eastAsia="宋体"/>
                <w:color w:val="auto"/>
                <w:sz w:val="24"/>
              </w:rPr>
              <w:t>提供住宿和</w:t>
            </w:r>
            <w:r>
              <w:rPr>
                <w:rFonts w:hint="eastAsia" w:ascii="Times New Roman" w:hAnsi="Times New Roman" w:eastAsia="宋体"/>
                <w:color w:val="auto"/>
                <w:sz w:val="24"/>
                <w:lang w:val="en-US" w:eastAsia="zh-CN"/>
              </w:rPr>
              <w:t>用</w:t>
            </w:r>
            <w:r>
              <w:rPr>
                <w:rFonts w:hint="eastAsia" w:ascii="Times New Roman" w:hAnsi="Times New Roman" w:eastAsia="宋体"/>
                <w:color w:val="auto"/>
                <w:sz w:val="24"/>
              </w:rPr>
              <w:t>餐，</w:t>
            </w:r>
            <w:r>
              <w:rPr>
                <w:rFonts w:hint="eastAsia" w:ascii="Times New Roman" w:hAnsi="Times New Roman" w:eastAsia="宋体"/>
                <w:bCs/>
                <w:color w:val="auto"/>
                <w:sz w:val="24"/>
              </w:rPr>
              <w:t>生活</w:t>
            </w:r>
            <w:r>
              <w:rPr>
                <w:rFonts w:hint="eastAsia" w:ascii="Times New Roman" w:hAnsi="Times New Roman"/>
                <w:bCs/>
                <w:color w:val="auto"/>
                <w:sz w:val="24"/>
                <w:lang w:eastAsia="zh-CN"/>
              </w:rPr>
              <w:t>污水</w:t>
            </w:r>
            <w:r>
              <w:rPr>
                <w:rFonts w:hint="eastAsia" w:ascii="Times New Roman" w:hAnsi="Times New Roman" w:eastAsia="宋体"/>
                <w:bCs/>
                <w:color w:val="auto"/>
                <w:sz w:val="24"/>
              </w:rPr>
              <w:t>主要是冲厕</w:t>
            </w:r>
            <w:r>
              <w:rPr>
                <w:rFonts w:hint="eastAsia" w:ascii="Times New Roman" w:hAnsi="Times New Roman"/>
                <w:bCs/>
                <w:color w:val="auto"/>
                <w:sz w:val="24"/>
                <w:lang w:eastAsia="zh-CN"/>
              </w:rPr>
              <w:t>污水</w:t>
            </w:r>
            <w:r>
              <w:rPr>
                <w:rFonts w:ascii="Times New Roman" w:hAnsi="Times New Roman" w:eastAsia="宋体"/>
                <w:color w:val="auto"/>
                <w:sz w:val="24"/>
              </w:rPr>
              <w:t>，其污水量为</w:t>
            </w:r>
            <w:r>
              <w:rPr>
                <w:rFonts w:hint="eastAsia" w:ascii="Times New Roman" w:hAnsi="Times New Roman"/>
                <w:color w:val="auto"/>
                <w:sz w:val="24"/>
                <w:lang w:val="en-US" w:eastAsia="zh-CN"/>
              </w:rPr>
              <w:t>1.32</w:t>
            </w:r>
            <w:r>
              <w:rPr>
                <w:rFonts w:ascii="Times New Roman" w:hAnsi="Times New Roman" w:eastAsia="宋体"/>
                <w:color w:val="auto"/>
                <w:sz w:val="24"/>
              </w:rPr>
              <w:t>m</w:t>
            </w:r>
            <w:r>
              <w:rPr>
                <w:rFonts w:ascii="Times New Roman" w:hAnsi="Times New Roman" w:eastAsia="宋体"/>
                <w:color w:val="auto"/>
                <w:sz w:val="24"/>
                <w:vertAlign w:val="superscript"/>
              </w:rPr>
              <w:t>3</w:t>
            </w:r>
            <w:r>
              <w:rPr>
                <w:rFonts w:ascii="Times New Roman" w:hAnsi="Times New Roman" w:eastAsia="宋体"/>
                <w:color w:val="auto"/>
                <w:sz w:val="24"/>
              </w:rPr>
              <w:t>/d，所有生活污水进入化粪池处理后</w:t>
            </w:r>
            <w:r>
              <w:rPr>
                <w:rFonts w:hint="eastAsia" w:ascii="Times New Roman" w:hAnsi="Times New Roman"/>
                <w:color w:val="auto"/>
                <w:sz w:val="24"/>
                <w:lang w:val="en-US" w:eastAsia="zh-CN"/>
              </w:rPr>
              <w:t>定期利用罐车拉运至纳古镇污水处理站处理。</w:t>
            </w:r>
            <w:r>
              <w:rPr>
                <w:rFonts w:ascii="Times New Roman" w:hAnsi="Times New Roman"/>
                <w:color w:val="auto"/>
                <w:sz w:val="24"/>
              </w:rPr>
              <w:t>项目设置</w:t>
            </w:r>
            <w:r>
              <w:rPr>
                <w:rFonts w:hint="eastAsia" w:ascii="Times New Roman" w:hAnsi="Times New Roman"/>
                <w:color w:val="auto"/>
                <w:sz w:val="24"/>
                <w:lang w:val="en-US" w:eastAsia="zh-CN"/>
              </w:rPr>
              <w:t>10</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的地埋式化粪池一座，位于厕所附近，该化粪池可容纳项目</w:t>
            </w:r>
            <w:r>
              <w:rPr>
                <w:rFonts w:hint="eastAsia" w:ascii="Times New Roman" w:hAnsi="Times New Roman"/>
                <w:color w:val="auto"/>
                <w:sz w:val="24"/>
                <w:lang w:val="en-US" w:eastAsia="zh-CN"/>
              </w:rPr>
              <w:t>7</w:t>
            </w:r>
            <w:r>
              <w:rPr>
                <w:rFonts w:ascii="Times New Roman" w:hAnsi="Times New Roman"/>
                <w:color w:val="auto"/>
                <w:sz w:val="24"/>
              </w:rPr>
              <w:t>天左右的生活</w:t>
            </w:r>
            <w:r>
              <w:rPr>
                <w:rFonts w:hint="eastAsia" w:ascii="Times New Roman" w:hAnsi="Times New Roman"/>
                <w:color w:val="auto"/>
                <w:sz w:val="24"/>
                <w:lang w:eastAsia="zh-CN"/>
              </w:rPr>
              <w:t>污水，</w:t>
            </w:r>
            <w:r>
              <w:rPr>
                <w:rFonts w:hint="eastAsia" w:ascii="Times New Roman" w:hAnsi="Times New Roman"/>
                <w:color w:val="auto"/>
                <w:sz w:val="24"/>
                <w:lang w:val="en-US" w:eastAsia="zh-CN"/>
              </w:rPr>
              <w:t>项目单位委托清运部门每7天利用小型罐车拉运至纳古镇污水处理站处理，并按规定建立健全台账管理制度。</w:t>
            </w:r>
          </w:p>
          <w:p w14:paraId="26646920">
            <w:pPr>
              <w:pStyle w:val="61"/>
              <w:ind w:firstLine="488"/>
              <w:rPr>
                <w:rFonts w:hint="eastAsia" w:ascii="Times New Roman" w:hAnsi="Times New Roman"/>
                <w:color w:val="auto"/>
                <w:sz w:val="24"/>
                <w:vertAlign w:val="baseline"/>
                <w:lang w:val="en-US" w:eastAsia="zh-CN"/>
              </w:rPr>
            </w:pPr>
            <w:r>
              <w:rPr>
                <w:rFonts w:hint="eastAsia" w:ascii="Times New Roman" w:hAnsi="Times New Roman"/>
                <w:color w:val="auto"/>
                <w:sz w:val="24"/>
                <w:lang w:val="en-US" w:eastAsia="zh-CN"/>
              </w:rPr>
              <w:t>纳古镇污水处理站位于纳古镇集镇东南侧，杞麓湖畔，距离项目区3.85km，主要处理纳古镇集镇生活污水，处理规模为1000m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vertAlign w:val="baseline"/>
                <w:lang w:val="en-US" w:eastAsia="zh-CN"/>
              </w:rPr>
              <w:t>/d，处理工艺为“格栅+调节池+A</w:t>
            </w:r>
            <w:r>
              <w:rPr>
                <w:rFonts w:hint="eastAsia" w:ascii="Times New Roman" w:hAnsi="Times New Roman"/>
                <w:color w:val="auto"/>
                <w:sz w:val="24"/>
                <w:vertAlign w:val="superscript"/>
                <w:lang w:val="en-US" w:eastAsia="zh-CN"/>
              </w:rPr>
              <w:t>2</w:t>
            </w:r>
            <w:r>
              <w:rPr>
                <w:rFonts w:hint="eastAsia" w:ascii="Times New Roman" w:hAnsi="Times New Roman"/>
                <w:color w:val="auto"/>
                <w:sz w:val="24"/>
                <w:vertAlign w:val="baseline"/>
                <w:lang w:val="en-US" w:eastAsia="zh-CN"/>
              </w:rPr>
              <w:t>/O复合生物反应器+混凝沉淀+斜管沉淀+紫外线消毒”，出水经农灌沟进入杞麓湖</w:t>
            </w:r>
            <w:r>
              <w:rPr>
                <w:rFonts w:hint="eastAsia" w:ascii="Times New Roman" w:hAnsi="Times New Roman" w:eastAsia="宋体" w:cs="宋体"/>
                <w:color w:val="auto"/>
                <w:sz w:val="24"/>
                <w:lang w:val="en-US" w:eastAsia="zh-CN"/>
              </w:rPr>
              <w:t>环湖截污沟后经提升泵站用于周边农田浇灌。设计出水水质《城镇污水处理厂污染物排放标准》(GB18918-2002)一</w:t>
            </w:r>
            <w:r>
              <w:rPr>
                <w:rFonts w:hint="eastAsia" w:ascii="Times New Roman" w:hAnsi="Times New Roman"/>
                <w:color w:val="auto"/>
                <w:sz w:val="24"/>
                <w:vertAlign w:val="baseline"/>
                <w:lang w:val="en-US" w:eastAsia="zh-CN"/>
              </w:rPr>
              <w:t>级A标准。该污水处理站于2024年5月开始施工，2024年9月完成该项目的全部工程内容。2024年9月中旬试运行稳定后正式投入使用。</w:t>
            </w:r>
          </w:p>
          <w:p w14:paraId="0B41F351">
            <w:pPr>
              <w:pStyle w:val="61"/>
              <w:ind w:firstLine="480"/>
              <w:rPr>
                <w:rFonts w:hint="eastAsia"/>
                <w:color w:val="auto"/>
                <w:lang w:eastAsia="zh-CN"/>
              </w:rPr>
            </w:pPr>
            <w:r>
              <w:rPr>
                <w:rFonts w:hint="eastAsia"/>
                <w:b/>
                <w:bCs/>
                <w:color w:val="auto"/>
                <w:lang w:val="en-US" w:eastAsia="zh-CN"/>
              </w:rPr>
              <w:t>①</w:t>
            </w:r>
            <w:r>
              <w:rPr>
                <w:rFonts w:hint="eastAsia"/>
                <w:b/>
                <w:bCs/>
                <w:color w:val="auto"/>
                <w:lang w:eastAsia="zh-CN"/>
              </w:rPr>
              <w:t>余量：</w:t>
            </w:r>
            <w:r>
              <w:rPr>
                <w:rFonts w:hint="eastAsia"/>
                <w:color w:val="auto"/>
                <w:lang w:eastAsia="zh-CN"/>
              </w:rPr>
              <w:t>项目建成后厂区</w:t>
            </w:r>
            <w:r>
              <w:rPr>
                <w:rFonts w:hint="eastAsia"/>
                <w:color w:val="auto"/>
                <w:lang w:val="en-US" w:eastAsia="zh-CN"/>
              </w:rPr>
              <w:t>生活</w:t>
            </w:r>
            <w:r>
              <w:rPr>
                <w:rFonts w:hint="eastAsia"/>
                <w:color w:val="auto"/>
                <w:lang w:eastAsia="zh-CN"/>
              </w:rPr>
              <w:t>污水量共计</w:t>
            </w:r>
            <w:r>
              <w:rPr>
                <w:rFonts w:hint="eastAsia" w:ascii="Times New Roman" w:hAnsi="Times New Roman" w:eastAsia="宋体" w:cs="宋体"/>
                <w:color w:val="auto"/>
                <w:sz w:val="24"/>
                <w:lang w:val="en-US" w:eastAsia="zh-CN"/>
              </w:rPr>
              <w:t>1.32t/d</w:t>
            </w:r>
            <w:r>
              <w:rPr>
                <w:rFonts w:hint="eastAsia"/>
                <w:color w:val="auto"/>
                <w:lang w:val="en-US" w:eastAsia="zh-CN"/>
              </w:rPr>
              <w:t>。根据调查资料</w:t>
            </w:r>
            <w:r>
              <w:rPr>
                <w:rFonts w:hint="eastAsia"/>
                <w:color w:val="auto"/>
                <w:lang w:eastAsia="zh-CN"/>
              </w:rPr>
              <w:t>，现状</w:t>
            </w:r>
            <w:r>
              <w:rPr>
                <w:rFonts w:hint="eastAsia"/>
                <w:color w:val="auto"/>
                <w:lang w:val="en-US" w:eastAsia="zh-CN"/>
              </w:rPr>
              <w:t>纳古镇污水处理站</w:t>
            </w:r>
            <w:r>
              <w:rPr>
                <w:rFonts w:hint="eastAsia"/>
                <w:color w:val="auto"/>
                <w:lang w:eastAsia="zh-CN"/>
              </w:rPr>
              <w:t>处理</w:t>
            </w:r>
            <w:r>
              <w:rPr>
                <w:rFonts w:hint="eastAsia"/>
                <w:color w:val="auto"/>
                <w:lang w:val="en-US" w:eastAsia="zh-CN"/>
              </w:rPr>
              <w:t>负荷为</w:t>
            </w:r>
            <w:r>
              <w:rPr>
                <w:rFonts w:hint="default" w:ascii="Times New Roman" w:hAnsi="Times New Roman" w:cs="Times New Roman"/>
                <w:color w:val="auto"/>
                <w:lang w:val="en-US" w:eastAsia="zh-CN"/>
              </w:rPr>
              <w:t>75%</w:t>
            </w:r>
            <w:r>
              <w:rPr>
                <w:rFonts w:hint="eastAsia"/>
                <w:color w:val="auto"/>
                <w:lang w:eastAsia="zh-CN"/>
              </w:rPr>
              <w:t>，余量规模可完全接纳本项目污水排放量，</w:t>
            </w:r>
            <w:r>
              <w:rPr>
                <w:rFonts w:hint="eastAsia"/>
                <w:color w:val="auto"/>
                <w:lang w:val="en-US" w:eastAsia="zh-CN"/>
              </w:rPr>
              <w:t>纳古镇污水处理站</w:t>
            </w:r>
            <w:r>
              <w:rPr>
                <w:rFonts w:hint="eastAsia"/>
                <w:color w:val="auto"/>
                <w:lang w:eastAsia="zh-CN"/>
              </w:rPr>
              <w:t>余量规模可完全接纳本项目</w:t>
            </w:r>
            <w:r>
              <w:rPr>
                <w:rFonts w:hint="eastAsia"/>
                <w:color w:val="auto"/>
                <w:lang w:val="en-US" w:eastAsia="zh-CN"/>
              </w:rPr>
              <w:t>生活污水</w:t>
            </w:r>
            <w:r>
              <w:rPr>
                <w:rFonts w:hint="eastAsia"/>
                <w:color w:val="auto"/>
                <w:lang w:eastAsia="zh-CN"/>
              </w:rPr>
              <w:t>。</w:t>
            </w:r>
          </w:p>
          <w:p w14:paraId="52396D6F">
            <w:pPr>
              <w:pStyle w:val="61"/>
              <w:keepNext w:val="0"/>
              <w:keepLines w:val="0"/>
              <w:pageBreakBefore w:val="0"/>
              <w:widowControl w:val="0"/>
              <w:kinsoku w:val="0"/>
              <w:wordWrap w:val="0"/>
              <w:overflowPunct/>
              <w:topLinePunct w:val="0"/>
              <w:autoSpaceDE w:val="0"/>
              <w:autoSpaceDN w:val="0"/>
              <w:bidi w:val="0"/>
              <w:adjustRightInd w:val="0"/>
              <w:snapToGrid w:val="0"/>
              <w:ind w:firstLine="480"/>
              <w:textAlignment w:val="auto"/>
              <w:rPr>
                <w:rFonts w:hint="eastAsia" w:eastAsia="宋体"/>
                <w:b w:val="0"/>
                <w:bCs w:val="0"/>
                <w:color w:val="auto"/>
                <w:lang w:eastAsia="zh-CN"/>
              </w:rPr>
            </w:pPr>
            <w:r>
              <w:rPr>
                <w:rFonts w:hint="eastAsia"/>
                <w:b/>
                <w:bCs/>
                <w:color w:val="auto"/>
                <w:lang w:val="en-US" w:eastAsia="zh-CN"/>
              </w:rPr>
              <w:t>②</w:t>
            </w:r>
            <w:r>
              <w:rPr>
                <w:rFonts w:hint="eastAsia"/>
                <w:b/>
                <w:bCs/>
                <w:color w:val="auto"/>
                <w:lang w:eastAsia="zh-CN"/>
              </w:rPr>
              <w:t>水质：</w:t>
            </w:r>
            <w:r>
              <w:rPr>
                <w:rFonts w:hint="eastAsia"/>
                <w:b w:val="0"/>
                <w:bCs w:val="0"/>
                <w:color w:val="auto"/>
                <w:lang w:eastAsia="zh-CN"/>
              </w:rPr>
              <w:t>项目</w:t>
            </w:r>
            <w:r>
              <w:rPr>
                <w:rFonts w:hint="eastAsia"/>
                <w:b w:val="0"/>
                <w:bCs w:val="0"/>
                <w:color w:val="auto"/>
                <w:lang w:val="en-US" w:eastAsia="zh-CN"/>
              </w:rPr>
              <w:t>员工不在厂区食宿，生活污水为冲厕废水和脸部手部简单清洁污水，</w:t>
            </w:r>
            <w:r>
              <w:rPr>
                <w:rFonts w:hint="eastAsia"/>
                <w:b w:val="0"/>
                <w:bCs w:val="0"/>
                <w:color w:val="auto"/>
                <w:lang w:eastAsia="zh-CN"/>
              </w:rPr>
              <w:t>经</w:t>
            </w:r>
            <w:r>
              <w:rPr>
                <w:rFonts w:hint="eastAsia"/>
                <w:b w:val="0"/>
                <w:bCs w:val="0"/>
                <w:color w:val="auto"/>
                <w:lang w:val="en-US" w:eastAsia="zh-CN"/>
              </w:rPr>
              <w:t>化粪池</w:t>
            </w:r>
            <w:r>
              <w:rPr>
                <w:rFonts w:hint="eastAsia"/>
                <w:b w:val="0"/>
                <w:bCs w:val="0"/>
                <w:color w:val="auto"/>
                <w:lang w:eastAsia="zh-CN"/>
              </w:rPr>
              <w:t>处理后，其出水水质可达到</w:t>
            </w:r>
            <w:r>
              <w:rPr>
                <w:rFonts w:hint="eastAsia" w:ascii="Times New Roman" w:hAnsi="Times New Roman"/>
                <w:color w:val="auto"/>
                <w:sz w:val="24"/>
                <w:szCs w:val="24"/>
                <w:lang w:eastAsia="zh-CN"/>
              </w:rPr>
              <w:t>《污水综合排放标准》（GB8978-1996）表4三级标准</w:t>
            </w:r>
            <w:r>
              <w:rPr>
                <w:rFonts w:hint="eastAsia" w:ascii="Times New Roman" w:hAnsi="Times New Roman"/>
                <w:b w:val="0"/>
                <w:bCs w:val="0"/>
                <w:color w:val="auto"/>
                <w:sz w:val="24"/>
                <w:szCs w:val="24"/>
                <w:lang w:eastAsia="zh-CN"/>
              </w:rPr>
              <w:t>，则项目排放水质符合</w:t>
            </w:r>
            <w:r>
              <w:rPr>
                <w:rFonts w:hint="eastAsia"/>
                <w:color w:val="auto"/>
                <w:lang w:val="en-US" w:eastAsia="zh-CN"/>
              </w:rPr>
              <w:t>纳古镇污水处理站</w:t>
            </w:r>
            <w:r>
              <w:rPr>
                <w:rFonts w:hint="eastAsia" w:ascii="Times New Roman" w:hAnsi="Times New Roman"/>
                <w:b w:val="0"/>
                <w:bCs w:val="0"/>
                <w:color w:val="auto"/>
                <w:sz w:val="24"/>
                <w:szCs w:val="24"/>
                <w:lang w:eastAsia="zh-CN"/>
              </w:rPr>
              <w:t>的</w:t>
            </w:r>
            <w:r>
              <w:rPr>
                <w:rFonts w:hint="eastAsia" w:ascii="Times New Roman" w:hAnsi="Times New Roman"/>
                <w:b w:val="0"/>
                <w:bCs w:val="0"/>
                <w:color w:val="auto"/>
                <w:sz w:val="24"/>
                <w:szCs w:val="24"/>
                <w:lang w:val="en-US" w:eastAsia="zh-CN"/>
              </w:rPr>
              <w:t>入水</w:t>
            </w:r>
            <w:r>
              <w:rPr>
                <w:rFonts w:hint="eastAsia" w:ascii="Times New Roman" w:hAnsi="Times New Roman"/>
                <w:b w:val="0"/>
                <w:bCs w:val="0"/>
                <w:color w:val="auto"/>
                <w:sz w:val="24"/>
                <w:szCs w:val="24"/>
                <w:lang w:eastAsia="zh-CN"/>
              </w:rPr>
              <w:t>标准。</w:t>
            </w:r>
            <w:r>
              <w:rPr>
                <w:rFonts w:hint="eastAsia"/>
                <w:color w:val="auto"/>
                <w:lang w:val="en-US" w:eastAsia="zh-CN"/>
              </w:rPr>
              <w:t>纳古镇污水处理站</w:t>
            </w:r>
            <w:r>
              <w:rPr>
                <w:rFonts w:hint="eastAsia" w:ascii="Times New Roman" w:hAnsi="Times New Roman"/>
                <w:b w:val="0"/>
                <w:bCs w:val="0"/>
                <w:color w:val="auto"/>
                <w:sz w:val="24"/>
                <w:szCs w:val="24"/>
                <w:lang w:eastAsia="zh-CN"/>
              </w:rPr>
              <w:t>自建成后均正常、稳定运行，出水水质满足《城镇污水处理厂污染物排放标准》（GB18918-2002）一级A标准。因此，</w:t>
            </w:r>
            <w:r>
              <w:rPr>
                <w:rFonts w:hint="eastAsia"/>
                <w:color w:val="auto"/>
                <w:lang w:val="en-US" w:eastAsia="zh-CN"/>
              </w:rPr>
              <w:t>纳古镇污水处理站</w:t>
            </w:r>
            <w:r>
              <w:rPr>
                <w:rFonts w:hint="eastAsia" w:ascii="Times New Roman" w:hAnsi="Times New Roman"/>
                <w:b w:val="0"/>
                <w:bCs w:val="0"/>
                <w:color w:val="auto"/>
                <w:sz w:val="24"/>
                <w:szCs w:val="24"/>
                <w:lang w:eastAsia="zh-CN"/>
              </w:rPr>
              <w:t>运行正常、出厂水质持续达标，具有接纳符合管控标准的污水处理条件。</w:t>
            </w:r>
            <w:r>
              <w:rPr>
                <w:rFonts w:hint="eastAsia" w:eastAsia="宋体"/>
                <w:b w:val="0"/>
                <w:bCs w:val="0"/>
                <w:color w:val="auto"/>
                <w:lang w:eastAsia="zh-CN"/>
              </w:rPr>
              <w:t>综上，项目</w:t>
            </w:r>
            <w:r>
              <w:rPr>
                <w:rFonts w:hint="eastAsia" w:eastAsia="宋体"/>
                <w:b w:val="0"/>
                <w:bCs w:val="0"/>
                <w:color w:val="auto"/>
                <w:lang w:val="en-US" w:eastAsia="zh-CN"/>
              </w:rPr>
              <w:t>生活</w:t>
            </w:r>
            <w:r>
              <w:rPr>
                <w:rFonts w:hint="eastAsia"/>
                <w:b w:val="0"/>
                <w:bCs w:val="0"/>
                <w:color w:val="auto"/>
                <w:lang w:val="en-US" w:eastAsia="zh-CN"/>
              </w:rPr>
              <w:t>污水</w:t>
            </w:r>
            <w:r>
              <w:rPr>
                <w:rFonts w:hint="eastAsia" w:eastAsia="宋体"/>
                <w:b w:val="0"/>
                <w:bCs w:val="0"/>
                <w:color w:val="auto"/>
                <w:lang w:eastAsia="zh-CN"/>
              </w:rPr>
              <w:t>进入</w:t>
            </w:r>
            <w:r>
              <w:rPr>
                <w:rFonts w:hint="eastAsia"/>
                <w:color w:val="auto"/>
                <w:lang w:val="en-US" w:eastAsia="zh-CN"/>
              </w:rPr>
              <w:t>纳古镇污水处理站</w:t>
            </w:r>
            <w:r>
              <w:rPr>
                <w:rFonts w:hint="eastAsia" w:eastAsia="宋体"/>
                <w:b w:val="0"/>
                <w:bCs w:val="0"/>
                <w:color w:val="auto"/>
                <w:lang w:eastAsia="zh-CN"/>
              </w:rPr>
              <w:t>具有可行性。</w:t>
            </w:r>
          </w:p>
          <w:p w14:paraId="56B64B2F">
            <w:pPr>
              <w:pStyle w:val="61"/>
              <w:ind w:firstLine="488"/>
              <w:rPr>
                <w:rFonts w:hint="default" w:ascii="Times New Roman" w:hAnsi="Times New Roman" w:eastAsia="宋体"/>
                <w:color w:val="auto"/>
                <w:sz w:val="24"/>
                <w:vertAlign w:val="baseline"/>
                <w:lang w:val="en-US"/>
              </w:rPr>
            </w:pPr>
            <w:r>
              <w:rPr>
                <w:rFonts w:hint="eastAsia" w:ascii="Times New Roman" w:hAnsi="Times New Roman"/>
                <w:color w:val="auto"/>
                <w:sz w:val="24"/>
                <w:vertAlign w:val="baseline"/>
                <w:lang w:val="en-US" w:eastAsia="zh-CN"/>
              </w:rPr>
              <w:t>由于项目区周边并没有相应的市政污水管网覆盖，故需要定期利用罐车拉运至纳古镇污水处理站处理，项目污水通过罐车拉运至纳古镇污水处理站处理已经获得通海县纳古镇人民政府同意（详见附件9）。</w:t>
            </w:r>
          </w:p>
          <w:p w14:paraId="307CBE50">
            <w:pPr>
              <w:pStyle w:val="61"/>
              <w:ind w:firstLine="480"/>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w:t>
            </w:r>
            <w:r>
              <w:rPr>
                <w:rFonts w:hint="eastAsia" w:ascii="Times New Roman" w:hAnsi="Times New Roman" w:eastAsia="宋体"/>
                <w:color w:val="auto"/>
                <w:sz w:val="24"/>
                <w:lang w:val="en-US" w:eastAsia="zh-CN"/>
              </w:rPr>
              <w:t>高频焊接冷却水</w:t>
            </w:r>
          </w:p>
          <w:p w14:paraId="7B59EBE4">
            <w:pPr>
              <w:pStyle w:val="61"/>
              <w:ind w:firstLine="488"/>
              <w:rPr>
                <w:rFonts w:hint="eastAsia" w:ascii="Times New Roman" w:hAnsi="Times New Roman" w:eastAsia="宋体" w:cs="Times New Roman"/>
                <w:color w:val="auto"/>
                <w:sz w:val="24"/>
                <w:lang w:val="en-US" w:eastAsia="zh-CN"/>
              </w:rPr>
            </w:pPr>
            <w:r>
              <w:rPr>
                <w:rFonts w:hint="eastAsia" w:ascii="Times New Roman" w:hAnsi="Times New Roman" w:eastAsia="宋体"/>
                <w:color w:val="auto"/>
                <w:sz w:val="24"/>
              </w:rPr>
              <w:t>本项目焊管生产线使用高频焊接，焊接时候需要进行水冷却，</w:t>
            </w:r>
            <w:r>
              <w:rPr>
                <w:rFonts w:hint="eastAsia" w:ascii="Times New Roman" w:hAnsi="Times New Roman" w:eastAsia="宋体" w:cs="Times New Roman"/>
                <w:color w:val="auto"/>
                <w:sz w:val="24"/>
                <w:lang w:val="en-US"/>
              </w:rPr>
              <w:t>直接冷却水主要是对焊管进行冷却，与物料直接接触，为直接冷却水，通过生产线下方排水管道引入循环水池，焊管直接冷却水经沉淀、冷却后循环利用，定期补充，不外排。</w:t>
            </w:r>
            <w:r>
              <w:rPr>
                <w:rFonts w:hint="eastAsia" w:ascii="Times New Roman" w:hAnsi="Times New Roman" w:eastAsia="宋体" w:cs="Times New Roman"/>
                <w:color w:val="auto"/>
                <w:sz w:val="24"/>
                <w:lang w:val="en-US" w:eastAsia="zh-CN"/>
              </w:rPr>
              <w:t>现状生产车间</w:t>
            </w:r>
            <w:r>
              <w:rPr>
                <w:rFonts w:hint="eastAsia" w:ascii="Times New Roman" w:hAnsi="Times New Roman" w:cs="Times New Roman"/>
                <w:color w:val="auto"/>
                <w:sz w:val="24"/>
                <w:lang w:val="en-US" w:eastAsia="zh-CN"/>
              </w:rPr>
              <w:t>西侧</w:t>
            </w:r>
            <w:r>
              <w:rPr>
                <w:rFonts w:hint="eastAsia" w:ascii="Times New Roman" w:hAnsi="Times New Roman" w:eastAsia="宋体" w:cs="Times New Roman"/>
                <w:color w:val="auto"/>
                <w:sz w:val="24"/>
                <w:lang w:val="en-US" w:eastAsia="zh-CN"/>
              </w:rPr>
              <w:t>设置</w:t>
            </w:r>
            <w:r>
              <w:rPr>
                <w:rFonts w:hint="eastAsia" w:ascii="Times New Roman" w:hAnsi="Times New Roman"/>
                <w:color w:val="auto"/>
                <w:szCs w:val="21"/>
                <w:lang w:val="en-US" w:eastAsia="zh-CN"/>
              </w:rPr>
              <w:t>两</w:t>
            </w:r>
            <w:r>
              <w:rPr>
                <w:rFonts w:hint="eastAsia" w:ascii="Times New Roman" w:hAnsi="Times New Roman" w:eastAsia="宋体"/>
                <w:color w:val="auto"/>
                <w:szCs w:val="21"/>
                <w:lang w:val="en-US" w:eastAsia="zh-CN"/>
              </w:rPr>
              <w:t>个沉淀池，容积</w:t>
            </w:r>
            <w:r>
              <w:rPr>
                <w:rFonts w:hint="eastAsia" w:ascii="Times New Roman" w:hAnsi="Times New Roman"/>
                <w:color w:val="auto"/>
                <w:szCs w:val="21"/>
                <w:lang w:val="en-US" w:eastAsia="zh-CN"/>
              </w:rPr>
              <w:t>各</w:t>
            </w:r>
            <w:r>
              <w:rPr>
                <w:rFonts w:hint="eastAsia" w:ascii="Times New Roman" w:hAnsi="Times New Roman" w:eastAsia="宋体"/>
                <w:color w:val="auto"/>
                <w:szCs w:val="21"/>
                <w:lang w:val="en-US" w:eastAsia="zh-CN"/>
              </w:rPr>
              <w:t>为</w:t>
            </w:r>
            <w:r>
              <w:rPr>
                <w:rFonts w:hint="eastAsia" w:ascii="Times New Roman" w:hAnsi="Times New Roman"/>
                <w:color w:val="auto"/>
                <w:szCs w:val="21"/>
                <w:lang w:val="en-US" w:eastAsia="zh-CN"/>
              </w:rPr>
              <w:t>300</w:t>
            </w:r>
            <w:r>
              <w:rPr>
                <w:rFonts w:hint="eastAsia" w:ascii="Times New Roman" w:hAnsi="Times New Roman" w:eastAsia="宋体"/>
                <w:color w:val="auto"/>
                <w:szCs w:val="21"/>
                <w:lang w:val="en-US" w:eastAsia="zh-CN"/>
              </w:rPr>
              <w:t>m</w:t>
            </w:r>
            <w:r>
              <w:rPr>
                <w:rFonts w:hint="eastAsia" w:ascii="Times New Roman" w:hAnsi="Times New Roman" w:eastAsia="宋体"/>
                <w:color w:val="auto"/>
                <w:szCs w:val="21"/>
                <w:vertAlign w:val="superscript"/>
                <w:lang w:val="en-US" w:eastAsia="zh-CN"/>
              </w:rPr>
              <w:t>3</w:t>
            </w:r>
            <w:r>
              <w:rPr>
                <w:rFonts w:hint="eastAsia" w:ascii="Times New Roman" w:hAnsi="Times New Roman" w:eastAsia="宋体" w:cs="Times New Roman"/>
                <w:color w:val="auto"/>
                <w:sz w:val="24"/>
                <w:lang w:val="en-US" w:eastAsia="zh-CN"/>
              </w:rPr>
              <w:t>。</w:t>
            </w:r>
            <w:r>
              <w:rPr>
                <w:rFonts w:ascii="Times New Roman" w:hAnsi="Times New Roman" w:eastAsia="宋体"/>
                <w:color w:val="auto"/>
                <w:sz w:val="24"/>
                <w:szCs w:val="24"/>
              </w:rPr>
              <w:t>为了保证</w:t>
            </w:r>
            <w:r>
              <w:rPr>
                <w:rFonts w:hint="eastAsia" w:ascii="Times New Roman" w:hAnsi="Times New Roman" w:eastAsia="宋体"/>
                <w:color w:val="auto"/>
                <w:sz w:val="24"/>
                <w:szCs w:val="24"/>
                <w:lang w:val="en-US" w:eastAsia="zh-CN"/>
              </w:rPr>
              <w:t>冷却水能稳定循环使用</w:t>
            </w:r>
            <w:r>
              <w:rPr>
                <w:rFonts w:ascii="Times New Roman" w:hAnsi="Times New Roman" w:eastAsia="宋体"/>
                <w:color w:val="auto"/>
                <w:sz w:val="24"/>
                <w:szCs w:val="24"/>
              </w:rPr>
              <w:t>，</w:t>
            </w:r>
            <w:r>
              <w:rPr>
                <w:rFonts w:hint="eastAsia" w:ascii="Times New Roman" w:hAnsi="Times New Roman"/>
                <w:color w:val="auto"/>
                <w:sz w:val="24"/>
                <w:szCs w:val="24"/>
                <w:lang w:val="en-US" w:eastAsia="zh-CN"/>
              </w:rPr>
              <w:t>若发生循环水池泄露事故，而</w:t>
            </w:r>
            <w:r>
              <w:rPr>
                <w:rFonts w:ascii="Times New Roman" w:hAnsi="Times New Roman" w:eastAsia="宋体"/>
                <w:color w:val="auto"/>
                <w:sz w:val="24"/>
                <w:szCs w:val="24"/>
              </w:rPr>
              <w:t>不产生污染事故，环评要求建设</w:t>
            </w:r>
            <w:r>
              <w:rPr>
                <w:rFonts w:hint="eastAsia" w:ascii="Times New Roman" w:hAnsi="Times New Roman" w:eastAsia="宋体"/>
                <w:color w:val="auto"/>
                <w:sz w:val="24"/>
                <w:szCs w:val="24"/>
                <w:lang w:val="en-US" w:eastAsia="zh-CN"/>
              </w:rPr>
              <w:t>事故池1个（位于生产</w:t>
            </w:r>
            <w:r>
              <w:rPr>
                <w:rFonts w:hint="eastAsia" w:ascii="Times New Roman" w:hAnsi="Times New Roman" w:eastAsia="宋体"/>
                <w:color w:val="auto"/>
                <w:sz w:val="24"/>
                <w:szCs w:val="24"/>
                <w:vertAlign w:val="baseline"/>
                <w:lang w:val="en-US" w:eastAsia="zh-CN"/>
              </w:rPr>
              <w:t>车间外西侧</w:t>
            </w:r>
            <w:r>
              <w:rPr>
                <w:rFonts w:hint="eastAsia" w:ascii="Times New Roman" w:hAnsi="Times New Roman"/>
                <w:color w:val="auto"/>
                <w:sz w:val="24"/>
                <w:szCs w:val="24"/>
                <w:vertAlign w:val="baseline"/>
                <w:lang w:val="en-US" w:eastAsia="zh-CN"/>
              </w:rPr>
              <w:t>300</w:t>
            </w:r>
            <w:r>
              <w:rPr>
                <w:rFonts w:hint="eastAsia" w:ascii="Times New Roman" w:hAnsi="Times New Roman" w:eastAsia="宋体"/>
                <w:color w:val="auto"/>
                <w:sz w:val="24"/>
                <w:szCs w:val="24"/>
                <w:vertAlign w:val="baseline"/>
                <w:lang w:val="en-US" w:eastAsia="zh-CN"/>
              </w:rPr>
              <w:t>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w:t>
            </w:r>
            <w:r>
              <w:rPr>
                <w:rFonts w:ascii="Times New Roman" w:hAnsi="Times New Roman" w:eastAsia="宋体"/>
                <w:color w:val="auto"/>
                <w:sz w:val="24"/>
                <w:szCs w:val="24"/>
              </w:rPr>
              <w:t>，用于暂时储存因</w:t>
            </w:r>
            <w:r>
              <w:rPr>
                <w:rFonts w:hint="eastAsia" w:ascii="Times New Roman" w:hAnsi="Times New Roman" w:eastAsia="宋体"/>
                <w:color w:val="auto"/>
                <w:sz w:val="24"/>
                <w:szCs w:val="24"/>
                <w:lang w:val="en-US" w:eastAsia="zh-CN"/>
              </w:rPr>
              <w:t>冷却水泵</w:t>
            </w:r>
            <w:r>
              <w:rPr>
                <w:rFonts w:ascii="Times New Roman" w:hAnsi="Times New Roman" w:eastAsia="宋体"/>
                <w:color w:val="auto"/>
                <w:sz w:val="24"/>
                <w:szCs w:val="24"/>
              </w:rPr>
              <w:t>故障不能</w:t>
            </w:r>
            <w:r>
              <w:rPr>
                <w:rFonts w:hint="eastAsia" w:ascii="Times New Roman" w:hAnsi="Times New Roman" w:eastAsia="宋体"/>
                <w:color w:val="auto"/>
                <w:sz w:val="24"/>
                <w:szCs w:val="24"/>
                <w:lang w:val="en-US" w:eastAsia="zh-CN"/>
              </w:rPr>
              <w:t>及时回用的冷却水</w:t>
            </w:r>
            <w:r>
              <w:rPr>
                <w:rFonts w:ascii="Times New Roman" w:hAnsi="Times New Roman" w:eastAsia="宋体"/>
                <w:color w:val="auto"/>
                <w:sz w:val="24"/>
                <w:szCs w:val="24"/>
              </w:rPr>
              <w:t>，防止其污水乱流</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事故池正常情况保持空置状态</w:t>
            </w:r>
            <w:r>
              <w:rPr>
                <w:rFonts w:ascii="Times New Roman" w:hAnsi="Times New Roman" w:eastAsia="宋体"/>
                <w:color w:val="auto"/>
                <w:sz w:val="24"/>
                <w:szCs w:val="24"/>
              </w:rPr>
              <w:t>。</w:t>
            </w:r>
          </w:p>
          <w:p w14:paraId="2AA337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（6）水环境影响评价结论</w:t>
            </w:r>
          </w:p>
          <w:p w14:paraId="35C371F4">
            <w:pPr>
              <w:pStyle w:val="61"/>
              <w:ind w:firstLine="488"/>
              <w:rPr>
                <w:rFonts w:hint="eastAsia" w:ascii="Times New Roman" w:hAnsi="Times New Roman" w:eastAsia="宋体"/>
                <w:color w:val="auto"/>
                <w:sz w:val="24"/>
                <w:lang w:val="en-US" w:eastAsia="zh-CN"/>
              </w:rPr>
            </w:pPr>
            <w:r>
              <w:rPr>
                <w:rFonts w:hint="eastAsia" w:ascii="Times New Roman" w:hAnsi="Times New Roman" w:eastAsia="宋体" w:cs="宋体"/>
                <w:color w:val="auto"/>
              </w:rPr>
              <w:t>本项目生产废水处理后循环使用，不外排；生活污水经化粪池处理后，</w:t>
            </w:r>
            <w:r>
              <w:rPr>
                <w:rFonts w:hint="eastAsia" w:ascii="Times New Roman" w:hAnsi="Times New Roman" w:eastAsia="宋体" w:cs="宋体"/>
                <w:color w:val="auto"/>
                <w:sz w:val="24"/>
                <w:lang w:val="en-US" w:eastAsia="zh-CN"/>
              </w:rPr>
              <w:t>利用罐车拉运至纳古镇污水处理站处理</w:t>
            </w:r>
            <w:r>
              <w:rPr>
                <w:rFonts w:hint="eastAsia" w:ascii="Times New Roman" w:hAnsi="Times New Roman" w:eastAsia="宋体" w:cs="宋体"/>
                <w:color w:val="auto"/>
              </w:rPr>
              <w:t>。项目运营期对周围水环境无明显影响，不会改变周边的水环境功能。</w:t>
            </w:r>
            <w:r>
              <w:rPr>
                <w:rFonts w:hint="eastAsia" w:ascii="Times New Roman" w:hAnsi="Times New Roman" w:eastAsia="宋体"/>
                <w:color w:val="auto"/>
                <w:sz w:val="24"/>
              </w:rPr>
              <w:t>本项目</w:t>
            </w:r>
            <w:r>
              <w:rPr>
                <w:rFonts w:hint="eastAsia" w:ascii="Times New Roman" w:hAnsi="Times New Roman" w:eastAsia="宋体" w:cs="宋体"/>
                <w:color w:val="auto"/>
                <w:sz w:val="24"/>
                <w:lang w:eastAsia="zh-CN"/>
              </w:rPr>
              <w:t>生产废水主要是直接冷却水，</w:t>
            </w:r>
            <w:r>
              <w:rPr>
                <w:rFonts w:hint="eastAsia" w:ascii="Times New Roman" w:hAnsi="Times New Roman" w:eastAsia="宋体" w:cs="宋体"/>
                <w:color w:val="auto"/>
                <w:sz w:val="24"/>
                <w:lang w:val="en-US" w:eastAsia="zh-CN"/>
              </w:rPr>
              <w:t>经沉淀后循环使用，不外排；</w:t>
            </w:r>
            <w:r>
              <w:rPr>
                <w:rFonts w:hint="eastAsia" w:ascii="Times New Roman" w:hAnsi="Times New Roman" w:eastAsia="宋体"/>
                <w:color w:val="auto"/>
                <w:sz w:val="24"/>
              </w:rPr>
              <w:t>员工生活污水依托</w:t>
            </w:r>
            <w:r>
              <w:rPr>
                <w:rFonts w:hint="eastAsia" w:ascii="Times New Roman" w:hAnsi="Times New Roman" w:eastAsia="宋体"/>
                <w:color w:val="auto"/>
                <w:sz w:val="24"/>
                <w:szCs w:val="24"/>
                <w:lang w:val="en-US" w:eastAsia="zh-CN"/>
              </w:rPr>
              <w:t>厂区的化粪池（10m</w:t>
            </w:r>
            <w:r>
              <w:rPr>
                <w:rFonts w:hint="eastAsia" w:ascii="Times New Roman" w:hAnsi="Times New Roman" w:eastAsia="宋体"/>
                <w:color w:val="auto"/>
                <w:sz w:val="24"/>
                <w:szCs w:val="24"/>
                <w:vertAlign w:val="superscript"/>
                <w:lang w:val="en-US" w:eastAsia="zh-CN"/>
              </w:rPr>
              <w:t>3</w:t>
            </w:r>
            <w:r>
              <w:rPr>
                <w:rFonts w:hint="eastAsia" w:ascii="Times New Roman" w:hAnsi="Times New Roman" w:eastAsia="宋体"/>
                <w:color w:val="auto"/>
                <w:sz w:val="24"/>
                <w:szCs w:val="24"/>
                <w:lang w:val="en-US" w:eastAsia="zh-CN"/>
              </w:rPr>
              <w:t>）处理后，</w:t>
            </w:r>
            <w:r>
              <w:rPr>
                <w:rFonts w:hint="eastAsia" w:ascii="Times New Roman" w:hAnsi="Times New Roman" w:eastAsia="宋体" w:cs="宋体"/>
                <w:color w:val="auto"/>
                <w:sz w:val="24"/>
                <w:lang w:val="en-US" w:eastAsia="zh-CN"/>
              </w:rPr>
              <w:t>利用罐车拉运至纳古镇污水处理站处理</w:t>
            </w:r>
            <w:r>
              <w:rPr>
                <w:rFonts w:hint="eastAsia"/>
                <w:color w:val="auto"/>
              </w:rPr>
              <w:t>，</w:t>
            </w:r>
            <w:r>
              <w:rPr>
                <w:rFonts w:hint="eastAsia"/>
                <w:color w:val="auto"/>
                <w:lang w:val="en-US" w:eastAsia="zh-CN"/>
              </w:rPr>
              <w:t>不</w:t>
            </w:r>
            <w:r>
              <w:rPr>
                <w:rFonts w:hint="eastAsia" w:ascii="Times New Roman" w:hAnsi="Times New Roman" w:eastAsia="宋体"/>
                <w:color w:val="auto"/>
                <w:sz w:val="24"/>
              </w:rPr>
              <w:t>设置废水排放口</w:t>
            </w:r>
            <w:r>
              <w:rPr>
                <w:rFonts w:hint="eastAsia" w:ascii="Times New Roman" w:hAnsi="Times New Roman" w:eastAsia="宋体"/>
                <w:color w:val="auto"/>
                <w:sz w:val="24"/>
                <w:lang w:eastAsia="zh-CN"/>
              </w:rPr>
              <w:t>，</w:t>
            </w:r>
            <w:r>
              <w:rPr>
                <w:rFonts w:hint="eastAsia"/>
                <w:color w:val="auto"/>
              </w:rPr>
              <w:t>不设置监测要求</w:t>
            </w:r>
            <w:r>
              <w:rPr>
                <w:rFonts w:hint="eastAsia"/>
                <w:color w:val="auto"/>
                <w:lang w:eastAsia="zh-CN"/>
              </w:rPr>
              <w:t>。</w:t>
            </w:r>
          </w:p>
          <w:p w14:paraId="2F91BF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3、噪声</w:t>
            </w:r>
          </w:p>
          <w:p w14:paraId="3E2DA73D">
            <w:pPr>
              <w:pStyle w:val="61"/>
              <w:ind w:firstLine="488"/>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本项目产生的噪声主要是车辆交通噪声和设备噪声。</w:t>
            </w:r>
          </w:p>
          <w:p w14:paraId="28A2E4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（1）车辆交通噪声</w:t>
            </w:r>
          </w:p>
          <w:p w14:paraId="66FB3CAD">
            <w:pPr>
              <w:keepNext w:val="0"/>
              <w:keepLines w:val="0"/>
              <w:pageBreakBefore w:val="0"/>
              <w:widowControl w:val="0"/>
              <w:tabs>
                <w:tab w:val="left" w:pos="170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运期车辆噪声主要来自运输车辆，机动车噪声值一般在80～85dB(A)，为减轻运输对</w:t>
            </w:r>
            <w:r>
              <w:rPr>
                <w:rFonts w:hint="default" w:ascii="Times New Roman" w:hAnsi="Times New Roman" w:eastAsia="宋体" w:cs="Times New Roman"/>
                <w:bCs/>
                <w:color w:val="auto"/>
                <w:sz w:val="24"/>
                <w:lang w:eastAsia="zh-CN"/>
              </w:rPr>
              <w:t>居民</w:t>
            </w:r>
            <w:r>
              <w:rPr>
                <w:rFonts w:hint="default" w:ascii="Times New Roman" w:hAnsi="Times New Roman" w:eastAsia="宋体" w:cs="Times New Roman"/>
                <w:bCs/>
                <w:color w:val="auto"/>
                <w:sz w:val="24"/>
              </w:rPr>
              <w:t>的影响，环评要求：a.加强进出车辆管理。项目内禁鸣喇叭，设置禁鸣标识，尽量减少机动车频繁启运和怠速，规范进入项目内车辆的停车秩序等措施，能有效降低车辆噪声10～15dB；b.合理安排运输车次和运输时间，避免道路拥堵，在敏感路段设置限速和禁鸣路牌；c.加强对运输汽车驾驶员的管理，汽车临近沿途村镇路段时要减速行驶(≤</w:t>
            </w:r>
            <w:r>
              <w:rPr>
                <w:rFonts w:hint="default" w:ascii="Times New Roman" w:hAnsi="Times New Roman" w:cs="Times New Roman"/>
                <w:bCs/>
                <w:color w:val="auto"/>
                <w:sz w:val="24"/>
                <w:lang w:val="en-US" w:eastAsia="zh-CN"/>
              </w:rPr>
              <w:t>10</w:t>
            </w:r>
            <w:r>
              <w:rPr>
                <w:rFonts w:hint="eastAsia" w:ascii="Times New Roman" w:hAnsi="Times New Roman" w:cs="Times New Roman"/>
                <w:bCs/>
                <w:color w:val="auto"/>
                <w:sz w:val="24"/>
                <w:lang w:val="en-US" w:eastAsia="zh-CN"/>
              </w:rPr>
              <w:t>km/h</w:t>
            </w:r>
            <w:r>
              <w:rPr>
                <w:rFonts w:hint="default" w:ascii="Times New Roman" w:hAnsi="Times New Roman" w:eastAsia="宋体" w:cs="Times New Roman"/>
                <w:bCs/>
                <w:color w:val="auto"/>
                <w:sz w:val="24"/>
              </w:rPr>
              <w:t>)、禁止鸣高音喇叭，将运输时间控制在06:00～22:00时范围。</w:t>
            </w:r>
          </w:p>
          <w:p w14:paraId="4E9B1A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（2）设备噪声</w:t>
            </w:r>
          </w:p>
          <w:p w14:paraId="6C3EF0BA">
            <w:pPr>
              <w:pStyle w:val="61"/>
              <w:ind w:firstLine="488"/>
              <w:rPr>
                <w:rFonts w:hint="eastAsia" w:ascii="Times New Roman" w:hAnsi="Times New Roman" w:eastAsia="宋体" w:cs="宋体"/>
                <w:color w:val="auto"/>
                <w:lang w:val="en-US" w:eastAsia="zh-CN"/>
              </w:rPr>
            </w:pPr>
            <w:r>
              <w:rPr>
                <w:rFonts w:hint="eastAsia" w:ascii="Times New Roman" w:hAnsi="Times New Roman" w:eastAsia="宋体"/>
                <w:bCs/>
                <w:color w:val="auto"/>
                <w:sz w:val="24"/>
              </w:rPr>
              <w:t>本项目高噪声设备主要为</w:t>
            </w:r>
            <w:r>
              <w:rPr>
                <w:rFonts w:hint="eastAsia" w:ascii="Times New Roman" w:hAnsi="Times New Roman"/>
                <w:color w:val="auto"/>
                <w:sz w:val="24"/>
                <w:lang w:eastAsia="zh-CN"/>
              </w:rPr>
              <w:t>开卷、</w:t>
            </w:r>
            <w:r>
              <w:rPr>
                <w:rFonts w:hint="eastAsia" w:ascii="Times New Roman" w:hAnsi="Times New Roman"/>
                <w:color w:val="auto"/>
                <w:sz w:val="24"/>
                <w:lang w:val="en-US" w:eastAsia="zh-CN"/>
              </w:rPr>
              <w:t>高频直缝焊管机、</w:t>
            </w:r>
            <w:r>
              <w:rPr>
                <w:rFonts w:hint="eastAsia" w:ascii="Times New Roman" w:hAnsi="Times New Roman"/>
                <w:color w:val="auto"/>
                <w:sz w:val="24"/>
                <w:lang w:eastAsia="zh-CN"/>
              </w:rPr>
              <w:t>除尘风机、</w:t>
            </w:r>
            <w:r>
              <w:rPr>
                <w:rFonts w:hint="eastAsia" w:ascii="Times New Roman" w:hAnsi="Times New Roman" w:eastAsia="宋体"/>
                <w:color w:val="auto"/>
                <w:sz w:val="24"/>
                <w:lang w:val="en-US" w:eastAsia="zh-CN"/>
              </w:rPr>
              <w:t>飞锯</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空压机</w:t>
            </w:r>
            <w:r>
              <w:rPr>
                <w:rFonts w:hint="eastAsia" w:ascii="Times New Roman" w:hAnsi="Times New Roman" w:eastAsia="宋体"/>
                <w:bCs/>
                <w:color w:val="auto"/>
                <w:sz w:val="24"/>
              </w:rPr>
              <w:t>等，所有噪声源均位于相应的厂房内，源强为70~</w:t>
            </w:r>
            <w:r>
              <w:rPr>
                <w:rFonts w:hint="eastAsia" w:ascii="Times New Roman" w:hAnsi="Times New Roman" w:eastAsia="宋体"/>
                <w:bCs/>
                <w:color w:val="auto"/>
                <w:sz w:val="24"/>
                <w:lang w:val="en-US" w:eastAsia="zh-CN"/>
              </w:rPr>
              <w:t>90</w:t>
            </w:r>
            <w:r>
              <w:rPr>
                <w:rFonts w:hint="eastAsia" w:ascii="Times New Roman" w:hAnsi="Times New Roman" w:eastAsia="宋体"/>
                <w:bCs/>
                <w:color w:val="auto"/>
                <w:sz w:val="24"/>
              </w:rPr>
              <w:t>dB(A)之间，噪声控制为</w:t>
            </w:r>
            <w:r>
              <w:rPr>
                <w:rFonts w:hint="eastAsia"/>
                <w:bCs/>
                <w:color w:val="auto"/>
              </w:rPr>
              <w:t>低噪声设备、合理布局、基础减震，厂房隔声，安装消声器等</w:t>
            </w:r>
            <w:r>
              <w:rPr>
                <w:rFonts w:hint="eastAsia" w:ascii="Times New Roman" w:hAnsi="Times New Roman" w:eastAsia="宋体"/>
                <w:bCs/>
                <w:color w:val="auto"/>
                <w:sz w:val="24"/>
              </w:rPr>
              <w:t>。本项目取总平面图中西厂界与南厂界延长线交点作为坐标原点（0，0，0），项目运营期间设备产生的噪声源强见下表</w:t>
            </w:r>
            <w:r>
              <w:rPr>
                <w:rFonts w:hint="eastAsia" w:ascii="Times New Roman" w:hAnsi="Times New Roman" w:eastAsia="宋体" w:cs="Times New Roman"/>
                <w:bCs/>
                <w:color w:val="auto"/>
                <w:kern w:val="2"/>
                <w:sz w:val="24"/>
                <w:szCs w:val="24"/>
                <w:lang w:val="en-US" w:eastAsia="zh-CN" w:bidi="ar-SA"/>
              </w:rPr>
              <w:t>。</w:t>
            </w:r>
          </w:p>
          <w:p w14:paraId="3674D293">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15FE5D59">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75D61331">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7589E246">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5A37A203">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73860687">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161938B5">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292A68A6">
            <w:pPr>
              <w:autoSpaceDE w:val="0"/>
              <w:autoSpaceDN w:val="0"/>
              <w:adjustRightInd w:val="0"/>
              <w:snapToGrid w:val="0"/>
              <w:spacing w:line="360" w:lineRule="auto"/>
              <w:ind w:firstLine="480" w:firstLineChars="200"/>
              <w:rPr>
                <w:rFonts w:hint="eastAsia" w:ascii="Times New Roman" w:hAnsi="Times New Roman" w:eastAsia="宋体"/>
                <w:color w:val="auto"/>
                <w:sz w:val="24"/>
                <w:lang w:val="en-US" w:eastAsia="zh-CN"/>
              </w:rPr>
            </w:pPr>
          </w:p>
          <w:p w14:paraId="45266A76">
            <w:pPr>
              <w:pStyle w:val="61"/>
              <w:keepNext w:val="0"/>
              <w:keepLines w:val="0"/>
              <w:pageBreakBefore w:val="0"/>
              <w:widowControl w:val="0"/>
              <w:kinsoku w:val="0"/>
              <w:wordWrap w:val="0"/>
              <w:overflowPunct/>
              <w:topLinePunct w:val="0"/>
              <w:autoSpaceDE w:val="0"/>
              <w:autoSpaceDN w:val="0"/>
              <w:bidi w:val="0"/>
              <w:adjustRightInd w:val="0"/>
              <w:snapToGrid w:val="0"/>
              <w:ind w:left="0" w:leftChars="0" w:firstLine="0" w:firstLineChars="0"/>
              <w:textAlignment w:val="auto"/>
              <w:rPr>
                <w:rFonts w:hint="eastAsia" w:ascii="Times New Roman" w:hAnsi="Times New Roman" w:eastAsia="宋体"/>
                <w:color w:val="auto"/>
                <w:lang w:eastAsia="zh-CN"/>
              </w:rPr>
            </w:pPr>
          </w:p>
        </w:tc>
      </w:tr>
    </w:tbl>
    <w:p w14:paraId="23EE7385">
      <w:pPr>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0FD5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2" w:type="dxa"/>
          </w:tcPr>
          <w:p w14:paraId="064FE8C8">
            <w:pPr>
              <w:pStyle w:val="3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6</w:t>
            </w:r>
            <w:r>
              <w:rPr>
                <w:rFonts w:hint="eastAsia" w:ascii="Times New Roman" w:hAnsi="Times New Roman" w:eastAsia="宋体" w:cs="Times New Roman"/>
                <w:color w:val="auto"/>
                <w:lang w:val="en-US" w:eastAsia="zh-CN"/>
              </w:rPr>
              <w:t>主要噪声设备源强表（室内声源）</w:t>
            </w:r>
          </w:p>
          <w:tbl>
            <w:tblPr>
              <w:tblStyle w:val="25"/>
              <w:tblW w:w="13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653"/>
              <w:gridCol w:w="1818"/>
              <w:gridCol w:w="696"/>
              <w:gridCol w:w="1159"/>
              <w:gridCol w:w="1182"/>
              <w:gridCol w:w="794"/>
              <w:gridCol w:w="793"/>
              <w:gridCol w:w="595"/>
              <w:gridCol w:w="915"/>
              <w:gridCol w:w="1072"/>
              <w:gridCol w:w="739"/>
              <w:gridCol w:w="1062"/>
              <w:gridCol w:w="1083"/>
              <w:gridCol w:w="863"/>
            </w:tblGrid>
            <w:tr w14:paraId="7AD2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Merge w:val="restart"/>
                  <w:shd w:val="clear" w:color="auto" w:fill="D7D7D7" w:themeFill="background1" w:themeFillShade="D8"/>
                  <w:vAlign w:val="center"/>
                </w:tcPr>
                <w:p w14:paraId="1FD0535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序号</w:t>
                  </w:r>
                </w:p>
              </w:tc>
              <w:tc>
                <w:tcPr>
                  <w:tcW w:w="653" w:type="dxa"/>
                  <w:vMerge w:val="restart"/>
                  <w:shd w:val="clear" w:color="auto" w:fill="D7D7D7" w:themeFill="background1" w:themeFillShade="D8"/>
                  <w:vAlign w:val="center"/>
                </w:tcPr>
                <w:p w14:paraId="3C8DE2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建筑物名称</w:t>
                  </w:r>
                </w:p>
              </w:tc>
              <w:tc>
                <w:tcPr>
                  <w:tcW w:w="1818" w:type="dxa"/>
                  <w:vMerge w:val="restart"/>
                  <w:shd w:val="clear" w:color="auto" w:fill="D7D7D7" w:themeFill="background1" w:themeFillShade="D8"/>
                  <w:vAlign w:val="center"/>
                </w:tcPr>
                <w:p w14:paraId="141370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声源名称</w:t>
                  </w:r>
                </w:p>
              </w:tc>
              <w:tc>
                <w:tcPr>
                  <w:tcW w:w="696" w:type="dxa"/>
                  <w:vMerge w:val="restart"/>
                  <w:shd w:val="clear" w:color="auto" w:fill="D7D7D7" w:themeFill="background1" w:themeFillShade="D8"/>
                  <w:vAlign w:val="center"/>
                </w:tcPr>
                <w:p w14:paraId="0CA23A7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型号</w:t>
                  </w:r>
                </w:p>
              </w:tc>
              <w:tc>
                <w:tcPr>
                  <w:tcW w:w="1159" w:type="dxa"/>
                  <w:vMerge w:val="restart"/>
                  <w:shd w:val="clear" w:color="auto" w:fill="D7D7D7" w:themeFill="background1" w:themeFillShade="D8"/>
                  <w:vAlign w:val="center"/>
                </w:tcPr>
                <w:p w14:paraId="7918B3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声源源强</w:t>
                  </w:r>
                </w:p>
              </w:tc>
              <w:tc>
                <w:tcPr>
                  <w:tcW w:w="1182" w:type="dxa"/>
                  <w:vMerge w:val="restart"/>
                  <w:shd w:val="clear" w:color="auto" w:fill="D7D7D7" w:themeFill="background1" w:themeFillShade="D8"/>
                  <w:vAlign w:val="center"/>
                </w:tcPr>
                <w:p w14:paraId="756FDD8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声源控制措施</w:t>
                  </w:r>
                </w:p>
              </w:tc>
              <w:tc>
                <w:tcPr>
                  <w:tcW w:w="2182" w:type="dxa"/>
                  <w:gridSpan w:val="3"/>
                  <w:shd w:val="clear" w:color="auto" w:fill="D7D7D7" w:themeFill="background1" w:themeFillShade="D8"/>
                  <w:vAlign w:val="center"/>
                </w:tcPr>
                <w:p w14:paraId="1AC458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空间相对位置/m</w:t>
                  </w:r>
                </w:p>
              </w:tc>
              <w:tc>
                <w:tcPr>
                  <w:tcW w:w="915" w:type="dxa"/>
                  <w:vMerge w:val="restart"/>
                  <w:shd w:val="clear" w:color="auto" w:fill="D7D7D7" w:themeFill="background1" w:themeFillShade="D8"/>
                  <w:vAlign w:val="center"/>
                </w:tcPr>
                <w:p w14:paraId="0F6CBE3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距室内边界距离</w:t>
                  </w:r>
                </w:p>
              </w:tc>
              <w:tc>
                <w:tcPr>
                  <w:tcW w:w="1072" w:type="dxa"/>
                  <w:vMerge w:val="restart"/>
                  <w:shd w:val="clear" w:color="auto" w:fill="D7D7D7" w:themeFill="background1" w:themeFillShade="D8"/>
                  <w:vAlign w:val="center"/>
                </w:tcPr>
                <w:p w14:paraId="180A57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室内边界声级/dB（A）</w:t>
                  </w:r>
                </w:p>
              </w:tc>
              <w:tc>
                <w:tcPr>
                  <w:tcW w:w="739" w:type="dxa"/>
                  <w:vMerge w:val="restart"/>
                  <w:shd w:val="clear" w:color="auto" w:fill="D7D7D7" w:themeFill="background1" w:themeFillShade="D8"/>
                  <w:vAlign w:val="center"/>
                </w:tcPr>
                <w:p w14:paraId="677763E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运行时段</w:t>
                  </w:r>
                </w:p>
              </w:tc>
              <w:tc>
                <w:tcPr>
                  <w:tcW w:w="1062" w:type="dxa"/>
                  <w:vMerge w:val="restart"/>
                  <w:shd w:val="clear" w:color="auto" w:fill="D7D7D7" w:themeFill="background1" w:themeFillShade="D8"/>
                  <w:vAlign w:val="center"/>
                </w:tcPr>
                <w:p w14:paraId="5BA1CF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建筑物插入损失/dB（A）</w:t>
                  </w:r>
                </w:p>
              </w:tc>
              <w:tc>
                <w:tcPr>
                  <w:tcW w:w="1946" w:type="dxa"/>
                  <w:gridSpan w:val="2"/>
                  <w:shd w:val="clear" w:color="auto" w:fill="D7D7D7" w:themeFill="background1" w:themeFillShade="D8"/>
                  <w:vAlign w:val="center"/>
                </w:tcPr>
                <w:p w14:paraId="5BE3AF0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建筑外噪声</w:t>
                  </w:r>
                </w:p>
              </w:tc>
            </w:tr>
            <w:tr w14:paraId="0BE8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30" w:type="dxa"/>
                  <w:vMerge w:val="continue"/>
                  <w:shd w:val="clear" w:color="auto" w:fill="D7D7D7" w:themeFill="background1" w:themeFillShade="D8"/>
                  <w:vAlign w:val="center"/>
                </w:tcPr>
                <w:p w14:paraId="53CC6A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653" w:type="dxa"/>
                  <w:vMerge w:val="continue"/>
                  <w:shd w:val="clear" w:color="auto" w:fill="D7D7D7" w:themeFill="background1" w:themeFillShade="D8"/>
                  <w:vAlign w:val="center"/>
                </w:tcPr>
                <w:p w14:paraId="42AAD5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Merge w:val="continue"/>
                  <w:shd w:val="clear" w:color="auto" w:fill="D7D7D7" w:themeFill="background1" w:themeFillShade="D8"/>
                  <w:vAlign w:val="center"/>
                </w:tcPr>
                <w:p w14:paraId="3DE560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696" w:type="dxa"/>
                  <w:vMerge w:val="continue"/>
                  <w:shd w:val="clear" w:color="auto" w:fill="D7D7D7" w:themeFill="background1" w:themeFillShade="D8"/>
                  <w:vAlign w:val="center"/>
                </w:tcPr>
                <w:p w14:paraId="150CC20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vMerge w:val="continue"/>
                  <w:shd w:val="clear" w:color="auto" w:fill="D7D7D7" w:themeFill="background1" w:themeFillShade="D8"/>
                  <w:vAlign w:val="center"/>
                </w:tcPr>
                <w:p w14:paraId="6361675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182" w:type="dxa"/>
                  <w:vMerge w:val="continue"/>
                  <w:shd w:val="clear" w:color="auto" w:fill="D7D7D7" w:themeFill="background1" w:themeFillShade="D8"/>
                  <w:vAlign w:val="center"/>
                </w:tcPr>
                <w:p w14:paraId="5A62E90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Merge w:val="restart"/>
                  <w:shd w:val="clear" w:color="auto" w:fill="D7D7D7" w:themeFill="background1" w:themeFillShade="D8"/>
                  <w:vAlign w:val="center"/>
                </w:tcPr>
                <w:p w14:paraId="7037647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X</w:t>
                  </w:r>
                </w:p>
              </w:tc>
              <w:tc>
                <w:tcPr>
                  <w:tcW w:w="793" w:type="dxa"/>
                  <w:vMerge w:val="restart"/>
                  <w:shd w:val="clear" w:color="auto" w:fill="D7D7D7" w:themeFill="background1" w:themeFillShade="D8"/>
                  <w:vAlign w:val="center"/>
                </w:tcPr>
                <w:p w14:paraId="30A02A0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Y</w:t>
                  </w:r>
                </w:p>
              </w:tc>
              <w:tc>
                <w:tcPr>
                  <w:tcW w:w="595" w:type="dxa"/>
                  <w:vMerge w:val="restart"/>
                  <w:shd w:val="clear" w:color="auto" w:fill="D7D7D7" w:themeFill="background1" w:themeFillShade="D8"/>
                  <w:vAlign w:val="center"/>
                </w:tcPr>
                <w:p w14:paraId="4BA6E32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Z</w:t>
                  </w:r>
                </w:p>
              </w:tc>
              <w:tc>
                <w:tcPr>
                  <w:tcW w:w="915" w:type="dxa"/>
                  <w:vMerge w:val="continue"/>
                  <w:shd w:val="clear" w:color="auto" w:fill="D7D7D7" w:themeFill="background1" w:themeFillShade="D8"/>
                  <w:vAlign w:val="center"/>
                </w:tcPr>
                <w:p w14:paraId="6EBC09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72" w:type="dxa"/>
                  <w:vMerge w:val="continue"/>
                  <w:shd w:val="clear" w:color="auto" w:fill="D7D7D7" w:themeFill="background1" w:themeFillShade="D8"/>
                  <w:vAlign w:val="center"/>
                </w:tcPr>
                <w:p w14:paraId="14A101A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39" w:type="dxa"/>
                  <w:vMerge w:val="continue"/>
                  <w:shd w:val="clear" w:color="auto" w:fill="D7D7D7" w:themeFill="background1" w:themeFillShade="D8"/>
                  <w:vAlign w:val="center"/>
                </w:tcPr>
                <w:p w14:paraId="3D3520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62" w:type="dxa"/>
                  <w:vMerge w:val="continue"/>
                  <w:shd w:val="clear" w:color="auto" w:fill="D7D7D7" w:themeFill="background1" w:themeFillShade="D8"/>
                  <w:vAlign w:val="center"/>
                </w:tcPr>
                <w:p w14:paraId="65DF0EB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83" w:type="dxa"/>
                  <w:vMerge w:val="restart"/>
                  <w:shd w:val="clear" w:color="auto" w:fill="D7D7D7" w:themeFill="background1" w:themeFillShade="D8"/>
                  <w:vAlign w:val="center"/>
                </w:tcPr>
                <w:p w14:paraId="222041F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声压级/dB（A）</w:t>
                  </w:r>
                </w:p>
              </w:tc>
              <w:tc>
                <w:tcPr>
                  <w:tcW w:w="863" w:type="dxa"/>
                  <w:vMerge w:val="restart"/>
                  <w:shd w:val="clear" w:color="auto" w:fill="D7D7D7" w:themeFill="background1" w:themeFillShade="D8"/>
                  <w:vAlign w:val="center"/>
                </w:tcPr>
                <w:p w14:paraId="7ED5FF4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建筑物外距离</w:t>
                  </w:r>
                </w:p>
              </w:tc>
            </w:tr>
            <w:tr w14:paraId="3ED5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Merge w:val="continue"/>
                  <w:vAlign w:val="center"/>
                </w:tcPr>
                <w:p w14:paraId="73D492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653" w:type="dxa"/>
                  <w:vMerge w:val="continue"/>
                  <w:vAlign w:val="center"/>
                </w:tcPr>
                <w:p w14:paraId="0EF940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Merge w:val="continue"/>
                  <w:vAlign w:val="center"/>
                </w:tcPr>
                <w:p w14:paraId="276FE83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696" w:type="dxa"/>
                  <w:vMerge w:val="continue"/>
                  <w:vAlign w:val="center"/>
                </w:tcPr>
                <w:p w14:paraId="7335E90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159" w:type="dxa"/>
                  <w:shd w:val="clear" w:color="auto" w:fill="D7D7D7" w:themeFill="background1" w:themeFillShade="D8"/>
                  <w:vAlign w:val="center"/>
                </w:tcPr>
                <w:p w14:paraId="1A298C2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声功率级/dB（A）</w:t>
                  </w:r>
                </w:p>
              </w:tc>
              <w:tc>
                <w:tcPr>
                  <w:tcW w:w="1182" w:type="dxa"/>
                  <w:vMerge w:val="continue"/>
                  <w:vAlign w:val="center"/>
                </w:tcPr>
                <w:p w14:paraId="110000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Merge w:val="continue"/>
                  <w:vAlign w:val="center"/>
                </w:tcPr>
                <w:p w14:paraId="40609BA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3" w:type="dxa"/>
                  <w:vMerge w:val="continue"/>
                  <w:vAlign w:val="center"/>
                </w:tcPr>
                <w:p w14:paraId="25A7E1D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595" w:type="dxa"/>
                  <w:vMerge w:val="continue"/>
                  <w:vAlign w:val="center"/>
                </w:tcPr>
                <w:p w14:paraId="6E1ECD0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915" w:type="dxa"/>
                  <w:vMerge w:val="continue"/>
                  <w:vAlign w:val="center"/>
                </w:tcPr>
                <w:p w14:paraId="745BCED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72" w:type="dxa"/>
                  <w:vMerge w:val="continue"/>
                  <w:vAlign w:val="center"/>
                </w:tcPr>
                <w:p w14:paraId="5F7699F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39" w:type="dxa"/>
                  <w:vMerge w:val="continue"/>
                  <w:vAlign w:val="center"/>
                </w:tcPr>
                <w:p w14:paraId="07149D1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62" w:type="dxa"/>
                  <w:vMerge w:val="continue"/>
                  <w:vAlign w:val="center"/>
                </w:tcPr>
                <w:p w14:paraId="21A8F4C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083" w:type="dxa"/>
                  <w:vMerge w:val="continue"/>
                  <w:vAlign w:val="center"/>
                </w:tcPr>
                <w:p w14:paraId="2D140B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863" w:type="dxa"/>
                  <w:vMerge w:val="continue"/>
                  <w:vAlign w:val="center"/>
                </w:tcPr>
                <w:p w14:paraId="608EDD6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r>
            <w:tr w14:paraId="634C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Align w:val="center"/>
                </w:tcPr>
                <w:p w14:paraId="1AA4FD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653" w:type="dxa"/>
                  <w:vMerge w:val="restart"/>
                  <w:vAlign w:val="center"/>
                </w:tcPr>
                <w:p w14:paraId="5D364EE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1#生产车间</w:t>
                  </w:r>
                </w:p>
              </w:tc>
              <w:tc>
                <w:tcPr>
                  <w:tcW w:w="1818" w:type="dxa"/>
                  <w:vAlign w:val="center"/>
                </w:tcPr>
                <w:p w14:paraId="5AA5734B">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olor w:val="auto"/>
                      <w:lang w:val="en-US" w:eastAsia="zh-CN"/>
                    </w:rPr>
                    <w:t>高频直缝焊管机</w:t>
                  </w:r>
                  <w:r>
                    <w:rPr>
                      <w:rFonts w:hint="eastAsia"/>
                      <w:color w:val="auto"/>
                      <w:lang w:val="en-US" w:eastAsia="zh-CN"/>
                    </w:rPr>
                    <w:t>1</w:t>
                  </w:r>
                </w:p>
              </w:tc>
              <w:tc>
                <w:tcPr>
                  <w:tcW w:w="696" w:type="dxa"/>
                  <w:vAlign w:val="center"/>
                </w:tcPr>
                <w:p w14:paraId="3CCADD9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284789E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70</w:t>
                  </w:r>
                </w:p>
              </w:tc>
              <w:tc>
                <w:tcPr>
                  <w:tcW w:w="1182" w:type="dxa"/>
                  <w:vMerge w:val="restart"/>
                  <w:vAlign w:val="center"/>
                </w:tcPr>
                <w:p w14:paraId="0F0049B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Times New Roman"/>
                      <w:b w:val="0"/>
                      <w:color w:val="auto"/>
                      <w:kern w:val="2"/>
                      <w:sz w:val="21"/>
                      <w:szCs w:val="24"/>
                      <w:lang w:val="en-US" w:eastAsia="zh-CN" w:bidi="ar-SA"/>
                    </w:rPr>
                    <w:t>低噪声设备、合理布局、基础减震，厂房隔声，安装消声器等</w:t>
                  </w:r>
                </w:p>
              </w:tc>
              <w:tc>
                <w:tcPr>
                  <w:tcW w:w="794" w:type="dxa"/>
                  <w:vAlign w:val="center"/>
                </w:tcPr>
                <w:p w14:paraId="4317E5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65.25</w:t>
                  </w:r>
                </w:p>
              </w:tc>
              <w:tc>
                <w:tcPr>
                  <w:tcW w:w="793" w:type="dxa"/>
                  <w:vAlign w:val="center"/>
                </w:tcPr>
                <w:p w14:paraId="4310E49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-41.24</w:t>
                  </w:r>
                </w:p>
              </w:tc>
              <w:tc>
                <w:tcPr>
                  <w:tcW w:w="595" w:type="dxa"/>
                  <w:shd w:val="clear" w:color="auto" w:fill="auto"/>
                  <w:vAlign w:val="center"/>
                </w:tcPr>
                <w:p w14:paraId="7F7299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1A1730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2DBBC79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51.94</w:t>
                  </w:r>
                </w:p>
              </w:tc>
              <w:tc>
                <w:tcPr>
                  <w:tcW w:w="739" w:type="dxa"/>
                  <w:vAlign w:val="center"/>
                </w:tcPr>
                <w:p w14:paraId="02232C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2036EB1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516B552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30.94</w:t>
                  </w:r>
                </w:p>
              </w:tc>
              <w:tc>
                <w:tcPr>
                  <w:tcW w:w="863" w:type="dxa"/>
                  <w:vAlign w:val="center"/>
                </w:tcPr>
                <w:p w14:paraId="3CC7D0E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698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196CF0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653" w:type="dxa"/>
                  <w:vMerge w:val="continue"/>
                  <w:vAlign w:val="center"/>
                </w:tcPr>
                <w:p w14:paraId="7B61924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480ACC2E">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olor w:val="auto"/>
                      <w:lang w:val="en-US" w:eastAsia="zh-CN"/>
                    </w:rPr>
                    <w:t>飞锯</w:t>
                  </w:r>
                  <w:r>
                    <w:rPr>
                      <w:rFonts w:hint="eastAsia"/>
                      <w:color w:val="auto"/>
                      <w:lang w:val="en-US" w:eastAsia="zh-CN"/>
                    </w:rPr>
                    <w:t>1</w:t>
                  </w:r>
                </w:p>
              </w:tc>
              <w:tc>
                <w:tcPr>
                  <w:tcW w:w="696" w:type="dxa"/>
                  <w:vAlign w:val="center"/>
                </w:tcPr>
                <w:p w14:paraId="7F347C4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189A5B2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7959BEB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DE1142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75.65</w:t>
                  </w:r>
                </w:p>
              </w:tc>
              <w:tc>
                <w:tcPr>
                  <w:tcW w:w="793" w:type="dxa"/>
                  <w:vAlign w:val="center"/>
                </w:tcPr>
                <w:p w14:paraId="0233932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-47.2</w:t>
                  </w:r>
                </w:p>
              </w:tc>
              <w:tc>
                <w:tcPr>
                  <w:tcW w:w="595" w:type="dxa"/>
                  <w:shd w:val="clear" w:color="auto" w:fill="auto"/>
                  <w:vAlign w:val="center"/>
                </w:tcPr>
                <w:p w14:paraId="27396C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5D9CA1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76188B8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71.94</w:t>
                  </w:r>
                </w:p>
              </w:tc>
              <w:tc>
                <w:tcPr>
                  <w:tcW w:w="739" w:type="dxa"/>
                  <w:vAlign w:val="center"/>
                </w:tcPr>
                <w:p w14:paraId="44D9C8E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1D06423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323ABB3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50.94</w:t>
                  </w:r>
                </w:p>
              </w:tc>
              <w:tc>
                <w:tcPr>
                  <w:tcW w:w="863" w:type="dxa"/>
                  <w:vAlign w:val="center"/>
                </w:tcPr>
                <w:p w14:paraId="63A8FD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F70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Align w:val="center"/>
                </w:tcPr>
                <w:p w14:paraId="1C8C45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653" w:type="dxa"/>
                  <w:vMerge w:val="continue"/>
                  <w:vAlign w:val="center"/>
                </w:tcPr>
                <w:p w14:paraId="0EDD2E8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32D4A4E4">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r>
                    <w:rPr>
                      <w:rFonts w:hint="eastAsia"/>
                      <w:color w:val="auto"/>
                      <w:lang w:val="en-US" w:eastAsia="zh-CN"/>
                    </w:rPr>
                    <w:t>1</w:t>
                  </w:r>
                </w:p>
              </w:tc>
              <w:tc>
                <w:tcPr>
                  <w:tcW w:w="696" w:type="dxa"/>
                  <w:vAlign w:val="center"/>
                </w:tcPr>
                <w:p w14:paraId="1B2DCB7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6EDA12D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7A1F066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039F1E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55.96</w:t>
                  </w:r>
                </w:p>
              </w:tc>
              <w:tc>
                <w:tcPr>
                  <w:tcW w:w="793" w:type="dxa"/>
                  <w:vAlign w:val="center"/>
                </w:tcPr>
                <w:p w14:paraId="4D3B3A8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-34.15</w:t>
                  </w:r>
                </w:p>
              </w:tc>
              <w:tc>
                <w:tcPr>
                  <w:tcW w:w="595" w:type="dxa"/>
                  <w:shd w:val="clear" w:color="auto" w:fill="auto"/>
                  <w:vAlign w:val="center"/>
                </w:tcPr>
                <w:p w14:paraId="494F66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413253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w:t>
                  </w:r>
                </w:p>
              </w:tc>
              <w:tc>
                <w:tcPr>
                  <w:tcW w:w="1072" w:type="dxa"/>
                  <w:vAlign w:val="center"/>
                </w:tcPr>
                <w:p w14:paraId="1C7E7E8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61.94</w:t>
                  </w:r>
                </w:p>
              </w:tc>
              <w:tc>
                <w:tcPr>
                  <w:tcW w:w="739" w:type="dxa"/>
                  <w:vAlign w:val="center"/>
                </w:tcPr>
                <w:p w14:paraId="1F70F81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597DD33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490185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40.94</w:t>
                  </w:r>
                </w:p>
              </w:tc>
              <w:tc>
                <w:tcPr>
                  <w:tcW w:w="863" w:type="dxa"/>
                  <w:vAlign w:val="center"/>
                </w:tcPr>
                <w:p w14:paraId="0B8CC8D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8DC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Align w:val="center"/>
                </w:tcPr>
                <w:p w14:paraId="77640F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653" w:type="dxa"/>
                  <w:vMerge w:val="continue"/>
                  <w:vAlign w:val="center"/>
                </w:tcPr>
                <w:p w14:paraId="43EDB21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051B1D51">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color w:val="auto"/>
                      <w:lang w:val="en-US" w:eastAsia="zh-CN"/>
                    </w:rPr>
                    <w:t>风机1</w:t>
                  </w:r>
                </w:p>
              </w:tc>
              <w:tc>
                <w:tcPr>
                  <w:tcW w:w="696" w:type="dxa"/>
                  <w:shd w:val="clear" w:color="auto" w:fill="auto"/>
                  <w:vAlign w:val="center"/>
                </w:tcPr>
                <w:p w14:paraId="0CF16E7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52EAE3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37DFED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3E9F617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68.75</w:t>
                  </w:r>
                </w:p>
              </w:tc>
              <w:tc>
                <w:tcPr>
                  <w:tcW w:w="793" w:type="dxa"/>
                  <w:vAlign w:val="center"/>
                </w:tcPr>
                <w:p w14:paraId="59B4F09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-42.91</w:t>
                  </w:r>
                </w:p>
              </w:tc>
              <w:tc>
                <w:tcPr>
                  <w:tcW w:w="595" w:type="dxa"/>
                  <w:shd w:val="clear" w:color="auto" w:fill="auto"/>
                  <w:vAlign w:val="center"/>
                </w:tcPr>
                <w:p w14:paraId="3CFE4A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71F398B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1CEDAC0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71.94</w:t>
                  </w:r>
                </w:p>
              </w:tc>
              <w:tc>
                <w:tcPr>
                  <w:tcW w:w="739" w:type="dxa"/>
                  <w:vAlign w:val="center"/>
                </w:tcPr>
                <w:p w14:paraId="773A076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vAlign w:val="center"/>
                </w:tcPr>
                <w:p w14:paraId="7D0CED0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15</w:t>
                  </w:r>
                </w:p>
              </w:tc>
              <w:tc>
                <w:tcPr>
                  <w:tcW w:w="1083" w:type="dxa"/>
                  <w:vAlign w:val="center"/>
                </w:tcPr>
                <w:p w14:paraId="31FED51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50.94</w:t>
                  </w:r>
                </w:p>
              </w:tc>
              <w:tc>
                <w:tcPr>
                  <w:tcW w:w="863" w:type="dxa"/>
                  <w:vAlign w:val="center"/>
                </w:tcPr>
                <w:p w14:paraId="49E4C9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67E3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3B6762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5</w:t>
                  </w:r>
                </w:p>
              </w:tc>
              <w:tc>
                <w:tcPr>
                  <w:tcW w:w="653" w:type="dxa"/>
                  <w:vMerge w:val="continue"/>
                  <w:vAlign w:val="center"/>
                </w:tcPr>
                <w:p w14:paraId="03EA8F2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42511D42">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r>
                    <w:rPr>
                      <w:rFonts w:hint="eastAsia"/>
                      <w:color w:val="auto"/>
                      <w:lang w:val="en-US" w:eastAsia="zh-CN"/>
                    </w:rPr>
                    <w:t>2</w:t>
                  </w:r>
                </w:p>
              </w:tc>
              <w:tc>
                <w:tcPr>
                  <w:tcW w:w="696" w:type="dxa"/>
                  <w:vAlign w:val="center"/>
                </w:tcPr>
                <w:p w14:paraId="2C71A66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8FAF93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5F4651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5B627F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69.71</w:t>
                  </w:r>
                </w:p>
              </w:tc>
              <w:tc>
                <w:tcPr>
                  <w:tcW w:w="793" w:type="dxa"/>
                  <w:vAlign w:val="center"/>
                </w:tcPr>
                <w:p w14:paraId="6A070F0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-35.5</w:t>
                  </w:r>
                </w:p>
              </w:tc>
              <w:tc>
                <w:tcPr>
                  <w:tcW w:w="595" w:type="dxa"/>
                  <w:shd w:val="clear" w:color="auto" w:fill="auto"/>
                  <w:vAlign w:val="center"/>
                </w:tcPr>
                <w:p w14:paraId="235DF3B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A89E8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2E17992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48.42</w:t>
                  </w:r>
                </w:p>
              </w:tc>
              <w:tc>
                <w:tcPr>
                  <w:tcW w:w="739" w:type="dxa"/>
                  <w:vAlign w:val="center"/>
                </w:tcPr>
                <w:p w14:paraId="235E9F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31A97D7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426B6F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27.42</w:t>
                  </w:r>
                </w:p>
              </w:tc>
              <w:tc>
                <w:tcPr>
                  <w:tcW w:w="863" w:type="dxa"/>
                  <w:vAlign w:val="center"/>
                </w:tcPr>
                <w:p w14:paraId="56F23D6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708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370027C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6</w:t>
                  </w:r>
                </w:p>
              </w:tc>
              <w:tc>
                <w:tcPr>
                  <w:tcW w:w="653" w:type="dxa"/>
                  <w:vMerge w:val="continue"/>
                  <w:vAlign w:val="center"/>
                </w:tcPr>
                <w:p w14:paraId="4E31D60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6690A161">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r>
                    <w:rPr>
                      <w:rFonts w:hint="eastAsia"/>
                      <w:color w:val="auto"/>
                      <w:lang w:val="en-US" w:eastAsia="zh-CN"/>
                    </w:rPr>
                    <w:t>2</w:t>
                  </w:r>
                </w:p>
              </w:tc>
              <w:tc>
                <w:tcPr>
                  <w:tcW w:w="696" w:type="dxa"/>
                  <w:vAlign w:val="center"/>
                </w:tcPr>
                <w:p w14:paraId="58602CC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12E774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05E6DED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FAEBB1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79.62</w:t>
                  </w:r>
                </w:p>
              </w:tc>
              <w:tc>
                <w:tcPr>
                  <w:tcW w:w="793" w:type="dxa"/>
                  <w:vAlign w:val="center"/>
                </w:tcPr>
                <w:p w14:paraId="6C6A88E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-42.51</w:t>
                  </w:r>
                </w:p>
              </w:tc>
              <w:tc>
                <w:tcPr>
                  <w:tcW w:w="595" w:type="dxa"/>
                  <w:shd w:val="clear" w:color="auto" w:fill="auto"/>
                  <w:vAlign w:val="center"/>
                </w:tcPr>
                <w:p w14:paraId="6BBFE4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9342A8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74BF7E0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68.42</w:t>
                  </w:r>
                </w:p>
              </w:tc>
              <w:tc>
                <w:tcPr>
                  <w:tcW w:w="739" w:type="dxa"/>
                  <w:vAlign w:val="center"/>
                </w:tcPr>
                <w:p w14:paraId="0845A71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BC60E2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4AF484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47.42</w:t>
                  </w:r>
                </w:p>
              </w:tc>
              <w:tc>
                <w:tcPr>
                  <w:tcW w:w="863" w:type="dxa"/>
                  <w:vAlign w:val="center"/>
                </w:tcPr>
                <w:p w14:paraId="39DE49F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527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30" w:type="dxa"/>
                  <w:vAlign w:val="center"/>
                </w:tcPr>
                <w:p w14:paraId="43A50C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7</w:t>
                  </w:r>
                </w:p>
              </w:tc>
              <w:tc>
                <w:tcPr>
                  <w:tcW w:w="653" w:type="dxa"/>
                  <w:vMerge w:val="continue"/>
                  <w:vAlign w:val="center"/>
                </w:tcPr>
                <w:p w14:paraId="2F257E3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48529F48">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r>
                    <w:rPr>
                      <w:rFonts w:hint="eastAsia"/>
                      <w:color w:val="auto"/>
                      <w:lang w:val="en-US" w:eastAsia="zh-CN"/>
                    </w:rPr>
                    <w:t>2</w:t>
                  </w:r>
                </w:p>
              </w:tc>
              <w:tc>
                <w:tcPr>
                  <w:tcW w:w="696" w:type="dxa"/>
                  <w:vAlign w:val="center"/>
                </w:tcPr>
                <w:p w14:paraId="012339B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6CF0324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2A01F2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3373B6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61.84</w:t>
                  </w:r>
                </w:p>
              </w:tc>
              <w:tc>
                <w:tcPr>
                  <w:tcW w:w="793" w:type="dxa"/>
                  <w:vAlign w:val="center"/>
                </w:tcPr>
                <w:p w14:paraId="088947E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-28.26</w:t>
                  </w:r>
                </w:p>
              </w:tc>
              <w:tc>
                <w:tcPr>
                  <w:tcW w:w="595" w:type="dxa"/>
                  <w:shd w:val="clear" w:color="auto" w:fill="auto"/>
                  <w:vAlign w:val="center"/>
                </w:tcPr>
                <w:p w14:paraId="655CEF2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978CF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5FD133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58.42</w:t>
                  </w:r>
                </w:p>
              </w:tc>
              <w:tc>
                <w:tcPr>
                  <w:tcW w:w="739" w:type="dxa"/>
                  <w:vAlign w:val="center"/>
                </w:tcPr>
                <w:p w14:paraId="6C29335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D2CDC4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57D4EC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37.42</w:t>
                  </w:r>
                </w:p>
              </w:tc>
              <w:tc>
                <w:tcPr>
                  <w:tcW w:w="863" w:type="dxa"/>
                  <w:vAlign w:val="center"/>
                </w:tcPr>
                <w:p w14:paraId="18E2F5C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7BD0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6031E4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w:t>
                  </w:r>
                </w:p>
              </w:tc>
              <w:tc>
                <w:tcPr>
                  <w:tcW w:w="653" w:type="dxa"/>
                  <w:vMerge w:val="continue"/>
                  <w:vAlign w:val="center"/>
                </w:tcPr>
                <w:p w14:paraId="1C814A0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74143045">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风机2</w:t>
                  </w:r>
                </w:p>
              </w:tc>
              <w:tc>
                <w:tcPr>
                  <w:tcW w:w="696" w:type="dxa"/>
                  <w:shd w:val="clear" w:color="auto" w:fill="auto"/>
                  <w:vAlign w:val="center"/>
                </w:tcPr>
                <w:p w14:paraId="7DCBE68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3C2A994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368E69E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2C5D2E5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72.81</w:t>
                  </w:r>
                </w:p>
              </w:tc>
              <w:tc>
                <w:tcPr>
                  <w:tcW w:w="793" w:type="dxa"/>
                  <w:shd w:val="clear" w:color="auto" w:fill="auto"/>
                  <w:vAlign w:val="center"/>
                </w:tcPr>
                <w:p w14:paraId="039AE63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-38.29</w:t>
                  </w:r>
                </w:p>
              </w:tc>
              <w:tc>
                <w:tcPr>
                  <w:tcW w:w="595" w:type="dxa"/>
                  <w:shd w:val="clear" w:color="auto" w:fill="auto"/>
                  <w:vAlign w:val="center"/>
                </w:tcPr>
                <w:p w14:paraId="58FA3B1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1A471C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shd w:val="clear" w:color="auto" w:fill="auto"/>
                  <w:vAlign w:val="center"/>
                </w:tcPr>
                <w:p w14:paraId="6967D85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68.42</w:t>
                  </w:r>
                </w:p>
              </w:tc>
              <w:tc>
                <w:tcPr>
                  <w:tcW w:w="739" w:type="dxa"/>
                  <w:shd w:val="clear" w:color="auto" w:fill="auto"/>
                  <w:vAlign w:val="center"/>
                </w:tcPr>
                <w:p w14:paraId="6DB5036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4463B16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4382F60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47.42</w:t>
                  </w:r>
                </w:p>
              </w:tc>
              <w:tc>
                <w:tcPr>
                  <w:tcW w:w="863" w:type="dxa"/>
                  <w:shd w:val="clear" w:color="auto" w:fill="auto"/>
                  <w:vAlign w:val="center"/>
                </w:tcPr>
                <w:p w14:paraId="67AE18F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7348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3097425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9</w:t>
                  </w:r>
                </w:p>
              </w:tc>
              <w:tc>
                <w:tcPr>
                  <w:tcW w:w="653" w:type="dxa"/>
                  <w:vMerge w:val="restart"/>
                  <w:vAlign w:val="center"/>
                </w:tcPr>
                <w:p w14:paraId="48A718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2#生产车间</w:t>
                  </w:r>
                </w:p>
              </w:tc>
              <w:tc>
                <w:tcPr>
                  <w:tcW w:w="1818" w:type="dxa"/>
                  <w:vAlign w:val="center"/>
                </w:tcPr>
                <w:p w14:paraId="3B559B34">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r>
                    <w:rPr>
                      <w:rFonts w:hint="eastAsia"/>
                      <w:color w:val="auto"/>
                      <w:lang w:val="en-US" w:eastAsia="zh-CN"/>
                    </w:rPr>
                    <w:t>3</w:t>
                  </w:r>
                </w:p>
              </w:tc>
              <w:tc>
                <w:tcPr>
                  <w:tcW w:w="696" w:type="dxa"/>
                  <w:vAlign w:val="center"/>
                </w:tcPr>
                <w:p w14:paraId="4A454BE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D63BC3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7DD54C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7AB0E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79.99</w:t>
                  </w:r>
                </w:p>
              </w:tc>
              <w:tc>
                <w:tcPr>
                  <w:tcW w:w="793" w:type="dxa"/>
                  <w:vAlign w:val="center"/>
                </w:tcPr>
                <w:p w14:paraId="333C10B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-25.76</w:t>
                  </w:r>
                </w:p>
              </w:tc>
              <w:tc>
                <w:tcPr>
                  <w:tcW w:w="595" w:type="dxa"/>
                  <w:shd w:val="clear" w:color="auto" w:fill="auto"/>
                  <w:vAlign w:val="center"/>
                </w:tcPr>
                <w:p w14:paraId="7C279C9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0ADC4D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r>
                    <w:rPr>
                      <w:rFonts w:hint="eastAsia" w:ascii="Times New Roman" w:hAnsi="Times New Roman" w:cs="黑体"/>
                      <w:b w:val="0"/>
                      <w:bCs w:val="0"/>
                      <w:snapToGrid w:val="0"/>
                      <w:color w:val="auto"/>
                      <w:sz w:val="21"/>
                      <w:szCs w:val="21"/>
                      <w:vertAlign w:val="baseline"/>
                      <w:lang w:val="en-US" w:eastAsia="zh-CN"/>
                    </w:rPr>
                    <w:t>6</w:t>
                  </w:r>
                </w:p>
              </w:tc>
              <w:tc>
                <w:tcPr>
                  <w:tcW w:w="1072" w:type="dxa"/>
                  <w:vAlign w:val="center"/>
                </w:tcPr>
                <w:p w14:paraId="643AAFF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45.92</w:t>
                  </w:r>
                </w:p>
              </w:tc>
              <w:tc>
                <w:tcPr>
                  <w:tcW w:w="739" w:type="dxa"/>
                  <w:vAlign w:val="center"/>
                </w:tcPr>
                <w:p w14:paraId="6F333CF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94478C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3296537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24.92</w:t>
                  </w:r>
                </w:p>
              </w:tc>
              <w:tc>
                <w:tcPr>
                  <w:tcW w:w="863" w:type="dxa"/>
                  <w:vAlign w:val="center"/>
                </w:tcPr>
                <w:p w14:paraId="2B3E8E4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C35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5F9D9D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10</w:t>
                  </w:r>
                </w:p>
              </w:tc>
              <w:tc>
                <w:tcPr>
                  <w:tcW w:w="653" w:type="dxa"/>
                  <w:vMerge w:val="continue"/>
                  <w:vAlign w:val="center"/>
                </w:tcPr>
                <w:p w14:paraId="310A82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3D8F3F40">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r>
                    <w:rPr>
                      <w:rFonts w:hint="eastAsia"/>
                      <w:color w:val="auto"/>
                      <w:lang w:val="en-US" w:eastAsia="zh-CN"/>
                    </w:rPr>
                    <w:t>3</w:t>
                  </w:r>
                </w:p>
              </w:tc>
              <w:tc>
                <w:tcPr>
                  <w:tcW w:w="696" w:type="dxa"/>
                  <w:vAlign w:val="center"/>
                </w:tcPr>
                <w:p w14:paraId="00D8419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091E61C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65436F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79821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90.08</w:t>
                  </w:r>
                </w:p>
              </w:tc>
              <w:tc>
                <w:tcPr>
                  <w:tcW w:w="793" w:type="dxa"/>
                  <w:vAlign w:val="center"/>
                </w:tcPr>
                <w:p w14:paraId="2B48C3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-35.12</w:t>
                  </w:r>
                </w:p>
              </w:tc>
              <w:tc>
                <w:tcPr>
                  <w:tcW w:w="595" w:type="dxa"/>
                  <w:shd w:val="clear" w:color="auto" w:fill="auto"/>
                  <w:vAlign w:val="center"/>
                </w:tcPr>
                <w:p w14:paraId="7C8ECAA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63841C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r>
                    <w:rPr>
                      <w:rFonts w:hint="eastAsia" w:ascii="Times New Roman" w:hAnsi="Times New Roman" w:cs="黑体"/>
                      <w:b w:val="0"/>
                      <w:bCs w:val="0"/>
                      <w:snapToGrid w:val="0"/>
                      <w:color w:val="auto"/>
                      <w:sz w:val="21"/>
                      <w:szCs w:val="21"/>
                      <w:vertAlign w:val="baseline"/>
                      <w:lang w:val="en-US" w:eastAsia="zh-CN"/>
                    </w:rPr>
                    <w:t>6</w:t>
                  </w:r>
                </w:p>
              </w:tc>
              <w:tc>
                <w:tcPr>
                  <w:tcW w:w="1072" w:type="dxa"/>
                  <w:vAlign w:val="center"/>
                </w:tcPr>
                <w:p w14:paraId="18595D8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65.92</w:t>
                  </w:r>
                </w:p>
              </w:tc>
              <w:tc>
                <w:tcPr>
                  <w:tcW w:w="739" w:type="dxa"/>
                  <w:vAlign w:val="center"/>
                </w:tcPr>
                <w:p w14:paraId="4081C4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192967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73CE50B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44.92</w:t>
                  </w:r>
                </w:p>
              </w:tc>
              <w:tc>
                <w:tcPr>
                  <w:tcW w:w="863" w:type="dxa"/>
                  <w:vAlign w:val="center"/>
                </w:tcPr>
                <w:p w14:paraId="4DD6DED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B3C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34B88A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11</w:t>
                  </w:r>
                </w:p>
              </w:tc>
              <w:tc>
                <w:tcPr>
                  <w:tcW w:w="653" w:type="dxa"/>
                  <w:vMerge w:val="continue"/>
                  <w:vAlign w:val="center"/>
                </w:tcPr>
                <w:p w14:paraId="7C2D6A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2D831988">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r>
                    <w:rPr>
                      <w:rFonts w:hint="eastAsia"/>
                      <w:color w:val="auto"/>
                      <w:lang w:val="en-US" w:eastAsia="zh-CN"/>
                    </w:rPr>
                    <w:t>3</w:t>
                  </w:r>
                </w:p>
              </w:tc>
              <w:tc>
                <w:tcPr>
                  <w:tcW w:w="696" w:type="dxa"/>
                  <w:vAlign w:val="center"/>
                </w:tcPr>
                <w:p w14:paraId="37F68FA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8A54D5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239D0E1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331C7A2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70.61</w:t>
                  </w:r>
                </w:p>
              </w:tc>
              <w:tc>
                <w:tcPr>
                  <w:tcW w:w="793" w:type="dxa"/>
                  <w:vAlign w:val="center"/>
                </w:tcPr>
                <w:p w14:paraId="0990A17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-16.26</w:t>
                  </w:r>
                </w:p>
              </w:tc>
              <w:tc>
                <w:tcPr>
                  <w:tcW w:w="595" w:type="dxa"/>
                  <w:shd w:val="clear" w:color="auto" w:fill="auto"/>
                  <w:vAlign w:val="center"/>
                </w:tcPr>
                <w:p w14:paraId="6D7D45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30FD0D8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r>
                    <w:rPr>
                      <w:rFonts w:hint="eastAsia" w:ascii="Times New Roman" w:hAnsi="Times New Roman" w:cs="黑体"/>
                      <w:b w:val="0"/>
                      <w:bCs w:val="0"/>
                      <w:snapToGrid w:val="0"/>
                      <w:color w:val="auto"/>
                      <w:sz w:val="21"/>
                      <w:szCs w:val="21"/>
                      <w:vertAlign w:val="baseline"/>
                      <w:lang w:val="en-US" w:eastAsia="zh-CN"/>
                    </w:rPr>
                    <w:t>6</w:t>
                  </w:r>
                </w:p>
              </w:tc>
              <w:tc>
                <w:tcPr>
                  <w:tcW w:w="1072" w:type="dxa"/>
                  <w:vAlign w:val="center"/>
                </w:tcPr>
                <w:p w14:paraId="03CF4A6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55.92</w:t>
                  </w:r>
                </w:p>
              </w:tc>
              <w:tc>
                <w:tcPr>
                  <w:tcW w:w="739" w:type="dxa"/>
                  <w:vAlign w:val="center"/>
                </w:tcPr>
                <w:p w14:paraId="1148F2A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6599080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07EE031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34.92</w:t>
                  </w:r>
                </w:p>
              </w:tc>
              <w:tc>
                <w:tcPr>
                  <w:tcW w:w="863" w:type="dxa"/>
                  <w:vAlign w:val="center"/>
                </w:tcPr>
                <w:p w14:paraId="7B5057F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472C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00D040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w:t>
                  </w:r>
                </w:p>
              </w:tc>
              <w:tc>
                <w:tcPr>
                  <w:tcW w:w="653" w:type="dxa"/>
                  <w:vMerge w:val="continue"/>
                  <w:vAlign w:val="center"/>
                </w:tcPr>
                <w:p w14:paraId="6CE0C23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075A0CA6">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风机3</w:t>
                  </w:r>
                </w:p>
              </w:tc>
              <w:tc>
                <w:tcPr>
                  <w:tcW w:w="696" w:type="dxa"/>
                  <w:shd w:val="clear" w:color="auto" w:fill="auto"/>
                  <w:vAlign w:val="center"/>
                </w:tcPr>
                <w:p w14:paraId="7EF79D9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1C46C18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0E4A313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064158E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84.42</w:t>
                  </w:r>
                </w:p>
              </w:tc>
              <w:tc>
                <w:tcPr>
                  <w:tcW w:w="793" w:type="dxa"/>
                  <w:shd w:val="clear" w:color="auto" w:fill="auto"/>
                  <w:vAlign w:val="center"/>
                </w:tcPr>
                <w:p w14:paraId="773B7AE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-26.79</w:t>
                  </w:r>
                </w:p>
              </w:tc>
              <w:tc>
                <w:tcPr>
                  <w:tcW w:w="595" w:type="dxa"/>
                  <w:shd w:val="clear" w:color="auto" w:fill="auto"/>
                  <w:vAlign w:val="center"/>
                </w:tcPr>
                <w:p w14:paraId="248E592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34D9CA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shd w:val="clear" w:color="auto" w:fill="auto"/>
                  <w:vAlign w:val="center"/>
                </w:tcPr>
                <w:p w14:paraId="2BC5BF4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65.92</w:t>
                  </w:r>
                </w:p>
              </w:tc>
              <w:tc>
                <w:tcPr>
                  <w:tcW w:w="739" w:type="dxa"/>
                  <w:shd w:val="clear" w:color="auto" w:fill="auto"/>
                  <w:vAlign w:val="center"/>
                </w:tcPr>
                <w:p w14:paraId="67E818C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0DF87C6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04C588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44.92</w:t>
                  </w:r>
                </w:p>
              </w:tc>
              <w:tc>
                <w:tcPr>
                  <w:tcW w:w="863" w:type="dxa"/>
                  <w:shd w:val="clear" w:color="auto" w:fill="auto"/>
                  <w:vAlign w:val="center"/>
                </w:tcPr>
                <w:p w14:paraId="796A93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45C5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Align w:val="center"/>
                </w:tcPr>
                <w:p w14:paraId="79BC26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13</w:t>
                  </w:r>
                </w:p>
              </w:tc>
              <w:tc>
                <w:tcPr>
                  <w:tcW w:w="653" w:type="dxa"/>
                  <w:vMerge w:val="continue"/>
                  <w:vAlign w:val="center"/>
                </w:tcPr>
                <w:p w14:paraId="34F738C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45FCD57A">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r>
                    <w:rPr>
                      <w:rFonts w:hint="eastAsia"/>
                      <w:color w:val="auto"/>
                      <w:lang w:val="en-US" w:eastAsia="zh-CN"/>
                    </w:rPr>
                    <w:t>4</w:t>
                  </w:r>
                </w:p>
              </w:tc>
              <w:tc>
                <w:tcPr>
                  <w:tcW w:w="696" w:type="dxa"/>
                  <w:vAlign w:val="center"/>
                </w:tcPr>
                <w:p w14:paraId="547AECF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2D3149B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503C3DD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A2AABC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87.02</w:t>
                  </w:r>
                </w:p>
              </w:tc>
              <w:tc>
                <w:tcPr>
                  <w:tcW w:w="793" w:type="dxa"/>
                  <w:vAlign w:val="center"/>
                </w:tcPr>
                <w:p w14:paraId="3A74768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-17.11</w:t>
                  </w:r>
                </w:p>
              </w:tc>
              <w:tc>
                <w:tcPr>
                  <w:tcW w:w="595" w:type="dxa"/>
                  <w:shd w:val="clear" w:color="auto" w:fill="auto"/>
                  <w:vAlign w:val="center"/>
                </w:tcPr>
                <w:p w14:paraId="075D12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CEAF0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1C8E53E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43.98</w:t>
                  </w:r>
                </w:p>
              </w:tc>
              <w:tc>
                <w:tcPr>
                  <w:tcW w:w="739" w:type="dxa"/>
                  <w:vAlign w:val="center"/>
                </w:tcPr>
                <w:p w14:paraId="5CE3D6F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4820FA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15</w:t>
                  </w:r>
                </w:p>
              </w:tc>
              <w:tc>
                <w:tcPr>
                  <w:tcW w:w="1083" w:type="dxa"/>
                  <w:vAlign w:val="center"/>
                </w:tcPr>
                <w:p w14:paraId="7B94C0F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22.98</w:t>
                  </w:r>
                </w:p>
              </w:tc>
              <w:tc>
                <w:tcPr>
                  <w:tcW w:w="863" w:type="dxa"/>
                  <w:vAlign w:val="center"/>
                </w:tcPr>
                <w:p w14:paraId="244EF21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5F8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412776D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4</w:t>
                  </w:r>
                </w:p>
              </w:tc>
              <w:tc>
                <w:tcPr>
                  <w:tcW w:w="653" w:type="dxa"/>
                  <w:vMerge w:val="continue"/>
                  <w:vAlign w:val="center"/>
                </w:tcPr>
                <w:p w14:paraId="53D299C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288DCF98">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r>
                    <w:rPr>
                      <w:rFonts w:hint="eastAsia"/>
                      <w:color w:val="auto"/>
                      <w:lang w:val="en-US" w:eastAsia="zh-CN"/>
                    </w:rPr>
                    <w:t>4</w:t>
                  </w:r>
                </w:p>
              </w:tc>
              <w:tc>
                <w:tcPr>
                  <w:tcW w:w="696" w:type="dxa"/>
                  <w:vAlign w:val="center"/>
                </w:tcPr>
                <w:p w14:paraId="3AFDEDD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643F0F8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2C4691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4D8F25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97.72</w:t>
                  </w:r>
                </w:p>
              </w:tc>
              <w:tc>
                <w:tcPr>
                  <w:tcW w:w="793" w:type="dxa"/>
                  <w:vAlign w:val="center"/>
                </w:tcPr>
                <w:p w14:paraId="0380C82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-26.86</w:t>
                  </w:r>
                </w:p>
              </w:tc>
              <w:tc>
                <w:tcPr>
                  <w:tcW w:w="595" w:type="dxa"/>
                  <w:shd w:val="clear" w:color="auto" w:fill="auto"/>
                  <w:vAlign w:val="center"/>
                </w:tcPr>
                <w:p w14:paraId="496F06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6A6556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653B2D5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63.98</w:t>
                  </w:r>
                </w:p>
              </w:tc>
              <w:tc>
                <w:tcPr>
                  <w:tcW w:w="739" w:type="dxa"/>
                  <w:vAlign w:val="center"/>
                </w:tcPr>
                <w:p w14:paraId="5557BC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FBB5AA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1CBF361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42.98</w:t>
                  </w:r>
                </w:p>
              </w:tc>
              <w:tc>
                <w:tcPr>
                  <w:tcW w:w="863" w:type="dxa"/>
                  <w:vAlign w:val="center"/>
                </w:tcPr>
                <w:p w14:paraId="0F358BE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7E37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E4DD5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5</w:t>
                  </w:r>
                </w:p>
              </w:tc>
              <w:tc>
                <w:tcPr>
                  <w:tcW w:w="653" w:type="dxa"/>
                  <w:vMerge w:val="continue"/>
                  <w:vAlign w:val="center"/>
                </w:tcPr>
                <w:p w14:paraId="7EDF13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681145D1">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r>
                    <w:rPr>
                      <w:rFonts w:hint="eastAsia"/>
                      <w:color w:val="auto"/>
                      <w:lang w:val="en-US" w:eastAsia="zh-CN"/>
                    </w:rPr>
                    <w:t>4</w:t>
                  </w:r>
                </w:p>
              </w:tc>
              <w:tc>
                <w:tcPr>
                  <w:tcW w:w="696" w:type="dxa"/>
                  <w:vAlign w:val="center"/>
                </w:tcPr>
                <w:p w14:paraId="70DD307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63FB16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169D8E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A38FF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77.07</w:t>
                  </w:r>
                </w:p>
              </w:tc>
              <w:tc>
                <w:tcPr>
                  <w:tcW w:w="793" w:type="dxa"/>
                  <w:vAlign w:val="center"/>
                </w:tcPr>
                <w:p w14:paraId="402DCB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-9.34</w:t>
                  </w:r>
                </w:p>
              </w:tc>
              <w:tc>
                <w:tcPr>
                  <w:tcW w:w="595" w:type="dxa"/>
                  <w:shd w:val="clear" w:color="auto" w:fill="auto"/>
                  <w:vAlign w:val="center"/>
                </w:tcPr>
                <w:p w14:paraId="2EDF77F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48F34D3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5BF8F76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53.98</w:t>
                  </w:r>
                </w:p>
              </w:tc>
              <w:tc>
                <w:tcPr>
                  <w:tcW w:w="739" w:type="dxa"/>
                  <w:vAlign w:val="center"/>
                </w:tcPr>
                <w:p w14:paraId="07BF048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EF32E2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2D1519E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32.98</w:t>
                  </w:r>
                </w:p>
              </w:tc>
              <w:tc>
                <w:tcPr>
                  <w:tcW w:w="863" w:type="dxa"/>
                  <w:vAlign w:val="center"/>
                </w:tcPr>
                <w:p w14:paraId="2930A8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CF0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0D5E90D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w:t>
                  </w:r>
                </w:p>
              </w:tc>
              <w:tc>
                <w:tcPr>
                  <w:tcW w:w="653" w:type="dxa"/>
                  <w:vMerge w:val="continue"/>
                  <w:vAlign w:val="center"/>
                </w:tcPr>
                <w:p w14:paraId="64AA51E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6D02A2FD">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风机4</w:t>
                  </w:r>
                </w:p>
              </w:tc>
              <w:tc>
                <w:tcPr>
                  <w:tcW w:w="696" w:type="dxa"/>
                  <w:shd w:val="clear" w:color="auto" w:fill="auto"/>
                  <w:vAlign w:val="center"/>
                </w:tcPr>
                <w:p w14:paraId="019D590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ACEF51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059EBA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771E9E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90.73</w:t>
                  </w:r>
                </w:p>
              </w:tc>
              <w:tc>
                <w:tcPr>
                  <w:tcW w:w="793" w:type="dxa"/>
                  <w:shd w:val="clear" w:color="auto" w:fill="auto"/>
                  <w:vAlign w:val="center"/>
                </w:tcPr>
                <w:p w14:paraId="04AB46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-19.58</w:t>
                  </w:r>
                </w:p>
              </w:tc>
              <w:tc>
                <w:tcPr>
                  <w:tcW w:w="595" w:type="dxa"/>
                  <w:shd w:val="clear" w:color="auto" w:fill="auto"/>
                  <w:vAlign w:val="center"/>
                </w:tcPr>
                <w:p w14:paraId="426B63D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15FA301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shd w:val="clear" w:color="auto" w:fill="auto"/>
                  <w:vAlign w:val="center"/>
                </w:tcPr>
                <w:p w14:paraId="617450F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63.98</w:t>
                  </w:r>
                </w:p>
              </w:tc>
              <w:tc>
                <w:tcPr>
                  <w:tcW w:w="739" w:type="dxa"/>
                  <w:shd w:val="clear" w:color="auto" w:fill="auto"/>
                  <w:vAlign w:val="center"/>
                </w:tcPr>
                <w:p w14:paraId="081499E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199FDE8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243BC98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42.98</w:t>
                  </w:r>
                </w:p>
              </w:tc>
              <w:tc>
                <w:tcPr>
                  <w:tcW w:w="863" w:type="dxa"/>
                  <w:shd w:val="clear" w:color="auto" w:fill="auto"/>
                  <w:vAlign w:val="center"/>
                </w:tcPr>
                <w:p w14:paraId="2C10E7E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7DF0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0ED6F6E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7</w:t>
                  </w:r>
                </w:p>
              </w:tc>
              <w:tc>
                <w:tcPr>
                  <w:tcW w:w="653" w:type="dxa"/>
                  <w:vMerge w:val="restart"/>
                  <w:vAlign w:val="center"/>
                </w:tcPr>
                <w:p w14:paraId="71301B8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3#生产车间</w:t>
                  </w:r>
                </w:p>
              </w:tc>
              <w:tc>
                <w:tcPr>
                  <w:tcW w:w="1818" w:type="dxa"/>
                  <w:vAlign w:val="center"/>
                </w:tcPr>
                <w:p w14:paraId="46F247D8">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r>
                    <w:rPr>
                      <w:rFonts w:hint="eastAsia"/>
                      <w:color w:val="auto"/>
                      <w:lang w:val="en-US" w:eastAsia="zh-CN"/>
                    </w:rPr>
                    <w:t>5</w:t>
                  </w:r>
                </w:p>
              </w:tc>
              <w:tc>
                <w:tcPr>
                  <w:tcW w:w="696" w:type="dxa"/>
                  <w:vAlign w:val="center"/>
                </w:tcPr>
                <w:p w14:paraId="6FBF4F0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2337D62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1D9C9B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D2C35A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94.59</w:t>
                  </w:r>
                </w:p>
              </w:tc>
              <w:tc>
                <w:tcPr>
                  <w:tcW w:w="793" w:type="dxa"/>
                  <w:vAlign w:val="center"/>
                </w:tcPr>
                <w:p w14:paraId="6D214E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-8.81</w:t>
                  </w:r>
                </w:p>
              </w:tc>
              <w:tc>
                <w:tcPr>
                  <w:tcW w:w="595" w:type="dxa"/>
                  <w:shd w:val="clear" w:color="auto" w:fill="auto"/>
                  <w:vAlign w:val="center"/>
                </w:tcPr>
                <w:p w14:paraId="3980E0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9C4550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6CE52D3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43.98</w:t>
                  </w:r>
                </w:p>
              </w:tc>
              <w:tc>
                <w:tcPr>
                  <w:tcW w:w="739" w:type="dxa"/>
                  <w:vAlign w:val="center"/>
                </w:tcPr>
                <w:p w14:paraId="049E32F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16CE2F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68F8BF9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22.98</w:t>
                  </w:r>
                </w:p>
              </w:tc>
              <w:tc>
                <w:tcPr>
                  <w:tcW w:w="863" w:type="dxa"/>
                  <w:vAlign w:val="center"/>
                </w:tcPr>
                <w:p w14:paraId="00A579C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0BD3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529D9B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8</w:t>
                  </w:r>
                </w:p>
              </w:tc>
              <w:tc>
                <w:tcPr>
                  <w:tcW w:w="653" w:type="dxa"/>
                  <w:vMerge w:val="continue"/>
                  <w:vAlign w:val="center"/>
                </w:tcPr>
                <w:p w14:paraId="0B0952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6C07C91A">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飞锯</w:t>
                  </w:r>
                  <w:r>
                    <w:rPr>
                      <w:rFonts w:hint="eastAsia"/>
                      <w:color w:val="auto"/>
                      <w:lang w:val="en-US" w:eastAsia="zh-CN"/>
                    </w:rPr>
                    <w:t>5</w:t>
                  </w:r>
                </w:p>
              </w:tc>
              <w:tc>
                <w:tcPr>
                  <w:tcW w:w="696" w:type="dxa"/>
                  <w:vAlign w:val="center"/>
                </w:tcPr>
                <w:p w14:paraId="4B06184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90437A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5F3C3E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BFA089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106.74</w:t>
                  </w:r>
                </w:p>
              </w:tc>
              <w:tc>
                <w:tcPr>
                  <w:tcW w:w="793" w:type="dxa"/>
                  <w:vAlign w:val="center"/>
                </w:tcPr>
                <w:p w14:paraId="56E299D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-17.3</w:t>
                  </w:r>
                </w:p>
              </w:tc>
              <w:tc>
                <w:tcPr>
                  <w:tcW w:w="595" w:type="dxa"/>
                  <w:shd w:val="clear" w:color="auto" w:fill="auto"/>
                  <w:vAlign w:val="center"/>
                </w:tcPr>
                <w:p w14:paraId="2CC5FD5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971237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17478E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63.98</w:t>
                  </w:r>
                </w:p>
              </w:tc>
              <w:tc>
                <w:tcPr>
                  <w:tcW w:w="739" w:type="dxa"/>
                  <w:vAlign w:val="center"/>
                </w:tcPr>
                <w:p w14:paraId="2439CA0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B83967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7DAEE26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42.98</w:t>
                  </w:r>
                </w:p>
              </w:tc>
              <w:tc>
                <w:tcPr>
                  <w:tcW w:w="863" w:type="dxa"/>
                  <w:vAlign w:val="center"/>
                </w:tcPr>
                <w:p w14:paraId="3FE8D2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378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EBE61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9</w:t>
                  </w:r>
                </w:p>
              </w:tc>
              <w:tc>
                <w:tcPr>
                  <w:tcW w:w="653" w:type="dxa"/>
                  <w:vMerge w:val="continue"/>
                  <w:vAlign w:val="center"/>
                </w:tcPr>
                <w:p w14:paraId="5241B63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06EA3219">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r>
                    <w:rPr>
                      <w:rFonts w:hint="eastAsia"/>
                      <w:color w:val="auto"/>
                      <w:lang w:val="en-US" w:eastAsia="zh-CN"/>
                    </w:rPr>
                    <w:t>5</w:t>
                  </w:r>
                </w:p>
              </w:tc>
              <w:tc>
                <w:tcPr>
                  <w:tcW w:w="696" w:type="dxa"/>
                  <w:vAlign w:val="center"/>
                </w:tcPr>
                <w:p w14:paraId="67C0BB0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72B4D7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02C495A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2AEB1B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82.79</w:t>
                  </w:r>
                </w:p>
              </w:tc>
              <w:tc>
                <w:tcPr>
                  <w:tcW w:w="793" w:type="dxa"/>
                  <w:vAlign w:val="center"/>
                </w:tcPr>
                <w:p w14:paraId="3F8AC61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-0.16</w:t>
                  </w:r>
                </w:p>
              </w:tc>
              <w:tc>
                <w:tcPr>
                  <w:tcW w:w="595" w:type="dxa"/>
                  <w:shd w:val="clear" w:color="auto" w:fill="auto"/>
                  <w:vAlign w:val="center"/>
                </w:tcPr>
                <w:p w14:paraId="5C9996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20B98AA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5B446A4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53.98</w:t>
                  </w:r>
                </w:p>
              </w:tc>
              <w:tc>
                <w:tcPr>
                  <w:tcW w:w="739" w:type="dxa"/>
                  <w:vAlign w:val="center"/>
                </w:tcPr>
                <w:p w14:paraId="2C7FE85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81A0FE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4160E2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32.98</w:t>
                  </w:r>
                </w:p>
              </w:tc>
              <w:tc>
                <w:tcPr>
                  <w:tcW w:w="863" w:type="dxa"/>
                  <w:vAlign w:val="center"/>
                </w:tcPr>
                <w:p w14:paraId="5C14048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6B6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03F1FA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653" w:type="dxa"/>
                  <w:vMerge w:val="continue"/>
                  <w:vAlign w:val="center"/>
                </w:tcPr>
                <w:p w14:paraId="6DA3E6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68998EE1">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风机5</w:t>
                  </w:r>
                </w:p>
              </w:tc>
              <w:tc>
                <w:tcPr>
                  <w:tcW w:w="696" w:type="dxa"/>
                  <w:shd w:val="clear" w:color="auto" w:fill="auto"/>
                  <w:vAlign w:val="center"/>
                </w:tcPr>
                <w:p w14:paraId="1B82F85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11D0B6F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174F556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418DB4F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99.31</w:t>
                  </w:r>
                </w:p>
              </w:tc>
              <w:tc>
                <w:tcPr>
                  <w:tcW w:w="793" w:type="dxa"/>
                  <w:shd w:val="clear" w:color="auto" w:fill="auto"/>
                  <w:vAlign w:val="center"/>
                </w:tcPr>
                <w:p w14:paraId="14E4875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-11.84</w:t>
                  </w:r>
                </w:p>
              </w:tc>
              <w:tc>
                <w:tcPr>
                  <w:tcW w:w="595" w:type="dxa"/>
                  <w:shd w:val="clear" w:color="auto" w:fill="auto"/>
                  <w:vAlign w:val="center"/>
                </w:tcPr>
                <w:p w14:paraId="4454EF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0928BAC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shd w:val="clear" w:color="auto" w:fill="auto"/>
                  <w:vAlign w:val="center"/>
                </w:tcPr>
                <w:p w14:paraId="5A0252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63.98</w:t>
                  </w:r>
                </w:p>
              </w:tc>
              <w:tc>
                <w:tcPr>
                  <w:tcW w:w="739" w:type="dxa"/>
                  <w:shd w:val="clear" w:color="auto" w:fill="auto"/>
                  <w:vAlign w:val="center"/>
                </w:tcPr>
                <w:p w14:paraId="70A2259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0D977B2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43302DC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42.98</w:t>
                  </w:r>
                </w:p>
              </w:tc>
              <w:tc>
                <w:tcPr>
                  <w:tcW w:w="863" w:type="dxa"/>
                  <w:shd w:val="clear" w:color="auto" w:fill="auto"/>
                  <w:vAlign w:val="center"/>
                </w:tcPr>
                <w:p w14:paraId="08F7B27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4DC0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175F8B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20</w:t>
                  </w:r>
                </w:p>
              </w:tc>
              <w:tc>
                <w:tcPr>
                  <w:tcW w:w="653" w:type="dxa"/>
                  <w:vMerge w:val="continue"/>
                  <w:vAlign w:val="center"/>
                </w:tcPr>
                <w:p w14:paraId="2E86943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79088024">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高频直缝焊管机</w:t>
                  </w:r>
                  <w:r>
                    <w:rPr>
                      <w:rFonts w:hint="eastAsia"/>
                      <w:color w:val="auto"/>
                      <w:lang w:val="en-US" w:eastAsia="zh-CN"/>
                    </w:rPr>
                    <w:t>6</w:t>
                  </w:r>
                </w:p>
              </w:tc>
              <w:tc>
                <w:tcPr>
                  <w:tcW w:w="696" w:type="dxa"/>
                  <w:vAlign w:val="center"/>
                </w:tcPr>
                <w:p w14:paraId="3ECC881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514A789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532AA0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D644C5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100.18</w:t>
                  </w:r>
                </w:p>
              </w:tc>
              <w:tc>
                <w:tcPr>
                  <w:tcW w:w="793" w:type="dxa"/>
                  <w:vAlign w:val="center"/>
                </w:tcPr>
                <w:p w14:paraId="0CEBBFC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-1.24</w:t>
                  </w:r>
                </w:p>
              </w:tc>
              <w:tc>
                <w:tcPr>
                  <w:tcW w:w="595" w:type="dxa"/>
                  <w:shd w:val="clear" w:color="auto" w:fill="auto"/>
                  <w:vAlign w:val="center"/>
                </w:tcPr>
                <w:p w14:paraId="1FEF06D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34BF4D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3CE7238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45.92</w:t>
                  </w:r>
                </w:p>
              </w:tc>
              <w:tc>
                <w:tcPr>
                  <w:tcW w:w="739" w:type="dxa"/>
                  <w:vAlign w:val="center"/>
                </w:tcPr>
                <w:p w14:paraId="056511A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F25D12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10B802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24.92</w:t>
                  </w:r>
                </w:p>
              </w:tc>
              <w:tc>
                <w:tcPr>
                  <w:tcW w:w="863" w:type="dxa"/>
                  <w:vAlign w:val="center"/>
                </w:tcPr>
                <w:p w14:paraId="785C1F9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0A9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1FB687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22</w:t>
                  </w:r>
                </w:p>
              </w:tc>
              <w:tc>
                <w:tcPr>
                  <w:tcW w:w="653" w:type="dxa"/>
                  <w:vMerge w:val="continue"/>
                  <w:vAlign w:val="center"/>
                </w:tcPr>
                <w:p w14:paraId="2175CA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1D8EB9F2">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飞锯</w:t>
                  </w:r>
                  <w:r>
                    <w:rPr>
                      <w:rFonts w:hint="eastAsia"/>
                      <w:color w:val="auto"/>
                      <w:lang w:val="en-US" w:eastAsia="zh-CN"/>
                    </w:rPr>
                    <w:t>6</w:t>
                  </w:r>
                </w:p>
              </w:tc>
              <w:tc>
                <w:tcPr>
                  <w:tcW w:w="696" w:type="dxa"/>
                  <w:vAlign w:val="center"/>
                </w:tcPr>
                <w:p w14:paraId="05AF57F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7A8BBFF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1F99CB8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E3B7B7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112.97</w:t>
                  </w:r>
                </w:p>
              </w:tc>
              <w:tc>
                <w:tcPr>
                  <w:tcW w:w="793" w:type="dxa"/>
                  <w:vAlign w:val="center"/>
                </w:tcPr>
                <w:p w14:paraId="3AE6B0A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-10.31</w:t>
                  </w:r>
                </w:p>
              </w:tc>
              <w:tc>
                <w:tcPr>
                  <w:tcW w:w="595" w:type="dxa"/>
                  <w:shd w:val="clear" w:color="auto" w:fill="auto"/>
                  <w:vAlign w:val="center"/>
                </w:tcPr>
                <w:p w14:paraId="6BA174B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0229C4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7C575AE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65.92</w:t>
                  </w:r>
                </w:p>
              </w:tc>
              <w:tc>
                <w:tcPr>
                  <w:tcW w:w="739" w:type="dxa"/>
                  <w:vAlign w:val="center"/>
                </w:tcPr>
                <w:p w14:paraId="6644F8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6CF027B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15</w:t>
                  </w:r>
                </w:p>
              </w:tc>
              <w:tc>
                <w:tcPr>
                  <w:tcW w:w="1083" w:type="dxa"/>
                  <w:vAlign w:val="center"/>
                </w:tcPr>
                <w:p w14:paraId="13458C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44.92</w:t>
                  </w:r>
                </w:p>
              </w:tc>
              <w:tc>
                <w:tcPr>
                  <w:tcW w:w="863" w:type="dxa"/>
                  <w:vAlign w:val="center"/>
                </w:tcPr>
                <w:p w14:paraId="46B029D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5FB6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51A6D5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23</w:t>
                  </w:r>
                </w:p>
              </w:tc>
              <w:tc>
                <w:tcPr>
                  <w:tcW w:w="653" w:type="dxa"/>
                  <w:vMerge w:val="continue"/>
                  <w:vAlign w:val="center"/>
                </w:tcPr>
                <w:p w14:paraId="1951CC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7AE87DF0">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rPr>
                  </w:pPr>
                  <w:r>
                    <w:rPr>
                      <w:rFonts w:hint="eastAsia" w:ascii="Times New Roman" w:hAnsi="Times New Roman" w:eastAsia="宋体"/>
                      <w:color w:val="auto"/>
                      <w:lang w:val="en-US" w:eastAsia="zh-CN"/>
                    </w:rPr>
                    <w:t>开卷</w:t>
                  </w:r>
                  <w:r>
                    <w:rPr>
                      <w:rFonts w:hint="eastAsia"/>
                      <w:color w:val="auto"/>
                      <w:lang w:val="en-US" w:eastAsia="zh-CN"/>
                    </w:rPr>
                    <w:t>6</w:t>
                  </w:r>
                </w:p>
              </w:tc>
              <w:tc>
                <w:tcPr>
                  <w:tcW w:w="696" w:type="dxa"/>
                  <w:vAlign w:val="center"/>
                </w:tcPr>
                <w:p w14:paraId="65E45DF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06306EB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42DBEA6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56AD772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89.71</w:t>
                  </w:r>
                </w:p>
              </w:tc>
              <w:tc>
                <w:tcPr>
                  <w:tcW w:w="793" w:type="dxa"/>
                  <w:vAlign w:val="center"/>
                </w:tcPr>
                <w:p w14:paraId="35EDC2F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8.61</w:t>
                  </w:r>
                </w:p>
              </w:tc>
              <w:tc>
                <w:tcPr>
                  <w:tcW w:w="595" w:type="dxa"/>
                  <w:shd w:val="clear" w:color="auto" w:fill="auto"/>
                  <w:vAlign w:val="center"/>
                </w:tcPr>
                <w:p w14:paraId="1CBDB90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447B1C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1DA540F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55.92</w:t>
                  </w:r>
                </w:p>
              </w:tc>
              <w:tc>
                <w:tcPr>
                  <w:tcW w:w="739" w:type="dxa"/>
                  <w:vAlign w:val="center"/>
                </w:tcPr>
                <w:p w14:paraId="63DFE28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41DFC72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23F2E0E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34.92</w:t>
                  </w:r>
                </w:p>
              </w:tc>
              <w:tc>
                <w:tcPr>
                  <w:tcW w:w="863" w:type="dxa"/>
                  <w:vAlign w:val="center"/>
                </w:tcPr>
                <w:p w14:paraId="0FA083A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206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62726B6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w:t>
                  </w:r>
                </w:p>
              </w:tc>
              <w:tc>
                <w:tcPr>
                  <w:tcW w:w="653" w:type="dxa"/>
                  <w:vMerge w:val="continue"/>
                  <w:vAlign w:val="center"/>
                </w:tcPr>
                <w:p w14:paraId="4BBFDE2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476B0321">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风机6</w:t>
                  </w:r>
                </w:p>
              </w:tc>
              <w:tc>
                <w:tcPr>
                  <w:tcW w:w="696" w:type="dxa"/>
                  <w:shd w:val="clear" w:color="auto" w:fill="auto"/>
                  <w:vAlign w:val="center"/>
                </w:tcPr>
                <w:p w14:paraId="57FB266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507267E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27A3405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6446DE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104.72</w:t>
                  </w:r>
                </w:p>
              </w:tc>
              <w:tc>
                <w:tcPr>
                  <w:tcW w:w="793" w:type="dxa"/>
                  <w:shd w:val="clear" w:color="auto" w:fill="auto"/>
                  <w:vAlign w:val="center"/>
                </w:tcPr>
                <w:p w14:paraId="4684E22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-3.19</w:t>
                  </w:r>
                </w:p>
              </w:tc>
              <w:tc>
                <w:tcPr>
                  <w:tcW w:w="595" w:type="dxa"/>
                  <w:shd w:val="clear" w:color="auto" w:fill="auto"/>
                  <w:vAlign w:val="center"/>
                </w:tcPr>
                <w:p w14:paraId="1726D03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122C5E3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shd w:val="clear" w:color="auto" w:fill="auto"/>
                  <w:vAlign w:val="center"/>
                </w:tcPr>
                <w:p w14:paraId="6612A5A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65.92</w:t>
                  </w:r>
                </w:p>
              </w:tc>
              <w:tc>
                <w:tcPr>
                  <w:tcW w:w="739" w:type="dxa"/>
                  <w:shd w:val="clear" w:color="auto" w:fill="auto"/>
                  <w:vAlign w:val="center"/>
                </w:tcPr>
                <w:p w14:paraId="14FB3E3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7017F13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746000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44.92</w:t>
                  </w:r>
                </w:p>
              </w:tc>
              <w:tc>
                <w:tcPr>
                  <w:tcW w:w="863" w:type="dxa"/>
                  <w:shd w:val="clear" w:color="auto" w:fill="auto"/>
                  <w:vAlign w:val="center"/>
                </w:tcPr>
                <w:p w14:paraId="51C5045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3C98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35E7657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黑体"/>
                      <w:b w:val="0"/>
                      <w:bCs w:val="0"/>
                      <w:snapToGrid w:val="0"/>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25</w:t>
                  </w:r>
                </w:p>
              </w:tc>
              <w:tc>
                <w:tcPr>
                  <w:tcW w:w="653" w:type="dxa"/>
                  <w:vMerge w:val="restart"/>
                  <w:vAlign w:val="center"/>
                </w:tcPr>
                <w:p w14:paraId="5A10168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4#生产车间</w:t>
                  </w:r>
                </w:p>
              </w:tc>
              <w:tc>
                <w:tcPr>
                  <w:tcW w:w="1818" w:type="dxa"/>
                  <w:vAlign w:val="center"/>
                </w:tcPr>
                <w:p w14:paraId="29BF398F">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rPr>
                  </w:pPr>
                  <w:r>
                    <w:rPr>
                      <w:rFonts w:hint="eastAsia" w:ascii="Times New Roman" w:hAnsi="Times New Roman" w:eastAsia="宋体"/>
                      <w:color w:val="auto"/>
                      <w:lang w:val="en-US" w:eastAsia="zh-CN"/>
                    </w:rPr>
                    <w:t>高频直缝焊管机</w:t>
                  </w:r>
                  <w:r>
                    <w:rPr>
                      <w:rFonts w:hint="eastAsia"/>
                      <w:color w:val="auto"/>
                      <w:lang w:val="en-US" w:eastAsia="zh-CN"/>
                    </w:rPr>
                    <w:t>7</w:t>
                  </w:r>
                </w:p>
              </w:tc>
              <w:tc>
                <w:tcPr>
                  <w:tcW w:w="696" w:type="dxa"/>
                  <w:vAlign w:val="center"/>
                </w:tcPr>
                <w:p w14:paraId="4EAB5DF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4C6F660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257315A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A421EE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111.93</w:t>
                  </w:r>
                </w:p>
              </w:tc>
              <w:tc>
                <w:tcPr>
                  <w:tcW w:w="793" w:type="dxa"/>
                  <w:vAlign w:val="center"/>
                </w:tcPr>
                <w:p w14:paraId="14B2FB7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6.32</w:t>
                  </w:r>
                </w:p>
              </w:tc>
              <w:tc>
                <w:tcPr>
                  <w:tcW w:w="595" w:type="dxa"/>
                  <w:shd w:val="clear" w:color="auto" w:fill="auto"/>
                  <w:vAlign w:val="center"/>
                </w:tcPr>
                <w:p w14:paraId="62FE4D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78DDE6E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7D2A87E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48.42</w:t>
                  </w:r>
                </w:p>
              </w:tc>
              <w:tc>
                <w:tcPr>
                  <w:tcW w:w="739" w:type="dxa"/>
                  <w:vAlign w:val="center"/>
                </w:tcPr>
                <w:p w14:paraId="792DB0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79E4FE7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7BDB243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27.42</w:t>
                  </w:r>
                </w:p>
              </w:tc>
              <w:tc>
                <w:tcPr>
                  <w:tcW w:w="863" w:type="dxa"/>
                  <w:vAlign w:val="center"/>
                </w:tcPr>
                <w:p w14:paraId="1AAA31D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861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3C11BE3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26</w:t>
                  </w:r>
                </w:p>
              </w:tc>
              <w:tc>
                <w:tcPr>
                  <w:tcW w:w="653" w:type="dxa"/>
                  <w:vMerge w:val="continue"/>
                  <w:vAlign w:val="center"/>
                </w:tcPr>
                <w:p w14:paraId="1DD9CB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1380057C">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飞锯</w:t>
                  </w:r>
                  <w:r>
                    <w:rPr>
                      <w:rFonts w:hint="eastAsia"/>
                      <w:color w:val="auto"/>
                      <w:lang w:val="en-US" w:eastAsia="zh-CN"/>
                    </w:rPr>
                    <w:t>7</w:t>
                  </w:r>
                </w:p>
              </w:tc>
              <w:tc>
                <w:tcPr>
                  <w:tcW w:w="696" w:type="dxa"/>
                  <w:shd w:val="clear" w:color="auto" w:fill="auto"/>
                  <w:vAlign w:val="center"/>
                </w:tcPr>
                <w:p w14:paraId="0333159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3BDD8F5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color w:val="auto"/>
                      <w:lang w:val="en-US" w:eastAsia="zh-CN"/>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0D9E1A0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692528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122.78</w:t>
                  </w:r>
                </w:p>
              </w:tc>
              <w:tc>
                <w:tcPr>
                  <w:tcW w:w="793" w:type="dxa"/>
                  <w:vAlign w:val="center"/>
                </w:tcPr>
                <w:p w14:paraId="713AA73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-3.67</w:t>
                  </w:r>
                </w:p>
              </w:tc>
              <w:tc>
                <w:tcPr>
                  <w:tcW w:w="595" w:type="dxa"/>
                  <w:shd w:val="clear" w:color="auto" w:fill="auto"/>
                  <w:vAlign w:val="center"/>
                </w:tcPr>
                <w:p w14:paraId="4A571BA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0A210DB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4B54C14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68.42</w:t>
                  </w:r>
                </w:p>
              </w:tc>
              <w:tc>
                <w:tcPr>
                  <w:tcW w:w="739" w:type="dxa"/>
                  <w:shd w:val="clear" w:color="auto" w:fill="auto"/>
                  <w:vAlign w:val="center"/>
                </w:tcPr>
                <w:p w14:paraId="1C3A601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78D6864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6B9C13F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47.42</w:t>
                  </w:r>
                </w:p>
              </w:tc>
              <w:tc>
                <w:tcPr>
                  <w:tcW w:w="863" w:type="dxa"/>
                  <w:shd w:val="clear" w:color="auto" w:fill="auto"/>
                  <w:vAlign w:val="center"/>
                </w:tcPr>
                <w:p w14:paraId="3708565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459B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6D1027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w:t>
                  </w:r>
                </w:p>
              </w:tc>
              <w:tc>
                <w:tcPr>
                  <w:tcW w:w="653" w:type="dxa"/>
                  <w:vMerge w:val="continue"/>
                  <w:vAlign w:val="center"/>
                </w:tcPr>
                <w:p w14:paraId="058477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vAlign w:val="center"/>
                </w:tcPr>
                <w:p w14:paraId="3E89ACC7">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开卷</w:t>
                  </w:r>
                  <w:r>
                    <w:rPr>
                      <w:rFonts w:hint="eastAsia"/>
                      <w:color w:val="auto"/>
                      <w:lang w:val="en-US" w:eastAsia="zh-CN"/>
                    </w:rPr>
                    <w:t>7</w:t>
                  </w:r>
                </w:p>
              </w:tc>
              <w:tc>
                <w:tcPr>
                  <w:tcW w:w="696" w:type="dxa"/>
                  <w:shd w:val="clear" w:color="auto" w:fill="auto"/>
                  <w:vAlign w:val="center"/>
                </w:tcPr>
                <w:p w14:paraId="6AA21E5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vAlign w:val="center"/>
                </w:tcPr>
                <w:p w14:paraId="759816B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color w:val="auto"/>
                      <w:lang w:val="en-US" w:eastAsia="zh-CN"/>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1E72CD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081476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98.48</w:t>
                  </w:r>
                </w:p>
              </w:tc>
              <w:tc>
                <w:tcPr>
                  <w:tcW w:w="793" w:type="dxa"/>
                  <w:vAlign w:val="center"/>
                </w:tcPr>
                <w:p w14:paraId="2E92CCE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17.38</w:t>
                  </w:r>
                </w:p>
              </w:tc>
              <w:tc>
                <w:tcPr>
                  <w:tcW w:w="595" w:type="dxa"/>
                  <w:shd w:val="clear" w:color="auto" w:fill="auto"/>
                  <w:vAlign w:val="center"/>
                </w:tcPr>
                <w:p w14:paraId="74303B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7F60AB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3C22B93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58.42</w:t>
                  </w:r>
                </w:p>
              </w:tc>
              <w:tc>
                <w:tcPr>
                  <w:tcW w:w="739" w:type="dxa"/>
                  <w:shd w:val="clear" w:color="auto" w:fill="auto"/>
                  <w:vAlign w:val="center"/>
                </w:tcPr>
                <w:p w14:paraId="0F965D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18E2486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4CCB33F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37.42</w:t>
                  </w:r>
                </w:p>
              </w:tc>
              <w:tc>
                <w:tcPr>
                  <w:tcW w:w="863" w:type="dxa"/>
                  <w:shd w:val="clear" w:color="auto" w:fill="auto"/>
                  <w:vAlign w:val="center"/>
                </w:tcPr>
                <w:p w14:paraId="17921E5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D42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090C82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w:t>
                  </w:r>
                </w:p>
              </w:tc>
              <w:tc>
                <w:tcPr>
                  <w:tcW w:w="653" w:type="dxa"/>
                  <w:vMerge w:val="continue"/>
                  <w:vAlign w:val="center"/>
                </w:tcPr>
                <w:p w14:paraId="2E35405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73B4EC6D">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风机7</w:t>
                  </w:r>
                </w:p>
              </w:tc>
              <w:tc>
                <w:tcPr>
                  <w:tcW w:w="696" w:type="dxa"/>
                  <w:shd w:val="clear" w:color="auto" w:fill="auto"/>
                  <w:vAlign w:val="center"/>
                </w:tcPr>
                <w:p w14:paraId="15CEFCC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4503F31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60B207E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1F4225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117.16</w:t>
                  </w:r>
                </w:p>
              </w:tc>
              <w:tc>
                <w:tcPr>
                  <w:tcW w:w="793" w:type="dxa"/>
                  <w:shd w:val="clear" w:color="auto" w:fill="auto"/>
                  <w:vAlign w:val="center"/>
                </w:tcPr>
                <w:p w14:paraId="56B2DA3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4.03</w:t>
                  </w:r>
                </w:p>
              </w:tc>
              <w:tc>
                <w:tcPr>
                  <w:tcW w:w="595" w:type="dxa"/>
                  <w:shd w:val="clear" w:color="auto" w:fill="auto"/>
                  <w:vAlign w:val="center"/>
                </w:tcPr>
                <w:p w14:paraId="578E554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6CBB60A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shd w:val="clear" w:color="auto" w:fill="auto"/>
                  <w:vAlign w:val="center"/>
                </w:tcPr>
                <w:p w14:paraId="3815D26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68.42</w:t>
                  </w:r>
                </w:p>
              </w:tc>
              <w:tc>
                <w:tcPr>
                  <w:tcW w:w="739" w:type="dxa"/>
                  <w:shd w:val="clear" w:color="auto" w:fill="auto"/>
                  <w:vAlign w:val="center"/>
                </w:tcPr>
                <w:p w14:paraId="0CEEF7D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07E7FFC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2AA3BFF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47.42</w:t>
                  </w:r>
                </w:p>
              </w:tc>
              <w:tc>
                <w:tcPr>
                  <w:tcW w:w="863" w:type="dxa"/>
                  <w:shd w:val="clear" w:color="auto" w:fill="auto"/>
                  <w:vAlign w:val="center"/>
                </w:tcPr>
                <w:p w14:paraId="76B6CF2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3861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10A678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w:t>
                  </w:r>
                </w:p>
              </w:tc>
              <w:tc>
                <w:tcPr>
                  <w:tcW w:w="653" w:type="dxa"/>
                  <w:vMerge w:val="continue"/>
                  <w:vAlign w:val="center"/>
                </w:tcPr>
                <w:p w14:paraId="460A82E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5F9C65E4">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olor w:val="auto"/>
                      <w:lang w:val="en-US" w:eastAsia="zh-CN"/>
                    </w:rPr>
                    <w:t>高频直缝焊管机</w:t>
                  </w:r>
                  <w:r>
                    <w:rPr>
                      <w:rFonts w:hint="eastAsia"/>
                      <w:color w:val="auto"/>
                      <w:lang w:val="en-US" w:eastAsia="zh-CN"/>
                    </w:rPr>
                    <w:t>8</w:t>
                  </w:r>
                </w:p>
              </w:tc>
              <w:tc>
                <w:tcPr>
                  <w:tcW w:w="696" w:type="dxa"/>
                  <w:shd w:val="clear" w:color="auto" w:fill="auto"/>
                  <w:vAlign w:val="center"/>
                </w:tcPr>
                <w:p w14:paraId="1D1E03E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46B9866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70</w:t>
                  </w:r>
                </w:p>
              </w:tc>
              <w:tc>
                <w:tcPr>
                  <w:tcW w:w="1182" w:type="dxa"/>
                  <w:vMerge w:val="continue"/>
                  <w:vAlign w:val="center"/>
                </w:tcPr>
                <w:p w14:paraId="23760BD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3723F77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118.56</w:t>
                  </w:r>
                </w:p>
              </w:tc>
              <w:tc>
                <w:tcPr>
                  <w:tcW w:w="793" w:type="dxa"/>
                  <w:vAlign w:val="center"/>
                </w:tcPr>
                <w:p w14:paraId="14A007F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15.73</w:t>
                  </w:r>
                </w:p>
              </w:tc>
              <w:tc>
                <w:tcPr>
                  <w:tcW w:w="595" w:type="dxa"/>
                  <w:shd w:val="clear" w:color="auto" w:fill="auto"/>
                  <w:vAlign w:val="center"/>
                </w:tcPr>
                <w:p w14:paraId="7EF932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724EAA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60C7E5C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51.94</w:t>
                  </w:r>
                </w:p>
              </w:tc>
              <w:tc>
                <w:tcPr>
                  <w:tcW w:w="739" w:type="dxa"/>
                  <w:shd w:val="clear" w:color="auto" w:fill="auto"/>
                  <w:vAlign w:val="center"/>
                </w:tcPr>
                <w:p w14:paraId="57F84CA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551ABEF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42A0E3A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30.94</w:t>
                  </w:r>
                </w:p>
              </w:tc>
              <w:tc>
                <w:tcPr>
                  <w:tcW w:w="863" w:type="dxa"/>
                  <w:shd w:val="clear" w:color="auto" w:fill="auto"/>
                  <w:vAlign w:val="center"/>
                </w:tcPr>
                <w:p w14:paraId="591E337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782B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17B72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w:t>
                  </w:r>
                </w:p>
              </w:tc>
              <w:tc>
                <w:tcPr>
                  <w:tcW w:w="653" w:type="dxa"/>
                  <w:vMerge w:val="continue"/>
                  <w:vAlign w:val="center"/>
                </w:tcPr>
                <w:p w14:paraId="4427074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469FC9E2">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olor w:val="auto"/>
                      <w:lang w:val="en-US" w:eastAsia="zh-CN"/>
                    </w:rPr>
                    <w:t>飞锯</w:t>
                  </w:r>
                  <w:r>
                    <w:rPr>
                      <w:rFonts w:hint="eastAsia"/>
                      <w:color w:val="auto"/>
                      <w:lang w:val="en-US" w:eastAsia="zh-CN"/>
                    </w:rPr>
                    <w:t>8</w:t>
                  </w:r>
                </w:p>
              </w:tc>
              <w:tc>
                <w:tcPr>
                  <w:tcW w:w="696" w:type="dxa"/>
                  <w:shd w:val="clear" w:color="auto" w:fill="auto"/>
                  <w:vAlign w:val="center"/>
                </w:tcPr>
                <w:p w14:paraId="310E115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7EBF922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vAlign w:val="center"/>
                </w:tcPr>
                <w:p w14:paraId="215C43E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8AB54B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130.00</w:t>
                  </w:r>
                </w:p>
              </w:tc>
              <w:tc>
                <w:tcPr>
                  <w:tcW w:w="793" w:type="dxa"/>
                  <w:vAlign w:val="center"/>
                </w:tcPr>
                <w:p w14:paraId="1B52B63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5.85</w:t>
                  </w:r>
                </w:p>
              </w:tc>
              <w:tc>
                <w:tcPr>
                  <w:tcW w:w="595" w:type="dxa"/>
                  <w:shd w:val="clear" w:color="auto" w:fill="auto"/>
                  <w:vAlign w:val="center"/>
                </w:tcPr>
                <w:p w14:paraId="3F382B8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4A4DDF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08A9834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71.94</w:t>
                  </w:r>
                </w:p>
              </w:tc>
              <w:tc>
                <w:tcPr>
                  <w:tcW w:w="739" w:type="dxa"/>
                  <w:shd w:val="clear" w:color="auto" w:fill="auto"/>
                  <w:vAlign w:val="center"/>
                </w:tcPr>
                <w:p w14:paraId="598308F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59FA979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33BA415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50.94</w:t>
                  </w:r>
                </w:p>
              </w:tc>
              <w:tc>
                <w:tcPr>
                  <w:tcW w:w="863" w:type="dxa"/>
                  <w:shd w:val="clear" w:color="auto" w:fill="auto"/>
                  <w:vAlign w:val="center"/>
                </w:tcPr>
                <w:p w14:paraId="7458EDF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460B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62935D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31</w:t>
                  </w:r>
                </w:p>
              </w:tc>
              <w:tc>
                <w:tcPr>
                  <w:tcW w:w="653" w:type="dxa"/>
                  <w:vMerge w:val="continue"/>
                  <w:vAlign w:val="center"/>
                </w:tcPr>
                <w:p w14:paraId="03EB59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4B05F0BA">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宋体"/>
                      <w:b w:val="0"/>
                      <w:i w:val="0"/>
                      <w:iCs w:val="0"/>
                      <w:color w:val="auto"/>
                      <w:kern w:val="0"/>
                      <w:sz w:val="21"/>
                      <w:szCs w:val="21"/>
                      <w:u w:val="none"/>
                      <w:lang w:val="en-US" w:eastAsia="zh-CN" w:bidi="ar"/>
                    </w:rPr>
                  </w:pPr>
                  <w:r>
                    <w:rPr>
                      <w:rFonts w:hint="eastAsia" w:ascii="Times New Roman" w:hAnsi="Times New Roman" w:eastAsia="宋体"/>
                      <w:color w:val="auto"/>
                      <w:lang w:val="en-US" w:eastAsia="zh-CN"/>
                    </w:rPr>
                    <w:t>开卷</w:t>
                  </w:r>
                  <w:r>
                    <w:rPr>
                      <w:rFonts w:hint="eastAsia"/>
                      <w:color w:val="auto"/>
                      <w:lang w:val="en-US" w:eastAsia="zh-CN"/>
                    </w:rPr>
                    <w:t>8</w:t>
                  </w:r>
                </w:p>
              </w:tc>
              <w:tc>
                <w:tcPr>
                  <w:tcW w:w="696" w:type="dxa"/>
                  <w:shd w:val="clear" w:color="auto" w:fill="auto"/>
                  <w:vAlign w:val="center"/>
                </w:tcPr>
                <w:p w14:paraId="782577B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611BD0B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80</w:t>
                  </w:r>
                </w:p>
              </w:tc>
              <w:tc>
                <w:tcPr>
                  <w:tcW w:w="1182" w:type="dxa"/>
                  <w:vMerge w:val="continue"/>
                  <w:vAlign w:val="center"/>
                </w:tcPr>
                <w:p w14:paraId="7CDA1C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39BA6E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105.4</w:t>
                  </w:r>
                </w:p>
              </w:tc>
              <w:tc>
                <w:tcPr>
                  <w:tcW w:w="793" w:type="dxa"/>
                  <w:vAlign w:val="center"/>
                </w:tcPr>
                <w:p w14:paraId="6434842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24.3</w:t>
                  </w:r>
                </w:p>
              </w:tc>
              <w:tc>
                <w:tcPr>
                  <w:tcW w:w="595" w:type="dxa"/>
                  <w:shd w:val="clear" w:color="auto" w:fill="auto"/>
                  <w:vAlign w:val="center"/>
                </w:tcPr>
                <w:p w14:paraId="5DEB94B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F9AFD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106EBE7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61.94</w:t>
                  </w:r>
                </w:p>
              </w:tc>
              <w:tc>
                <w:tcPr>
                  <w:tcW w:w="739" w:type="dxa"/>
                  <w:shd w:val="clear" w:color="auto" w:fill="auto"/>
                  <w:vAlign w:val="center"/>
                </w:tcPr>
                <w:p w14:paraId="345EB4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6599BE2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224995F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40.94</w:t>
                  </w:r>
                </w:p>
              </w:tc>
              <w:tc>
                <w:tcPr>
                  <w:tcW w:w="863" w:type="dxa"/>
                  <w:shd w:val="clear" w:color="auto" w:fill="auto"/>
                  <w:vAlign w:val="center"/>
                </w:tcPr>
                <w:p w14:paraId="4E697F9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C88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19B707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w:t>
                  </w:r>
                </w:p>
              </w:tc>
              <w:tc>
                <w:tcPr>
                  <w:tcW w:w="653" w:type="dxa"/>
                  <w:vMerge w:val="continue"/>
                  <w:vAlign w:val="center"/>
                </w:tcPr>
                <w:p w14:paraId="4C8B58D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775285CD">
                  <w:pPr>
                    <w:pStyle w:val="31"/>
                    <w:keepNext w:val="0"/>
                    <w:keepLines w:val="0"/>
                    <w:pageBreakBefore w:val="0"/>
                    <w:kinsoku/>
                    <w:wordWrap/>
                    <w:overflowPunct/>
                    <w:topLinePunct w:val="0"/>
                    <w:autoSpaceDE/>
                    <w:autoSpaceDN/>
                    <w:bidi w:val="0"/>
                    <w:adjustRightInd w:val="0"/>
                    <w:snapToGrid w:val="0"/>
                    <w:ind w:firstLine="0" w:firstLineChars="0"/>
                    <w:rPr>
                      <w:rFonts w:hint="default" w:ascii="Times New Roman" w:hAnsi="Times New Roman" w:eastAsia="宋体" w:cs="Times New Roman"/>
                      <w:b w:val="0"/>
                      <w:color w:val="auto"/>
                      <w:kern w:val="2"/>
                      <w:sz w:val="21"/>
                      <w:szCs w:val="24"/>
                      <w:lang w:val="en-US" w:eastAsia="zh-CN" w:bidi="ar-SA"/>
                    </w:rPr>
                  </w:pPr>
                  <w:r>
                    <w:rPr>
                      <w:rFonts w:hint="eastAsia"/>
                      <w:color w:val="auto"/>
                      <w:lang w:val="en-US" w:eastAsia="zh-CN"/>
                    </w:rPr>
                    <w:t>风机8</w:t>
                  </w:r>
                </w:p>
              </w:tc>
              <w:tc>
                <w:tcPr>
                  <w:tcW w:w="696" w:type="dxa"/>
                  <w:shd w:val="clear" w:color="auto" w:fill="auto"/>
                  <w:vAlign w:val="center"/>
                </w:tcPr>
                <w:p w14:paraId="0D39933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9F0348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90</w:t>
                  </w:r>
                </w:p>
              </w:tc>
              <w:tc>
                <w:tcPr>
                  <w:tcW w:w="1182" w:type="dxa"/>
                  <w:vMerge w:val="continue"/>
                  <w:shd w:val="clear" w:color="auto" w:fill="auto"/>
                  <w:vAlign w:val="center"/>
                </w:tcPr>
                <w:p w14:paraId="355DCB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kern w:val="0"/>
                      <w:sz w:val="21"/>
                      <w:szCs w:val="21"/>
                      <w:vertAlign w:val="baseline"/>
                      <w:lang w:val="en-US" w:eastAsia="zh-CN" w:bidi="ar-SA"/>
                    </w:rPr>
                  </w:pPr>
                </w:p>
              </w:tc>
              <w:tc>
                <w:tcPr>
                  <w:tcW w:w="794" w:type="dxa"/>
                  <w:shd w:val="clear" w:color="auto" w:fill="auto"/>
                  <w:vAlign w:val="center"/>
                </w:tcPr>
                <w:p w14:paraId="1276B22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123.65</w:t>
                  </w:r>
                </w:p>
              </w:tc>
              <w:tc>
                <w:tcPr>
                  <w:tcW w:w="793" w:type="dxa"/>
                  <w:shd w:val="clear" w:color="auto" w:fill="auto"/>
                  <w:vAlign w:val="center"/>
                </w:tcPr>
                <w:p w14:paraId="4E2FC13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kern w:val="0"/>
                      <w:sz w:val="21"/>
                      <w:szCs w:val="21"/>
                      <w:vertAlign w:val="baseline"/>
                      <w:lang w:val="en-US" w:eastAsia="zh-CN" w:bidi="ar-SA"/>
                    </w:rPr>
                    <w:t>11.78</w:t>
                  </w:r>
                </w:p>
              </w:tc>
              <w:tc>
                <w:tcPr>
                  <w:tcW w:w="595" w:type="dxa"/>
                  <w:shd w:val="clear" w:color="auto" w:fill="auto"/>
                  <w:vAlign w:val="center"/>
                </w:tcPr>
                <w:p w14:paraId="115AD06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c>
                <w:tcPr>
                  <w:tcW w:w="915" w:type="dxa"/>
                  <w:shd w:val="clear" w:color="auto" w:fill="auto"/>
                  <w:vAlign w:val="center"/>
                </w:tcPr>
                <w:p w14:paraId="0318990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8</w:t>
                  </w:r>
                </w:p>
              </w:tc>
              <w:tc>
                <w:tcPr>
                  <w:tcW w:w="1072" w:type="dxa"/>
                  <w:shd w:val="clear" w:color="auto" w:fill="auto"/>
                  <w:vAlign w:val="center"/>
                </w:tcPr>
                <w:p w14:paraId="0AA095A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71.94</w:t>
                  </w:r>
                </w:p>
              </w:tc>
              <w:tc>
                <w:tcPr>
                  <w:tcW w:w="739" w:type="dxa"/>
                  <w:shd w:val="clear" w:color="auto" w:fill="auto"/>
                  <w:vAlign w:val="center"/>
                </w:tcPr>
                <w:p w14:paraId="6350EEB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4A3F5C7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4847AF5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50.94</w:t>
                  </w:r>
                </w:p>
              </w:tc>
              <w:tc>
                <w:tcPr>
                  <w:tcW w:w="863" w:type="dxa"/>
                  <w:shd w:val="clear" w:color="auto" w:fill="auto"/>
                  <w:vAlign w:val="center"/>
                </w:tcPr>
                <w:p w14:paraId="4A53A5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w:t>
                  </w:r>
                </w:p>
              </w:tc>
            </w:tr>
            <w:tr w14:paraId="3DE9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25B1FD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33</w:t>
                  </w:r>
                </w:p>
              </w:tc>
              <w:tc>
                <w:tcPr>
                  <w:tcW w:w="653" w:type="dxa"/>
                  <w:vMerge w:val="restart"/>
                  <w:vAlign w:val="center"/>
                </w:tcPr>
                <w:p w14:paraId="327A395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1#生产车间</w:t>
                  </w:r>
                </w:p>
              </w:tc>
              <w:tc>
                <w:tcPr>
                  <w:tcW w:w="1818" w:type="dxa"/>
                  <w:shd w:val="clear" w:color="auto" w:fill="auto"/>
                  <w:vAlign w:val="center"/>
                </w:tcPr>
                <w:p w14:paraId="7D7F74F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行车</w:t>
                  </w:r>
                  <w:r>
                    <w:rPr>
                      <w:rFonts w:hint="eastAsia"/>
                      <w:color w:val="auto"/>
                      <w:lang w:val="en-US" w:eastAsia="zh-CN"/>
                    </w:rPr>
                    <w:t>1</w:t>
                  </w:r>
                </w:p>
              </w:tc>
              <w:tc>
                <w:tcPr>
                  <w:tcW w:w="696" w:type="dxa"/>
                  <w:shd w:val="clear" w:color="auto" w:fill="auto"/>
                  <w:vAlign w:val="center"/>
                </w:tcPr>
                <w:p w14:paraId="33540FD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4C65DC0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73B2A2B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E4861F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50.71</w:t>
                  </w:r>
                </w:p>
              </w:tc>
              <w:tc>
                <w:tcPr>
                  <w:tcW w:w="793" w:type="dxa"/>
                  <w:vAlign w:val="center"/>
                </w:tcPr>
                <w:p w14:paraId="3373E07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-25.83</w:t>
                  </w:r>
                </w:p>
              </w:tc>
              <w:tc>
                <w:tcPr>
                  <w:tcW w:w="595" w:type="dxa"/>
                  <w:shd w:val="clear" w:color="auto" w:fill="auto"/>
                  <w:vAlign w:val="center"/>
                </w:tcPr>
                <w:p w14:paraId="7FB0945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669674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5F03F3F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56.94</w:t>
                  </w:r>
                </w:p>
              </w:tc>
              <w:tc>
                <w:tcPr>
                  <w:tcW w:w="739" w:type="dxa"/>
                  <w:shd w:val="clear" w:color="auto" w:fill="auto"/>
                  <w:vAlign w:val="center"/>
                </w:tcPr>
                <w:p w14:paraId="122280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105CDD2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662EB69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35.94</w:t>
                  </w:r>
                </w:p>
              </w:tc>
              <w:tc>
                <w:tcPr>
                  <w:tcW w:w="863" w:type="dxa"/>
                  <w:shd w:val="clear" w:color="auto" w:fill="auto"/>
                  <w:vAlign w:val="center"/>
                </w:tcPr>
                <w:p w14:paraId="440AC3B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52B0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4220B6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34</w:t>
                  </w:r>
                </w:p>
              </w:tc>
              <w:tc>
                <w:tcPr>
                  <w:tcW w:w="653" w:type="dxa"/>
                  <w:vMerge w:val="continue"/>
                  <w:vAlign w:val="center"/>
                </w:tcPr>
                <w:p w14:paraId="6CAF1C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p>
              </w:tc>
              <w:tc>
                <w:tcPr>
                  <w:tcW w:w="1818" w:type="dxa"/>
                  <w:shd w:val="clear" w:color="auto" w:fill="auto"/>
                  <w:vAlign w:val="center"/>
                </w:tcPr>
                <w:p w14:paraId="2E6403E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olor w:val="auto"/>
                      <w:lang w:val="en-US" w:eastAsia="zh-CN"/>
                    </w:rPr>
                    <w:t>行车2</w:t>
                  </w:r>
                </w:p>
              </w:tc>
              <w:tc>
                <w:tcPr>
                  <w:tcW w:w="696" w:type="dxa"/>
                  <w:shd w:val="clear" w:color="auto" w:fill="auto"/>
                  <w:vAlign w:val="center"/>
                </w:tcPr>
                <w:p w14:paraId="335FE25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35F0C93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75</w:t>
                  </w:r>
                </w:p>
              </w:tc>
              <w:tc>
                <w:tcPr>
                  <w:tcW w:w="1182" w:type="dxa"/>
                  <w:vMerge w:val="continue"/>
                  <w:vAlign w:val="center"/>
                </w:tcPr>
                <w:p w14:paraId="6E1E06E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8FEBE6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83.00</w:t>
                  </w:r>
                </w:p>
              </w:tc>
              <w:tc>
                <w:tcPr>
                  <w:tcW w:w="793" w:type="dxa"/>
                  <w:vAlign w:val="center"/>
                </w:tcPr>
                <w:p w14:paraId="39A816B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-50.30</w:t>
                  </w:r>
                </w:p>
              </w:tc>
              <w:tc>
                <w:tcPr>
                  <w:tcW w:w="595" w:type="dxa"/>
                  <w:shd w:val="clear" w:color="auto" w:fill="auto"/>
                  <w:vAlign w:val="center"/>
                </w:tcPr>
                <w:p w14:paraId="7490FF6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533A63F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w:t>
                  </w:r>
                </w:p>
              </w:tc>
              <w:tc>
                <w:tcPr>
                  <w:tcW w:w="1072" w:type="dxa"/>
                  <w:vAlign w:val="center"/>
                </w:tcPr>
                <w:p w14:paraId="25CA69F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55.00</w:t>
                  </w:r>
                </w:p>
              </w:tc>
              <w:tc>
                <w:tcPr>
                  <w:tcW w:w="739" w:type="dxa"/>
                  <w:shd w:val="clear" w:color="auto" w:fill="auto"/>
                  <w:vAlign w:val="center"/>
                </w:tcPr>
                <w:p w14:paraId="54FDCDD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67858FA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15</w:t>
                  </w:r>
                </w:p>
              </w:tc>
              <w:tc>
                <w:tcPr>
                  <w:tcW w:w="1083" w:type="dxa"/>
                  <w:vAlign w:val="center"/>
                </w:tcPr>
                <w:p w14:paraId="1246FDC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34.00</w:t>
                  </w:r>
                </w:p>
              </w:tc>
              <w:tc>
                <w:tcPr>
                  <w:tcW w:w="863" w:type="dxa"/>
                  <w:shd w:val="clear" w:color="auto" w:fill="auto"/>
                  <w:vAlign w:val="center"/>
                </w:tcPr>
                <w:p w14:paraId="4DB136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0070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188741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w:t>
                  </w:r>
                </w:p>
              </w:tc>
              <w:tc>
                <w:tcPr>
                  <w:tcW w:w="653" w:type="dxa"/>
                  <w:vMerge w:val="continue"/>
                  <w:vAlign w:val="center"/>
                </w:tcPr>
                <w:p w14:paraId="4C21122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p>
              </w:tc>
              <w:tc>
                <w:tcPr>
                  <w:tcW w:w="1818" w:type="dxa"/>
                  <w:shd w:val="clear" w:color="auto" w:fill="auto"/>
                  <w:vAlign w:val="center"/>
                </w:tcPr>
                <w:p w14:paraId="549A515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color w:val="auto"/>
                      <w:lang w:val="en-US" w:eastAsia="zh-CN"/>
                    </w:rPr>
                  </w:pPr>
                  <w:r>
                    <w:rPr>
                      <w:rFonts w:hint="eastAsia"/>
                      <w:color w:val="auto"/>
                      <w:lang w:val="en-US" w:eastAsia="zh-CN"/>
                    </w:rPr>
                    <w:t>行车3</w:t>
                  </w:r>
                </w:p>
              </w:tc>
              <w:tc>
                <w:tcPr>
                  <w:tcW w:w="696" w:type="dxa"/>
                  <w:shd w:val="clear" w:color="auto" w:fill="auto"/>
                  <w:vAlign w:val="center"/>
                </w:tcPr>
                <w:p w14:paraId="58F67A1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71D2193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75</w:t>
                  </w:r>
                </w:p>
              </w:tc>
              <w:tc>
                <w:tcPr>
                  <w:tcW w:w="1182" w:type="dxa"/>
                  <w:vMerge w:val="continue"/>
                  <w:vAlign w:val="center"/>
                </w:tcPr>
                <w:p w14:paraId="25E935C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26AE450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86.08</w:t>
                  </w:r>
                </w:p>
              </w:tc>
              <w:tc>
                <w:tcPr>
                  <w:tcW w:w="793" w:type="dxa"/>
                  <w:vAlign w:val="center"/>
                </w:tcPr>
                <w:p w14:paraId="663990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-46.52</w:t>
                  </w:r>
                </w:p>
              </w:tc>
              <w:tc>
                <w:tcPr>
                  <w:tcW w:w="595" w:type="dxa"/>
                  <w:shd w:val="clear" w:color="auto" w:fill="auto"/>
                  <w:vAlign w:val="center"/>
                </w:tcPr>
                <w:p w14:paraId="71F9ADF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47E2CFD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w:t>
                  </w:r>
                </w:p>
              </w:tc>
              <w:tc>
                <w:tcPr>
                  <w:tcW w:w="1072" w:type="dxa"/>
                  <w:vAlign w:val="center"/>
                </w:tcPr>
                <w:p w14:paraId="053D07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55.00</w:t>
                  </w:r>
                </w:p>
              </w:tc>
              <w:tc>
                <w:tcPr>
                  <w:tcW w:w="739" w:type="dxa"/>
                  <w:shd w:val="clear" w:color="auto" w:fill="auto"/>
                  <w:vAlign w:val="center"/>
                </w:tcPr>
                <w:p w14:paraId="428941A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51F0847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210B8D8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34.00</w:t>
                  </w:r>
                </w:p>
              </w:tc>
              <w:tc>
                <w:tcPr>
                  <w:tcW w:w="863" w:type="dxa"/>
                  <w:shd w:val="clear" w:color="auto" w:fill="auto"/>
                  <w:vAlign w:val="center"/>
                </w:tcPr>
                <w:p w14:paraId="64AA5D9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6256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043DB5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w:t>
                  </w:r>
                </w:p>
              </w:tc>
              <w:tc>
                <w:tcPr>
                  <w:tcW w:w="653" w:type="dxa"/>
                  <w:vMerge w:val="restart"/>
                  <w:vAlign w:val="center"/>
                </w:tcPr>
                <w:p w14:paraId="79E702A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2#生产车间</w:t>
                  </w:r>
                </w:p>
              </w:tc>
              <w:tc>
                <w:tcPr>
                  <w:tcW w:w="1818" w:type="dxa"/>
                  <w:shd w:val="clear" w:color="auto" w:fill="auto"/>
                  <w:vAlign w:val="center"/>
                </w:tcPr>
                <w:p w14:paraId="0371985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行车</w:t>
                  </w:r>
                  <w:r>
                    <w:rPr>
                      <w:rFonts w:hint="eastAsia"/>
                      <w:color w:val="auto"/>
                      <w:lang w:val="en-US" w:eastAsia="zh-CN"/>
                    </w:rPr>
                    <w:t>4</w:t>
                  </w:r>
                </w:p>
              </w:tc>
              <w:tc>
                <w:tcPr>
                  <w:tcW w:w="696" w:type="dxa"/>
                  <w:shd w:val="clear" w:color="auto" w:fill="auto"/>
                  <w:vAlign w:val="center"/>
                </w:tcPr>
                <w:p w14:paraId="0B4C061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6FD222E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75</w:t>
                  </w:r>
                </w:p>
              </w:tc>
              <w:tc>
                <w:tcPr>
                  <w:tcW w:w="1182" w:type="dxa"/>
                  <w:vMerge w:val="continue"/>
                  <w:vAlign w:val="center"/>
                </w:tcPr>
                <w:p w14:paraId="5B5FB46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517DA0E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68.38</w:t>
                  </w:r>
                </w:p>
              </w:tc>
              <w:tc>
                <w:tcPr>
                  <w:tcW w:w="793" w:type="dxa"/>
                  <w:vAlign w:val="center"/>
                </w:tcPr>
                <w:p w14:paraId="1A7A873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-8.16</w:t>
                  </w:r>
                </w:p>
              </w:tc>
              <w:tc>
                <w:tcPr>
                  <w:tcW w:w="595" w:type="dxa"/>
                  <w:shd w:val="clear" w:color="auto" w:fill="auto"/>
                  <w:vAlign w:val="center"/>
                </w:tcPr>
                <w:p w14:paraId="27F3C9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3F10E4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0615EBE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53.42</w:t>
                  </w:r>
                </w:p>
              </w:tc>
              <w:tc>
                <w:tcPr>
                  <w:tcW w:w="739" w:type="dxa"/>
                  <w:shd w:val="clear" w:color="auto" w:fill="auto"/>
                  <w:vAlign w:val="center"/>
                </w:tcPr>
                <w:p w14:paraId="1A07EE9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01EF06B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31F0D34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32.42</w:t>
                  </w:r>
                </w:p>
              </w:tc>
              <w:tc>
                <w:tcPr>
                  <w:tcW w:w="863" w:type="dxa"/>
                  <w:shd w:val="clear" w:color="auto" w:fill="auto"/>
                  <w:vAlign w:val="center"/>
                </w:tcPr>
                <w:p w14:paraId="168522F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307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5B1D43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w:t>
                  </w:r>
                </w:p>
              </w:tc>
              <w:tc>
                <w:tcPr>
                  <w:tcW w:w="653" w:type="dxa"/>
                  <w:vMerge w:val="continue"/>
                  <w:vAlign w:val="center"/>
                </w:tcPr>
                <w:p w14:paraId="670F8F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0C0E90C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olor w:val="auto"/>
                      <w:lang w:val="en-US" w:eastAsia="zh-CN"/>
                    </w:rPr>
                    <w:t>行车5</w:t>
                  </w:r>
                </w:p>
              </w:tc>
              <w:tc>
                <w:tcPr>
                  <w:tcW w:w="696" w:type="dxa"/>
                  <w:shd w:val="clear" w:color="auto" w:fill="auto"/>
                  <w:vAlign w:val="center"/>
                </w:tcPr>
                <w:p w14:paraId="34DC58B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6FEB731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75</w:t>
                  </w:r>
                </w:p>
              </w:tc>
              <w:tc>
                <w:tcPr>
                  <w:tcW w:w="1182" w:type="dxa"/>
                  <w:vMerge w:val="continue"/>
                  <w:vAlign w:val="center"/>
                </w:tcPr>
                <w:p w14:paraId="70FB451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528B2A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101.70</w:t>
                  </w:r>
                </w:p>
              </w:tc>
              <w:tc>
                <w:tcPr>
                  <w:tcW w:w="793" w:type="dxa"/>
                  <w:vAlign w:val="center"/>
                </w:tcPr>
                <w:p w14:paraId="7D0D265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-37.01</w:t>
                  </w:r>
                </w:p>
              </w:tc>
              <w:tc>
                <w:tcPr>
                  <w:tcW w:w="595" w:type="dxa"/>
                  <w:shd w:val="clear" w:color="auto" w:fill="auto"/>
                  <w:vAlign w:val="center"/>
                </w:tcPr>
                <w:p w14:paraId="2684E49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423CA4E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619B4D5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50.92</w:t>
                  </w:r>
                </w:p>
              </w:tc>
              <w:tc>
                <w:tcPr>
                  <w:tcW w:w="739" w:type="dxa"/>
                  <w:shd w:val="clear" w:color="auto" w:fill="auto"/>
                  <w:vAlign w:val="center"/>
                </w:tcPr>
                <w:p w14:paraId="5EA68E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0F5C3E2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28C7FE3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29.92</w:t>
                  </w:r>
                </w:p>
              </w:tc>
              <w:tc>
                <w:tcPr>
                  <w:tcW w:w="863" w:type="dxa"/>
                  <w:shd w:val="clear" w:color="auto" w:fill="auto"/>
                  <w:vAlign w:val="center"/>
                </w:tcPr>
                <w:p w14:paraId="2791EC2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4EA0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0A63FA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38</w:t>
                  </w:r>
                </w:p>
              </w:tc>
              <w:tc>
                <w:tcPr>
                  <w:tcW w:w="653" w:type="dxa"/>
                  <w:vMerge w:val="continue"/>
                  <w:vAlign w:val="center"/>
                </w:tcPr>
                <w:p w14:paraId="179380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2314C7C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行车6</w:t>
                  </w:r>
                </w:p>
              </w:tc>
              <w:tc>
                <w:tcPr>
                  <w:tcW w:w="696" w:type="dxa"/>
                  <w:shd w:val="clear" w:color="auto" w:fill="auto"/>
                  <w:vAlign w:val="center"/>
                </w:tcPr>
                <w:p w14:paraId="74AD040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6516405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75</w:t>
                  </w:r>
                </w:p>
              </w:tc>
              <w:tc>
                <w:tcPr>
                  <w:tcW w:w="1182" w:type="dxa"/>
                  <w:vMerge w:val="continue"/>
                  <w:vAlign w:val="center"/>
                </w:tcPr>
                <w:p w14:paraId="641EB73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88D9CA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105.46</w:t>
                  </w:r>
                </w:p>
              </w:tc>
              <w:tc>
                <w:tcPr>
                  <w:tcW w:w="793" w:type="dxa"/>
                  <w:vAlign w:val="center"/>
                </w:tcPr>
                <w:p w14:paraId="2EBDD1E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-31.75</w:t>
                  </w:r>
                </w:p>
              </w:tc>
              <w:tc>
                <w:tcPr>
                  <w:tcW w:w="595" w:type="dxa"/>
                  <w:shd w:val="clear" w:color="auto" w:fill="auto"/>
                  <w:vAlign w:val="center"/>
                </w:tcPr>
                <w:p w14:paraId="480B9AC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7692227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684BAF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50.92</w:t>
                  </w:r>
                </w:p>
              </w:tc>
              <w:tc>
                <w:tcPr>
                  <w:tcW w:w="739" w:type="dxa"/>
                  <w:shd w:val="clear" w:color="auto" w:fill="auto"/>
                  <w:vAlign w:val="center"/>
                </w:tcPr>
                <w:p w14:paraId="0AA487D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昼间</w:t>
                  </w:r>
                </w:p>
              </w:tc>
              <w:tc>
                <w:tcPr>
                  <w:tcW w:w="1062" w:type="dxa"/>
                  <w:shd w:val="clear" w:color="auto" w:fill="auto"/>
                  <w:vAlign w:val="center"/>
                </w:tcPr>
                <w:p w14:paraId="1CEEB46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09221CE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29.92</w:t>
                  </w:r>
                </w:p>
              </w:tc>
              <w:tc>
                <w:tcPr>
                  <w:tcW w:w="863" w:type="dxa"/>
                  <w:shd w:val="clear" w:color="auto" w:fill="auto"/>
                  <w:vAlign w:val="center"/>
                </w:tcPr>
                <w:p w14:paraId="5EA7646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00AB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6D00D4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39</w:t>
                  </w:r>
                </w:p>
              </w:tc>
              <w:tc>
                <w:tcPr>
                  <w:tcW w:w="653" w:type="dxa"/>
                  <w:vMerge w:val="restart"/>
                  <w:vAlign w:val="center"/>
                </w:tcPr>
                <w:p w14:paraId="236A9B3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3#生产车间</w:t>
                  </w:r>
                </w:p>
              </w:tc>
              <w:tc>
                <w:tcPr>
                  <w:tcW w:w="1818" w:type="dxa"/>
                  <w:shd w:val="clear" w:color="auto" w:fill="auto"/>
                  <w:vAlign w:val="center"/>
                </w:tcPr>
                <w:p w14:paraId="6792FD4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宋体"/>
                      <w:i w:val="0"/>
                      <w:iCs w:val="0"/>
                      <w:color w:val="auto"/>
                      <w:kern w:val="0"/>
                      <w:sz w:val="21"/>
                      <w:szCs w:val="21"/>
                      <w:u w:val="none"/>
                      <w:lang w:val="en-US" w:eastAsia="zh-CN" w:bidi="ar"/>
                    </w:rPr>
                  </w:pPr>
                  <w:r>
                    <w:rPr>
                      <w:rFonts w:hint="eastAsia" w:ascii="Times New Roman" w:hAnsi="Times New Roman" w:eastAsia="宋体"/>
                      <w:color w:val="auto"/>
                      <w:lang w:val="en-US" w:eastAsia="zh-CN"/>
                    </w:rPr>
                    <w:t>行车</w:t>
                  </w:r>
                  <w:r>
                    <w:rPr>
                      <w:rFonts w:hint="eastAsia"/>
                      <w:color w:val="auto"/>
                      <w:lang w:val="en-US" w:eastAsia="zh-CN"/>
                    </w:rPr>
                    <w:t>7</w:t>
                  </w:r>
                </w:p>
              </w:tc>
              <w:tc>
                <w:tcPr>
                  <w:tcW w:w="696" w:type="dxa"/>
                  <w:shd w:val="clear" w:color="auto" w:fill="auto"/>
                  <w:vAlign w:val="center"/>
                </w:tcPr>
                <w:p w14:paraId="047072B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1FAE392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11D4E4E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5D60B5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81.00</w:t>
                  </w:r>
                </w:p>
              </w:tc>
              <w:tc>
                <w:tcPr>
                  <w:tcW w:w="793" w:type="dxa"/>
                  <w:vAlign w:val="center"/>
                </w:tcPr>
                <w:p w14:paraId="39F1F6C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8.97</w:t>
                  </w:r>
                </w:p>
              </w:tc>
              <w:tc>
                <w:tcPr>
                  <w:tcW w:w="595" w:type="dxa"/>
                  <w:shd w:val="clear" w:color="auto" w:fill="auto"/>
                  <w:vAlign w:val="center"/>
                </w:tcPr>
                <w:p w14:paraId="232E709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374AD52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232EFAF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48.98</w:t>
                  </w:r>
                </w:p>
              </w:tc>
              <w:tc>
                <w:tcPr>
                  <w:tcW w:w="739" w:type="dxa"/>
                  <w:shd w:val="clear" w:color="auto" w:fill="auto"/>
                  <w:vAlign w:val="center"/>
                </w:tcPr>
                <w:p w14:paraId="2EB7A85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1B5CCD3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6185C3E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27.98</w:t>
                  </w:r>
                </w:p>
              </w:tc>
              <w:tc>
                <w:tcPr>
                  <w:tcW w:w="863" w:type="dxa"/>
                  <w:shd w:val="clear" w:color="auto" w:fill="auto"/>
                  <w:vAlign w:val="center"/>
                </w:tcPr>
                <w:p w14:paraId="21F7515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3E07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1C5FEE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w:t>
                  </w:r>
                </w:p>
              </w:tc>
              <w:tc>
                <w:tcPr>
                  <w:tcW w:w="653" w:type="dxa"/>
                  <w:vMerge w:val="continue"/>
                  <w:vAlign w:val="center"/>
                </w:tcPr>
                <w:p w14:paraId="4BC95E6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5FB452B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olor w:val="auto"/>
                      <w:lang w:val="en-US" w:eastAsia="zh-CN"/>
                    </w:rPr>
                    <w:t>行车8</w:t>
                  </w:r>
                </w:p>
              </w:tc>
              <w:tc>
                <w:tcPr>
                  <w:tcW w:w="696" w:type="dxa"/>
                  <w:shd w:val="clear" w:color="auto" w:fill="auto"/>
                  <w:vAlign w:val="center"/>
                </w:tcPr>
                <w:p w14:paraId="161C424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7638591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5002DCB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6014F5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120.19</w:t>
                  </w:r>
                </w:p>
              </w:tc>
              <w:tc>
                <w:tcPr>
                  <w:tcW w:w="793" w:type="dxa"/>
                  <w:vAlign w:val="center"/>
                </w:tcPr>
                <w:p w14:paraId="33BADC3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-22.36</w:t>
                  </w:r>
                </w:p>
              </w:tc>
              <w:tc>
                <w:tcPr>
                  <w:tcW w:w="595" w:type="dxa"/>
                  <w:shd w:val="clear" w:color="auto" w:fill="auto"/>
                  <w:vAlign w:val="center"/>
                </w:tcPr>
                <w:p w14:paraId="4AF1936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33CCA41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3165768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50.92</w:t>
                  </w:r>
                </w:p>
              </w:tc>
              <w:tc>
                <w:tcPr>
                  <w:tcW w:w="739" w:type="dxa"/>
                  <w:shd w:val="clear" w:color="auto" w:fill="auto"/>
                  <w:vAlign w:val="center"/>
                </w:tcPr>
                <w:p w14:paraId="2FC52A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3129B70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1DEC866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29.92</w:t>
                  </w:r>
                </w:p>
              </w:tc>
              <w:tc>
                <w:tcPr>
                  <w:tcW w:w="863" w:type="dxa"/>
                  <w:shd w:val="clear" w:color="auto" w:fill="auto"/>
                  <w:vAlign w:val="center"/>
                </w:tcPr>
                <w:p w14:paraId="0113B32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1D7C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611EAF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41</w:t>
                  </w:r>
                </w:p>
              </w:tc>
              <w:tc>
                <w:tcPr>
                  <w:tcW w:w="653" w:type="dxa"/>
                  <w:vMerge w:val="continue"/>
                  <w:vAlign w:val="center"/>
                </w:tcPr>
                <w:p w14:paraId="2CA6FAB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5432D7D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行车9</w:t>
                  </w:r>
                </w:p>
              </w:tc>
              <w:tc>
                <w:tcPr>
                  <w:tcW w:w="696" w:type="dxa"/>
                  <w:shd w:val="clear" w:color="auto" w:fill="auto"/>
                  <w:vAlign w:val="center"/>
                </w:tcPr>
                <w:p w14:paraId="7B4BACD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68212C1">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4141791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EAA562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124.17</w:t>
                  </w:r>
                </w:p>
              </w:tc>
              <w:tc>
                <w:tcPr>
                  <w:tcW w:w="793" w:type="dxa"/>
                  <w:vAlign w:val="center"/>
                </w:tcPr>
                <w:p w14:paraId="41618C4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-17.22</w:t>
                  </w:r>
                </w:p>
              </w:tc>
              <w:tc>
                <w:tcPr>
                  <w:tcW w:w="595" w:type="dxa"/>
                  <w:shd w:val="clear" w:color="auto" w:fill="auto"/>
                  <w:vAlign w:val="center"/>
                </w:tcPr>
                <w:p w14:paraId="321F2FD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51D5254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29A8AFB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50.92</w:t>
                  </w:r>
                </w:p>
              </w:tc>
              <w:tc>
                <w:tcPr>
                  <w:tcW w:w="739" w:type="dxa"/>
                  <w:shd w:val="clear" w:color="auto" w:fill="auto"/>
                  <w:vAlign w:val="center"/>
                </w:tcPr>
                <w:p w14:paraId="71E9374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74A58BD">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6FFBDB0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29.92</w:t>
                  </w:r>
                </w:p>
              </w:tc>
              <w:tc>
                <w:tcPr>
                  <w:tcW w:w="863" w:type="dxa"/>
                  <w:shd w:val="clear" w:color="auto" w:fill="auto"/>
                  <w:vAlign w:val="center"/>
                </w:tcPr>
                <w:p w14:paraId="20FD33F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56BA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0CDC29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w:t>
                  </w:r>
                </w:p>
              </w:tc>
              <w:tc>
                <w:tcPr>
                  <w:tcW w:w="653" w:type="dxa"/>
                  <w:vMerge w:val="restart"/>
                  <w:vAlign w:val="center"/>
                </w:tcPr>
                <w:p w14:paraId="40D2290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4#生产车间</w:t>
                  </w:r>
                </w:p>
              </w:tc>
              <w:tc>
                <w:tcPr>
                  <w:tcW w:w="1818" w:type="dxa"/>
                  <w:shd w:val="clear" w:color="auto" w:fill="auto"/>
                  <w:vAlign w:val="center"/>
                </w:tcPr>
                <w:p w14:paraId="0652669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行车</w:t>
                  </w:r>
                  <w:r>
                    <w:rPr>
                      <w:rFonts w:hint="eastAsia"/>
                      <w:color w:val="auto"/>
                      <w:lang w:val="en-US" w:eastAsia="zh-CN"/>
                    </w:rPr>
                    <w:t>10</w:t>
                  </w:r>
                </w:p>
              </w:tc>
              <w:tc>
                <w:tcPr>
                  <w:tcW w:w="696" w:type="dxa"/>
                  <w:shd w:val="clear" w:color="auto" w:fill="auto"/>
                  <w:vAlign w:val="center"/>
                </w:tcPr>
                <w:p w14:paraId="6B747B9E">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575BBF8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75</w:t>
                  </w:r>
                </w:p>
              </w:tc>
              <w:tc>
                <w:tcPr>
                  <w:tcW w:w="1182" w:type="dxa"/>
                  <w:vMerge w:val="continue"/>
                  <w:vAlign w:val="center"/>
                </w:tcPr>
                <w:p w14:paraId="375D4B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3DB2AF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97.26</w:t>
                  </w:r>
                </w:p>
              </w:tc>
              <w:tc>
                <w:tcPr>
                  <w:tcW w:w="793" w:type="dxa"/>
                  <w:vAlign w:val="center"/>
                </w:tcPr>
                <w:p w14:paraId="6DE387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25.77</w:t>
                  </w:r>
                </w:p>
              </w:tc>
              <w:tc>
                <w:tcPr>
                  <w:tcW w:w="595" w:type="dxa"/>
                  <w:shd w:val="clear" w:color="auto" w:fill="auto"/>
                  <w:vAlign w:val="center"/>
                </w:tcPr>
                <w:p w14:paraId="7DE80FD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76512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1491BB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53.42</w:t>
                  </w:r>
                </w:p>
              </w:tc>
              <w:tc>
                <w:tcPr>
                  <w:tcW w:w="739" w:type="dxa"/>
                  <w:shd w:val="clear" w:color="auto" w:fill="auto"/>
                  <w:vAlign w:val="center"/>
                </w:tcPr>
                <w:p w14:paraId="6312E35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38AE2A7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4D99235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32.42</w:t>
                  </w:r>
                </w:p>
              </w:tc>
              <w:tc>
                <w:tcPr>
                  <w:tcW w:w="863" w:type="dxa"/>
                  <w:shd w:val="clear" w:color="auto" w:fill="auto"/>
                  <w:vAlign w:val="center"/>
                </w:tcPr>
                <w:p w14:paraId="1065168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4277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613B5B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43</w:t>
                  </w:r>
                </w:p>
              </w:tc>
              <w:tc>
                <w:tcPr>
                  <w:tcW w:w="653" w:type="dxa"/>
                  <w:vMerge w:val="continue"/>
                  <w:vAlign w:val="center"/>
                </w:tcPr>
                <w:p w14:paraId="380EB2F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p>
              </w:tc>
              <w:tc>
                <w:tcPr>
                  <w:tcW w:w="1818" w:type="dxa"/>
                  <w:shd w:val="clear" w:color="auto" w:fill="auto"/>
                  <w:vAlign w:val="center"/>
                </w:tcPr>
                <w:p w14:paraId="43F72DD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olor w:val="auto"/>
                      <w:lang w:val="en-US" w:eastAsia="zh-CN"/>
                    </w:rPr>
                  </w:pPr>
                  <w:r>
                    <w:rPr>
                      <w:rFonts w:hint="eastAsia"/>
                      <w:color w:val="auto"/>
                      <w:lang w:val="en-US" w:eastAsia="zh-CN"/>
                    </w:rPr>
                    <w:t>行车11</w:t>
                  </w:r>
                </w:p>
              </w:tc>
              <w:tc>
                <w:tcPr>
                  <w:tcW w:w="696" w:type="dxa"/>
                  <w:shd w:val="clear" w:color="auto" w:fill="auto"/>
                  <w:vAlign w:val="center"/>
                </w:tcPr>
                <w:p w14:paraId="3E47D3E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E922A8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2A0DBB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7228508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135.06</w:t>
                  </w:r>
                </w:p>
              </w:tc>
              <w:tc>
                <w:tcPr>
                  <w:tcW w:w="793" w:type="dxa"/>
                  <w:vAlign w:val="center"/>
                </w:tcPr>
                <w:p w14:paraId="444CADD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-3.99</w:t>
                  </w:r>
                </w:p>
              </w:tc>
              <w:tc>
                <w:tcPr>
                  <w:tcW w:w="595" w:type="dxa"/>
                  <w:shd w:val="clear" w:color="auto" w:fill="auto"/>
                  <w:vAlign w:val="center"/>
                </w:tcPr>
                <w:p w14:paraId="569DF45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56AC3BC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w:t>
                  </w:r>
                </w:p>
              </w:tc>
              <w:tc>
                <w:tcPr>
                  <w:tcW w:w="1072" w:type="dxa"/>
                  <w:vAlign w:val="center"/>
                </w:tcPr>
                <w:p w14:paraId="19F8F30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55.00</w:t>
                  </w:r>
                </w:p>
              </w:tc>
              <w:tc>
                <w:tcPr>
                  <w:tcW w:w="739" w:type="dxa"/>
                  <w:shd w:val="clear" w:color="auto" w:fill="auto"/>
                  <w:vAlign w:val="center"/>
                </w:tcPr>
                <w:p w14:paraId="731B342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47487A6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4448C8C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34.00</w:t>
                  </w:r>
                </w:p>
              </w:tc>
              <w:tc>
                <w:tcPr>
                  <w:tcW w:w="863" w:type="dxa"/>
                  <w:shd w:val="clear" w:color="auto" w:fill="auto"/>
                  <w:vAlign w:val="center"/>
                </w:tcPr>
                <w:p w14:paraId="3E038AE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6556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shd w:val="clear" w:color="auto" w:fill="auto"/>
                  <w:vAlign w:val="center"/>
                </w:tcPr>
                <w:p w14:paraId="505095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44</w:t>
                  </w:r>
                </w:p>
              </w:tc>
              <w:tc>
                <w:tcPr>
                  <w:tcW w:w="653" w:type="dxa"/>
                  <w:vMerge w:val="continue"/>
                  <w:vAlign w:val="center"/>
                </w:tcPr>
                <w:p w14:paraId="1A22C2E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p>
              </w:tc>
              <w:tc>
                <w:tcPr>
                  <w:tcW w:w="1818" w:type="dxa"/>
                  <w:shd w:val="clear" w:color="auto" w:fill="auto"/>
                  <w:vAlign w:val="center"/>
                </w:tcPr>
                <w:p w14:paraId="25D45CA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行车12</w:t>
                  </w:r>
                </w:p>
              </w:tc>
              <w:tc>
                <w:tcPr>
                  <w:tcW w:w="696" w:type="dxa"/>
                  <w:shd w:val="clear" w:color="auto" w:fill="auto"/>
                  <w:vAlign w:val="center"/>
                </w:tcPr>
                <w:p w14:paraId="65FC1EE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B206A1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75</w:t>
                  </w:r>
                </w:p>
              </w:tc>
              <w:tc>
                <w:tcPr>
                  <w:tcW w:w="1182" w:type="dxa"/>
                  <w:vMerge w:val="continue"/>
                  <w:vAlign w:val="center"/>
                </w:tcPr>
                <w:p w14:paraId="3A624EE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810E21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138.96</w:t>
                  </w:r>
                </w:p>
              </w:tc>
              <w:tc>
                <w:tcPr>
                  <w:tcW w:w="793" w:type="dxa"/>
                  <w:vAlign w:val="center"/>
                </w:tcPr>
                <w:p w14:paraId="510F3F4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1.78</w:t>
                  </w:r>
                </w:p>
              </w:tc>
              <w:tc>
                <w:tcPr>
                  <w:tcW w:w="595" w:type="dxa"/>
                  <w:shd w:val="clear" w:color="auto" w:fill="auto"/>
                  <w:vAlign w:val="center"/>
                </w:tcPr>
                <w:p w14:paraId="02BF60E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53EE342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w:t>
                  </w:r>
                </w:p>
              </w:tc>
              <w:tc>
                <w:tcPr>
                  <w:tcW w:w="1072" w:type="dxa"/>
                  <w:vAlign w:val="center"/>
                </w:tcPr>
                <w:p w14:paraId="663BD14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55.00</w:t>
                  </w:r>
                </w:p>
              </w:tc>
              <w:tc>
                <w:tcPr>
                  <w:tcW w:w="739" w:type="dxa"/>
                  <w:shd w:val="clear" w:color="auto" w:fill="auto"/>
                  <w:vAlign w:val="center"/>
                </w:tcPr>
                <w:p w14:paraId="2AFBA727">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05F6F03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shd w:val="clear" w:color="auto" w:fill="auto"/>
                  <w:vAlign w:val="center"/>
                </w:tcPr>
                <w:p w14:paraId="6564891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34.00</w:t>
                  </w:r>
                </w:p>
              </w:tc>
              <w:tc>
                <w:tcPr>
                  <w:tcW w:w="863" w:type="dxa"/>
                  <w:shd w:val="clear" w:color="auto" w:fill="auto"/>
                  <w:vAlign w:val="center"/>
                </w:tcPr>
                <w:p w14:paraId="32906CB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080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52EA63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45</w:t>
                  </w:r>
                </w:p>
              </w:tc>
              <w:tc>
                <w:tcPr>
                  <w:tcW w:w="653" w:type="dxa"/>
                  <w:vMerge w:val="restart"/>
                  <w:vAlign w:val="center"/>
                </w:tcPr>
                <w:p w14:paraId="15B4C36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1#车间</w:t>
                  </w:r>
                </w:p>
              </w:tc>
              <w:tc>
                <w:tcPr>
                  <w:tcW w:w="1818" w:type="dxa"/>
                  <w:shd w:val="clear" w:color="auto" w:fill="auto"/>
                  <w:vAlign w:val="center"/>
                </w:tcPr>
                <w:p w14:paraId="1BAE196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1</w:t>
                  </w:r>
                </w:p>
              </w:tc>
              <w:tc>
                <w:tcPr>
                  <w:tcW w:w="696" w:type="dxa"/>
                  <w:shd w:val="clear" w:color="auto" w:fill="auto"/>
                  <w:vAlign w:val="center"/>
                </w:tcPr>
                <w:p w14:paraId="63E44DB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247C88E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0339FF0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69A2487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63.07</w:t>
                  </w:r>
                </w:p>
              </w:tc>
              <w:tc>
                <w:tcPr>
                  <w:tcW w:w="793" w:type="dxa"/>
                  <w:vAlign w:val="center"/>
                </w:tcPr>
                <w:p w14:paraId="6CA034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-36.03</w:t>
                  </w:r>
                </w:p>
              </w:tc>
              <w:tc>
                <w:tcPr>
                  <w:tcW w:w="595" w:type="dxa"/>
                  <w:shd w:val="clear" w:color="auto" w:fill="auto"/>
                  <w:vAlign w:val="center"/>
                </w:tcPr>
                <w:p w14:paraId="307494A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1FE8CA6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209D4D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71.94</w:t>
                  </w:r>
                </w:p>
              </w:tc>
              <w:tc>
                <w:tcPr>
                  <w:tcW w:w="739" w:type="dxa"/>
                  <w:shd w:val="clear" w:color="auto" w:fill="auto"/>
                  <w:vAlign w:val="center"/>
                </w:tcPr>
                <w:p w14:paraId="341922A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1E46163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633D213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50.94</w:t>
                  </w:r>
                </w:p>
              </w:tc>
              <w:tc>
                <w:tcPr>
                  <w:tcW w:w="863" w:type="dxa"/>
                  <w:shd w:val="clear" w:color="auto" w:fill="auto"/>
                  <w:vAlign w:val="center"/>
                </w:tcPr>
                <w:p w14:paraId="5BC6B68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5A67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6A601F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46</w:t>
                  </w:r>
                </w:p>
              </w:tc>
              <w:tc>
                <w:tcPr>
                  <w:tcW w:w="653" w:type="dxa"/>
                  <w:vMerge w:val="continue"/>
                  <w:vAlign w:val="center"/>
                </w:tcPr>
                <w:p w14:paraId="7085F0A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p>
              </w:tc>
              <w:tc>
                <w:tcPr>
                  <w:tcW w:w="1818" w:type="dxa"/>
                  <w:shd w:val="clear" w:color="auto" w:fill="auto"/>
                  <w:vAlign w:val="center"/>
                </w:tcPr>
                <w:p w14:paraId="0C12153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2</w:t>
                  </w:r>
                </w:p>
              </w:tc>
              <w:tc>
                <w:tcPr>
                  <w:tcW w:w="696" w:type="dxa"/>
                  <w:shd w:val="clear" w:color="auto" w:fill="auto"/>
                  <w:vAlign w:val="center"/>
                </w:tcPr>
                <w:p w14:paraId="2D6DF51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30162F0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7755C1F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C0BADE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66.57</w:t>
                  </w:r>
                </w:p>
              </w:tc>
              <w:tc>
                <w:tcPr>
                  <w:tcW w:w="793" w:type="dxa"/>
                  <w:vAlign w:val="center"/>
                </w:tcPr>
                <w:p w14:paraId="6B77C3C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-31.73</w:t>
                  </w:r>
                </w:p>
              </w:tc>
              <w:tc>
                <w:tcPr>
                  <w:tcW w:w="595" w:type="dxa"/>
                  <w:shd w:val="clear" w:color="auto" w:fill="auto"/>
                  <w:vAlign w:val="center"/>
                </w:tcPr>
                <w:p w14:paraId="30509B9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66BA171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411B47D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68.42</w:t>
                  </w:r>
                </w:p>
              </w:tc>
              <w:tc>
                <w:tcPr>
                  <w:tcW w:w="739" w:type="dxa"/>
                  <w:shd w:val="clear" w:color="auto" w:fill="auto"/>
                  <w:vAlign w:val="center"/>
                </w:tcPr>
                <w:p w14:paraId="35222CD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2C45DB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cs="黑体"/>
                      <w:b w:val="0"/>
                      <w:bCs w:val="0"/>
                      <w:snapToGrid w:val="0"/>
                      <w:color w:val="auto"/>
                      <w:sz w:val="21"/>
                      <w:szCs w:val="21"/>
                      <w:vertAlign w:val="baseline"/>
                      <w:lang w:val="en-US" w:eastAsia="zh-CN"/>
                    </w:rPr>
                    <w:t>15</w:t>
                  </w:r>
                </w:p>
              </w:tc>
              <w:tc>
                <w:tcPr>
                  <w:tcW w:w="1083" w:type="dxa"/>
                  <w:vAlign w:val="center"/>
                </w:tcPr>
                <w:p w14:paraId="310FB6C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47.42</w:t>
                  </w:r>
                </w:p>
              </w:tc>
              <w:tc>
                <w:tcPr>
                  <w:tcW w:w="863" w:type="dxa"/>
                  <w:shd w:val="clear" w:color="auto" w:fill="auto"/>
                  <w:vAlign w:val="center"/>
                </w:tcPr>
                <w:p w14:paraId="6F01D28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249B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4FF56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47</w:t>
                  </w:r>
                </w:p>
              </w:tc>
              <w:tc>
                <w:tcPr>
                  <w:tcW w:w="653" w:type="dxa"/>
                  <w:vMerge w:val="restart"/>
                  <w:vAlign w:val="center"/>
                </w:tcPr>
                <w:p w14:paraId="11E1514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2#车间</w:t>
                  </w:r>
                </w:p>
              </w:tc>
              <w:tc>
                <w:tcPr>
                  <w:tcW w:w="1818" w:type="dxa"/>
                  <w:shd w:val="clear" w:color="auto" w:fill="auto"/>
                  <w:vAlign w:val="center"/>
                </w:tcPr>
                <w:p w14:paraId="67C7653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3</w:t>
                  </w:r>
                </w:p>
              </w:tc>
              <w:tc>
                <w:tcPr>
                  <w:tcW w:w="696" w:type="dxa"/>
                  <w:shd w:val="clear" w:color="auto" w:fill="auto"/>
                  <w:vAlign w:val="center"/>
                </w:tcPr>
                <w:p w14:paraId="37F817F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3311AA4A">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5DB87DC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1B6FB4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79.66</w:t>
                  </w:r>
                </w:p>
              </w:tc>
              <w:tc>
                <w:tcPr>
                  <w:tcW w:w="793" w:type="dxa"/>
                  <w:vAlign w:val="center"/>
                </w:tcPr>
                <w:p w14:paraId="29B31B9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-18.54</w:t>
                  </w:r>
                </w:p>
              </w:tc>
              <w:tc>
                <w:tcPr>
                  <w:tcW w:w="595" w:type="dxa"/>
                  <w:shd w:val="clear" w:color="auto" w:fill="auto"/>
                  <w:vAlign w:val="center"/>
                </w:tcPr>
                <w:p w14:paraId="0B7A57C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0C60CE9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0AEE6B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65.92</w:t>
                  </w:r>
                </w:p>
              </w:tc>
              <w:tc>
                <w:tcPr>
                  <w:tcW w:w="739" w:type="dxa"/>
                  <w:shd w:val="clear" w:color="auto" w:fill="auto"/>
                  <w:vAlign w:val="center"/>
                </w:tcPr>
                <w:p w14:paraId="41DF556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0A223557">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3B82931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44.92</w:t>
                  </w:r>
                </w:p>
              </w:tc>
              <w:tc>
                <w:tcPr>
                  <w:tcW w:w="863" w:type="dxa"/>
                  <w:shd w:val="clear" w:color="auto" w:fill="auto"/>
                  <w:vAlign w:val="center"/>
                </w:tcPr>
                <w:p w14:paraId="105A526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20DC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639149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w:t>
                  </w:r>
                </w:p>
              </w:tc>
              <w:tc>
                <w:tcPr>
                  <w:tcW w:w="653" w:type="dxa"/>
                  <w:vMerge w:val="continue"/>
                  <w:vAlign w:val="center"/>
                </w:tcPr>
                <w:p w14:paraId="250EF6F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3028430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4</w:t>
                  </w:r>
                </w:p>
              </w:tc>
              <w:tc>
                <w:tcPr>
                  <w:tcW w:w="696" w:type="dxa"/>
                  <w:shd w:val="clear" w:color="auto" w:fill="auto"/>
                  <w:vAlign w:val="center"/>
                </w:tcPr>
                <w:p w14:paraId="3ADDEE1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77437C2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5B0A314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5FCB855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82.57</w:t>
                  </w:r>
                </w:p>
              </w:tc>
              <w:tc>
                <w:tcPr>
                  <w:tcW w:w="793" w:type="dxa"/>
                  <w:vAlign w:val="center"/>
                </w:tcPr>
                <w:p w14:paraId="67AECE9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-14.60</w:t>
                  </w:r>
                </w:p>
              </w:tc>
              <w:tc>
                <w:tcPr>
                  <w:tcW w:w="595" w:type="dxa"/>
                  <w:shd w:val="clear" w:color="auto" w:fill="auto"/>
                  <w:vAlign w:val="center"/>
                </w:tcPr>
                <w:p w14:paraId="4FAC26C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1B7915B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4D5827E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63.98</w:t>
                  </w:r>
                </w:p>
              </w:tc>
              <w:tc>
                <w:tcPr>
                  <w:tcW w:w="739" w:type="dxa"/>
                  <w:shd w:val="clear" w:color="auto" w:fill="auto"/>
                  <w:vAlign w:val="center"/>
                </w:tcPr>
                <w:p w14:paraId="5F1A3E8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25D2695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72A7E1E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42.98</w:t>
                  </w:r>
                </w:p>
              </w:tc>
              <w:tc>
                <w:tcPr>
                  <w:tcW w:w="863" w:type="dxa"/>
                  <w:shd w:val="clear" w:color="auto" w:fill="auto"/>
                  <w:vAlign w:val="center"/>
                </w:tcPr>
                <w:p w14:paraId="1D90982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20A8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102C76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653" w:type="dxa"/>
                  <w:vMerge w:val="restart"/>
                  <w:vAlign w:val="center"/>
                </w:tcPr>
                <w:p w14:paraId="476975D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eastAsia="宋体" w:cs="黑体"/>
                      <w:b w:val="0"/>
                      <w:bCs w:val="0"/>
                      <w:snapToGrid w:val="0"/>
                      <w:color w:val="auto"/>
                      <w:sz w:val="21"/>
                      <w:szCs w:val="21"/>
                      <w:vertAlign w:val="baseline"/>
                      <w:lang w:val="en-US" w:eastAsia="zh-CN"/>
                    </w:rPr>
                    <w:t>3#车间</w:t>
                  </w:r>
                </w:p>
              </w:tc>
              <w:tc>
                <w:tcPr>
                  <w:tcW w:w="1818" w:type="dxa"/>
                  <w:shd w:val="clear" w:color="auto" w:fill="auto"/>
                  <w:vAlign w:val="center"/>
                </w:tcPr>
                <w:p w14:paraId="15E3303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5</w:t>
                  </w:r>
                </w:p>
              </w:tc>
              <w:tc>
                <w:tcPr>
                  <w:tcW w:w="696" w:type="dxa"/>
                  <w:shd w:val="clear" w:color="auto" w:fill="auto"/>
                  <w:vAlign w:val="center"/>
                </w:tcPr>
                <w:p w14:paraId="11D1978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0F8B205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3216D85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28E577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93.18</w:t>
                  </w:r>
                </w:p>
              </w:tc>
              <w:tc>
                <w:tcPr>
                  <w:tcW w:w="793" w:type="dxa"/>
                  <w:vAlign w:val="center"/>
                </w:tcPr>
                <w:p w14:paraId="423544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-1.23</w:t>
                  </w:r>
                </w:p>
              </w:tc>
              <w:tc>
                <w:tcPr>
                  <w:tcW w:w="595" w:type="dxa"/>
                  <w:shd w:val="clear" w:color="auto" w:fill="auto"/>
                  <w:vAlign w:val="center"/>
                </w:tcPr>
                <w:p w14:paraId="625028C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c>
                <w:tcPr>
                  <w:tcW w:w="915" w:type="dxa"/>
                  <w:vAlign w:val="center"/>
                </w:tcPr>
                <w:p w14:paraId="5D21F9E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w:t>
                  </w:r>
                </w:p>
              </w:tc>
              <w:tc>
                <w:tcPr>
                  <w:tcW w:w="1072" w:type="dxa"/>
                  <w:vAlign w:val="center"/>
                </w:tcPr>
                <w:p w14:paraId="06A320E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63.98</w:t>
                  </w:r>
                </w:p>
              </w:tc>
              <w:tc>
                <w:tcPr>
                  <w:tcW w:w="739" w:type="dxa"/>
                  <w:shd w:val="clear" w:color="auto" w:fill="auto"/>
                  <w:vAlign w:val="center"/>
                </w:tcPr>
                <w:p w14:paraId="7CF8E3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411961D9">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394CF37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42.98</w:t>
                  </w:r>
                </w:p>
              </w:tc>
              <w:tc>
                <w:tcPr>
                  <w:tcW w:w="863" w:type="dxa"/>
                  <w:shd w:val="clear" w:color="auto" w:fill="auto"/>
                  <w:vAlign w:val="center"/>
                </w:tcPr>
                <w:p w14:paraId="6A394E3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0D11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5C106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653" w:type="dxa"/>
                  <w:vMerge w:val="continue"/>
                  <w:vAlign w:val="center"/>
                </w:tcPr>
                <w:p w14:paraId="49EC2C9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p>
              </w:tc>
              <w:tc>
                <w:tcPr>
                  <w:tcW w:w="1818" w:type="dxa"/>
                  <w:shd w:val="clear" w:color="auto" w:fill="auto"/>
                  <w:vAlign w:val="center"/>
                </w:tcPr>
                <w:p w14:paraId="4CD6DA6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6</w:t>
                  </w:r>
                </w:p>
              </w:tc>
              <w:tc>
                <w:tcPr>
                  <w:tcW w:w="696" w:type="dxa"/>
                  <w:shd w:val="clear" w:color="auto" w:fill="auto"/>
                  <w:vAlign w:val="center"/>
                </w:tcPr>
                <w:p w14:paraId="6A2E621B">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6DB5FF5C">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34AC6803">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41CB1C7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96.74</w:t>
                  </w:r>
                </w:p>
              </w:tc>
              <w:tc>
                <w:tcPr>
                  <w:tcW w:w="793" w:type="dxa"/>
                  <w:vAlign w:val="center"/>
                </w:tcPr>
                <w:p w14:paraId="5D12814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4.03</w:t>
                  </w:r>
                </w:p>
              </w:tc>
              <w:tc>
                <w:tcPr>
                  <w:tcW w:w="595" w:type="dxa"/>
                  <w:shd w:val="clear" w:color="auto" w:fill="auto"/>
                  <w:vAlign w:val="center"/>
                </w:tcPr>
                <w:p w14:paraId="5A7E51E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06E17EE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16</w:t>
                  </w:r>
                </w:p>
              </w:tc>
              <w:tc>
                <w:tcPr>
                  <w:tcW w:w="1072" w:type="dxa"/>
                  <w:vAlign w:val="center"/>
                </w:tcPr>
                <w:p w14:paraId="6D3E1DC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65.92</w:t>
                  </w:r>
                </w:p>
              </w:tc>
              <w:tc>
                <w:tcPr>
                  <w:tcW w:w="739" w:type="dxa"/>
                  <w:shd w:val="clear" w:color="auto" w:fill="auto"/>
                  <w:vAlign w:val="center"/>
                </w:tcPr>
                <w:p w14:paraId="70179184">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0EFEDCA6">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21CDA21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44.92</w:t>
                  </w:r>
                </w:p>
              </w:tc>
              <w:tc>
                <w:tcPr>
                  <w:tcW w:w="863" w:type="dxa"/>
                  <w:shd w:val="clear" w:color="auto" w:fill="auto"/>
                  <w:vAlign w:val="center"/>
                </w:tcPr>
                <w:p w14:paraId="34B0616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r w14:paraId="4951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028F93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w:t>
                  </w:r>
                </w:p>
              </w:tc>
              <w:tc>
                <w:tcPr>
                  <w:tcW w:w="653" w:type="dxa"/>
                  <w:vMerge w:val="restart"/>
                  <w:vAlign w:val="center"/>
                </w:tcPr>
                <w:p w14:paraId="4EEF72D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4#车间</w:t>
                  </w:r>
                </w:p>
              </w:tc>
              <w:tc>
                <w:tcPr>
                  <w:tcW w:w="1818" w:type="dxa"/>
                  <w:shd w:val="clear" w:color="auto" w:fill="auto"/>
                  <w:vAlign w:val="center"/>
                </w:tcPr>
                <w:p w14:paraId="190901E2">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7</w:t>
                  </w:r>
                </w:p>
              </w:tc>
              <w:tc>
                <w:tcPr>
                  <w:tcW w:w="696" w:type="dxa"/>
                  <w:shd w:val="clear" w:color="auto" w:fill="auto"/>
                  <w:vAlign w:val="center"/>
                </w:tcPr>
                <w:p w14:paraId="68B3586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38362574">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2AC816D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0D8800B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109.77</w:t>
                  </w:r>
                </w:p>
              </w:tc>
              <w:tc>
                <w:tcPr>
                  <w:tcW w:w="793" w:type="dxa"/>
                  <w:vAlign w:val="center"/>
                </w:tcPr>
                <w:p w14:paraId="2DC59F2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14.45</w:t>
                  </w:r>
                </w:p>
              </w:tc>
              <w:tc>
                <w:tcPr>
                  <w:tcW w:w="595" w:type="dxa"/>
                  <w:vAlign w:val="center"/>
                </w:tcPr>
                <w:p w14:paraId="5BA92FE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5C64CF6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12</w:t>
                  </w:r>
                </w:p>
              </w:tc>
              <w:tc>
                <w:tcPr>
                  <w:tcW w:w="1072" w:type="dxa"/>
                  <w:vAlign w:val="center"/>
                </w:tcPr>
                <w:p w14:paraId="4FDC1672">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68.42</w:t>
                  </w:r>
                </w:p>
              </w:tc>
              <w:tc>
                <w:tcPr>
                  <w:tcW w:w="739" w:type="dxa"/>
                  <w:shd w:val="clear" w:color="auto" w:fill="auto"/>
                  <w:vAlign w:val="center"/>
                </w:tcPr>
                <w:p w14:paraId="4D438D7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vAlign w:val="center"/>
                </w:tcPr>
                <w:p w14:paraId="1D587CE3">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cs="黑体"/>
                      <w:b w:val="0"/>
                      <w:bCs w:val="0"/>
                      <w:snapToGrid w:val="0"/>
                      <w:color w:val="auto"/>
                      <w:sz w:val="21"/>
                      <w:szCs w:val="21"/>
                      <w:vertAlign w:val="baseline"/>
                      <w:lang w:val="en-US" w:eastAsia="zh-CN"/>
                    </w:rPr>
                    <w:t>15</w:t>
                  </w:r>
                </w:p>
              </w:tc>
              <w:tc>
                <w:tcPr>
                  <w:tcW w:w="1083" w:type="dxa"/>
                  <w:vAlign w:val="center"/>
                </w:tcPr>
                <w:p w14:paraId="2B6C7768">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47.42</w:t>
                  </w:r>
                </w:p>
              </w:tc>
              <w:tc>
                <w:tcPr>
                  <w:tcW w:w="863" w:type="dxa"/>
                  <w:shd w:val="clear" w:color="auto" w:fill="auto"/>
                  <w:vAlign w:val="center"/>
                </w:tcPr>
                <w:p w14:paraId="2F800E0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1</w:t>
                  </w:r>
                </w:p>
              </w:tc>
            </w:tr>
            <w:tr w14:paraId="1C79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0" w:type="dxa"/>
                  <w:vAlign w:val="center"/>
                </w:tcPr>
                <w:p w14:paraId="2D14E0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52</w:t>
                  </w:r>
                </w:p>
              </w:tc>
              <w:tc>
                <w:tcPr>
                  <w:tcW w:w="653" w:type="dxa"/>
                  <w:vMerge w:val="continue"/>
                  <w:vAlign w:val="center"/>
                </w:tcPr>
                <w:p w14:paraId="66941CA9">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cs="黑体"/>
                      <w:b w:val="0"/>
                      <w:bCs w:val="0"/>
                      <w:snapToGrid w:val="0"/>
                      <w:color w:val="auto"/>
                      <w:sz w:val="21"/>
                      <w:szCs w:val="21"/>
                      <w:vertAlign w:val="baseline"/>
                      <w:lang w:val="en-US" w:eastAsia="zh-CN"/>
                    </w:rPr>
                  </w:pPr>
                </w:p>
              </w:tc>
              <w:tc>
                <w:tcPr>
                  <w:tcW w:w="1818" w:type="dxa"/>
                  <w:shd w:val="clear" w:color="auto" w:fill="auto"/>
                  <w:vAlign w:val="center"/>
                </w:tcPr>
                <w:p w14:paraId="1DDE3CE8">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螺杆式空压机</w:t>
                  </w:r>
                  <w:r>
                    <w:rPr>
                      <w:rFonts w:hint="eastAsia"/>
                      <w:color w:val="auto"/>
                      <w:lang w:val="en-US" w:eastAsia="zh-CN"/>
                    </w:rPr>
                    <w:t>8</w:t>
                  </w:r>
                </w:p>
              </w:tc>
              <w:tc>
                <w:tcPr>
                  <w:tcW w:w="696" w:type="dxa"/>
                  <w:shd w:val="clear" w:color="auto" w:fill="auto"/>
                  <w:vAlign w:val="center"/>
                </w:tcPr>
                <w:p w14:paraId="3FA559C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w:t>
                  </w:r>
                </w:p>
              </w:tc>
              <w:tc>
                <w:tcPr>
                  <w:tcW w:w="1159" w:type="dxa"/>
                  <w:shd w:val="clear" w:color="auto" w:fill="auto"/>
                  <w:vAlign w:val="center"/>
                </w:tcPr>
                <w:p w14:paraId="268A58D5">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90</w:t>
                  </w:r>
                </w:p>
              </w:tc>
              <w:tc>
                <w:tcPr>
                  <w:tcW w:w="1182" w:type="dxa"/>
                  <w:vMerge w:val="continue"/>
                  <w:vAlign w:val="center"/>
                </w:tcPr>
                <w:p w14:paraId="744545A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p>
              </w:tc>
              <w:tc>
                <w:tcPr>
                  <w:tcW w:w="794" w:type="dxa"/>
                  <w:vAlign w:val="center"/>
                </w:tcPr>
                <w:p w14:paraId="152B390F">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113.01</w:t>
                  </w:r>
                </w:p>
              </w:tc>
              <w:tc>
                <w:tcPr>
                  <w:tcW w:w="793" w:type="dxa"/>
                  <w:vAlign w:val="center"/>
                </w:tcPr>
                <w:p w14:paraId="3A1A14A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20.23</w:t>
                  </w:r>
                </w:p>
              </w:tc>
              <w:tc>
                <w:tcPr>
                  <w:tcW w:w="595" w:type="dxa"/>
                  <w:vAlign w:val="center"/>
                </w:tcPr>
                <w:p w14:paraId="1C53C6ED">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c>
                <w:tcPr>
                  <w:tcW w:w="915" w:type="dxa"/>
                  <w:vAlign w:val="center"/>
                </w:tcPr>
                <w:p w14:paraId="7E8B0CF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8</w:t>
                  </w:r>
                </w:p>
              </w:tc>
              <w:tc>
                <w:tcPr>
                  <w:tcW w:w="1072" w:type="dxa"/>
                  <w:vAlign w:val="center"/>
                </w:tcPr>
                <w:p w14:paraId="078B5D2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71.94</w:t>
                  </w:r>
                </w:p>
              </w:tc>
              <w:tc>
                <w:tcPr>
                  <w:tcW w:w="739" w:type="dxa"/>
                  <w:shd w:val="clear" w:color="auto" w:fill="auto"/>
                  <w:vAlign w:val="center"/>
                </w:tcPr>
                <w:p w14:paraId="2A360650">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0"/>
                      <w:sz w:val="21"/>
                      <w:szCs w:val="21"/>
                      <w:vertAlign w:val="baseline"/>
                      <w:lang w:val="en-US" w:eastAsia="zh-CN" w:bidi="ar-SA"/>
                    </w:rPr>
                  </w:pPr>
                  <w:r>
                    <w:rPr>
                      <w:rFonts w:hint="eastAsia" w:ascii="Times New Roman" w:hAnsi="Times New Roman" w:eastAsia="宋体" w:cs="黑体"/>
                      <w:b w:val="0"/>
                      <w:bCs w:val="0"/>
                      <w:snapToGrid w:val="0"/>
                      <w:color w:val="auto"/>
                      <w:sz w:val="21"/>
                      <w:szCs w:val="21"/>
                      <w:vertAlign w:val="baseline"/>
                      <w:lang w:val="en-US" w:eastAsia="zh-CN"/>
                    </w:rPr>
                    <w:t>昼间</w:t>
                  </w:r>
                </w:p>
              </w:tc>
              <w:tc>
                <w:tcPr>
                  <w:tcW w:w="1062" w:type="dxa"/>
                  <w:shd w:val="clear" w:color="auto" w:fill="auto"/>
                  <w:vAlign w:val="center"/>
                </w:tcPr>
                <w:p w14:paraId="04088740">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Times New Roman" w:hAnsi="Times New Roman" w:eastAsia="宋体" w:cs="黑体"/>
                      <w:b w:val="0"/>
                      <w:bCs w:val="0"/>
                      <w:snapToGrid w:val="0"/>
                      <w:color w:val="auto"/>
                      <w:kern w:val="2"/>
                      <w:sz w:val="21"/>
                      <w:szCs w:val="21"/>
                      <w:vertAlign w:val="baseline"/>
                      <w:lang w:val="en-US" w:eastAsia="zh-CN" w:bidi="ar-SA"/>
                    </w:rPr>
                  </w:pPr>
                  <w:r>
                    <w:rPr>
                      <w:rFonts w:hint="eastAsia" w:cs="黑体"/>
                      <w:b w:val="0"/>
                      <w:bCs w:val="0"/>
                      <w:snapToGrid w:val="0"/>
                      <w:color w:val="auto"/>
                      <w:sz w:val="21"/>
                      <w:szCs w:val="21"/>
                      <w:vertAlign w:val="baseline"/>
                      <w:lang w:val="en-US" w:eastAsia="zh-CN"/>
                    </w:rPr>
                    <w:t>15</w:t>
                  </w:r>
                </w:p>
              </w:tc>
              <w:tc>
                <w:tcPr>
                  <w:tcW w:w="1083" w:type="dxa"/>
                  <w:vAlign w:val="center"/>
                </w:tcPr>
                <w:p w14:paraId="07AC095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cs="黑体"/>
                      <w:b w:val="0"/>
                      <w:bCs w:val="0"/>
                      <w:snapToGrid w:val="0"/>
                      <w:color w:val="auto"/>
                      <w:kern w:val="0"/>
                      <w:sz w:val="21"/>
                      <w:szCs w:val="21"/>
                      <w:vertAlign w:val="baseline"/>
                      <w:lang w:val="en-US" w:eastAsia="zh-CN" w:bidi="ar-SA"/>
                    </w:rPr>
                  </w:pPr>
                  <w:r>
                    <w:rPr>
                      <w:rFonts w:hint="default" w:ascii="Times New Roman" w:hAnsi="Times New Roman" w:cs="黑体"/>
                      <w:b w:val="0"/>
                      <w:bCs w:val="0"/>
                      <w:snapToGrid w:val="0"/>
                      <w:color w:val="auto"/>
                      <w:kern w:val="0"/>
                      <w:sz w:val="21"/>
                      <w:szCs w:val="21"/>
                      <w:vertAlign w:val="baseline"/>
                      <w:lang w:val="en-US" w:eastAsia="zh-CN" w:bidi="ar-SA"/>
                    </w:rPr>
                    <w:t>50.94</w:t>
                  </w:r>
                </w:p>
              </w:tc>
              <w:tc>
                <w:tcPr>
                  <w:tcW w:w="863" w:type="dxa"/>
                  <w:shd w:val="clear" w:color="auto" w:fill="auto"/>
                  <w:vAlign w:val="center"/>
                </w:tcPr>
                <w:p w14:paraId="11D3F37A">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黑体"/>
                      <w:b w:val="0"/>
                      <w:bCs w:val="0"/>
                      <w:snapToGrid w:val="0"/>
                      <w:color w:val="auto"/>
                      <w:sz w:val="21"/>
                      <w:szCs w:val="21"/>
                      <w:vertAlign w:val="baseline"/>
                      <w:lang w:val="en-US" w:eastAsia="zh-CN"/>
                    </w:rPr>
                  </w:pPr>
                  <w:r>
                    <w:rPr>
                      <w:rFonts w:hint="eastAsia" w:ascii="Times New Roman" w:hAnsi="Times New Roman" w:cs="黑体"/>
                      <w:b w:val="0"/>
                      <w:bCs w:val="0"/>
                      <w:snapToGrid w:val="0"/>
                      <w:color w:val="auto"/>
                      <w:sz w:val="21"/>
                      <w:szCs w:val="21"/>
                      <w:vertAlign w:val="baseline"/>
                      <w:lang w:val="en-US" w:eastAsia="zh-CN"/>
                    </w:rPr>
                    <w:t>1</w:t>
                  </w:r>
                </w:p>
              </w:tc>
            </w:tr>
          </w:tbl>
          <w:p w14:paraId="4F598F4D">
            <w:pPr>
              <w:pStyle w:val="22"/>
              <w:ind w:left="0" w:leftChars="0" w:firstLine="0" w:firstLineChars="0"/>
              <w:rPr>
                <w:color w:val="auto"/>
              </w:rPr>
            </w:pPr>
          </w:p>
        </w:tc>
      </w:tr>
    </w:tbl>
    <w:p w14:paraId="4BF3DBAF">
      <w:pPr>
        <w:pStyle w:val="23"/>
        <w:ind w:left="0" w:leftChars="0" w:firstLine="0" w:firstLineChars="0"/>
        <w:rPr>
          <w:rFonts w:ascii="Times New Roman" w:hAnsi="Times New Roman" w:eastAsia="宋体"/>
          <w:color w:val="auto"/>
        </w:rPr>
        <w:sectPr>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
        <w:gridCol w:w="8436"/>
      </w:tblGrid>
      <w:tr w14:paraId="7719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7" w:type="dxa"/>
          </w:tcPr>
          <w:p w14:paraId="62F8543A">
            <w:pPr>
              <w:pStyle w:val="22"/>
              <w:rPr>
                <w:rFonts w:ascii="Times New Roman" w:hAnsi="Times New Roman" w:eastAsia="宋体"/>
                <w:color w:val="auto"/>
                <w:vertAlign w:val="baseline"/>
              </w:rPr>
            </w:pPr>
          </w:p>
        </w:tc>
        <w:tc>
          <w:tcPr>
            <w:tcW w:w="8272" w:type="dxa"/>
          </w:tcPr>
          <w:p w14:paraId="15D5BC3F">
            <w:pPr>
              <w:pStyle w:val="61"/>
              <w:ind w:firstLine="480"/>
              <w:rPr>
                <w:rFonts w:ascii="Times New Roman" w:hAnsi="Times New Roman" w:eastAsia="宋体" w:cs="宋体"/>
                <w:b/>
                <w:bCs/>
                <w:color w:val="auto"/>
                <w:sz w:val="24"/>
              </w:rPr>
            </w:pPr>
            <w:r>
              <w:rPr>
                <w:rFonts w:hint="eastAsia" w:ascii="Times New Roman" w:hAnsi="Times New Roman"/>
                <w:b/>
                <w:bCs/>
                <w:color w:val="auto"/>
                <w:lang w:val="en-US" w:eastAsia="zh-CN"/>
              </w:rPr>
              <w:t>（3）</w:t>
            </w:r>
            <w:r>
              <w:rPr>
                <w:rFonts w:hint="eastAsia" w:ascii="Times New Roman" w:hAnsi="Times New Roman"/>
                <w:b/>
                <w:bCs/>
                <w:color w:val="auto"/>
              </w:rPr>
              <w:t>项目</w:t>
            </w:r>
            <w:r>
              <w:rPr>
                <w:rFonts w:ascii="Times New Roman" w:hAnsi="Times New Roman"/>
                <w:b/>
                <w:bCs/>
                <w:color w:val="auto"/>
              </w:rPr>
              <w:t>设备噪声预测分析</w:t>
            </w:r>
          </w:p>
          <w:p w14:paraId="6827EA7B">
            <w:pPr>
              <w:pStyle w:val="61"/>
              <w:ind w:firstLine="480"/>
              <w:rPr>
                <w:rFonts w:hint="eastAsia" w:ascii="Times New Roman" w:hAnsi="Times New Roman" w:eastAsia="宋体"/>
                <w:color w:val="auto"/>
                <w:sz w:val="24"/>
              </w:rPr>
            </w:pPr>
            <w:r>
              <w:rPr>
                <w:rFonts w:hint="eastAsia" w:ascii="Times New Roman" w:hAnsi="Times New Roman" w:eastAsia="宋体"/>
                <w:color w:val="auto"/>
                <w:sz w:val="24"/>
              </w:rPr>
              <w:t>项目设备均置于房内，属于室内噪声源；根据《环境影响评价技术导则声环境》（HJ2.4-2021），室内噪声采用附录B中室内噪声源等效室外噪声源声功率级计算方法，将室内主要声源等效为室外声源，根据附录A中室外声源估算方法分别计算等效室外声源和室外声源在计算点产生的声级，然后根据噪声贡献值计算公式对工程声源对计算点产生的贡献值进行叠加。</w:t>
            </w:r>
          </w:p>
          <w:p w14:paraId="41E9AD6E">
            <w:pPr>
              <w:pStyle w:val="61"/>
              <w:ind w:firstLine="480"/>
              <w:rPr>
                <w:rFonts w:hint="eastAsia" w:ascii="Times New Roman" w:hAnsi="Times New Roman" w:eastAsia="宋体"/>
                <w:b/>
                <w:bCs/>
                <w:color w:val="auto"/>
              </w:rPr>
            </w:pPr>
            <w:r>
              <w:rPr>
                <w:rFonts w:hint="eastAsia" w:ascii="Times New Roman" w:hAnsi="Times New Roman" w:eastAsia="宋体"/>
                <w:b/>
                <w:bCs/>
                <w:color w:val="auto"/>
              </w:rPr>
              <w:t>A、室内声源等效室外噪声源</w:t>
            </w:r>
          </w:p>
          <w:p w14:paraId="6221F130">
            <w:pPr>
              <w:adjustRightInd w:val="0"/>
              <w:snapToGrid w:val="0"/>
              <w:spacing w:line="360" w:lineRule="auto"/>
              <w:ind w:firstLine="480" w:firstLineChars="200"/>
              <w:jc w:val="left"/>
              <w:rPr>
                <w:rFonts w:ascii="Times New Roman" w:hAnsi="Times New Roman" w:eastAsia="宋体"/>
                <w:color w:val="auto"/>
                <w:sz w:val="24"/>
              </w:rPr>
            </w:pPr>
            <w:r>
              <w:rPr>
                <w:rFonts w:ascii="Times New Roman" w:hAnsi="Times New Roman" w:eastAsia="宋体"/>
                <w:color w:val="auto"/>
                <w:kern w:val="0"/>
                <w:sz w:val="24"/>
                <w:szCs w:val="22"/>
              </w:rPr>
              <w:t>室内声源等效室外声源声功率级计算方法：本项目主要噪声源位于室内，</w:t>
            </w:r>
            <w:r>
              <w:rPr>
                <w:rFonts w:ascii="Times New Roman" w:hAnsi="Times New Roman" w:eastAsia="宋体"/>
                <w:color w:val="auto"/>
                <w:sz w:val="24"/>
              </w:rPr>
              <w:t>室内声源可采用等效室外声源声功率级法进行计算。设靠近开口处（或窗户）室内、室外某倍频带的声压级或A声级分别为L</w:t>
            </w:r>
            <w:r>
              <w:rPr>
                <w:rFonts w:ascii="Times New Roman" w:hAnsi="Times New Roman" w:eastAsia="宋体"/>
                <w:color w:val="auto"/>
                <w:sz w:val="24"/>
                <w:vertAlign w:val="subscript"/>
              </w:rPr>
              <w:t>p1</w:t>
            </w:r>
            <w:r>
              <w:rPr>
                <w:rFonts w:ascii="Times New Roman" w:hAnsi="Times New Roman" w:eastAsia="宋体"/>
                <w:color w:val="auto"/>
                <w:sz w:val="24"/>
              </w:rPr>
              <w:t>和L</w:t>
            </w:r>
            <w:r>
              <w:rPr>
                <w:rFonts w:ascii="Times New Roman" w:hAnsi="Times New Roman" w:eastAsia="宋体"/>
                <w:color w:val="auto"/>
                <w:sz w:val="24"/>
                <w:vertAlign w:val="subscript"/>
              </w:rPr>
              <w:t>p2</w:t>
            </w:r>
            <w:r>
              <w:rPr>
                <w:rFonts w:ascii="Times New Roman" w:hAnsi="Times New Roman" w:eastAsia="宋体"/>
                <w:color w:val="auto"/>
                <w:sz w:val="24"/>
              </w:rPr>
              <w:t>。若声源所在室内声场为近似扩散声场，则室外的倍频带声压级可按式（B.1）近似求出：</w:t>
            </w:r>
          </w:p>
          <w:p w14:paraId="6BAF9FE6">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sz w:val="24"/>
              </w:rPr>
              <w:t>L</w:t>
            </w:r>
            <w:r>
              <w:rPr>
                <w:rFonts w:ascii="Times New Roman" w:hAnsi="Times New Roman" w:eastAsia="宋体"/>
                <w:color w:val="auto"/>
                <w:sz w:val="24"/>
                <w:vertAlign w:val="subscript"/>
              </w:rPr>
              <w:t>p2</w:t>
            </w:r>
            <w:r>
              <w:rPr>
                <w:rFonts w:ascii="Times New Roman" w:hAnsi="Times New Roman" w:eastAsia="宋体"/>
                <w:color w:val="auto"/>
                <w:sz w:val="24"/>
              </w:rPr>
              <w:t>=L</w:t>
            </w:r>
            <w:r>
              <w:rPr>
                <w:rFonts w:ascii="Times New Roman" w:hAnsi="Times New Roman" w:eastAsia="宋体"/>
                <w:color w:val="auto"/>
                <w:sz w:val="24"/>
                <w:vertAlign w:val="subscript"/>
              </w:rPr>
              <w:t>p1</w:t>
            </w:r>
            <w:r>
              <w:rPr>
                <w:rFonts w:ascii="Times New Roman" w:hAnsi="Times New Roman" w:eastAsia="宋体"/>
                <w:color w:val="auto"/>
                <w:kern w:val="44"/>
                <w:sz w:val="24"/>
              </w:rPr>
              <w:t>-（TL+6）</w:t>
            </w:r>
            <w:r>
              <w:rPr>
                <w:rFonts w:ascii="Times New Roman" w:hAnsi="Times New Roman" w:eastAsia="宋体"/>
                <w:color w:val="auto"/>
                <w:sz w:val="24"/>
              </w:rPr>
              <w:t>（B.1）</w:t>
            </w:r>
          </w:p>
          <w:p w14:paraId="3E874785">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式中：L</w:t>
            </w:r>
            <w:r>
              <w:rPr>
                <w:rFonts w:ascii="Times New Roman" w:hAnsi="Times New Roman" w:eastAsia="宋体"/>
                <w:color w:val="auto"/>
                <w:sz w:val="24"/>
                <w:vertAlign w:val="subscript"/>
                <w:lang w:val="zh-CN"/>
              </w:rPr>
              <w:t>p1</w:t>
            </w:r>
            <w:r>
              <w:rPr>
                <w:rFonts w:ascii="Times New Roman" w:hAnsi="Times New Roman" w:eastAsia="宋体"/>
                <w:color w:val="auto"/>
                <w:sz w:val="24"/>
                <w:lang w:val="zh-CN"/>
              </w:rPr>
              <w:t>——靠近开口处（或窗户）室内某倍频带的声压级或A声级，dB；</w:t>
            </w:r>
          </w:p>
          <w:p w14:paraId="3662BF08">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L</w:t>
            </w:r>
            <w:r>
              <w:rPr>
                <w:rFonts w:ascii="Times New Roman" w:hAnsi="Times New Roman" w:eastAsia="宋体"/>
                <w:color w:val="auto"/>
                <w:sz w:val="24"/>
                <w:vertAlign w:val="subscript"/>
                <w:lang w:val="zh-CN"/>
              </w:rPr>
              <w:t>p2</w:t>
            </w:r>
            <w:r>
              <w:rPr>
                <w:rFonts w:ascii="Times New Roman" w:hAnsi="Times New Roman" w:eastAsia="宋体"/>
                <w:color w:val="auto"/>
                <w:sz w:val="24"/>
                <w:lang w:val="zh-CN"/>
              </w:rPr>
              <w:t>——靠近开口处（或窗户）室外某倍频带的声压级或A声级，dB；</w:t>
            </w:r>
          </w:p>
          <w:p w14:paraId="355C223A">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TL——隔墙（或窗户）倍频带或A声级的隔声量，dB。</w:t>
            </w:r>
          </w:p>
          <w:p w14:paraId="6153D6D5">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也可按式（B.2）计算某一室内声源靠近围护结构处产生的倍频带声压级或A声级：</w:t>
            </w:r>
          </w:p>
          <w:p w14:paraId="7FF10ED3">
            <w:pPr>
              <w:autoSpaceDE w:val="0"/>
              <w:autoSpaceDN w:val="0"/>
              <w:adjustRightInd w:val="0"/>
              <w:snapToGrid w:val="0"/>
              <w:spacing w:line="360" w:lineRule="auto"/>
              <w:jc w:val="center"/>
              <w:rPr>
                <w:rFonts w:ascii="Times New Roman" w:hAnsi="Times New Roman" w:eastAsia="宋体"/>
                <w:color w:val="auto"/>
                <w:sz w:val="24"/>
              </w:rPr>
            </w:pPr>
            <w:r>
              <w:rPr>
                <w:color w:val="auto"/>
                <w:position w:val="-28"/>
                <w:sz w:val="24"/>
                <w:lang w:val="zh-CN"/>
              </w:rPr>
              <w:drawing>
                <wp:inline distT="0" distB="0" distL="114300" distR="114300">
                  <wp:extent cx="1688465" cy="438785"/>
                  <wp:effectExtent l="0" t="0" r="6985" b="18415"/>
                  <wp:docPr id="10"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06"/>
                          <pic:cNvPicPr>
                            <a:picLocks noChangeAspect="1"/>
                          </pic:cNvPicPr>
                        </pic:nvPicPr>
                        <pic:blipFill>
                          <a:blip r:embed="rId11"/>
                          <a:stretch>
                            <a:fillRect/>
                          </a:stretch>
                        </pic:blipFill>
                        <pic:spPr>
                          <a:xfrm>
                            <a:off x="0" y="0"/>
                            <a:ext cx="1688465" cy="438785"/>
                          </a:xfrm>
                          <a:prstGeom prst="rect">
                            <a:avLst/>
                          </a:prstGeom>
                          <a:noFill/>
                          <a:ln>
                            <a:noFill/>
                          </a:ln>
                        </pic:spPr>
                      </pic:pic>
                    </a:graphicData>
                  </a:graphic>
                </wp:inline>
              </w:drawing>
            </w:r>
            <w:r>
              <w:rPr>
                <w:rFonts w:ascii="Times New Roman" w:hAnsi="Times New Roman" w:eastAsia="宋体"/>
                <w:color w:val="auto"/>
                <w:sz w:val="24"/>
                <w:lang w:val="zh-CN"/>
              </w:rPr>
              <w:t>（B.2）</w:t>
            </w:r>
          </w:p>
          <w:p w14:paraId="59EEE283">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式中：L</w:t>
            </w:r>
            <w:r>
              <w:rPr>
                <w:rFonts w:ascii="Times New Roman" w:hAnsi="Times New Roman" w:eastAsia="宋体"/>
                <w:color w:val="auto"/>
                <w:sz w:val="24"/>
                <w:vertAlign w:val="subscript"/>
                <w:lang w:val="zh-CN"/>
              </w:rPr>
              <w:t>p1</w:t>
            </w:r>
            <w:r>
              <w:rPr>
                <w:rFonts w:ascii="Times New Roman" w:hAnsi="Times New Roman" w:eastAsia="宋体"/>
                <w:color w:val="auto"/>
                <w:sz w:val="24"/>
                <w:lang w:val="zh-CN"/>
              </w:rPr>
              <w:t>——靠近开口处（或窗户）室内某倍频带的声压级或A声级，dB；</w:t>
            </w:r>
          </w:p>
          <w:p w14:paraId="6B664DE2">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L</w:t>
            </w:r>
            <w:r>
              <w:rPr>
                <w:rFonts w:ascii="Times New Roman" w:hAnsi="Times New Roman" w:eastAsia="宋体"/>
                <w:color w:val="auto"/>
                <w:sz w:val="24"/>
                <w:vertAlign w:val="subscript"/>
                <w:lang w:val="zh-CN"/>
              </w:rPr>
              <w:t>w</w:t>
            </w:r>
            <w:r>
              <w:rPr>
                <w:rFonts w:ascii="Times New Roman" w:hAnsi="Times New Roman" w:eastAsia="宋体"/>
                <w:color w:val="auto"/>
                <w:sz w:val="24"/>
                <w:lang w:val="zh-CN"/>
              </w:rPr>
              <w:t>——点声源声功率级（A计权或倍频带），dB；</w:t>
            </w:r>
          </w:p>
          <w:p w14:paraId="4B51450B">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Q——指向性因数；通常对无指向性声源，当声源放在房间中心时，Q=1；当放在一面墙的中心时，Q=2；当放在两面墙夹角处时，Q=4；当放在三面墙夹角处时，Q=8；</w:t>
            </w:r>
          </w:p>
          <w:p w14:paraId="6BA2F290">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R——房间常数；</w:t>
            </w:r>
            <w:r>
              <w:rPr>
                <w:rFonts w:ascii="Times New Roman" w:hAnsi="Times New Roman" w:eastAsia="宋体"/>
                <w:color w:val="auto"/>
                <w:sz w:val="24"/>
              </w:rPr>
              <w:t>R=Sα/（1—α）</w:t>
            </w:r>
            <w:r>
              <w:rPr>
                <w:rFonts w:ascii="Times New Roman" w:hAnsi="Times New Roman" w:eastAsia="宋体"/>
                <w:color w:val="auto"/>
                <w:sz w:val="24"/>
                <w:lang w:val="zh-CN"/>
              </w:rPr>
              <w:t>，S为房间内表面面积，m</w:t>
            </w:r>
            <w:r>
              <w:rPr>
                <w:rFonts w:ascii="Times New Roman" w:hAnsi="Times New Roman" w:eastAsia="宋体"/>
                <w:color w:val="auto"/>
                <w:sz w:val="24"/>
                <w:vertAlign w:val="superscript"/>
                <w:lang w:val="zh-CN"/>
              </w:rPr>
              <w:t>2</w:t>
            </w:r>
            <w:r>
              <w:rPr>
                <w:rFonts w:ascii="Times New Roman" w:hAnsi="Times New Roman" w:eastAsia="宋体"/>
                <w:color w:val="auto"/>
                <w:sz w:val="24"/>
                <w:lang w:val="zh-CN"/>
              </w:rPr>
              <w:t>；α为平均吸声系数；</w:t>
            </w:r>
          </w:p>
          <w:p w14:paraId="10E42425">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r——声源到靠近围护结构某点处的距离，m。</w:t>
            </w:r>
          </w:p>
          <w:p w14:paraId="4BC3936B">
            <w:pPr>
              <w:pStyle w:val="61"/>
              <w:ind w:left="0" w:leftChars="0" w:firstLine="0" w:firstLineChars="0"/>
              <w:jc w:val="center"/>
              <w:rPr>
                <w:rFonts w:hint="eastAsia" w:ascii="Times New Roman" w:hAnsi="Times New Roman" w:eastAsia="宋体" w:cs="宋体"/>
                <w:color w:val="auto"/>
                <w:sz w:val="24"/>
                <w:lang w:val="zh-CN"/>
              </w:rPr>
            </w:pPr>
            <w:r>
              <w:rPr>
                <w:rFonts w:hint="eastAsia" w:ascii="Times New Roman" w:hAnsi="Times New Roman" w:eastAsia="宋体" w:cs="宋体"/>
                <w:color w:val="auto"/>
                <w:sz w:val="24"/>
                <w:lang w:val="zh-CN"/>
              </w:rPr>
              <w:drawing>
                <wp:inline distT="0" distB="0" distL="114300" distR="114300">
                  <wp:extent cx="3749675" cy="1852295"/>
                  <wp:effectExtent l="0" t="0" r="3175" b="14605"/>
                  <wp:docPr id="8" name="图片 8" descr="微信截图_202409192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919204320"/>
                          <pic:cNvPicPr>
                            <a:picLocks noChangeAspect="1"/>
                          </pic:cNvPicPr>
                        </pic:nvPicPr>
                        <pic:blipFill>
                          <a:blip r:embed="rId12"/>
                          <a:stretch>
                            <a:fillRect/>
                          </a:stretch>
                        </pic:blipFill>
                        <pic:spPr>
                          <a:xfrm>
                            <a:off x="0" y="0"/>
                            <a:ext cx="3749675" cy="1852295"/>
                          </a:xfrm>
                          <a:prstGeom prst="rect">
                            <a:avLst/>
                          </a:prstGeom>
                        </pic:spPr>
                      </pic:pic>
                    </a:graphicData>
                  </a:graphic>
                </wp:inline>
              </w:drawing>
            </w:r>
          </w:p>
          <w:p w14:paraId="3EEA9672">
            <w:pPr>
              <w:pStyle w:val="61"/>
              <w:ind w:left="0" w:leftChars="0" w:firstLine="0" w:firstLineChars="0"/>
              <w:jc w:val="center"/>
              <w:rPr>
                <w:rFonts w:hint="eastAsia" w:ascii="Times New Roman" w:hAnsi="Times New Roman" w:eastAsia="宋体" w:cs="宋体"/>
                <w:b/>
                <w:bCs/>
                <w:color w:val="auto"/>
                <w:sz w:val="24"/>
                <w:lang w:val="zh-CN"/>
              </w:rPr>
            </w:pPr>
            <w:r>
              <w:rPr>
                <w:rFonts w:hint="eastAsia" w:ascii="Times New Roman" w:hAnsi="Times New Roman" w:eastAsia="宋体" w:cs="宋体"/>
                <w:b/>
                <w:bCs/>
                <w:color w:val="auto"/>
                <w:sz w:val="24"/>
                <w:lang w:val="zh-CN"/>
              </w:rPr>
              <w:t>图</w:t>
            </w:r>
            <w:r>
              <w:rPr>
                <w:rFonts w:hint="eastAsia" w:ascii="Times New Roman" w:hAnsi="Times New Roman" w:eastAsia="宋体" w:cs="宋体"/>
                <w:b/>
                <w:bCs/>
                <w:color w:val="auto"/>
                <w:sz w:val="24"/>
                <w:lang w:val="en-US" w:eastAsia="zh-CN"/>
              </w:rPr>
              <w:t>4-</w:t>
            </w:r>
            <w:r>
              <w:rPr>
                <w:rFonts w:hint="eastAsia" w:ascii="Times New Roman" w:hAnsi="Times New Roman" w:cs="宋体"/>
                <w:b/>
                <w:bCs/>
                <w:color w:val="auto"/>
                <w:sz w:val="24"/>
                <w:lang w:val="en-US" w:eastAsia="zh-CN"/>
              </w:rPr>
              <w:t>1</w:t>
            </w:r>
            <w:r>
              <w:rPr>
                <w:rFonts w:hint="eastAsia" w:ascii="Times New Roman" w:hAnsi="Times New Roman" w:eastAsia="宋体" w:cs="宋体"/>
                <w:b/>
                <w:bCs/>
                <w:color w:val="auto"/>
                <w:sz w:val="24"/>
                <w:lang w:val="zh-CN"/>
              </w:rPr>
              <w:t>室内声源等效为室外声源示意图</w:t>
            </w:r>
          </w:p>
          <w:p w14:paraId="31EB4DE1">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然后按式（B.3）计算出所有室内声源在围护结构处产生的i倍频带叠加声压级：</w:t>
            </w:r>
          </w:p>
          <w:p w14:paraId="178E5810">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position w:val="-32"/>
                <w:sz w:val="24"/>
                <w:lang w:val="zh-CN"/>
              </w:rPr>
              <w:drawing>
                <wp:inline distT="0" distB="0" distL="114300" distR="114300">
                  <wp:extent cx="1670050" cy="475615"/>
                  <wp:effectExtent l="0" t="0" r="6350" b="635"/>
                  <wp:docPr id="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07"/>
                          <pic:cNvPicPr>
                            <a:picLocks noChangeAspect="1"/>
                          </pic:cNvPicPr>
                        </pic:nvPicPr>
                        <pic:blipFill>
                          <a:blip r:embed="rId13"/>
                          <a:stretch>
                            <a:fillRect/>
                          </a:stretch>
                        </pic:blipFill>
                        <pic:spPr>
                          <a:xfrm>
                            <a:off x="0" y="0"/>
                            <a:ext cx="1670050" cy="475615"/>
                          </a:xfrm>
                          <a:prstGeom prst="rect">
                            <a:avLst/>
                          </a:prstGeom>
                          <a:noFill/>
                          <a:ln>
                            <a:noFill/>
                          </a:ln>
                        </pic:spPr>
                      </pic:pic>
                    </a:graphicData>
                  </a:graphic>
                </wp:inline>
              </w:drawing>
            </w:r>
            <w:r>
              <w:rPr>
                <w:rFonts w:ascii="Times New Roman" w:hAnsi="Times New Roman" w:eastAsia="宋体"/>
                <w:color w:val="auto"/>
                <w:sz w:val="24"/>
                <w:lang w:val="zh-CN"/>
              </w:rPr>
              <w:t>（B.</w:t>
            </w:r>
            <w:r>
              <w:rPr>
                <w:rFonts w:ascii="Times New Roman" w:hAnsi="Times New Roman" w:eastAsia="宋体"/>
                <w:color w:val="auto"/>
                <w:sz w:val="24"/>
              </w:rPr>
              <w:t>3</w:t>
            </w:r>
            <w:r>
              <w:rPr>
                <w:rFonts w:ascii="Times New Roman" w:hAnsi="Times New Roman" w:eastAsia="宋体"/>
                <w:color w:val="auto"/>
                <w:sz w:val="24"/>
                <w:lang w:val="zh-CN"/>
              </w:rPr>
              <w:t>）</w:t>
            </w:r>
          </w:p>
          <w:p w14:paraId="5F6D8229">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w:t>
            </w:r>
            <w:r>
              <w:rPr>
                <w:rFonts w:ascii="Times New Roman" w:hAnsi="Times New Roman" w:eastAsia="宋体"/>
                <w:color w:val="auto"/>
                <w:sz w:val="24"/>
              </w:rPr>
              <w:t>L</w:t>
            </w:r>
            <w:r>
              <w:rPr>
                <w:rFonts w:ascii="Times New Roman" w:hAnsi="Times New Roman" w:eastAsia="宋体"/>
                <w:color w:val="auto"/>
                <w:sz w:val="24"/>
                <w:vertAlign w:val="subscript"/>
              </w:rPr>
              <w:t>P1i(T)</w:t>
            </w:r>
            <w:r>
              <w:rPr>
                <w:rFonts w:ascii="Times New Roman" w:hAnsi="Times New Roman" w:eastAsia="宋体"/>
                <w:color w:val="auto"/>
                <w:sz w:val="24"/>
                <w:lang w:val="zh-CN"/>
              </w:rPr>
              <w:t>——靠近围护结构处室内N个声源i倍频带的叠加声压级，dB；</w:t>
            </w:r>
          </w:p>
          <w:p w14:paraId="1A797BE2">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L</w:t>
            </w:r>
            <w:r>
              <w:rPr>
                <w:rFonts w:ascii="Times New Roman" w:hAnsi="Times New Roman" w:eastAsia="宋体"/>
                <w:color w:val="auto"/>
                <w:sz w:val="24"/>
                <w:vertAlign w:val="subscript"/>
              </w:rPr>
              <w:t>P1ij</w:t>
            </w:r>
            <w:r>
              <w:rPr>
                <w:rFonts w:ascii="Times New Roman" w:hAnsi="Times New Roman" w:eastAsia="宋体"/>
                <w:color w:val="auto"/>
                <w:sz w:val="24"/>
                <w:lang w:val="zh-CN"/>
              </w:rPr>
              <w:t>——室内j声源i倍频带的声压级，dB；</w:t>
            </w:r>
          </w:p>
          <w:p w14:paraId="6D6D2F53">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N——室内声源总数。</w:t>
            </w:r>
          </w:p>
          <w:p w14:paraId="42F6771A">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在室内近似为扩散声场时，按式（B.4）计算出靠近室外围护结构处的声压级：</w:t>
            </w:r>
          </w:p>
          <w:p w14:paraId="79E47045">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sz w:val="24"/>
              </w:rPr>
              <w:t>L</w:t>
            </w:r>
            <w:r>
              <w:rPr>
                <w:rFonts w:ascii="Times New Roman" w:hAnsi="Times New Roman" w:eastAsia="宋体"/>
                <w:color w:val="auto"/>
                <w:sz w:val="24"/>
                <w:vertAlign w:val="subscript"/>
              </w:rPr>
              <w:t>P2i</w:t>
            </w:r>
            <w:r>
              <w:rPr>
                <w:rFonts w:ascii="Times New Roman" w:hAnsi="Times New Roman" w:eastAsia="宋体"/>
                <w:color w:val="auto"/>
                <w:sz w:val="24"/>
              </w:rPr>
              <w:t>(T)=L</w:t>
            </w:r>
            <w:r>
              <w:rPr>
                <w:rFonts w:ascii="Times New Roman" w:hAnsi="Times New Roman" w:eastAsia="宋体"/>
                <w:color w:val="auto"/>
                <w:sz w:val="24"/>
                <w:vertAlign w:val="subscript"/>
              </w:rPr>
              <w:t>P1i</w:t>
            </w:r>
            <w:r>
              <w:rPr>
                <w:rFonts w:ascii="Times New Roman" w:hAnsi="Times New Roman" w:eastAsia="宋体"/>
                <w:color w:val="auto"/>
                <w:sz w:val="24"/>
              </w:rPr>
              <w:t>(T)-(TL</w:t>
            </w:r>
            <w:r>
              <w:rPr>
                <w:rFonts w:ascii="Times New Roman" w:hAnsi="Times New Roman" w:eastAsia="宋体"/>
                <w:color w:val="auto"/>
                <w:sz w:val="24"/>
                <w:vertAlign w:val="subscript"/>
              </w:rPr>
              <w:t>i</w:t>
            </w:r>
            <w:r>
              <w:rPr>
                <w:rFonts w:ascii="Times New Roman" w:hAnsi="Times New Roman" w:eastAsia="宋体"/>
                <w:color w:val="auto"/>
                <w:sz w:val="24"/>
              </w:rPr>
              <w:t>+6)（B.4）</w:t>
            </w:r>
          </w:p>
          <w:p w14:paraId="59931020">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w:t>
            </w:r>
            <w:r>
              <w:rPr>
                <w:rFonts w:ascii="Times New Roman" w:hAnsi="Times New Roman" w:eastAsia="宋体"/>
                <w:color w:val="auto"/>
                <w:sz w:val="24"/>
              </w:rPr>
              <w:t>L</w:t>
            </w:r>
            <w:r>
              <w:rPr>
                <w:rFonts w:ascii="Times New Roman" w:hAnsi="Times New Roman" w:eastAsia="宋体"/>
                <w:color w:val="auto"/>
                <w:sz w:val="24"/>
                <w:vertAlign w:val="subscript"/>
              </w:rPr>
              <w:t>P2i</w:t>
            </w:r>
            <w:r>
              <w:rPr>
                <w:rFonts w:ascii="Times New Roman" w:hAnsi="Times New Roman" w:eastAsia="宋体"/>
                <w:color w:val="auto"/>
                <w:sz w:val="24"/>
              </w:rPr>
              <w:t>(T)</w:t>
            </w:r>
            <w:r>
              <w:rPr>
                <w:rFonts w:ascii="Times New Roman" w:hAnsi="Times New Roman" w:eastAsia="宋体"/>
                <w:color w:val="auto"/>
                <w:sz w:val="24"/>
                <w:lang w:val="zh-CN"/>
              </w:rPr>
              <w:t>——靠近围护结构处室外N个声源i倍频带的叠加声压级，dB；</w:t>
            </w:r>
          </w:p>
          <w:p w14:paraId="7D061286">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L</w:t>
            </w:r>
            <w:r>
              <w:rPr>
                <w:rFonts w:ascii="Times New Roman" w:hAnsi="Times New Roman" w:eastAsia="宋体"/>
                <w:color w:val="auto"/>
                <w:sz w:val="24"/>
                <w:vertAlign w:val="subscript"/>
              </w:rPr>
              <w:t>P1i</w:t>
            </w:r>
            <w:r>
              <w:rPr>
                <w:rFonts w:ascii="Times New Roman" w:hAnsi="Times New Roman" w:eastAsia="宋体"/>
                <w:color w:val="auto"/>
                <w:sz w:val="24"/>
              </w:rPr>
              <w:t>(T)</w:t>
            </w:r>
            <w:r>
              <w:rPr>
                <w:rFonts w:ascii="Times New Roman" w:hAnsi="Times New Roman" w:eastAsia="宋体"/>
                <w:color w:val="auto"/>
                <w:sz w:val="24"/>
                <w:lang w:val="zh-CN"/>
              </w:rPr>
              <w:t>——靠近围护结构处室内N个声源i倍频带的叠加声压级，dB；</w:t>
            </w:r>
          </w:p>
          <w:p w14:paraId="2A88E73E">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TL</w:t>
            </w:r>
            <w:r>
              <w:rPr>
                <w:rFonts w:ascii="Times New Roman" w:hAnsi="Times New Roman" w:eastAsia="宋体"/>
                <w:color w:val="auto"/>
                <w:sz w:val="24"/>
                <w:vertAlign w:val="subscript"/>
              </w:rPr>
              <w:t>i</w:t>
            </w:r>
            <w:r>
              <w:rPr>
                <w:rFonts w:ascii="Times New Roman" w:hAnsi="Times New Roman" w:eastAsia="宋体"/>
                <w:color w:val="auto"/>
                <w:sz w:val="24"/>
                <w:lang w:val="zh-CN"/>
              </w:rPr>
              <w:t>——围护结构i倍频带的隔声量，dB。</w:t>
            </w:r>
          </w:p>
          <w:p w14:paraId="61C2CD82">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然后按式（B.5）将室外声源的声压级和透过面积换算成等效的室外声源，计算出中心位置位于透声面积（S）处的等效声源的倍频带声功率级。</w:t>
            </w:r>
          </w:p>
          <w:p w14:paraId="4864245D">
            <w:pPr>
              <w:autoSpaceDE w:val="0"/>
              <w:autoSpaceDN w:val="0"/>
              <w:adjustRightInd w:val="0"/>
              <w:snapToGrid w:val="0"/>
              <w:spacing w:line="360" w:lineRule="auto"/>
              <w:jc w:val="center"/>
              <w:rPr>
                <w:rFonts w:ascii="Times New Roman" w:hAnsi="Times New Roman" w:eastAsia="宋体"/>
                <w:color w:val="auto"/>
                <w:sz w:val="24"/>
              </w:rPr>
            </w:pPr>
            <w:r>
              <w:rPr>
                <w:rFonts w:ascii="Times New Roman" w:hAnsi="Times New Roman" w:eastAsia="宋体"/>
                <w:color w:val="auto"/>
                <w:sz w:val="24"/>
              </w:rPr>
              <w:t>L</w:t>
            </w:r>
            <w:r>
              <w:rPr>
                <w:rFonts w:ascii="Times New Roman" w:hAnsi="Times New Roman" w:eastAsia="宋体"/>
                <w:color w:val="auto"/>
                <w:sz w:val="24"/>
                <w:vertAlign w:val="subscript"/>
              </w:rPr>
              <w:t>W</w:t>
            </w:r>
            <w:r>
              <w:rPr>
                <w:rFonts w:ascii="Times New Roman" w:hAnsi="Times New Roman" w:eastAsia="宋体"/>
                <w:color w:val="auto"/>
                <w:sz w:val="24"/>
              </w:rPr>
              <w:t>=L</w:t>
            </w:r>
            <w:r>
              <w:rPr>
                <w:rFonts w:ascii="Times New Roman" w:hAnsi="Times New Roman" w:eastAsia="宋体"/>
                <w:color w:val="auto"/>
                <w:sz w:val="24"/>
                <w:vertAlign w:val="subscript"/>
              </w:rPr>
              <w:t>P2</w:t>
            </w:r>
            <w:r>
              <w:rPr>
                <w:rFonts w:ascii="Times New Roman" w:hAnsi="Times New Roman" w:eastAsia="宋体"/>
                <w:color w:val="auto"/>
                <w:sz w:val="24"/>
              </w:rPr>
              <w:t>(T)+10lgS（B.5）</w:t>
            </w:r>
          </w:p>
          <w:p w14:paraId="35CBCED7">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式中：</w:t>
            </w:r>
            <w:r>
              <w:rPr>
                <w:rFonts w:ascii="Times New Roman" w:hAnsi="Times New Roman" w:eastAsia="宋体"/>
                <w:color w:val="auto"/>
                <w:sz w:val="24"/>
              </w:rPr>
              <w:t>L</w:t>
            </w:r>
            <w:r>
              <w:rPr>
                <w:rFonts w:ascii="Times New Roman" w:hAnsi="Times New Roman" w:eastAsia="宋体"/>
                <w:color w:val="auto"/>
                <w:sz w:val="24"/>
                <w:vertAlign w:val="subscript"/>
              </w:rPr>
              <w:t>W</w:t>
            </w:r>
            <w:r>
              <w:rPr>
                <w:rFonts w:ascii="Times New Roman" w:hAnsi="Times New Roman" w:eastAsia="宋体"/>
                <w:color w:val="auto"/>
                <w:sz w:val="24"/>
                <w:lang w:val="zh-CN"/>
              </w:rPr>
              <w:t>——中心位置位于透声面积（S）处的等效声源的倍频带声功率级，dB；</w:t>
            </w:r>
          </w:p>
          <w:p w14:paraId="5CA3806A">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rPr>
              <w:t>L</w:t>
            </w:r>
            <w:r>
              <w:rPr>
                <w:rFonts w:ascii="Times New Roman" w:hAnsi="Times New Roman" w:eastAsia="宋体"/>
                <w:color w:val="auto"/>
                <w:sz w:val="24"/>
                <w:vertAlign w:val="subscript"/>
              </w:rPr>
              <w:t>P2</w:t>
            </w:r>
            <w:r>
              <w:rPr>
                <w:rFonts w:ascii="Times New Roman" w:hAnsi="Times New Roman" w:eastAsia="宋体"/>
                <w:color w:val="auto"/>
                <w:sz w:val="24"/>
              </w:rPr>
              <w:t>(T)</w:t>
            </w:r>
            <w:r>
              <w:rPr>
                <w:rFonts w:ascii="Times New Roman" w:hAnsi="Times New Roman" w:eastAsia="宋体"/>
                <w:color w:val="auto"/>
                <w:sz w:val="24"/>
                <w:lang w:val="zh-CN"/>
              </w:rPr>
              <w:t>——靠近围护结构处室外声源的声压级，dB；</w:t>
            </w:r>
          </w:p>
          <w:p w14:paraId="74AC3157">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S——透声面积，m</w:t>
            </w:r>
            <w:r>
              <w:rPr>
                <w:rFonts w:ascii="Times New Roman" w:hAnsi="Times New Roman" w:eastAsia="宋体"/>
                <w:color w:val="auto"/>
                <w:sz w:val="24"/>
                <w:vertAlign w:val="superscript"/>
                <w:lang w:val="zh-CN"/>
              </w:rPr>
              <w:t>2</w:t>
            </w:r>
            <w:r>
              <w:rPr>
                <w:rFonts w:ascii="Times New Roman" w:hAnsi="Times New Roman" w:eastAsia="宋体"/>
                <w:color w:val="auto"/>
                <w:sz w:val="24"/>
                <w:lang w:val="zh-CN"/>
              </w:rPr>
              <w:t>。</w:t>
            </w:r>
          </w:p>
          <w:p w14:paraId="5835C72D">
            <w:pPr>
              <w:autoSpaceDE w:val="0"/>
              <w:autoSpaceDN w:val="0"/>
              <w:adjustRightInd w:val="0"/>
              <w:snapToGrid w:val="0"/>
              <w:spacing w:line="360" w:lineRule="auto"/>
              <w:ind w:firstLine="480" w:firstLineChars="200"/>
              <w:rPr>
                <w:rFonts w:ascii="Times New Roman" w:hAnsi="Times New Roman" w:eastAsia="宋体"/>
                <w:color w:val="auto"/>
                <w:sz w:val="24"/>
                <w:lang w:val="zh-CN"/>
              </w:rPr>
            </w:pPr>
            <w:r>
              <w:rPr>
                <w:rFonts w:ascii="Times New Roman" w:hAnsi="Times New Roman" w:eastAsia="宋体"/>
                <w:color w:val="auto"/>
                <w:sz w:val="24"/>
                <w:lang w:val="zh-CN"/>
              </w:rPr>
              <w:t>然后按室外声源预测方法计算预测点处的A声级。</w:t>
            </w:r>
          </w:p>
          <w:p w14:paraId="2802EE65">
            <w:pPr>
              <w:autoSpaceDE w:val="0"/>
              <w:autoSpaceDN w:val="0"/>
              <w:adjustRightInd w:val="0"/>
              <w:snapToGrid w:val="0"/>
              <w:spacing w:line="360" w:lineRule="auto"/>
              <w:ind w:firstLine="480" w:firstLineChars="200"/>
              <w:rPr>
                <w:rFonts w:ascii="Times New Roman" w:hAnsi="Times New Roman" w:eastAsia="宋体"/>
                <w:color w:val="auto"/>
                <w:sz w:val="24"/>
              </w:rPr>
            </w:pPr>
            <w:r>
              <w:rPr>
                <w:rFonts w:ascii="Times New Roman" w:hAnsi="Times New Roman" w:eastAsia="宋体"/>
                <w:color w:val="auto"/>
                <w:sz w:val="24"/>
                <w:lang w:val="zh-CN"/>
              </w:rPr>
              <w:t>噪声在室外空间的传播，由于受到遮挡物的隔断，各种介质的吸收与反射，以及空气介质的吸收等物理作用而逐渐减弱。为了简化计算条件并能考虑到最不利因素，计算时只考虑噪声源自身减振安装及随距离的衰减。</w:t>
            </w:r>
          </w:p>
          <w:p w14:paraId="62553E7C">
            <w:pPr>
              <w:pStyle w:val="61"/>
              <w:ind w:firstLine="480"/>
              <w:rPr>
                <w:rFonts w:hint="eastAsia" w:ascii="Times New Roman" w:hAnsi="Times New Roman" w:eastAsia="宋体"/>
                <w:b/>
                <w:bCs/>
                <w:color w:val="auto"/>
              </w:rPr>
            </w:pPr>
            <w:r>
              <w:rPr>
                <w:rFonts w:hint="eastAsia" w:ascii="Times New Roman" w:hAnsi="Times New Roman" w:eastAsia="宋体"/>
                <w:b/>
                <w:bCs/>
                <w:color w:val="auto"/>
              </w:rPr>
              <w:t>B、室外声源衰减</w:t>
            </w:r>
          </w:p>
          <w:p w14:paraId="78139D33">
            <w:pPr>
              <w:pStyle w:val="61"/>
              <w:ind w:firstLine="480"/>
              <w:rPr>
                <w:rFonts w:hint="eastAsia" w:ascii="Times New Roman" w:hAnsi="Times New Roman" w:eastAsia="宋体"/>
                <w:color w:val="auto"/>
              </w:rPr>
            </w:pPr>
            <w:r>
              <w:rPr>
                <w:rFonts w:hint="eastAsia" w:ascii="Times New Roman" w:hAnsi="Times New Roman" w:eastAsia="宋体"/>
                <w:color w:val="auto"/>
              </w:rPr>
              <w:t>①计算某个声源在预测点的声级</w:t>
            </w:r>
          </w:p>
          <w:p w14:paraId="4A6E16D0">
            <w:pPr>
              <w:pStyle w:val="61"/>
              <w:ind w:firstLine="48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p</m:t>
                    </m:r>
                    <m:ctrlPr>
                      <w:rPr>
                        <w:rFonts w:ascii="Cambria Math" w:hAnsi="Cambria Math" w:eastAsia="宋体"/>
                        <w:color w:val="auto"/>
                      </w:rPr>
                    </m:ctrlPr>
                  </m:sub>
                </m:sSub>
                <m:r>
                  <m:rPr/>
                  <w:rPr>
                    <w:rFonts w:ascii="Times New Roman" w:hAnsi="Times New Roman" w:eastAsia="宋体" w:cs="Cambria Math"/>
                    <w:color w:val="auto"/>
                  </w:rPr>
                  <m:t>(r)=</m:t>
                </m:r>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w</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D</m:t>
                    </m:r>
                    <m:ctrlPr>
                      <w:rPr>
                        <w:rFonts w:ascii="Cambria Math" w:hAnsi="Cambria Math" w:eastAsia="宋体"/>
                        <w:color w:val="auto"/>
                      </w:rPr>
                    </m:ctrlPr>
                  </m:e>
                  <m:sub>
                    <m:r>
                      <m:rPr/>
                      <w:rPr>
                        <w:rFonts w:ascii="Times New Roman" w:hAnsi="Times New Roman" w:eastAsia="宋体" w:cs="Cambria Math"/>
                        <w:color w:val="auto"/>
                      </w:rPr>
                      <m:t>C</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div</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atm</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gr</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bar</m:t>
                    </m:r>
                    <m:ctrlPr>
                      <w:rPr>
                        <w:rFonts w:ascii="Cambria Math" w:hAnsi="Cambria Math" w:eastAsia="宋体"/>
                        <w:color w:val="auto"/>
                      </w:rPr>
                    </m:ctrlPr>
                  </m:sub>
                </m:sSub>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misc</m:t>
                    </m:r>
                    <m:ctrlPr>
                      <w:rPr>
                        <w:rFonts w:ascii="Cambria Math" w:hAnsi="Cambria Math" w:eastAsia="宋体"/>
                        <w:color w:val="auto"/>
                      </w:rPr>
                    </m:ctrlPr>
                  </m:sub>
                </m:sSub>
                <m:r>
                  <m:rPr/>
                  <w:rPr>
                    <w:rFonts w:ascii="Times New Roman" w:hAnsi="Times New Roman" w:eastAsia="宋体" w:cs="Cambria Math"/>
                    <w:color w:val="auto"/>
                  </w:rPr>
                  <m:t>)</m:t>
                </m:r>
              </m:oMath>
            </m:oMathPara>
          </w:p>
          <w:p w14:paraId="393E259D">
            <w:pPr>
              <w:pStyle w:val="35"/>
              <w:keepNext w:val="0"/>
              <w:keepLines w:val="0"/>
              <w:pageBreakBefore w:val="0"/>
              <w:widowControl w:val="0"/>
              <w:kinsoku/>
              <w:wordWrap/>
              <w:overflowPunct/>
              <w:topLinePunct/>
              <w:autoSpaceDE/>
              <w:autoSpaceDN/>
              <w:bidi w:val="0"/>
              <w:adjustRightInd w:val="0"/>
              <w:snapToGrid w:val="0"/>
              <w:spacing w:line="360" w:lineRule="auto"/>
              <w:textAlignment w:val="auto"/>
              <w:rPr>
                <w:rFonts w:hint="eastAsia" w:ascii="Times New Roman" w:hAnsi="Times New Roman" w:eastAsia="宋体" w:cs="Times New Roman"/>
                <w:color w:val="auto"/>
                <w:sz w:val="24"/>
                <w:szCs w:val="24"/>
                <w:vertAlign w:val="baseline"/>
                <w:lang w:val="en-US" w:eastAsia="zh-CN"/>
              </w:rPr>
            </w:pPr>
            <w:r>
              <w:rPr>
                <w:rFonts w:ascii="Times New Roman" w:hAnsi="Times New Roman" w:eastAsia="宋体"/>
                <w:color w:val="auto"/>
                <w:kern w:val="0"/>
                <w:sz w:val="24"/>
              </w:rPr>
              <w:t>式中：</w:t>
            </w:r>
            <w:r>
              <w:rPr>
                <w:rFonts w:hint="eastAsia" w:ascii="Times New Roman" w:hAnsi="Times New Roman" w:eastAsia="宋体" w:cs="Times New Roman"/>
                <w:color w:val="auto"/>
                <w:sz w:val="24"/>
                <w:szCs w:val="24"/>
                <w:vertAlign w:val="baseline"/>
                <w:lang w:val="en-US" w:eastAsia="zh-CN"/>
              </w:rPr>
              <w:t>L</w:t>
            </w:r>
            <w:r>
              <w:rPr>
                <w:rFonts w:hint="eastAsia" w:ascii="Times New Roman" w:hAnsi="Times New Roman" w:eastAsia="宋体" w:cs="Times New Roman"/>
                <w:color w:val="auto"/>
                <w:sz w:val="24"/>
                <w:szCs w:val="24"/>
                <w:vertAlign w:val="subscript"/>
                <w:lang w:val="en-US" w:eastAsia="zh-CN"/>
              </w:rPr>
              <w:t>P</w:t>
            </w:r>
            <w:r>
              <w:rPr>
                <w:rFonts w:hint="eastAsia" w:ascii="Times New Roman" w:hAnsi="Times New Roman" w:eastAsia="宋体" w:cs="Times New Roman"/>
                <w:color w:val="auto"/>
                <w:sz w:val="24"/>
                <w:szCs w:val="24"/>
                <w:vertAlign w:val="baseline"/>
                <w:lang w:val="en-US" w:eastAsia="zh-CN"/>
              </w:rPr>
              <w:t>（r）—预测点处声压级，dB；</w:t>
            </w:r>
          </w:p>
          <w:p w14:paraId="1FFA80B6">
            <w:pPr>
              <w:pStyle w:val="35"/>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L</w:t>
            </w:r>
            <w:r>
              <w:rPr>
                <w:rFonts w:hint="eastAsia" w:ascii="Times New Roman" w:hAnsi="Times New Roman" w:eastAsia="宋体" w:cs="Times New Roman"/>
                <w:color w:val="auto"/>
                <w:sz w:val="24"/>
                <w:szCs w:val="24"/>
                <w:vertAlign w:val="subscript"/>
                <w:lang w:val="en-US" w:eastAsia="zh-CN"/>
              </w:rPr>
              <w:t>W</w:t>
            </w:r>
            <w:r>
              <w:rPr>
                <w:rFonts w:hint="eastAsia" w:ascii="Times New Roman" w:hAnsi="Times New Roman" w:eastAsia="宋体" w:cs="Times New Roman"/>
                <w:color w:val="auto"/>
                <w:sz w:val="24"/>
                <w:szCs w:val="24"/>
                <w:vertAlign w:val="baseline"/>
                <w:lang w:val="en-US" w:eastAsia="zh-CN"/>
              </w:rPr>
              <w:t>—由点声源产生的声功率级（A计权或倍频带），dB；</w:t>
            </w:r>
          </w:p>
          <w:p w14:paraId="4C9ACF73">
            <w:pPr>
              <w:pStyle w:val="35"/>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Dc—指向性校正，它描述点声源的等效连续声压级与产生声功率级Lw的全向点声源在规定方向的声级的偏差程度，dB；</w:t>
            </w:r>
          </w:p>
          <w:p w14:paraId="0E6631C7">
            <w:pPr>
              <w:pStyle w:val="35"/>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div</w:t>
            </w:r>
            <w:r>
              <w:rPr>
                <w:rFonts w:hint="eastAsia" w:ascii="Times New Roman" w:hAnsi="Times New Roman" w:eastAsia="宋体" w:cs="Times New Roman"/>
                <w:color w:val="auto"/>
                <w:sz w:val="24"/>
                <w:szCs w:val="24"/>
                <w:vertAlign w:val="baseline"/>
                <w:lang w:val="en-US" w:eastAsia="zh-CN"/>
              </w:rPr>
              <w:t>—几何发散引起的衰减，dB；</w:t>
            </w:r>
          </w:p>
          <w:p w14:paraId="1AE5E8B6">
            <w:pPr>
              <w:pStyle w:val="35"/>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atm</w:t>
            </w:r>
            <w:r>
              <w:rPr>
                <w:rFonts w:hint="eastAsia" w:ascii="Times New Roman" w:hAnsi="Times New Roman" w:eastAsia="宋体" w:cs="Times New Roman"/>
                <w:color w:val="auto"/>
                <w:sz w:val="24"/>
                <w:szCs w:val="24"/>
                <w:vertAlign w:val="baseline"/>
                <w:lang w:val="en-US" w:eastAsia="zh-CN"/>
              </w:rPr>
              <w:t>—大气吸收引起的衰减，dB；</w:t>
            </w:r>
          </w:p>
          <w:p w14:paraId="2D5788C2">
            <w:pPr>
              <w:pStyle w:val="35"/>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gr</w:t>
            </w:r>
            <w:r>
              <w:rPr>
                <w:rFonts w:hint="eastAsia" w:ascii="Times New Roman" w:hAnsi="Times New Roman" w:eastAsia="宋体" w:cs="Times New Roman"/>
                <w:color w:val="auto"/>
                <w:sz w:val="24"/>
                <w:szCs w:val="24"/>
                <w:vertAlign w:val="baseline"/>
                <w:lang w:val="en-US" w:eastAsia="zh-CN"/>
              </w:rPr>
              <w:t>—地面效应引起的衰减，dB；</w:t>
            </w:r>
          </w:p>
          <w:p w14:paraId="335142D7">
            <w:pPr>
              <w:pStyle w:val="35"/>
              <w:keepNext w:val="0"/>
              <w:keepLines w:val="0"/>
              <w:pageBreakBefore w:val="0"/>
              <w:widowControl w:val="0"/>
              <w:kinsoku/>
              <w:wordWrap/>
              <w:overflowPunct/>
              <w:topLinePunct/>
              <w:autoSpaceDE/>
              <w:autoSpaceDN/>
              <w:bidi w:val="0"/>
              <w:adjustRightInd w:val="0"/>
              <w:snapToGrid w:val="0"/>
              <w:spacing w:line="360" w:lineRule="auto"/>
              <w:ind w:firstLine="1200" w:firstLineChars="500"/>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bar</w:t>
            </w:r>
            <w:r>
              <w:rPr>
                <w:rFonts w:hint="eastAsia" w:ascii="Times New Roman" w:hAnsi="Times New Roman" w:eastAsia="宋体" w:cs="Times New Roman"/>
                <w:color w:val="auto"/>
                <w:sz w:val="24"/>
                <w:szCs w:val="24"/>
                <w:vertAlign w:val="baseline"/>
                <w:lang w:val="en-US" w:eastAsia="zh-CN"/>
              </w:rPr>
              <w:t>—障碍物屏蔽引起的衰减，dB；</w:t>
            </w:r>
          </w:p>
          <w:p w14:paraId="21A4AD6B">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olor w:val="auto"/>
                <w:kern w:val="0"/>
                <w:sz w:val="24"/>
              </w:rPr>
            </w:pPr>
            <w:r>
              <w:rPr>
                <w:rFonts w:hint="eastAsia" w:ascii="Times New Roman" w:hAnsi="Times New Roman" w:eastAsia="宋体" w:cs="Times New Roman"/>
                <w:color w:val="auto"/>
                <w:sz w:val="24"/>
                <w:szCs w:val="24"/>
                <w:vertAlign w:val="baseline"/>
                <w:lang w:val="en-US" w:eastAsia="zh-CN"/>
              </w:rPr>
              <w:t>A</w:t>
            </w:r>
            <w:r>
              <w:rPr>
                <w:rFonts w:hint="eastAsia" w:ascii="Times New Roman" w:hAnsi="Times New Roman" w:eastAsia="宋体" w:cs="Times New Roman"/>
                <w:color w:val="auto"/>
                <w:sz w:val="24"/>
                <w:szCs w:val="24"/>
                <w:vertAlign w:val="subscript"/>
                <w:lang w:val="en-US" w:eastAsia="zh-CN"/>
              </w:rPr>
              <w:t>misc</w:t>
            </w:r>
            <w:r>
              <w:rPr>
                <w:rFonts w:hint="eastAsia" w:ascii="Times New Roman" w:hAnsi="Times New Roman" w:eastAsia="宋体" w:cs="Times New Roman"/>
                <w:color w:val="auto"/>
                <w:sz w:val="24"/>
                <w:szCs w:val="24"/>
                <w:vertAlign w:val="baseline"/>
                <w:lang w:val="en-US" w:eastAsia="zh-CN"/>
              </w:rPr>
              <w:t>—其他多方面效应引起的衰减，dB。</w:t>
            </w:r>
          </w:p>
          <w:p w14:paraId="1EB95E1C">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lang w:eastAsia="zh-CN"/>
              </w:rPr>
              <w:t>②已知靠近声源处某点的倍频带声压级</w:t>
            </w:r>
            <m:oMath>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A</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oMath>
            <w:r>
              <w:rPr>
                <w:rFonts w:hint="eastAsia" w:ascii="Times New Roman" w:hAnsi="Times New Roman" w:eastAsia="宋体"/>
                <w:color w:val="auto"/>
                <w:lang w:eastAsia="zh-CN"/>
              </w:rPr>
              <w:t>，计算相同方向预测点位置的倍频带声压级：</w:t>
            </w:r>
          </w:p>
          <w:p w14:paraId="18719840">
            <w:pPr>
              <w:pStyle w:val="61"/>
              <w:ind w:left="0" w:leftChars="0" w:firstLine="0" w:firstLineChars="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A</m:t>
                    </m:r>
                    <m:ctrlPr>
                      <w:rPr>
                        <w:rFonts w:ascii="Cambria Math" w:hAnsi="Cambria Math" w:eastAsia="宋体"/>
                        <w:color w:val="auto"/>
                      </w:rPr>
                    </m:ctrlPr>
                  </m:sub>
                </m:sSub>
                <m:r>
                  <m:rPr/>
                  <w:rPr>
                    <w:rFonts w:ascii="Times New Roman" w:hAnsi="Times New Roman" w:eastAsia="宋体" w:cs="Cambria Math"/>
                    <w:color w:val="auto"/>
                  </w:rPr>
                  <m:t>(r)=</m:t>
                </m:r>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A</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r>
                  <m:rPr>
                    <m:sty m:val="p"/>
                  </m:rPr>
                  <w:rPr>
                    <w:rFonts w:hint="default" w:ascii="Times New Roman" w:hAnsi="Times New Roman" w:eastAsia="宋体"/>
                    <w:color w:val="auto"/>
                    <w:lang w:val="en-US" w:eastAsia="zh-CN"/>
                  </w:rPr>
                  <m:t>−</m:t>
                </m:r>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div</m:t>
                    </m:r>
                    <m:ctrlPr>
                      <w:rPr>
                        <w:rFonts w:ascii="Cambria Math" w:hAnsi="Cambria Math" w:eastAsia="宋体"/>
                        <w:color w:val="auto"/>
                      </w:rPr>
                    </m:ctrlPr>
                  </m:sub>
                </m:sSub>
              </m:oMath>
            </m:oMathPara>
          </w:p>
          <w:p w14:paraId="735A8D35">
            <w:pPr>
              <w:pStyle w:val="61"/>
              <w:ind w:firstLine="480"/>
              <w:rPr>
                <w:rFonts w:hint="eastAsia" w:ascii="Times New Roman" w:hAnsi="Times New Roman" w:eastAsia="宋体"/>
                <w:color w:val="auto"/>
              </w:rPr>
            </w:pPr>
            <w:r>
              <w:rPr>
                <w:rFonts w:hint="eastAsia" w:ascii="Times New Roman" w:hAnsi="Times New Roman" w:eastAsia="宋体"/>
                <w:color w:val="auto"/>
              </w:rPr>
              <w:t>式中：</w:t>
            </w:r>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A</m:t>
                  </m:r>
                  <m:ctrlPr>
                    <w:rPr>
                      <w:rFonts w:ascii="Cambria Math" w:hAnsi="Cambria Math" w:eastAsia="宋体"/>
                      <w:color w:val="auto"/>
                    </w:rPr>
                  </m:ctrlPr>
                </m:sub>
              </m:sSub>
              <m:r>
                <m:rPr/>
                <w:rPr>
                  <w:rFonts w:ascii="Times New Roman" w:hAnsi="Times New Roman" w:eastAsia="宋体" w:cs="Cambria Math"/>
                  <w:color w:val="auto"/>
                </w:rPr>
                <m:t>(r)</m:t>
              </m:r>
            </m:oMath>
            <w:r>
              <w:rPr>
                <w:rFonts w:hint="eastAsia" w:ascii="Times New Roman" w:hAnsi="Times New Roman" w:eastAsia="宋体"/>
                <w:color w:val="auto"/>
              </w:rPr>
              <w:t>——距声源r处的A声级，dB(A)；</w:t>
            </w:r>
          </w:p>
          <w:p w14:paraId="762E037B">
            <w:pPr>
              <w:pStyle w:val="61"/>
              <w:ind w:firstLine="480"/>
              <w:rPr>
                <w:rFonts w:hint="eastAsia" w:ascii="Times New Roman" w:hAnsi="Times New Roman" w:eastAsia="宋体"/>
                <w:color w:val="auto"/>
              </w:rPr>
            </w:pPr>
            <m:oMath>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A</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oMath>
            <w:r>
              <w:rPr>
                <w:rFonts w:hint="eastAsia" w:ascii="Times New Roman" w:hAnsi="Times New Roman" w:eastAsia="宋体"/>
                <w:color w:val="auto"/>
              </w:rPr>
              <w:t>——参考位置r0处的A声级，dB(A)；</w:t>
            </w:r>
          </w:p>
          <w:p w14:paraId="0EB7E9DD">
            <w:pPr>
              <w:pStyle w:val="61"/>
              <w:ind w:firstLine="480"/>
              <w:rPr>
                <w:rFonts w:hint="eastAsia" w:ascii="Times New Roman" w:hAnsi="Times New Roman" w:eastAsia="宋体"/>
                <w:color w:val="auto"/>
              </w:rPr>
            </w:pPr>
            <m:oMath>
              <m:sSub>
                <m:sSubPr>
                  <m:ctrlPr>
                    <w:rPr>
                      <w:rFonts w:ascii="Cambria Math" w:hAnsi="Cambria Math" w:eastAsia="宋体"/>
                      <w:color w:val="auto"/>
                    </w:rPr>
                  </m:ctrlPr>
                </m:sSubPr>
                <m:e>
                  <m:r>
                    <m:rPr/>
                    <w:rPr>
                      <w:rFonts w:ascii="Times New Roman" w:hAnsi="Times New Roman" w:eastAsia="宋体" w:cs="Cambria Math"/>
                      <w:color w:val="auto"/>
                    </w:rPr>
                    <m:t>A</m:t>
                  </m:r>
                  <m:ctrlPr>
                    <w:rPr>
                      <w:rFonts w:ascii="Cambria Math" w:hAnsi="Cambria Math" w:eastAsia="宋体"/>
                      <w:color w:val="auto"/>
                    </w:rPr>
                  </m:ctrlPr>
                </m:e>
                <m:sub>
                  <m:r>
                    <m:rPr/>
                    <w:rPr>
                      <w:rFonts w:ascii="Times New Roman" w:hAnsi="Times New Roman" w:eastAsia="宋体" w:cs="Cambria Math"/>
                      <w:color w:val="auto"/>
                    </w:rPr>
                    <m:t>div</m:t>
                  </m:r>
                  <m:ctrlPr>
                    <w:rPr>
                      <w:rFonts w:ascii="Cambria Math" w:hAnsi="Cambria Math" w:eastAsia="宋体"/>
                      <w:color w:val="auto"/>
                    </w:rPr>
                  </m:ctrlPr>
                </m:sub>
              </m:sSub>
            </m:oMath>
            <w:r>
              <w:rPr>
                <w:rFonts w:hint="eastAsia" w:ascii="Times New Roman" w:hAnsi="Times New Roman" w:eastAsia="宋体"/>
                <w:color w:val="auto"/>
              </w:rPr>
              <w:t>——几何发散引起的衰减，dB。</w:t>
            </w:r>
          </w:p>
          <w:p w14:paraId="1B716E60">
            <w:pPr>
              <w:pStyle w:val="61"/>
              <w:ind w:firstLine="480"/>
              <w:rPr>
                <w:rFonts w:hint="eastAsia" w:ascii="Times New Roman" w:hAnsi="Times New Roman" w:eastAsia="宋体"/>
                <w:color w:val="auto"/>
              </w:rPr>
            </w:pPr>
            <w:r>
              <w:rPr>
                <w:rFonts w:hint="eastAsia" w:ascii="Times New Roman" w:hAnsi="Times New Roman" w:eastAsia="宋体"/>
                <w:color w:val="auto"/>
              </w:rPr>
              <w:t>预测点的A声级</w:t>
            </w:r>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m:sty m:val="p"/>
                    </m:rPr>
                    <w:rPr>
                      <w:rFonts w:ascii="Times New Roman" w:hAnsi="Times New Roman" w:eastAsia="宋体"/>
                      <w:color w:val="auto"/>
                      <w:sz w:val="24"/>
                      <w:szCs w:val="24"/>
                    </w:rPr>
                    <m:t>A</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oMath>
            <w:r>
              <w:rPr>
                <w:rFonts w:hint="eastAsia" w:ascii="Times New Roman" w:hAnsi="Times New Roman" w:eastAsia="宋体"/>
                <w:color w:val="auto"/>
              </w:rPr>
              <w:t>，可利用8个倍频带的声压级按如下计算：</w:t>
            </w:r>
          </w:p>
          <w:p w14:paraId="0A2FA2C8">
            <w:pPr>
              <w:rPr>
                <w:rFonts w:ascii="Times New Roman" w:hAnsi="Times New Roman" w:eastAsia="宋体"/>
                <w:color w:val="auto"/>
              </w:rPr>
            </w:pPr>
            <m:oMathPara>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m:sty m:val="p"/>
                      </m:rPr>
                      <w:rPr>
                        <w:rFonts w:ascii="Times New Roman" w:hAnsi="Times New Roman" w:eastAsia="宋体"/>
                        <w:color w:val="auto"/>
                        <w:sz w:val="24"/>
                        <w:szCs w:val="24"/>
                      </w:rPr>
                      <m:t>A</m:t>
                    </m:r>
                    <m:ctrlPr>
                      <w:rPr>
                        <w:rFonts w:ascii="Cambria Math" w:hAnsi="Cambria Math" w:eastAsia="宋体"/>
                        <w:color w:val="auto"/>
                        <w:sz w:val="24"/>
                        <w:szCs w:val="24"/>
                      </w:rPr>
                    </m:ctrlPr>
                  </m:sub>
                </m:sSub>
                <m:r>
                  <m:rPr/>
                  <w:rPr>
                    <w:rFonts w:ascii="Times New Roman" w:hAnsi="Times New Roman" w:eastAsia="宋体"/>
                    <w:color w:val="auto"/>
                    <w:sz w:val="24"/>
                    <w:szCs w:val="24"/>
                  </w:rPr>
                  <m:t>(r)=10</m:t>
                </m:r>
                <m:r>
                  <m:rPr>
                    <m:sty m:val="p"/>
                  </m:rPr>
                  <w:rPr>
                    <w:rFonts w:ascii="Times New Roman" w:hAnsi="Times New Roman" w:eastAsia="宋体"/>
                    <w:color w:val="auto"/>
                    <w:sz w:val="24"/>
                    <w:szCs w:val="24"/>
                  </w:rPr>
                  <m:t>lg</m:t>
                </m:r>
                <m:r>
                  <m:rPr/>
                  <w:rPr>
                    <w:rFonts w:ascii="Times New Roman" w:hAnsi="Times New Roman" w:eastAsia="宋体"/>
                    <w:color w:val="auto"/>
                    <w:sz w:val="24"/>
                    <w:szCs w:val="24"/>
                  </w:rPr>
                  <m:t>⁡{</m:t>
                </m:r>
                <m:nary>
                  <m:naryPr>
                    <m:chr m:val="∑"/>
                    <m:grow m:val="1"/>
                    <m:limLoc m:val="undOvr"/>
                    <m:ctrlPr>
                      <w:rPr>
                        <w:rFonts w:ascii="Cambria Math" w:hAnsi="Cambria Math" w:eastAsia="宋体"/>
                        <w:color w:val="auto"/>
                        <w:sz w:val="24"/>
                        <w:szCs w:val="24"/>
                      </w:rPr>
                    </m:ctrlPr>
                  </m:naryPr>
                  <m:sub>
                    <m:r>
                      <m:rPr/>
                      <w:rPr>
                        <w:rFonts w:ascii="Times New Roman" w:hAnsi="Times New Roman" w:eastAsia="宋体"/>
                        <w:color w:val="auto"/>
                        <w:sz w:val="24"/>
                        <w:szCs w:val="24"/>
                      </w:rPr>
                      <m:t>i=1</m:t>
                    </m:r>
                    <m:ctrlPr>
                      <w:rPr>
                        <w:rFonts w:ascii="Cambria Math" w:hAnsi="Cambria Math" w:eastAsia="宋体"/>
                        <w:color w:val="auto"/>
                        <w:sz w:val="24"/>
                        <w:szCs w:val="24"/>
                      </w:rPr>
                    </m:ctrlPr>
                  </m:sub>
                  <m:sup>
                    <m:r>
                      <m:rPr/>
                      <w:rPr>
                        <w:rFonts w:ascii="Times New Roman" w:hAnsi="Times New Roman" w:eastAsia="宋体"/>
                        <w:color w:val="auto"/>
                        <w:sz w:val="24"/>
                        <w:szCs w:val="24"/>
                      </w:rPr>
                      <m:t>8</m:t>
                    </m:r>
                    <m:ctrlPr>
                      <w:rPr>
                        <w:rFonts w:ascii="Cambria Math" w:hAnsi="Cambria Math" w:eastAsia="宋体"/>
                        <w:color w:val="auto"/>
                        <w:sz w:val="24"/>
                        <w:szCs w:val="24"/>
                      </w:rPr>
                    </m:ctrlPr>
                  </m:sup>
                  <m:e>
                    <m:sSup>
                      <m:sSupPr>
                        <m:ctrlPr>
                          <w:rPr>
                            <w:rFonts w:ascii="Cambria Math" w:hAnsi="Cambria Math" w:eastAsia="宋体"/>
                            <w:color w:val="auto"/>
                            <w:sz w:val="24"/>
                            <w:szCs w:val="24"/>
                          </w:rPr>
                        </m:ctrlPr>
                      </m:sSupPr>
                      <m:e>
                        <m:r>
                          <m:rPr/>
                          <w:rPr>
                            <w:rFonts w:ascii="Times New Roman" w:hAnsi="Times New Roman" w:eastAsia="宋体"/>
                            <w:color w:val="auto"/>
                            <w:sz w:val="24"/>
                            <w:szCs w:val="24"/>
                          </w:rPr>
                          <m:t>10</m:t>
                        </m:r>
                        <m:ctrlPr>
                          <w:rPr>
                            <w:rFonts w:ascii="Cambria Math" w:hAnsi="Cambria Math" w:eastAsia="宋体"/>
                            <w:color w:val="auto"/>
                            <w:sz w:val="24"/>
                            <w:szCs w:val="24"/>
                          </w:rPr>
                        </m:ctrlPr>
                      </m:e>
                      <m:sup>
                        <m:r>
                          <m:rPr/>
                          <w:rPr>
                            <w:rFonts w:ascii="Times New Roman" w:hAnsi="Times New Roman" w:eastAsia="宋体"/>
                            <w:color w:val="auto"/>
                            <w:sz w:val="24"/>
                            <w:szCs w:val="24"/>
                          </w:rPr>
                          <m:t>0.</m:t>
                        </m:r>
                        <m:r>
                          <m:rPr/>
                          <w:rPr>
                            <w:rFonts w:hint="default" w:ascii="Times New Roman" w:hAnsi="Times New Roman" w:eastAsia="宋体"/>
                            <w:color w:val="auto"/>
                            <w:sz w:val="24"/>
                            <w:szCs w:val="24"/>
                            <w:lang w:val="en-US" w:eastAsia="zh-CN"/>
                          </w:rPr>
                          <m:t>1</m:t>
                        </m:r>
                        <m:r>
                          <m:rPr/>
                          <w:rPr>
                            <w:rFonts w:ascii="Times New Roman" w:hAnsi="Times New Roman" w:eastAsia="宋体"/>
                            <w:color w:val="auto"/>
                            <w:sz w:val="24"/>
                            <w:szCs w:val="24"/>
                          </w:rPr>
                          <m:t>[</m:t>
                        </m:r>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w:rPr>
                                <w:rFonts w:ascii="Times New Roman" w:hAnsi="Times New Roman" w:eastAsia="宋体"/>
                                <w:color w:val="auto"/>
                                <w:sz w:val="24"/>
                                <w:szCs w:val="24"/>
                              </w:rPr>
                              <m:t>pi</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r>
                          <m:rPr>
                            <m:sty m:val="p"/>
                          </m:rPr>
                          <w:rPr>
                            <w:rFonts w:ascii="Times New Roman" w:hAnsi="Times New Roman" w:eastAsia="宋体"/>
                            <w:color w:val="auto"/>
                            <w:sz w:val="24"/>
                            <w:szCs w:val="24"/>
                          </w:rPr>
                          <m:t>Δ</m:t>
                        </m:r>
                        <m:sSub>
                          <m:sSubPr>
                            <m:ctrlPr>
                              <w:rPr>
                                <w:rFonts w:ascii="Cambria Math" w:hAnsi="Cambria Math" w:eastAsia="宋体"/>
                                <w:color w:val="auto"/>
                                <w:sz w:val="24"/>
                                <w:szCs w:val="24"/>
                              </w:rPr>
                            </m:ctrlPr>
                          </m:sSubPr>
                          <m:e>
                            <m:r>
                              <m:rPr>
                                <m:sty m:val="p"/>
                              </m:rPr>
                              <w:rPr>
                                <w:rFonts w:hint="default" w:ascii="Times New Roman" w:hAnsi="Times New Roman" w:eastAsia="宋体"/>
                                <w:color w:val="auto"/>
                                <w:sz w:val="24"/>
                                <w:szCs w:val="24"/>
                                <w:lang w:val="en-US" w:eastAsia="zh-CN"/>
                              </w:rPr>
                              <m:t>L</m:t>
                            </m:r>
                            <m:ctrlPr>
                              <w:rPr>
                                <w:rFonts w:ascii="Cambria Math" w:hAnsi="Cambria Math" w:eastAsia="宋体"/>
                                <w:color w:val="auto"/>
                                <w:sz w:val="24"/>
                                <w:szCs w:val="24"/>
                              </w:rPr>
                            </m:ctrlPr>
                          </m:e>
                          <m:sub>
                            <m:r>
                              <m:rPr/>
                              <w:rPr>
                                <w:rFonts w:ascii="Times New Roman" w:hAnsi="Times New Roman" w:eastAsia="宋体"/>
                                <w:color w:val="auto"/>
                                <w:sz w:val="24"/>
                                <w:szCs w:val="24"/>
                              </w:rPr>
                              <m:t>i</m:t>
                            </m:r>
                            <m:ctrlPr>
                              <w:rPr>
                                <w:rFonts w:ascii="Cambria Math" w:hAnsi="Cambria Math" w:eastAsia="宋体"/>
                                <w:color w:val="auto"/>
                                <w:sz w:val="24"/>
                                <w:szCs w:val="24"/>
                              </w:rPr>
                            </m:ctrlPr>
                          </m:sub>
                        </m:sSub>
                        <m:r>
                          <m:rPr/>
                          <w:rPr>
                            <w:rFonts w:ascii="Times New Roman" w:hAnsi="Times New Roman" w:eastAsia="宋体"/>
                            <w:color w:val="auto"/>
                            <w:sz w:val="24"/>
                            <w:szCs w:val="24"/>
                          </w:rPr>
                          <m:t>]</m:t>
                        </m:r>
                        <m:ctrlPr>
                          <w:rPr>
                            <w:rFonts w:ascii="Cambria Math" w:hAnsi="Cambria Math" w:eastAsia="宋体"/>
                            <w:color w:val="auto"/>
                            <w:sz w:val="24"/>
                            <w:szCs w:val="24"/>
                          </w:rPr>
                        </m:ctrlPr>
                      </m:sup>
                    </m:sSup>
                    <m:ctrlPr>
                      <w:rPr>
                        <w:rFonts w:ascii="Cambria Math" w:hAnsi="Cambria Math" w:eastAsia="宋体"/>
                        <w:color w:val="auto"/>
                        <w:sz w:val="24"/>
                        <w:szCs w:val="24"/>
                      </w:rPr>
                    </m:ctrlPr>
                  </m:e>
                </m:nary>
                <m:r>
                  <m:rPr/>
                  <w:rPr>
                    <w:rFonts w:ascii="Times New Roman" w:hAnsi="Times New Roman" w:eastAsia="宋体"/>
                    <w:color w:val="auto"/>
                    <w:sz w:val="24"/>
                    <w:szCs w:val="24"/>
                  </w:rPr>
                  <m:t>}</m:t>
                </m:r>
              </m:oMath>
            </m:oMathPara>
          </w:p>
          <w:p w14:paraId="2334A1CA">
            <w:pPr>
              <w:pStyle w:val="61"/>
              <w:ind w:firstLine="480"/>
              <w:rPr>
                <w:rFonts w:hint="eastAsia" w:ascii="Times New Roman" w:hAnsi="Times New Roman" w:eastAsia="宋体"/>
                <w:color w:val="auto"/>
              </w:rPr>
            </w:pPr>
            <w:r>
              <w:rPr>
                <w:rFonts w:hint="eastAsia" w:ascii="Times New Roman" w:hAnsi="Times New Roman" w:eastAsia="宋体"/>
                <w:color w:val="auto"/>
              </w:rPr>
              <w:t>式中：</w:t>
            </w:r>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m:sty m:val="p"/>
                    </m:rPr>
                    <w:rPr>
                      <w:rFonts w:ascii="Times New Roman" w:hAnsi="Times New Roman" w:eastAsia="宋体"/>
                      <w:color w:val="auto"/>
                      <w:sz w:val="24"/>
                      <w:szCs w:val="24"/>
                    </w:rPr>
                    <m:t>A</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oMath>
            <w:r>
              <w:rPr>
                <w:rFonts w:hint="eastAsia" w:ascii="Times New Roman" w:hAnsi="Times New Roman" w:eastAsia="宋体"/>
                <w:color w:val="auto"/>
              </w:rPr>
              <w:t>——距声源r处的A声级，dB(A)；</w:t>
            </w:r>
          </w:p>
          <w:p w14:paraId="1DA85903">
            <w:pPr>
              <w:pStyle w:val="61"/>
              <w:ind w:firstLine="480"/>
              <w:rPr>
                <w:rFonts w:hint="eastAsia" w:ascii="Times New Roman" w:hAnsi="Times New Roman" w:eastAsia="宋体"/>
                <w:color w:val="auto"/>
              </w:rPr>
            </w:pPr>
            <m:oMath>
              <m:sSub>
                <m:sSubPr>
                  <m:ctrlPr>
                    <w:rPr>
                      <w:rFonts w:ascii="Cambria Math" w:hAnsi="Cambria Math" w:eastAsia="宋体"/>
                      <w:color w:val="auto"/>
                      <w:sz w:val="24"/>
                      <w:szCs w:val="24"/>
                    </w:rPr>
                  </m:ctrlPr>
                </m:sSubPr>
                <m:e>
                  <m:r>
                    <m:rPr/>
                    <w:rPr>
                      <w:rFonts w:ascii="Times New Roman" w:hAnsi="Times New Roman" w:eastAsia="宋体"/>
                      <w:color w:val="auto"/>
                      <w:sz w:val="24"/>
                      <w:szCs w:val="24"/>
                    </w:rPr>
                    <m:t>L</m:t>
                  </m:r>
                  <m:ctrlPr>
                    <w:rPr>
                      <w:rFonts w:ascii="Cambria Math" w:hAnsi="Cambria Math" w:eastAsia="宋体"/>
                      <w:color w:val="auto"/>
                      <w:sz w:val="24"/>
                      <w:szCs w:val="24"/>
                    </w:rPr>
                  </m:ctrlPr>
                </m:e>
                <m:sub>
                  <m:r>
                    <m:rPr/>
                    <w:rPr>
                      <w:rFonts w:ascii="Times New Roman" w:hAnsi="Times New Roman" w:eastAsia="宋体"/>
                      <w:color w:val="auto"/>
                      <w:sz w:val="24"/>
                      <w:szCs w:val="24"/>
                    </w:rPr>
                    <m:t>pi</m:t>
                  </m:r>
                  <m:ctrlPr>
                    <w:rPr>
                      <w:rFonts w:ascii="Cambria Math" w:hAnsi="Cambria Math" w:eastAsia="宋体"/>
                      <w:color w:val="auto"/>
                      <w:sz w:val="24"/>
                      <w:szCs w:val="24"/>
                    </w:rPr>
                  </m:ctrlPr>
                </m:sub>
              </m:sSub>
              <m:r>
                <m:rPr/>
                <w:rPr>
                  <w:rFonts w:ascii="Times New Roman" w:hAnsi="Times New Roman" w:eastAsia="宋体"/>
                  <w:color w:val="auto"/>
                  <w:sz w:val="24"/>
                  <w:szCs w:val="24"/>
                </w:rPr>
                <m:t>(r)</m:t>
              </m:r>
            </m:oMath>
            <w:r>
              <w:rPr>
                <w:rFonts w:hint="eastAsia" w:ascii="Times New Roman" w:hAnsi="Times New Roman" w:eastAsia="宋体"/>
                <w:color w:val="auto"/>
              </w:rPr>
              <w:t>——预测点（r）处，第i倍频带声压级，dB；</w:t>
            </w:r>
          </w:p>
          <w:p w14:paraId="15358D98">
            <w:pPr>
              <w:pStyle w:val="61"/>
              <w:ind w:firstLine="480"/>
              <w:rPr>
                <w:rFonts w:hint="eastAsia" w:ascii="Times New Roman" w:hAnsi="Times New Roman" w:eastAsia="宋体"/>
                <w:color w:val="auto"/>
              </w:rPr>
            </w:pPr>
            <m:oMath>
              <m:r>
                <m:rPr>
                  <m:sty m:val="p"/>
                </m:rPr>
                <w:rPr>
                  <w:rFonts w:ascii="Times New Roman" w:hAnsi="Times New Roman" w:eastAsia="宋体"/>
                  <w:color w:val="auto"/>
                  <w:sz w:val="24"/>
                  <w:szCs w:val="24"/>
                </w:rPr>
                <m:t>Δ</m:t>
              </m:r>
              <m:sSub>
                <m:sSubPr>
                  <m:ctrlPr>
                    <w:rPr>
                      <w:rFonts w:ascii="Cambria Math" w:hAnsi="Cambria Math" w:eastAsia="宋体"/>
                      <w:color w:val="auto"/>
                      <w:sz w:val="24"/>
                      <w:szCs w:val="24"/>
                    </w:rPr>
                  </m:ctrlPr>
                </m:sSubPr>
                <m:e>
                  <m:r>
                    <m:rPr>
                      <m:sty m:val="p"/>
                    </m:rPr>
                    <w:rPr>
                      <w:rFonts w:hint="default" w:ascii="Times New Roman" w:hAnsi="Times New Roman" w:eastAsia="宋体"/>
                      <w:color w:val="auto"/>
                      <w:sz w:val="24"/>
                      <w:szCs w:val="24"/>
                      <w:lang w:val="en-US" w:eastAsia="zh-CN"/>
                    </w:rPr>
                    <m:t>L</m:t>
                  </m:r>
                  <m:ctrlPr>
                    <w:rPr>
                      <w:rFonts w:ascii="Cambria Math" w:hAnsi="Cambria Math" w:eastAsia="宋体"/>
                      <w:color w:val="auto"/>
                      <w:sz w:val="24"/>
                      <w:szCs w:val="24"/>
                    </w:rPr>
                  </m:ctrlPr>
                </m:e>
                <m:sub>
                  <m:r>
                    <m:rPr/>
                    <w:rPr>
                      <w:rFonts w:ascii="Times New Roman" w:hAnsi="Times New Roman" w:eastAsia="宋体"/>
                      <w:color w:val="auto"/>
                      <w:sz w:val="24"/>
                      <w:szCs w:val="24"/>
                    </w:rPr>
                    <m:t>i</m:t>
                  </m:r>
                  <m:ctrlPr>
                    <w:rPr>
                      <w:rFonts w:ascii="Cambria Math" w:hAnsi="Cambria Math" w:eastAsia="宋体"/>
                      <w:color w:val="auto"/>
                      <w:sz w:val="24"/>
                      <w:szCs w:val="24"/>
                    </w:rPr>
                  </m:ctrlPr>
                </m:sub>
              </m:sSub>
            </m:oMath>
            <w:r>
              <w:rPr>
                <w:rFonts w:hint="eastAsia" w:ascii="Times New Roman" w:hAnsi="Times New Roman" w:eastAsia="宋体"/>
                <w:color w:val="auto"/>
              </w:rPr>
              <w:t>——第i倍频带的A计权网络修正值，dB。</w:t>
            </w:r>
          </w:p>
          <w:p w14:paraId="222F2446">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lang w:eastAsia="zh-CN"/>
              </w:rPr>
              <w:t>③几何发散衰减</w:t>
            </w:r>
          </w:p>
          <w:p w14:paraId="5353B4A2">
            <w:pPr>
              <w:pStyle w:val="61"/>
              <w:ind w:left="0" w:leftChars="0" w:firstLine="0" w:firstLineChars="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p</m:t>
                    </m:r>
                    <m:ctrlPr>
                      <w:rPr>
                        <w:rFonts w:ascii="Cambria Math" w:hAnsi="Cambria Math" w:eastAsia="宋体"/>
                        <w:color w:val="auto"/>
                      </w:rPr>
                    </m:ctrlPr>
                  </m:sub>
                </m:sSub>
                <m:r>
                  <m:rPr/>
                  <w:rPr>
                    <w:rFonts w:ascii="Times New Roman" w:hAnsi="Times New Roman" w:eastAsia="宋体" w:cs="Cambria Math"/>
                    <w:color w:val="auto"/>
                  </w:rPr>
                  <m:t>(r)=</m:t>
                </m:r>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p</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r>
                  <m:rPr/>
                  <w:rPr>
                    <w:rFonts w:hint="default" w:ascii="Times New Roman" w:hAnsi="Times New Roman" w:eastAsia="宋体"/>
                    <w:color w:val="auto"/>
                    <w:lang w:val="en-US" w:eastAsia="zh-CN"/>
                  </w:rPr>
                  <m:t>−</m:t>
                </m:r>
                <m:r>
                  <m:rPr/>
                  <w:rPr>
                    <w:rFonts w:ascii="Times New Roman" w:hAnsi="Times New Roman" w:eastAsia="宋体" w:cs="Cambria Math"/>
                    <w:color w:val="auto"/>
                  </w:rPr>
                  <m:t>20</m:t>
                </m:r>
                <m:func>
                  <m:funcPr>
                    <m:ctrlPr>
                      <w:rPr>
                        <w:rFonts w:ascii="Cambria Math" w:hAnsi="Cambria Math" w:eastAsia="宋体"/>
                        <w:color w:val="auto"/>
                      </w:rPr>
                    </m:ctrlPr>
                  </m:funcPr>
                  <m:fName>
                    <m:r>
                      <m:rPr/>
                      <w:rPr>
                        <w:rFonts w:ascii="Times New Roman" w:hAnsi="Times New Roman" w:eastAsia="宋体" w:cs="Cambria Math"/>
                        <w:color w:val="auto"/>
                      </w:rPr>
                      <m:t>lg</m:t>
                    </m:r>
                    <m:ctrlPr>
                      <w:rPr>
                        <w:rFonts w:ascii="Cambria Math" w:hAnsi="Cambria Math" w:eastAsia="宋体"/>
                        <w:color w:val="auto"/>
                      </w:rPr>
                    </m:ctrlPr>
                  </m:fName>
                  <m:e>
                    <m:r>
                      <m:rPr/>
                      <w:rPr>
                        <w:rFonts w:ascii="Times New Roman" w:hAnsi="Times New Roman" w:eastAsia="宋体" w:cs="Cambria Math"/>
                        <w:color w:val="auto"/>
                      </w:rPr>
                      <m:t>(r/</m:t>
                    </m:r>
                    <m:ctrlPr>
                      <w:rPr>
                        <w:rFonts w:ascii="Cambria Math" w:hAnsi="Cambria Math" w:eastAsia="宋体"/>
                        <w:color w:val="auto"/>
                      </w:rPr>
                    </m:ctrlPr>
                  </m:e>
                </m:func>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oMath>
            </m:oMathPara>
          </w:p>
          <w:p w14:paraId="4F27DA52">
            <w:pPr>
              <w:pStyle w:val="61"/>
              <w:ind w:firstLine="480"/>
              <w:rPr>
                <w:rFonts w:hint="eastAsia" w:ascii="Times New Roman" w:hAnsi="Times New Roman" w:eastAsia="宋体"/>
                <w:color w:val="auto"/>
              </w:rPr>
            </w:pPr>
            <w:r>
              <w:rPr>
                <w:rFonts w:hint="eastAsia" w:ascii="Times New Roman" w:hAnsi="Times New Roman" w:eastAsia="宋体"/>
                <w:color w:val="auto"/>
              </w:rPr>
              <w:t>式中：</w:t>
            </w:r>
            <m:oMath>
              <m:sSub>
                <m:sSubPr>
                  <m:ctrlPr>
                    <w:rPr>
                      <w:rFonts w:ascii="Cambria Math" w:hAnsi="Cambria Math" w:eastAsia="宋体"/>
                      <w:color w:val="auto"/>
                    </w:rPr>
                  </m:ctrlPr>
                </m:sSubPr>
                <m:e>
                  <m:r>
                    <m:rPr/>
                    <w:rPr>
                      <w:rFonts w:ascii="Times New Roman" w:hAnsi="Times New Roman" w:eastAsia="宋体" w:cs="Cambria Math"/>
                      <w:color w:val="auto"/>
                    </w:rPr>
                    <m:t>L</m:t>
                  </m:r>
                  <m:ctrlPr>
                    <w:rPr>
                      <w:rFonts w:ascii="Cambria Math" w:hAnsi="Cambria Math" w:eastAsia="宋体"/>
                      <w:color w:val="auto"/>
                    </w:rPr>
                  </m:ctrlPr>
                </m:e>
                <m:sub>
                  <m:r>
                    <m:rPr/>
                    <w:rPr>
                      <w:rFonts w:ascii="Times New Roman" w:hAnsi="Times New Roman" w:eastAsia="宋体" w:cs="Cambria Math"/>
                      <w:color w:val="auto"/>
                    </w:rPr>
                    <m:t>p</m:t>
                  </m:r>
                  <m:ctrlPr>
                    <w:rPr>
                      <w:rFonts w:ascii="Cambria Math" w:hAnsi="Cambria Math" w:eastAsia="宋体"/>
                      <w:color w:val="auto"/>
                    </w:rPr>
                  </m:ctrlPr>
                </m:sub>
              </m:sSub>
              <m:r>
                <m:rPr/>
                <w:rPr>
                  <w:rFonts w:ascii="Times New Roman" w:hAnsi="Times New Roman" w:eastAsia="宋体" w:cs="Cambria Math"/>
                  <w:color w:val="auto"/>
                </w:rPr>
                <m:t>(r)</m:t>
              </m:r>
            </m:oMath>
            <w:r>
              <w:rPr>
                <w:rFonts w:hint="eastAsia" w:ascii="Times New Roman" w:hAnsi="Times New Roman" w:eastAsia="宋体"/>
                <w:color w:val="auto"/>
              </w:rPr>
              <w:t>——预测点处声压级，dB；</w:t>
            </w:r>
          </w:p>
          <w:p w14:paraId="3334C947">
            <w:pPr>
              <w:pStyle w:val="61"/>
              <w:ind w:firstLine="480"/>
              <w:rPr>
                <w:rFonts w:hint="eastAsia" w:ascii="Times New Roman" w:hAnsi="Times New Roman" w:eastAsia="宋体"/>
                <w:color w:val="auto"/>
              </w:rPr>
            </w:pPr>
            <m:oMath>
              <m:nary>
                <m:naryPr>
                  <m:chr m:val="L"/>
                  <m:limLoc m:val="subSup"/>
                  <m:supHide m:val="1"/>
                  <m:ctrlPr>
                    <w:rPr>
                      <w:rFonts w:ascii="Cambria Math" w:hAnsi="Cambria Math" w:eastAsia="宋体"/>
                      <w:color w:val="auto"/>
                    </w:rPr>
                  </m:ctrlPr>
                </m:naryPr>
                <m:sub>
                  <m:r>
                    <m:rPr/>
                    <w:rPr>
                      <w:rFonts w:ascii="Times New Roman" w:hAnsi="Times New Roman" w:eastAsia="宋体" w:cs="Cambria Math"/>
                      <w:color w:val="auto"/>
                    </w:rPr>
                    <m:t>p</m:t>
                  </m:r>
                  <m:ctrlPr>
                    <w:rPr>
                      <w:rFonts w:ascii="Cambria Math" w:hAnsi="Cambria Math" w:eastAsia="宋体"/>
                      <w:color w:val="auto"/>
                    </w:rPr>
                  </m:ctrlPr>
                </m:sub>
                <m:sup>
                  <m:ctrlPr>
                    <w:rPr>
                      <w:rFonts w:ascii="Cambria Math" w:hAnsi="Cambria Math" w:eastAsia="宋体"/>
                      <w:color w:val="auto"/>
                    </w:rPr>
                  </m:ctrlPr>
                </m:sup>
                <m:e>
                  <m:r>
                    <m:rPr/>
                    <w:rPr>
                      <w:rFonts w:ascii="Times New Roman" w:hAnsi="Times New Roman" w:eastAsia="宋体" w:cs="Cambria Math"/>
                      <w:color w:val="auto"/>
                    </w:rPr>
                    <m:t>(</m:t>
                  </m:r>
                  <m:sSub>
                    <m:sSubPr>
                      <m:ctrlPr>
                        <w:rPr>
                          <w:rFonts w:ascii="Cambria Math" w:hAnsi="Cambria Math" w:eastAsia="宋体"/>
                          <w:color w:val="auto"/>
                        </w:rPr>
                      </m:ctrlPr>
                    </m:sSubPr>
                    <m:e>
                      <m:r>
                        <m:rPr/>
                        <w:rPr>
                          <w:rFonts w:ascii="Times New Roman" w:hAnsi="Times New Roman" w:eastAsia="宋体" w:cs="Cambria Math"/>
                          <w:color w:val="auto"/>
                        </w:rPr>
                        <m:t>r</m:t>
                      </m:r>
                      <m:ctrlPr>
                        <w:rPr>
                          <w:rFonts w:ascii="Cambria Math" w:hAnsi="Cambria Math" w:eastAsia="宋体"/>
                          <w:color w:val="auto"/>
                        </w:rPr>
                      </m:ctrlPr>
                    </m:e>
                    <m:sub>
                      <m:r>
                        <m:rPr/>
                        <w:rPr>
                          <w:rFonts w:ascii="Times New Roman" w:hAnsi="Times New Roman" w:eastAsia="宋体" w:cs="Cambria Math"/>
                          <w:color w:val="auto"/>
                        </w:rPr>
                        <m:t>0</m:t>
                      </m:r>
                      <m:ctrlPr>
                        <w:rPr>
                          <w:rFonts w:ascii="Cambria Math" w:hAnsi="Cambria Math" w:eastAsia="宋体"/>
                          <w:color w:val="auto"/>
                        </w:rPr>
                      </m:ctrlPr>
                    </m:sub>
                  </m:sSub>
                  <m:r>
                    <m:rPr/>
                    <w:rPr>
                      <w:rFonts w:ascii="Times New Roman" w:hAnsi="Times New Roman" w:eastAsia="宋体" w:cs="Cambria Math"/>
                      <w:color w:val="auto"/>
                    </w:rPr>
                    <m:t>)</m:t>
                  </m:r>
                  <m:ctrlPr>
                    <w:rPr>
                      <w:rFonts w:ascii="Cambria Math" w:hAnsi="Cambria Math" w:eastAsia="宋体"/>
                      <w:color w:val="auto"/>
                    </w:rPr>
                  </m:ctrlPr>
                </m:e>
              </m:nary>
            </m:oMath>
            <w:r>
              <w:rPr>
                <w:rFonts w:hint="eastAsia" w:ascii="Times New Roman" w:hAnsi="Times New Roman" w:eastAsia="宋体"/>
                <w:color w:val="auto"/>
              </w:rPr>
              <w:t>——参考位置r0处的声压级，dB；</w:t>
            </w:r>
          </w:p>
          <w:p w14:paraId="28FDAFBB">
            <w:pPr>
              <w:pStyle w:val="61"/>
              <w:ind w:firstLine="480"/>
              <w:rPr>
                <w:rFonts w:hint="eastAsia" w:ascii="Times New Roman" w:hAnsi="Times New Roman" w:eastAsia="宋体"/>
                <w:color w:val="auto"/>
              </w:rPr>
            </w:pPr>
            <w:r>
              <w:rPr>
                <w:rFonts w:hint="eastAsia" w:ascii="Times New Roman" w:hAnsi="Times New Roman" w:eastAsia="宋体"/>
                <w:color w:val="auto"/>
              </w:rPr>
              <w:t>r——预测点距声源的距离；</w:t>
            </w:r>
          </w:p>
          <w:p w14:paraId="0C385B9C">
            <w:pPr>
              <w:pStyle w:val="61"/>
              <w:ind w:firstLine="480"/>
              <w:rPr>
                <w:rFonts w:hint="eastAsia" w:ascii="Times New Roman" w:hAnsi="Times New Roman" w:eastAsia="宋体"/>
                <w:color w:val="auto"/>
              </w:rPr>
            </w:pPr>
            <w:r>
              <w:rPr>
                <w:rFonts w:hint="eastAsia" w:ascii="Times New Roman" w:hAnsi="Times New Roman" w:eastAsia="宋体"/>
                <w:color w:val="auto"/>
              </w:rPr>
              <w:t>r0——参考位置距声源的距离</w:t>
            </w:r>
          </w:p>
          <w:p w14:paraId="5C962FAC">
            <w:pPr>
              <w:pStyle w:val="61"/>
              <w:ind w:firstLine="480"/>
              <w:rPr>
                <w:rFonts w:hint="eastAsia" w:ascii="Times New Roman" w:hAnsi="Times New Roman" w:eastAsia="宋体"/>
                <w:b/>
                <w:bCs/>
                <w:color w:val="auto"/>
              </w:rPr>
            </w:pPr>
            <w:r>
              <w:rPr>
                <w:rFonts w:hint="eastAsia" w:ascii="Times New Roman" w:hAnsi="Times New Roman" w:eastAsia="宋体"/>
                <w:b/>
                <w:bCs/>
                <w:color w:val="auto"/>
              </w:rPr>
              <w:t>C、多个室外声源噪声贡献值叠加</w:t>
            </w:r>
          </w:p>
          <w:p w14:paraId="727EF34C">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lang w:eastAsia="zh-CN"/>
              </w:rPr>
              <w:t>①</w:t>
            </w:r>
            <w:r>
              <w:rPr>
                <w:rFonts w:hint="eastAsia" w:ascii="Times New Roman" w:hAnsi="Times New Roman" w:eastAsia="宋体"/>
                <w:color w:val="auto"/>
              </w:rPr>
              <w:t>设第i个室外声源在预测点产生的A声级为</w:t>
            </w:r>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i</m:t>
                  </m:r>
                  <m:ctrlPr>
                    <w:rPr>
                      <w:rFonts w:ascii="Cambria Math" w:hAnsi="Cambria Math" w:eastAsia="宋体"/>
                      <w:color w:val="auto"/>
                    </w:rPr>
                  </m:ctrlPr>
                </m:sub>
              </m:sSub>
            </m:oMath>
            <w:r>
              <w:rPr>
                <w:rFonts w:hint="eastAsia" w:ascii="Times New Roman" w:hAnsi="Times New Roman" w:eastAsia="宋体"/>
                <w:color w:val="auto"/>
              </w:rPr>
              <w:t>，在T时间内该声源工作时间为</w:t>
            </w: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i</m:t>
                  </m:r>
                  <m:ctrlPr>
                    <w:rPr>
                      <w:rFonts w:ascii="Cambria Math" w:hAnsi="Cambria Math" w:eastAsia="宋体"/>
                      <w:color w:val="auto"/>
                    </w:rPr>
                  </m:ctrlPr>
                </m:sub>
              </m:sSub>
            </m:oMath>
            <w:r>
              <w:rPr>
                <w:rFonts w:hint="eastAsia" w:ascii="Times New Roman" w:hAnsi="Times New Roman" w:eastAsia="宋体"/>
                <w:color w:val="auto"/>
              </w:rPr>
              <w:t>；第j个等效室外声源在预测点产生的A声级为</w:t>
            </w:r>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j</m:t>
                  </m:r>
                  <m:ctrlPr>
                    <w:rPr>
                      <w:rFonts w:ascii="Cambria Math" w:hAnsi="Cambria Math" w:eastAsia="宋体"/>
                      <w:color w:val="auto"/>
                    </w:rPr>
                  </m:ctrlPr>
                </m:sub>
              </m:sSub>
            </m:oMath>
            <w:r>
              <w:rPr>
                <w:rFonts w:hint="eastAsia" w:ascii="Times New Roman" w:hAnsi="Times New Roman" w:eastAsia="宋体"/>
                <w:color w:val="auto"/>
              </w:rPr>
              <w:t>，在T时间内该声源工作时间为</w:t>
            </w: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j</m:t>
                  </m:r>
                  <m:ctrlPr>
                    <w:rPr>
                      <w:rFonts w:ascii="Cambria Math" w:hAnsi="Cambria Math" w:eastAsia="宋体"/>
                      <w:color w:val="auto"/>
                    </w:rPr>
                  </m:ctrlPr>
                </m:sub>
              </m:sSub>
            </m:oMath>
            <w:r>
              <w:rPr>
                <w:rFonts w:hint="eastAsia" w:ascii="Times New Roman" w:hAnsi="Times New Roman" w:eastAsia="宋体"/>
                <w:color w:val="auto"/>
              </w:rPr>
              <w:t>，则拟建工程声源对预测点产生的贡献值（Leqg）为：</w:t>
            </w:r>
          </w:p>
          <w:p w14:paraId="6A35FAB7">
            <w:pPr>
              <w:pStyle w:val="61"/>
              <w:ind w:left="0" w:leftChars="0" w:firstLine="0" w:firstLineChars="0"/>
              <w:rPr>
                <w:rFonts w:hint="eastAsia" w:ascii="Times New Roman" w:hAnsi="Times New Roman" w:eastAsia="宋体"/>
                <w:color w:val="auto"/>
              </w:rPr>
            </w:pPr>
            <m:oMathPara>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eqg</m:t>
                    </m:r>
                    <m:ctrlPr>
                      <w:rPr>
                        <w:rFonts w:ascii="Cambria Math" w:hAnsi="Cambria Math" w:eastAsia="宋体"/>
                        <w:color w:val="auto"/>
                      </w:rPr>
                    </m:ctrlPr>
                  </m:sub>
                </m:sSub>
                <m:r>
                  <m:rPr/>
                  <w:rPr>
                    <w:rFonts w:ascii="Times New Roman" w:hAnsi="Times New Roman" w:eastAsia="宋体"/>
                    <w:color w:val="auto"/>
                  </w:rPr>
                  <m:t>=10</m:t>
                </m:r>
                <m:r>
                  <m:rPr>
                    <m:sty m:val="p"/>
                  </m:rPr>
                  <w:rPr>
                    <w:rFonts w:ascii="Times New Roman" w:hAnsi="Times New Roman" w:eastAsia="宋体"/>
                    <w:color w:val="auto"/>
                  </w:rPr>
                  <m:t>lg</m:t>
                </m:r>
                <m:r>
                  <m:rPr/>
                  <w:rPr>
                    <w:rFonts w:ascii="Times New Roman" w:hAnsi="Times New Roman" w:eastAsia="宋体"/>
                    <w:color w:val="auto"/>
                  </w:rPr>
                  <m:t>⁡[</m:t>
                </m:r>
                <m:f>
                  <m:fPr>
                    <m:ctrlPr>
                      <w:rPr>
                        <w:rFonts w:ascii="Cambria Math" w:hAnsi="Cambria Math" w:eastAsia="宋体"/>
                        <w:color w:val="auto"/>
                      </w:rPr>
                    </m:ctrlPr>
                  </m:fPr>
                  <m:num>
                    <m:r>
                      <m:rPr/>
                      <w:rPr>
                        <w:rFonts w:ascii="Times New Roman" w:hAnsi="Times New Roman" w:eastAsia="宋体"/>
                        <w:color w:val="auto"/>
                      </w:rPr>
                      <m:t>1</m:t>
                    </m:r>
                    <m:ctrlPr>
                      <w:rPr>
                        <w:rFonts w:ascii="Cambria Math" w:hAnsi="Cambria Math" w:eastAsia="宋体"/>
                        <w:color w:val="auto"/>
                      </w:rPr>
                    </m:ctrlPr>
                  </m:num>
                  <m:den>
                    <m:r>
                      <m:rPr/>
                      <w:rPr>
                        <w:rFonts w:ascii="Times New Roman" w:hAnsi="Times New Roman" w:eastAsia="宋体"/>
                        <w:color w:val="auto"/>
                      </w:rPr>
                      <m:t>T</m:t>
                    </m:r>
                    <m:ctrlPr>
                      <w:rPr>
                        <w:rFonts w:ascii="Cambria Math" w:hAnsi="Cambria Math" w:eastAsia="宋体"/>
                        <w:color w:val="auto"/>
                      </w:rPr>
                    </m:ctrlPr>
                  </m:den>
                </m:f>
                <m:r>
                  <m:rPr/>
                  <w:rPr>
                    <w:rFonts w:ascii="Times New Roman" w:hAnsi="Times New Roman" w:eastAsia="宋体"/>
                    <w:color w:val="auto"/>
                  </w:rPr>
                  <m:t>(</m:t>
                </m:r>
                <m:nary>
                  <m:naryPr>
                    <m:chr m:val="∑"/>
                    <m:grow m:val="1"/>
                    <m:limLoc m:val="undOvr"/>
                    <m:ctrlPr>
                      <w:rPr>
                        <w:rFonts w:ascii="Cambria Math" w:hAnsi="Cambria Math" w:eastAsia="宋体"/>
                        <w:color w:val="auto"/>
                      </w:rPr>
                    </m:ctrlPr>
                  </m:naryPr>
                  <m:sub>
                    <m:r>
                      <m:rPr/>
                      <w:rPr>
                        <w:rFonts w:ascii="Times New Roman" w:hAnsi="Times New Roman" w:eastAsia="宋体"/>
                        <w:color w:val="auto"/>
                      </w:rPr>
                      <m:t>i=1</m:t>
                    </m:r>
                    <m:ctrlPr>
                      <w:rPr>
                        <w:rFonts w:ascii="Cambria Math" w:hAnsi="Cambria Math" w:eastAsia="宋体"/>
                        <w:color w:val="auto"/>
                      </w:rPr>
                    </m:ctrlPr>
                  </m:sub>
                  <m:sup>
                    <m:r>
                      <m:rPr/>
                      <w:rPr>
                        <w:rFonts w:ascii="Times New Roman" w:hAnsi="Times New Roman" w:eastAsia="宋体"/>
                        <w:color w:val="auto"/>
                      </w:rPr>
                      <m:t>N</m:t>
                    </m:r>
                    <m:ctrlPr>
                      <w:rPr>
                        <w:rFonts w:ascii="Cambria Math" w:hAnsi="Cambria Math" w:eastAsia="宋体"/>
                        <w:color w:val="auto"/>
                      </w:rPr>
                    </m:ctrlPr>
                  </m:sup>
                  <m:e>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i</m:t>
                        </m:r>
                        <m:ctrlPr>
                          <w:rPr>
                            <w:rFonts w:ascii="Cambria Math" w:hAnsi="Cambria Math" w:eastAsia="宋体"/>
                            <w:color w:val="auto"/>
                          </w:rPr>
                        </m:ctrlPr>
                      </m:sub>
                    </m:sSub>
                    <m:sSup>
                      <m:sSupPr>
                        <m:ctrlPr>
                          <w:rPr>
                            <w:rFonts w:ascii="Cambria Math" w:hAnsi="Cambria Math" w:eastAsia="宋体"/>
                            <w:color w:val="auto"/>
                          </w:rPr>
                        </m:ctrlPr>
                      </m:sSupPr>
                      <m:e>
                        <m:r>
                          <m:rPr/>
                          <w:rPr>
                            <w:rFonts w:ascii="Times New Roman" w:hAnsi="Times New Roman" w:eastAsia="宋体"/>
                            <w:color w:val="auto"/>
                          </w:rPr>
                          <m:t>10</m:t>
                        </m:r>
                        <m:ctrlPr>
                          <w:rPr>
                            <w:rFonts w:ascii="Cambria Math" w:hAnsi="Cambria Math" w:eastAsia="宋体"/>
                            <w:color w:val="auto"/>
                          </w:rPr>
                        </m:ctrlPr>
                      </m:e>
                      <m:sup>
                        <m:r>
                          <m:rPr/>
                          <w:rPr>
                            <w:rFonts w:ascii="Times New Roman" w:hAnsi="Times New Roman" w:eastAsia="宋体"/>
                            <w:color w:val="auto"/>
                          </w:rPr>
                          <m:t>0.1</m:t>
                        </m:r>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i</m:t>
                            </m:r>
                            <m:ctrlPr>
                              <w:rPr>
                                <w:rFonts w:ascii="Cambria Math" w:hAnsi="Cambria Math" w:eastAsia="宋体"/>
                                <w:color w:val="auto"/>
                              </w:rPr>
                            </m:ctrlPr>
                          </m:sub>
                        </m:sSub>
                        <m:ctrlPr>
                          <w:rPr>
                            <w:rFonts w:ascii="Cambria Math" w:hAnsi="Cambria Math" w:eastAsia="宋体"/>
                            <w:color w:val="auto"/>
                          </w:rPr>
                        </m:ctrlPr>
                      </m:sup>
                    </m:sSup>
                    <m:ctrlPr>
                      <w:rPr>
                        <w:rFonts w:ascii="Cambria Math" w:hAnsi="Cambria Math" w:eastAsia="宋体"/>
                        <w:color w:val="auto"/>
                      </w:rPr>
                    </m:ctrlPr>
                  </m:e>
                </m:nary>
                <m:r>
                  <m:rPr/>
                  <w:rPr>
                    <w:rFonts w:ascii="Times New Roman" w:hAnsi="Times New Roman" w:eastAsia="宋体"/>
                    <w:color w:val="auto"/>
                  </w:rPr>
                  <m:t>+</m:t>
                </m:r>
                <m:nary>
                  <m:naryPr>
                    <m:chr m:val="∑"/>
                    <m:grow m:val="1"/>
                    <m:limLoc m:val="undOvr"/>
                    <m:ctrlPr>
                      <w:rPr>
                        <w:rFonts w:ascii="Cambria Math" w:hAnsi="Cambria Math" w:eastAsia="宋体"/>
                        <w:color w:val="auto"/>
                      </w:rPr>
                    </m:ctrlPr>
                  </m:naryPr>
                  <m:sub>
                    <m:r>
                      <m:rPr/>
                      <w:rPr>
                        <w:rFonts w:ascii="Times New Roman" w:hAnsi="Times New Roman" w:eastAsia="宋体"/>
                        <w:color w:val="auto"/>
                      </w:rPr>
                      <m:t>j=1</m:t>
                    </m:r>
                    <m:ctrlPr>
                      <w:rPr>
                        <w:rFonts w:ascii="Cambria Math" w:hAnsi="Cambria Math" w:eastAsia="宋体"/>
                        <w:color w:val="auto"/>
                      </w:rPr>
                    </m:ctrlPr>
                  </m:sub>
                  <m:sup>
                    <m:r>
                      <m:rPr/>
                      <w:rPr>
                        <w:rFonts w:ascii="Times New Roman" w:hAnsi="Times New Roman" w:eastAsia="宋体"/>
                        <w:color w:val="auto"/>
                      </w:rPr>
                      <m:t>M</m:t>
                    </m:r>
                    <m:ctrlPr>
                      <w:rPr>
                        <w:rFonts w:ascii="Cambria Math" w:hAnsi="Cambria Math" w:eastAsia="宋体"/>
                        <w:color w:val="auto"/>
                      </w:rPr>
                    </m:ctrlPr>
                  </m:sup>
                  <m:e>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j</m:t>
                        </m:r>
                        <m:ctrlPr>
                          <w:rPr>
                            <w:rFonts w:ascii="Cambria Math" w:hAnsi="Cambria Math" w:eastAsia="宋体"/>
                            <w:color w:val="auto"/>
                          </w:rPr>
                        </m:ctrlPr>
                      </m:sub>
                    </m:sSub>
                    <m:sSup>
                      <m:sSupPr>
                        <m:ctrlPr>
                          <w:rPr>
                            <w:rFonts w:ascii="Cambria Math" w:hAnsi="Cambria Math" w:eastAsia="宋体"/>
                            <w:color w:val="auto"/>
                          </w:rPr>
                        </m:ctrlPr>
                      </m:sSupPr>
                      <m:e>
                        <m:r>
                          <m:rPr/>
                          <w:rPr>
                            <w:rFonts w:ascii="Times New Roman" w:hAnsi="Times New Roman" w:eastAsia="宋体"/>
                            <w:color w:val="auto"/>
                          </w:rPr>
                          <m:t>10</m:t>
                        </m:r>
                        <m:ctrlPr>
                          <w:rPr>
                            <w:rFonts w:ascii="Cambria Math" w:hAnsi="Cambria Math" w:eastAsia="宋体"/>
                            <w:color w:val="auto"/>
                          </w:rPr>
                        </m:ctrlPr>
                      </m:e>
                      <m:sup>
                        <m:r>
                          <m:rPr/>
                          <w:rPr>
                            <w:rFonts w:ascii="Times New Roman" w:hAnsi="Times New Roman" w:eastAsia="宋体"/>
                            <w:color w:val="auto"/>
                          </w:rPr>
                          <m:t>0.1</m:t>
                        </m:r>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A</m:t>
                            </m:r>
                            <m:r>
                              <m:rPr/>
                              <w:rPr>
                                <w:rFonts w:ascii="Times New Roman" w:hAnsi="Times New Roman" w:eastAsia="宋体"/>
                                <w:color w:val="auto"/>
                              </w:rPr>
                              <m:t>j</m:t>
                            </m:r>
                            <m:ctrlPr>
                              <w:rPr>
                                <w:rFonts w:ascii="Cambria Math" w:hAnsi="Cambria Math" w:eastAsia="宋体"/>
                                <w:color w:val="auto"/>
                              </w:rPr>
                            </m:ctrlPr>
                          </m:sub>
                        </m:sSub>
                        <m:ctrlPr>
                          <w:rPr>
                            <w:rFonts w:ascii="Cambria Math" w:hAnsi="Cambria Math" w:eastAsia="宋体"/>
                            <w:color w:val="auto"/>
                          </w:rPr>
                        </m:ctrlPr>
                      </m:sup>
                    </m:sSup>
                    <m:ctrlPr>
                      <w:rPr>
                        <w:rFonts w:ascii="Cambria Math" w:hAnsi="Cambria Math" w:eastAsia="宋体"/>
                        <w:color w:val="auto"/>
                      </w:rPr>
                    </m:ctrlPr>
                  </m:e>
                </m:nary>
                <m:r>
                  <m:rPr/>
                  <w:rPr>
                    <w:rFonts w:ascii="Times New Roman" w:hAnsi="Times New Roman" w:eastAsia="宋体"/>
                    <w:color w:val="auto"/>
                  </w:rPr>
                  <m:t>)]</m:t>
                </m:r>
              </m:oMath>
            </m:oMathPara>
          </w:p>
          <w:p w14:paraId="100F35BD">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rPr>
              <w:t>式中：</w:t>
            </w:r>
            <m:oMath>
              <m:sSub>
                <m:sSubPr>
                  <m:ctrlPr>
                    <w:rPr>
                      <w:rFonts w:ascii="Cambria Math" w:hAnsi="Cambria Math" w:eastAsia="宋体"/>
                      <w:color w:val="auto"/>
                    </w:rPr>
                  </m:ctrlPr>
                </m:sSubPr>
                <m:e>
                  <m:r>
                    <m:rPr/>
                    <w:rPr>
                      <w:rFonts w:ascii="Times New Roman" w:hAnsi="Times New Roman" w:eastAsia="宋体"/>
                      <w:color w:val="auto"/>
                    </w:rPr>
                    <m:t>L</m:t>
                  </m:r>
                  <m:ctrlPr>
                    <w:rPr>
                      <w:rFonts w:ascii="Cambria Math" w:hAnsi="Cambria Math" w:eastAsia="宋体"/>
                      <w:color w:val="auto"/>
                    </w:rPr>
                  </m:ctrlPr>
                </m:e>
                <m:sub>
                  <m:r>
                    <m:rPr>
                      <m:sty m:val="p"/>
                    </m:rPr>
                    <w:rPr>
                      <w:rFonts w:ascii="Times New Roman" w:hAnsi="Times New Roman" w:eastAsia="宋体"/>
                      <w:color w:val="auto"/>
                    </w:rPr>
                    <m:t>eqg</m:t>
                  </m:r>
                  <m:ctrlPr>
                    <w:rPr>
                      <w:rFonts w:ascii="Cambria Math" w:hAnsi="Cambria Math" w:eastAsia="宋体"/>
                      <w:color w:val="auto"/>
                    </w:rPr>
                  </m:ctrlPr>
                </m:sub>
              </m:sSub>
            </m:oMath>
            <w:r>
              <w:rPr>
                <w:rFonts w:hint="eastAsia" w:ascii="Times New Roman" w:hAnsi="Times New Roman" w:eastAsia="宋体"/>
                <w:color w:val="auto"/>
              </w:rPr>
              <w:t>——建设项目声源在预测点产生的噪声贡献值，dB；</w:t>
            </w:r>
          </w:p>
          <w:p w14:paraId="2CE841EF">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rPr>
              <w:t>T——用于计算等效声级的时间，s；</w:t>
            </w:r>
          </w:p>
          <w:p w14:paraId="175FA42C">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rPr>
              <w:t>N——室外声源个数；</w:t>
            </w:r>
          </w:p>
          <w:p w14:paraId="2ACC5829">
            <w:pPr>
              <w:pStyle w:val="61"/>
              <w:ind w:firstLine="480"/>
              <w:rPr>
                <w:rFonts w:hint="eastAsia" w:ascii="Times New Roman" w:hAnsi="Times New Roman" w:eastAsia="宋体"/>
                <w:color w:val="auto"/>
                <w:lang w:eastAsia="zh-CN"/>
              </w:rPr>
            </w:pP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i</m:t>
                  </m:r>
                  <m:ctrlPr>
                    <w:rPr>
                      <w:rFonts w:ascii="Cambria Math" w:hAnsi="Cambria Math" w:eastAsia="宋体"/>
                      <w:color w:val="auto"/>
                    </w:rPr>
                  </m:ctrlPr>
                </m:sub>
              </m:sSub>
            </m:oMath>
            <w:r>
              <w:rPr>
                <w:rFonts w:hint="eastAsia" w:ascii="Times New Roman" w:hAnsi="Times New Roman" w:eastAsia="宋体"/>
                <w:color w:val="auto"/>
              </w:rPr>
              <w:t>——在T时间内i声源工作时间，s；</w:t>
            </w:r>
          </w:p>
          <w:p w14:paraId="2B319340">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rPr>
              <w:t>M——等效室外声源个数；</w:t>
            </w:r>
          </w:p>
          <w:p w14:paraId="501E0A8D">
            <w:pPr>
              <w:pStyle w:val="61"/>
              <w:ind w:firstLine="480"/>
              <w:rPr>
                <w:rFonts w:hint="eastAsia" w:ascii="Times New Roman" w:hAnsi="Times New Roman" w:eastAsia="宋体"/>
                <w:color w:val="auto"/>
              </w:rPr>
            </w:pPr>
            <m:oMath>
              <m:sSub>
                <m:sSubPr>
                  <m:ctrlPr>
                    <w:rPr>
                      <w:rFonts w:ascii="Cambria Math" w:hAnsi="Cambria Math" w:eastAsia="宋体"/>
                      <w:color w:val="auto"/>
                    </w:rPr>
                  </m:ctrlPr>
                </m:sSubPr>
                <m:e>
                  <m:r>
                    <m:rPr/>
                    <w:rPr>
                      <w:rFonts w:ascii="Times New Roman" w:hAnsi="Times New Roman" w:eastAsia="宋体"/>
                      <w:color w:val="auto"/>
                    </w:rPr>
                    <m:t>t</m:t>
                  </m:r>
                  <m:ctrlPr>
                    <w:rPr>
                      <w:rFonts w:ascii="Cambria Math" w:hAnsi="Cambria Math" w:eastAsia="宋体"/>
                      <w:color w:val="auto"/>
                    </w:rPr>
                  </m:ctrlPr>
                </m:e>
                <m:sub>
                  <m:r>
                    <m:rPr/>
                    <w:rPr>
                      <w:rFonts w:ascii="Times New Roman" w:hAnsi="Times New Roman" w:eastAsia="宋体"/>
                      <w:color w:val="auto"/>
                    </w:rPr>
                    <m:t>j</m:t>
                  </m:r>
                  <m:ctrlPr>
                    <w:rPr>
                      <w:rFonts w:ascii="Cambria Math" w:hAnsi="Cambria Math" w:eastAsia="宋体"/>
                      <w:color w:val="auto"/>
                    </w:rPr>
                  </m:ctrlPr>
                </m:sub>
              </m:sSub>
            </m:oMath>
            <w:r>
              <w:rPr>
                <w:rFonts w:hint="eastAsia" w:ascii="Times New Roman" w:hAnsi="Times New Roman" w:eastAsia="宋体"/>
                <w:color w:val="auto"/>
              </w:rPr>
              <w:t>——在T时间内j声源工作时间，s。</w:t>
            </w:r>
          </w:p>
          <w:p w14:paraId="7911BC86">
            <w:pPr>
              <w:pStyle w:val="61"/>
              <w:ind w:firstLine="480"/>
              <w:rPr>
                <w:rFonts w:hint="eastAsia" w:ascii="Times New Roman" w:hAnsi="Times New Roman" w:eastAsia="宋体"/>
                <w:color w:val="auto"/>
              </w:rPr>
            </w:pPr>
            <w:r>
              <w:rPr>
                <w:rFonts w:hint="eastAsia" w:ascii="Times New Roman" w:hAnsi="Times New Roman" w:eastAsia="宋体"/>
                <w:color w:val="auto"/>
              </w:rPr>
              <w:t>②噪声预测值（Leq）计算公式为：</w:t>
            </w:r>
          </w:p>
          <w:p w14:paraId="49556106">
            <w:pPr>
              <w:pStyle w:val="61"/>
              <w:ind w:left="0" w:leftChars="0" w:firstLine="0" w:firstLineChars="0"/>
              <w:rPr>
                <w:rFonts w:hint="default" w:ascii="Times New Roman" w:hAnsi="Times New Roman" w:eastAsia="宋体"/>
                <w:color w:val="auto"/>
                <w:lang w:val="en-US" w:eastAsia="zh-CN"/>
              </w:rPr>
            </w:pPr>
            <m:oMathPara>
              <m:oMath>
                <m:sSub>
                  <m:sSubPr>
                    <m:ctrlPr>
                      <w:rPr>
                        <w:rFonts w:ascii="Cambria Math" w:hAnsi="Cambria Math" w:eastAsia="宋体"/>
                        <w:i/>
                        <w:color w:val="auto"/>
                      </w:rPr>
                    </m:ctrlPr>
                  </m:sSubPr>
                  <m:e>
                    <m:r>
                      <m:rPr/>
                      <w:rPr>
                        <w:rFonts w:hint="default" w:ascii="Times New Roman" w:hAnsi="Times New Roman" w:eastAsia="宋体"/>
                        <w:color w:val="auto"/>
                        <w:lang w:val="en-US" w:eastAsia="zh-CN"/>
                      </w:rPr>
                      <m:t>L</m:t>
                    </m:r>
                    <m:ctrlPr>
                      <w:rPr>
                        <w:rFonts w:ascii="Cambria Math" w:hAnsi="Cambria Math" w:eastAsia="宋体"/>
                        <w:i/>
                        <w:color w:val="auto"/>
                      </w:rPr>
                    </m:ctrlPr>
                  </m:e>
                  <m:sub>
                    <m:r>
                      <m:rPr/>
                      <w:rPr>
                        <w:rFonts w:hint="default" w:ascii="Times New Roman" w:hAnsi="Times New Roman" w:eastAsia="宋体"/>
                        <w:color w:val="auto"/>
                        <w:lang w:val="en-US" w:eastAsia="zh-CN"/>
                      </w:rPr>
                      <m:t>eq</m:t>
                    </m:r>
                    <m:ctrlPr>
                      <w:rPr>
                        <w:rFonts w:ascii="Cambria Math" w:hAnsi="Cambria Math" w:eastAsia="宋体"/>
                        <w:i/>
                        <w:color w:val="auto"/>
                      </w:rPr>
                    </m:ctrlPr>
                  </m:sub>
                </m:sSub>
                <m:r>
                  <m:rPr/>
                  <w:rPr>
                    <w:rFonts w:ascii="Times New Roman" w:hAnsi="Times New Roman" w:eastAsia="宋体"/>
                    <w:color w:val="auto"/>
                  </w:rPr>
                  <m:t>=</m:t>
                </m:r>
                <m:r>
                  <m:rPr/>
                  <w:rPr>
                    <w:rFonts w:hint="default" w:ascii="Times New Roman" w:hAnsi="Times New Roman" w:eastAsia="宋体"/>
                    <w:color w:val="auto"/>
                    <w:lang w:val="en-US" w:eastAsia="zh-CN"/>
                  </w:rPr>
                  <m:t>10lg</m:t>
                </m:r>
                <m:d>
                  <m:dPr>
                    <m:ctrlPr>
                      <w:rPr>
                        <w:rFonts w:hint="default" w:ascii="Cambria Math" w:hAnsi="Cambria Math" w:eastAsia="宋体"/>
                        <w:i/>
                        <w:color w:val="auto"/>
                        <w:lang w:val="en-US" w:eastAsia="zh-CN"/>
                      </w:rPr>
                    </m:ctrlPr>
                  </m:dPr>
                  <m:e>
                    <m:sSup>
                      <m:sSupPr>
                        <m:ctrlPr>
                          <w:rPr>
                            <w:rFonts w:hint="default" w:ascii="Cambria Math" w:hAnsi="Cambria Math" w:eastAsia="宋体"/>
                            <w:i/>
                            <w:color w:val="auto"/>
                            <w:lang w:val="en-US" w:eastAsia="zh-CN"/>
                          </w:rPr>
                        </m:ctrlPr>
                      </m:sSupPr>
                      <m:e>
                        <m:r>
                          <m:rPr/>
                          <w:rPr>
                            <w:rFonts w:hint="default" w:ascii="Times New Roman" w:hAnsi="Times New Roman" w:eastAsia="宋体"/>
                            <w:color w:val="auto"/>
                            <w:lang w:val="en-US" w:eastAsia="zh-CN"/>
                          </w:rPr>
                          <m:t>10</m:t>
                        </m:r>
                        <m:ctrlPr>
                          <w:rPr>
                            <w:rFonts w:hint="default" w:ascii="Cambria Math" w:hAnsi="Cambria Math" w:eastAsia="宋体"/>
                            <w:i/>
                            <w:color w:val="auto"/>
                            <w:lang w:val="en-US" w:eastAsia="zh-CN"/>
                          </w:rPr>
                        </m:ctrlPr>
                      </m:e>
                      <m:sup>
                        <m:r>
                          <m:rPr/>
                          <w:rPr>
                            <w:rFonts w:hint="default" w:ascii="Times New Roman" w:hAnsi="Times New Roman" w:eastAsia="宋体"/>
                            <w:color w:val="auto"/>
                            <w:lang w:val="en-US" w:eastAsia="zh-CN"/>
                          </w:rPr>
                          <m:t>0.1</m:t>
                        </m:r>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eqg</m:t>
                            </m:r>
                            <m:ctrlPr>
                              <w:rPr>
                                <w:rFonts w:hint="default" w:ascii="Cambria Math" w:hAnsi="Cambria Math" w:eastAsia="宋体"/>
                                <w:i/>
                                <w:color w:val="auto"/>
                                <w:lang w:val="en-US" w:eastAsia="zh-CN"/>
                              </w:rPr>
                            </m:ctrlPr>
                          </m:sub>
                        </m:sSub>
                        <m:ctrlPr>
                          <w:rPr>
                            <w:rFonts w:hint="default" w:ascii="Cambria Math" w:hAnsi="Cambria Math" w:eastAsia="宋体"/>
                            <w:i/>
                            <w:color w:val="auto"/>
                            <w:lang w:val="en-US" w:eastAsia="zh-CN"/>
                          </w:rPr>
                        </m:ctrlPr>
                      </m:sup>
                    </m:sSup>
                    <m:r>
                      <m:rPr/>
                      <w:rPr>
                        <w:rFonts w:hint="default" w:ascii="Times New Roman" w:hAnsi="Times New Roman" w:eastAsia="宋体"/>
                        <w:color w:val="auto"/>
                        <w:lang w:val="en-US" w:eastAsia="zh-CN"/>
                      </w:rPr>
                      <m:t>+</m:t>
                    </m:r>
                    <m:sSup>
                      <m:sSupPr>
                        <m:ctrlPr>
                          <w:rPr>
                            <w:rFonts w:hint="default" w:ascii="Cambria Math" w:hAnsi="Cambria Math" w:eastAsia="宋体"/>
                            <w:i/>
                            <w:color w:val="auto"/>
                            <w:lang w:val="en-US" w:eastAsia="zh-CN"/>
                          </w:rPr>
                        </m:ctrlPr>
                      </m:sSupPr>
                      <m:e>
                        <m:r>
                          <m:rPr/>
                          <w:rPr>
                            <w:rFonts w:hint="default" w:ascii="Times New Roman" w:hAnsi="Times New Roman" w:eastAsia="宋体"/>
                            <w:color w:val="auto"/>
                            <w:lang w:val="en-US" w:eastAsia="zh-CN"/>
                          </w:rPr>
                          <m:t>10</m:t>
                        </m:r>
                        <m:ctrlPr>
                          <w:rPr>
                            <w:rFonts w:hint="default" w:ascii="Cambria Math" w:hAnsi="Cambria Math" w:eastAsia="宋体"/>
                            <w:i/>
                            <w:color w:val="auto"/>
                            <w:lang w:val="en-US" w:eastAsia="zh-CN"/>
                          </w:rPr>
                        </m:ctrlPr>
                      </m:e>
                      <m:sup>
                        <m:r>
                          <m:rPr/>
                          <w:rPr>
                            <w:rFonts w:hint="default" w:ascii="Times New Roman" w:hAnsi="Times New Roman" w:eastAsia="宋体"/>
                            <w:color w:val="auto"/>
                            <w:lang w:val="en-US" w:eastAsia="zh-CN"/>
                          </w:rPr>
                          <m:t>0.1</m:t>
                        </m:r>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epb</m:t>
                            </m:r>
                            <m:ctrlPr>
                              <w:rPr>
                                <w:rFonts w:hint="default" w:ascii="Cambria Math" w:hAnsi="Cambria Math" w:eastAsia="宋体"/>
                                <w:i/>
                                <w:color w:val="auto"/>
                                <w:lang w:val="en-US" w:eastAsia="zh-CN"/>
                              </w:rPr>
                            </m:ctrlPr>
                          </m:sub>
                        </m:sSub>
                        <m:ctrlPr>
                          <w:rPr>
                            <w:rFonts w:hint="default" w:ascii="Cambria Math" w:hAnsi="Cambria Math" w:eastAsia="宋体"/>
                            <w:i/>
                            <w:color w:val="auto"/>
                            <w:lang w:val="en-US" w:eastAsia="zh-CN"/>
                          </w:rPr>
                        </m:ctrlPr>
                      </m:sup>
                    </m:sSup>
                    <m:ctrlPr>
                      <w:rPr>
                        <w:rFonts w:hint="default" w:ascii="Cambria Math" w:hAnsi="Cambria Math" w:eastAsia="宋体"/>
                        <w:i/>
                        <w:color w:val="auto"/>
                        <w:lang w:val="en-US" w:eastAsia="zh-CN"/>
                      </w:rPr>
                    </m:ctrlPr>
                  </m:e>
                </m:d>
              </m:oMath>
            </m:oMathPara>
          </w:p>
          <w:p w14:paraId="508B1D9F">
            <w:pPr>
              <w:pStyle w:val="61"/>
              <w:ind w:firstLine="480"/>
              <w:rPr>
                <w:rFonts w:hint="eastAsia" w:ascii="Times New Roman" w:hAnsi="Times New Roman" w:eastAsia="宋体"/>
                <w:color w:val="auto"/>
                <w:lang w:eastAsia="zh-CN"/>
              </w:rPr>
            </w:pPr>
            <w:r>
              <w:rPr>
                <w:rFonts w:hint="eastAsia" w:ascii="Times New Roman" w:hAnsi="Times New Roman" w:eastAsia="宋体"/>
                <w:color w:val="auto"/>
              </w:rPr>
              <w:t>式中：</w:t>
            </w:r>
            <m:oMath>
              <m:sSub>
                <m:sSubPr>
                  <m:ctrlPr>
                    <w:rPr>
                      <w:rFonts w:ascii="Cambria Math" w:hAnsi="Cambria Math" w:eastAsia="宋体"/>
                      <w:i/>
                      <w:color w:val="auto"/>
                    </w:rPr>
                  </m:ctrlPr>
                </m:sSubPr>
                <m:e>
                  <m:r>
                    <m:rPr/>
                    <w:rPr>
                      <w:rFonts w:hint="default" w:ascii="Times New Roman" w:hAnsi="Times New Roman" w:eastAsia="宋体"/>
                      <w:color w:val="auto"/>
                      <w:lang w:val="en-US" w:eastAsia="zh-CN"/>
                    </w:rPr>
                    <m:t>L</m:t>
                  </m:r>
                  <m:ctrlPr>
                    <w:rPr>
                      <w:rFonts w:ascii="Cambria Math" w:hAnsi="Cambria Math" w:eastAsia="宋体"/>
                      <w:i/>
                      <w:color w:val="auto"/>
                    </w:rPr>
                  </m:ctrlPr>
                </m:e>
                <m:sub>
                  <m:r>
                    <m:rPr/>
                    <w:rPr>
                      <w:rFonts w:hint="default" w:ascii="Times New Roman" w:hAnsi="Times New Roman" w:eastAsia="宋体"/>
                      <w:color w:val="auto"/>
                      <w:lang w:val="en-US" w:eastAsia="zh-CN"/>
                    </w:rPr>
                    <m:t>eq</m:t>
                  </m:r>
                  <m:ctrlPr>
                    <w:rPr>
                      <w:rFonts w:ascii="Cambria Math" w:hAnsi="Cambria Math" w:eastAsia="宋体"/>
                      <w:i/>
                      <w:color w:val="auto"/>
                    </w:rPr>
                  </m:ctrlPr>
                </m:sub>
              </m:sSub>
            </m:oMath>
            <w:r>
              <w:rPr>
                <w:rFonts w:hint="eastAsia" w:ascii="Times New Roman" w:hAnsi="Times New Roman" w:eastAsia="宋体"/>
                <w:color w:val="auto"/>
              </w:rPr>
              <w:t>——预测点的噪声预测值，dB；</w:t>
            </w:r>
          </w:p>
          <w:p w14:paraId="239C83EC">
            <w:pPr>
              <w:pStyle w:val="61"/>
              <w:ind w:firstLine="480"/>
              <w:rPr>
                <w:rFonts w:hint="eastAsia" w:ascii="Times New Roman" w:hAnsi="Times New Roman" w:eastAsia="宋体"/>
                <w:color w:val="auto"/>
                <w:lang w:eastAsia="zh-CN"/>
              </w:rPr>
            </w:pPr>
            <m:oMath>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eqg</m:t>
                  </m:r>
                  <m:ctrlPr>
                    <w:rPr>
                      <w:rFonts w:hint="default" w:ascii="Cambria Math" w:hAnsi="Cambria Math" w:eastAsia="宋体"/>
                      <w:i/>
                      <w:color w:val="auto"/>
                      <w:lang w:val="en-US" w:eastAsia="zh-CN"/>
                    </w:rPr>
                  </m:ctrlPr>
                </m:sub>
              </m:sSub>
            </m:oMath>
            <w:r>
              <w:rPr>
                <w:rFonts w:hint="eastAsia" w:ascii="Times New Roman" w:hAnsi="Times New Roman" w:eastAsia="宋体"/>
                <w:color w:val="auto"/>
              </w:rPr>
              <w:t>——建设项目声源在预测点产生的噪声贡献值，dB；</w:t>
            </w:r>
          </w:p>
          <w:p w14:paraId="5F410775">
            <w:pPr>
              <w:pStyle w:val="61"/>
              <w:ind w:firstLine="480"/>
              <w:rPr>
                <w:rFonts w:hint="eastAsia" w:ascii="Times New Roman" w:hAnsi="Times New Roman" w:eastAsia="宋体"/>
                <w:color w:val="auto"/>
                <w:lang w:eastAsia="zh-CN"/>
              </w:rPr>
            </w:pPr>
            <m:oMath>
              <m:sSub>
                <m:sSubPr>
                  <m:ctrlPr>
                    <w:rPr>
                      <w:rFonts w:hint="default" w:ascii="Cambria Math" w:hAnsi="Cambria Math" w:eastAsia="宋体"/>
                      <w:i/>
                      <w:color w:val="auto"/>
                      <w:lang w:val="en-US" w:eastAsia="zh-CN"/>
                    </w:rPr>
                  </m:ctrlPr>
                </m:sSubPr>
                <m:e>
                  <m:r>
                    <m:rPr/>
                    <w:rPr>
                      <w:rFonts w:hint="default" w:ascii="Times New Roman" w:hAnsi="Times New Roman" w:eastAsia="宋体"/>
                      <w:color w:val="auto"/>
                      <w:lang w:val="en-US" w:eastAsia="zh-CN"/>
                    </w:rPr>
                    <m:t>L</m:t>
                  </m:r>
                  <m:ctrlPr>
                    <w:rPr>
                      <w:rFonts w:hint="default" w:ascii="Cambria Math" w:hAnsi="Cambria Math" w:eastAsia="宋体"/>
                      <w:i/>
                      <w:color w:val="auto"/>
                      <w:lang w:val="en-US" w:eastAsia="zh-CN"/>
                    </w:rPr>
                  </m:ctrlPr>
                </m:e>
                <m:sub>
                  <m:r>
                    <m:rPr/>
                    <w:rPr>
                      <w:rFonts w:hint="default" w:ascii="Times New Roman" w:hAnsi="Times New Roman" w:eastAsia="宋体"/>
                      <w:color w:val="auto"/>
                      <w:lang w:val="en-US" w:eastAsia="zh-CN"/>
                    </w:rPr>
                    <m:t>epb</m:t>
                  </m:r>
                  <m:ctrlPr>
                    <w:rPr>
                      <w:rFonts w:hint="default" w:ascii="Cambria Math" w:hAnsi="Cambria Math" w:eastAsia="宋体"/>
                      <w:i/>
                      <w:color w:val="auto"/>
                      <w:lang w:val="en-US" w:eastAsia="zh-CN"/>
                    </w:rPr>
                  </m:ctrlPr>
                </m:sub>
              </m:sSub>
            </m:oMath>
            <w:r>
              <w:rPr>
                <w:rFonts w:hint="eastAsia" w:ascii="Times New Roman" w:hAnsi="Times New Roman" w:eastAsia="宋体"/>
                <w:color w:val="auto"/>
              </w:rPr>
              <w:t>——预测点的背景噪声值，dB。</w:t>
            </w:r>
          </w:p>
          <w:p w14:paraId="78069D3E">
            <w:pPr>
              <w:pStyle w:val="61"/>
              <w:ind w:firstLine="480"/>
              <w:rPr>
                <w:rFonts w:ascii="Times New Roman" w:hAnsi="Times New Roman" w:eastAsia="宋体"/>
                <w:b/>
                <w:bCs/>
                <w:color w:val="auto"/>
              </w:rPr>
            </w:pPr>
            <w:r>
              <w:rPr>
                <w:rFonts w:hint="eastAsia" w:ascii="Times New Roman" w:hAnsi="Times New Roman"/>
                <w:b/>
                <w:bCs/>
                <w:color w:val="auto"/>
                <w:lang w:val="en-US" w:eastAsia="zh-CN"/>
              </w:rPr>
              <w:t>（4）</w:t>
            </w:r>
            <w:r>
              <w:rPr>
                <w:rFonts w:ascii="Times New Roman" w:hAnsi="Times New Roman" w:eastAsia="宋体"/>
                <w:b/>
                <w:bCs/>
                <w:color w:val="auto"/>
              </w:rPr>
              <w:t>噪声预测结果</w:t>
            </w:r>
          </w:p>
          <w:p w14:paraId="5DDCE61C">
            <w:pPr>
              <w:pStyle w:val="61"/>
              <w:ind w:firstLine="480"/>
              <w:rPr>
                <w:rFonts w:ascii="Times New Roman" w:hAnsi="Times New Roman" w:eastAsia="宋体"/>
                <w:color w:val="auto"/>
              </w:rPr>
            </w:pPr>
            <w:r>
              <w:rPr>
                <w:rFonts w:hint="eastAsia"/>
                <w:color w:val="auto"/>
              </w:rPr>
              <w:t>本项目噪声预测采用“环安科技在线模型计算平台”中的“噪声环境影响评级系统”，该系统是根据《环境影响评价技术导则－声环境》</w:t>
            </w:r>
            <w:r>
              <w:rPr>
                <w:rFonts w:hint="default" w:ascii="Times New Roman" w:hAnsi="Times New Roman" w:cs="Times New Roman"/>
                <w:color w:val="auto"/>
              </w:rPr>
              <w:t>（HJ2.4-2021）</w:t>
            </w:r>
            <w:r>
              <w:rPr>
                <w:rFonts w:hint="eastAsia"/>
                <w:color w:val="auto"/>
              </w:rPr>
              <w:t>构建，基于</w:t>
            </w:r>
            <w:r>
              <w:rPr>
                <w:rFonts w:hint="default" w:ascii="Times New Roman" w:hAnsi="Times New Roman" w:cs="Times New Roman"/>
                <w:color w:val="auto"/>
              </w:rPr>
              <w:t>GIS</w:t>
            </w:r>
            <w:r>
              <w:rPr>
                <w:rFonts w:hint="eastAsia"/>
                <w:color w:val="auto"/>
              </w:rPr>
              <w:t>的三维噪声影响评价系统。软件综合考虑预测区域内所有声源、遮蔽物、气象要素等在声传播过程的综合效应，最终给出符合导则的计算结果。</w:t>
            </w:r>
            <w:r>
              <w:rPr>
                <w:rFonts w:hint="eastAsia" w:ascii="Times New Roman" w:hAnsi="Times New Roman" w:eastAsia="宋体"/>
                <w:color w:val="auto"/>
                <w:lang w:val="en-US" w:eastAsia="zh-CN"/>
              </w:rPr>
              <w:t>项目夜间不进行生产，</w:t>
            </w:r>
            <w:r>
              <w:rPr>
                <w:rFonts w:ascii="Times New Roman" w:hAnsi="Times New Roman" w:eastAsia="宋体"/>
                <w:color w:val="auto"/>
              </w:rPr>
              <w:t>因此本次环评的噪声影响预测昼间，主要预测噪声源对</w:t>
            </w:r>
            <w:r>
              <w:rPr>
                <w:rFonts w:hint="eastAsia" w:ascii="Times New Roman" w:hAnsi="Times New Roman" w:eastAsia="宋体"/>
                <w:color w:val="auto"/>
                <w:lang w:val="en-US" w:eastAsia="zh-CN"/>
              </w:rPr>
              <w:t>厂界</w:t>
            </w:r>
            <w:r>
              <w:rPr>
                <w:rFonts w:ascii="Times New Roman" w:hAnsi="Times New Roman" w:eastAsia="宋体"/>
                <w:color w:val="auto"/>
              </w:rPr>
              <w:t>的影响，详见</w:t>
            </w:r>
            <w:r>
              <w:rPr>
                <w:rFonts w:hint="eastAsia" w:ascii="Times New Roman" w:hAnsi="Times New Roman" w:eastAsia="宋体"/>
                <w:color w:val="auto"/>
              </w:rPr>
              <w:t>下表</w:t>
            </w:r>
            <w:r>
              <w:rPr>
                <w:rFonts w:ascii="Times New Roman" w:hAnsi="Times New Roman" w:eastAsia="宋体"/>
                <w:color w:val="auto"/>
              </w:rPr>
              <w:t>。</w:t>
            </w:r>
          </w:p>
          <w:p w14:paraId="05C944DC">
            <w:pPr>
              <w:pStyle w:val="61"/>
              <w:ind w:firstLine="480"/>
              <w:rPr>
                <w:rFonts w:ascii="Times New Roman" w:hAnsi="Times New Roman" w:eastAsia="宋体"/>
                <w:color w:val="auto"/>
              </w:rPr>
            </w:pPr>
          </w:p>
          <w:p w14:paraId="5AB8F2C0">
            <w:pPr>
              <w:pStyle w:val="61"/>
              <w:ind w:firstLine="480"/>
              <w:rPr>
                <w:rFonts w:ascii="Times New Roman" w:hAnsi="Times New Roman" w:eastAsia="宋体"/>
                <w:color w:val="auto"/>
              </w:rPr>
            </w:pPr>
          </w:p>
          <w:p w14:paraId="161CBA9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7</w:t>
            </w:r>
            <w:r>
              <w:rPr>
                <w:rFonts w:hint="eastAsia" w:ascii="Times New Roman" w:hAnsi="Times New Roman" w:eastAsia="宋体" w:cs="Times New Roman"/>
                <w:b/>
                <w:color w:val="auto"/>
                <w:kern w:val="2"/>
                <w:sz w:val="21"/>
                <w:szCs w:val="24"/>
                <w:lang w:val="en-US" w:eastAsia="zh-CN" w:bidi="ar-SA"/>
              </w:rPr>
              <w:t>项目项目各厂界噪声最大值预测结果单位：dB(A)</w:t>
            </w:r>
          </w:p>
          <w:tbl>
            <w:tblPr>
              <w:tblStyle w:val="24"/>
              <w:tblW w:w="7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5"/>
              <w:gridCol w:w="866"/>
              <w:gridCol w:w="682"/>
              <w:gridCol w:w="786"/>
              <w:gridCol w:w="732"/>
              <w:gridCol w:w="1081"/>
              <w:gridCol w:w="1533"/>
              <w:gridCol w:w="996"/>
            </w:tblGrid>
            <w:tr w14:paraId="67F3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59" w:type="pct"/>
                  <w:vMerge w:val="restart"/>
                  <w:shd w:val="clear" w:color="auto" w:fill="D7D7D7" w:themeFill="background1" w:themeFillShade="D8"/>
                  <w:vAlign w:val="center"/>
                </w:tcPr>
                <w:p w14:paraId="5CE07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预测方位</w:t>
                  </w:r>
                </w:p>
              </w:tc>
              <w:tc>
                <w:tcPr>
                  <w:tcW w:w="1482" w:type="pct"/>
                  <w:gridSpan w:val="3"/>
                  <w:shd w:val="clear" w:color="auto" w:fill="D7D7D7" w:themeFill="background1" w:themeFillShade="D8"/>
                  <w:vAlign w:val="center"/>
                </w:tcPr>
                <w:p w14:paraId="1A39D7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空间相对位置/m</w:t>
                  </w:r>
                </w:p>
              </w:tc>
              <w:tc>
                <w:tcPr>
                  <w:tcW w:w="465" w:type="pct"/>
                  <w:vMerge w:val="restart"/>
                  <w:shd w:val="clear" w:color="auto" w:fill="D7D7D7" w:themeFill="background1" w:themeFillShade="D8"/>
                  <w:vAlign w:val="center"/>
                </w:tcPr>
                <w:p w14:paraId="14E37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时段</w:t>
                  </w:r>
                </w:p>
              </w:tc>
              <w:tc>
                <w:tcPr>
                  <w:tcW w:w="686" w:type="pct"/>
                  <w:vMerge w:val="restart"/>
                  <w:shd w:val="clear" w:color="auto" w:fill="D7D7D7" w:themeFill="background1" w:themeFillShade="D8"/>
                  <w:vAlign w:val="center"/>
                </w:tcPr>
                <w:p w14:paraId="2999B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ascii="Times New Roman" w:hAnsi="Times New Roman" w:eastAsia="宋体"/>
                      <w:b w:val="0"/>
                      <w:bCs/>
                      <w:color w:val="auto"/>
                      <w:lang w:val="zh-CN"/>
                    </w:rPr>
                    <w:t>贡献值</w:t>
                  </w:r>
                </w:p>
              </w:tc>
              <w:tc>
                <w:tcPr>
                  <w:tcW w:w="973" w:type="pct"/>
                  <w:vMerge w:val="restart"/>
                  <w:shd w:val="clear" w:color="auto" w:fill="D7D7D7" w:themeFill="background1" w:themeFillShade="D8"/>
                  <w:vAlign w:val="center"/>
                </w:tcPr>
                <w:p w14:paraId="0A522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标准限值</w:t>
                  </w:r>
                  <w:r>
                    <w:rPr>
                      <w:rFonts w:hint="eastAsia" w:ascii="Times New Roman" w:hAnsi="Times New Roman" w:eastAsia="宋体"/>
                      <w:b w:val="0"/>
                      <w:bCs/>
                      <w:color w:val="auto"/>
                      <w:lang w:val="zh-CN"/>
                    </w:rPr>
                    <w:t>（昼</w:t>
                  </w:r>
                  <w:r>
                    <w:rPr>
                      <w:rFonts w:hint="eastAsia" w:ascii="Times New Roman" w:hAnsi="Times New Roman" w:eastAsia="宋体"/>
                      <w:b w:val="0"/>
                      <w:bCs/>
                      <w:color w:val="auto"/>
                      <w:lang w:val="en-US" w:eastAsia="zh-CN"/>
                    </w:rPr>
                    <w:t>间</w:t>
                  </w:r>
                  <w:r>
                    <w:rPr>
                      <w:rFonts w:hint="eastAsia" w:ascii="Times New Roman" w:hAnsi="Times New Roman" w:eastAsia="宋体"/>
                      <w:b w:val="0"/>
                      <w:bCs/>
                      <w:color w:val="auto"/>
                      <w:lang w:val="zh-CN"/>
                    </w:rPr>
                    <w:t>）</w:t>
                  </w:r>
                </w:p>
              </w:tc>
              <w:tc>
                <w:tcPr>
                  <w:tcW w:w="632" w:type="pct"/>
                  <w:vMerge w:val="restart"/>
                  <w:shd w:val="clear" w:color="auto" w:fill="D7D7D7" w:themeFill="background1" w:themeFillShade="D8"/>
                  <w:vAlign w:val="center"/>
                </w:tcPr>
                <w:p w14:paraId="27D71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达标情况</w:t>
                  </w:r>
                </w:p>
              </w:tc>
            </w:tr>
            <w:tr w14:paraId="21FD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9" w:type="pct"/>
                  <w:vMerge w:val="continue"/>
                  <w:shd w:val="clear" w:color="auto" w:fill="FFFFFF"/>
                  <w:vAlign w:val="center"/>
                </w:tcPr>
                <w:p w14:paraId="340A5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550" w:type="pct"/>
                  <w:shd w:val="clear" w:color="auto" w:fill="D7D7D7" w:themeFill="background1" w:themeFillShade="D8"/>
                  <w:vAlign w:val="center"/>
                </w:tcPr>
                <w:p w14:paraId="18EE8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X</w:t>
                  </w:r>
                </w:p>
              </w:tc>
              <w:tc>
                <w:tcPr>
                  <w:tcW w:w="433" w:type="pct"/>
                  <w:shd w:val="clear" w:color="auto" w:fill="D7D7D7" w:themeFill="background1" w:themeFillShade="D8"/>
                  <w:vAlign w:val="center"/>
                </w:tcPr>
                <w:p w14:paraId="469FC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Y</w:t>
                  </w:r>
                </w:p>
              </w:tc>
              <w:tc>
                <w:tcPr>
                  <w:tcW w:w="498" w:type="pct"/>
                  <w:shd w:val="clear" w:color="auto" w:fill="D7D7D7" w:themeFill="background1" w:themeFillShade="D8"/>
                  <w:vAlign w:val="center"/>
                </w:tcPr>
                <w:p w14:paraId="10867E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Z</w:t>
                  </w:r>
                </w:p>
              </w:tc>
              <w:tc>
                <w:tcPr>
                  <w:tcW w:w="465" w:type="pct"/>
                  <w:vMerge w:val="continue"/>
                  <w:shd w:val="clear" w:color="auto" w:fill="FFFFFF"/>
                  <w:vAlign w:val="center"/>
                </w:tcPr>
                <w:p w14:paraId="69B3F1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86" w:type="pct"/>
                  <w:vMerge w:val="continue"/>
                  <w:shd w:val="clear" w:color="auto" w:fill="FFFFFF"/>
                  <w:vAlign w:val="center"/>
                </w:tcPr>
                <w:p w14:paraId="4E84A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973" w:type="pct"/>
                  <w:vMerge w:val="continue"/>
                  <w:shd w:val="clear" w:color="auto" w:fill="FFFFFF"/>
                  <w:vAlign w:val="center"/>
                </w:tcPr>
                <w:p w14:paraId="4C082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632" w:type="pct"/>
                  <w:vMerge w:val="continue"/>
                  <w:shd w:val="clear" w:color="auto" w:fill="FFFFFF"/>
                  <w:vAlign w:val="center"/>
                </w:tcPr>
                <w:p w14:paraId="36EBE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r w14:paraId="3449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6EDD1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厂界北</w:t>
                  </w:r>
                </w:p>
              </w:tc>
              <w:tc>
                <w:tcPr>
                  <w:tcW w:w="550" w:type="pct"/>
                  <w:shd w:val="clear" w:color="auto" w:fill="auto"/>
                  <w:vAlign w:val="center"/>
                </w:tcPr>
                <w:p w14:paraId="1B494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51.25</w:t>
                  </w:r>
                </w:p>
              </w:tc>
              <w:tc>
                <w:tcPr>
                  <w:tcW w:w="433" w:type="pct"/>
                  <w:shd w:val="clear" w:color="auto" w:fill="auto"/>
                  <w:vAlign w:val="center"/>
                </w:tcPr>
                <w:p w14:paraId="76A7F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74.14</w:t>
                  </w:r>
                </w:p>
              </w:tc>
              <w:tc>
                <w:tcPr>
                  <w:tcW w:w="498" w:type="pct"/>
                  <w:shd w:val="clear" w:color="auto" w:fill="auto"/>
                  <w:vAlign w:val="center"/>
                </w:tcPr>
                <w:p w14:paraId="1D3F4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w:t>
                  </w:r>
                </w:p>
              </w:tc>
              <w:tc>
                <w:tcPr>
                  <w:tcW w:w="465" w:type="pct"/>
                  <w:shd w:val="clear" w:color="auto" w:fill="auto"/>
                  <w:vAlign w:val="center"/>
                </w:tcPr>
                <w:p w14:paraId="0BCCF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03FBC8D4">
                  <w:pPr>
                    <w:pStyle w:val="64"/>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53.43</w:t>
                  </w:r>
                </w:p>
              </w:tc>
              <w:tc>
                <w:tcPr>
                  <w:tcW w:w="973" w:type="pct"/>
                  <w:shd w:val="clear" w:color="auto" w:fill="auto"/>
                  <w:vAlign w:val="center"/>
                </w:tcPr>
                <w:p w14:paraId="30691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4F820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r w14:paraId="1D8B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264AC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厂界南</w:t>
                  </w:r>
                </w:p>
              </w:tc>
              <w:tc>
                <w:tcPr>
                  <w:tcW w:w="550" w:type="pct"/>
                  <w:shd w:val="clear" w:color="auto" w:fill="auto"/>
                  <w:vAlign w:val="center"/>
                </w:tcPr>
                <w:p w14:paraId="226E10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97.74</w:t>
                  </w:r>
                </w:p>
              </w:tc>
              <w:tc>
                <w:tcPr>
                  <w:tcW w:w="433" w:type="pct"/>
                  <w:shd w:val="clear" w:color="auto" w:fill="auto"/>
                  <w:vAlign w:val="center"/>
                </w:tcPr>
                <w:p w14:paraId="640D9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-69.40</w:t>
                  </w:r>
                </w:p>
              </w:tc>
              <w:tc>
                <w:tcPr>
                  <w:tcW w:w="498" w:type="pct"/>
                  <w:shd w:val="clear" w:color="auto" w:fill="auto"/>
                  <w:vAlign w:val="center"/>
                </w:tcPr>
                <w:p w14:paraId="48C662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b w:val="0"/>
                      <w:bCs/>
                      <w:color w:val="auto"/>
                      <w:sz w:val="21"/>
                      <w:szCs w:val="21"/>
                      <w:lang w:val="en-US" w:eastAsia="zh-CN"/>
                    </w:rPr>
                    <w:t>1</w:t>
                  </w:r>
                </w:p>
              </w:tc>
              <w:tc>
                <w:tcPr>
                  <w:tcW w:w="465" w:type="pct"/>
                  <w:shd w:val="clear" w:color="auto" w:fill="auto"/>
                  <w:vAlign w:val="center"/>
                </w:tcPr>
                <w:p w14:paraId="46B7A0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2A93C0D4">
                  <w:pPr>
                    <w:pStyle w:val="64"/>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b w:val="0"/>
                      <w:bCs/>
                      <w:color w:val="auto"/>
                      <w:lang w:val="en-US" w:eastAsia="zh-CN"/>
                    </w:rPr>
                    <w:t>58.90</w:t>
                  </w:r>
                </w:p>
              </w:tc>
              <w:tc>
                <w:tcPr>
                  <w:tcW w:w="973" w:type="pct"/>
                  <w:shd w:val="clear" w:color="auto" w:fill="auto"/>
                  <w:vAlign w:val="center"/>
                </w:tcPr>
                <w:p w14:paraId="5FB90A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122F3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r w14:paraId="76A5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4780F8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厂界东</w:t>
                  </w:r>
                </w:p>
              </w:tc>
              <w:tc>
                <w:tcPr>
                  <w:tcW w:w="550" w:type="pct"/>
                  <w:shd w:val="clear" w:color="auto" w:fill="auto"/>
                  <w:vAlign w:val="center"/>
                </w:tcPr>
                <w:p w14:paraId="67C13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196.08</w:t>
                  </w:r>
                </w:p>
              </w:tc>
              <w:tc>
                <w:tcPr>
                  <w:tcW w:w="433" w:type="pct"/>
                  <w:shd w:val="clear" w:color="auto" w:fill="auto"/>
                  <w:vAlign w:val="center"/>
                </w:tcPr>
                <w:p w14:paraId="4A17D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-36.07</w:t>
                  </w:r>
                </w:p>
              </w:tc>
              <w:tc>
                <w:tcPr>
                  <w:tcW w:w="498" w:type="pct"/>
                  <w:shd w:val="clear" w:color="auto" w:fill="auto"/>
                  <w:vAlign w:val="center"/>
                </w:tcPr>
                <w:p w14:paraId="3BC24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b w:val="0"/>
                      <w:bCs/>
                      <w:color w:val="auto"/>
                      <w:sz w:val="21"/>
                      <w:szCs w:val="21"/>
                      <w:lang w:val="en-US" w:eastAsia="zh-CN"/>
                    </w:rPr>
                    <w:t>1</w:t>
                  </w:r>
                </w:p>
              </w:tc>
              <w:tc>
                <w:tcPr>
                  <w:tcW w:w="465" w:type="pct"/>
                  <w:shd w:val="clear" w:color="auto" w:fill="auto"/>
                  <w:vAlign w:val="center"/>
                </w:tcPr>
                <w:p w14:paraId="662EF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28E0D07E">
                  <w:pPr>
                    <w:pStyle w:val="64"/>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b w:val="0"/>
                      <w:bCs/>
                      <w:color w:val="auto"/>
                      <w:lang w:val="en-US" w:eastAsia="zh-CN"/>
                    </w:rPr>
                    <w:t>54.23</w:t>
                  </w:r>
                </w:p>
              </w:tc>
              <w:tc>
                <w:tcPr>
                  <w:tcW w:w="973" w:type="pct"/>
                  <w:shd w:val="clear" w:color="auto" w:fill="auto"/>
                  <w:vAlign w:val="center"/>
                </w:tcPr>
                <w:p w14:paraId="104A91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76AF3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r w14:paraId="6151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jc w:val="center"/>
              </w:trPr>
              <w:tc>
                <w:tcPr>
                  <w:tcW w:w="759" w:type="pct"/>
                  <w:shd w:val="clear" w:color="auto" w:fill="auto"/>
                  <w:vAlign w:val="center"/>
                </w:tcPr>
                <w:p w14:paraId="69506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厂界西</w:t>
                  </w:r>
                </w:p>
              </w:tc>
              <w:tc>
                <w:tcPr>
                  <w:tcW w:w="550" w:type="pct"/>
                  <w:shd w:val="clear" w:color="auto" w:fill="auto"/>
                  <w:vAlign w:val="center"/>
                </w:tcPr>
                <w:p w14:paraId="34C4D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45.37</w:t>
                  </w:r>
                </w:p>
              </w:tc>
              <w:tc>
                <w:tcPr>
                  <w:tcW w:w="433" w:type="pct"/>
                  <w:shd w:val="clear" w:color="auto" w:fill="auto"/>
                  <w:vAlign w:val="center"/>
                </w:tcPr>
                <w:p w14:paraId="73D9E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65.84</w:t>
                  </w:r>
                </w:p>
              </w:tc>
              <w:tc>
                <w:tcPr>
                  <w:tcW w:w="498" w:type="pct"/>
                  <w:shd w:val="clear" w:color="auto" w:fill="auto"/>
                  <w:vAlign w:val="center"/>
                </w:tcPr>
                <w:p w14:paraId="1093DB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b w:val="0"/>
                      <w:bCs/>
                      <w:color w:val="auto"/>
                      <w:sz w:val="21"/>
                      <w:szCs w:val="21"/>
                      <w:lang w:val="en-US" w:eastAsia="zh-CN"/>
                    </w:rPr>
                    <w:t>1</w:t>
                  </w:r>
                </w:p>
              </w:tc>
              <w:tc>
                <w:tcPr>
                  <w:tcW w:w="465" w:type="pct"/>
                  <w:shd w:val="clear" w:color="auto" w:fill="auto"/>
                  <w:vAlign w:val="center"/>
                </w:tcPr>
                <w:p w14:paraId="6E0D7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昼间</w:t>
                  </w:r>
                </w:p>
              </w:tc>
              <w:tc>
                <w:tcPr>
                  <w:tcW w:w="686" w:type="pct"/>
                  <w:shd w:val="clear" w:color="auto" w:fill="auto"/>
                  <w:vAlign w:val="center"/>
                </w:tcPr>
                <w:p w14:paraId="0C8EC9C7">
                  <w:pPr>
                    <w:pStyle w:val="64"/>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b w:val="0"/>
                      <w:bCs/>
                      <w:color w:val="auto"/>
                      <w:lang w:val="en-US" w:eastAsia="zh-CN"/>
                    </w:rPr>
                    <w:t>54.33</w:t>
                  </w:r>
                </w:p>
              </w:tc>
              <w:tc>
                <w:tcPr>
                  <w:tcW w:w="973" w:type="pct"/>
                  <w:shd w:val="clear" w:color="auto" w:fill="auto"/>
                  <w:vAlign w:val="center"/>
                </w:tcPr>
                <w:p w14:paraId="3525F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rPr>
                  </w:pPr>
                  <w:r>
                    <w:rPr>
                      <w:rFonts w:hint="eastAsia" w:ascii="Times New Roman" w:hAnsi="Times New Roman" w:eastAsia="宋体" w:cs="Times New Roman"/>
                      <w:b w:val="0"/>
                      <w:bCs/>
                      <w:color w:val="auto"/>
                      <w:sz w:val="21"/>
                      <w:szCs w:val="21"/>
                      <w:lang w:val="en-US" w:eastAsia="zh-CN"/>
                    </w:rPr>
                    <w:t>60</w:t>
                  </w:r>
                </w:p>
              </w:tc>
              <w:tc>
                <w:tcPr>
                  <w:tcW w:w="632" w:type="pct"/>
                  <w:shd w:val="clear" w:color="auto" w:fill="auto"/>
                  <w:vAlign w:val="center"/>
                </w:tcPr>
                <w:p w14:paraId="340E2D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达标</w:t>
                  </w:r>
                </w:p>
              </w:tc>
            </w:tr>
          </w:tbl>
          <w:p w14:paraId="1A79047D">
            <w:pPr>
              <w:pStyle w:val="61"/>
              <w:spacing w:before="158" w:beforeLines="50"/>
              <w:ind w:firstLine="480"/>
              <w:rPr>
                <w:rFonts w:hint="eastAsia" w:ascii="Times New Roman" w:hAnsi="Times New Roman" w:eastAsia="宋体"/>
                <w:snapToGrid w:val="0"/>
                <w:color w:val="auto"/>
              </w:rPr>
            </w:pPr>
            <w:r>
              <w:rPr>
                <w:rFonts w:ascii="Times New Roman" w:hAnsi="Times New Roman" w:eastAsia="宋体"/>
                <w:snapToGrid w:val="0"/>
                <w:color w:val="auto"/>
              </w:rPr>
              <w:t>由上表可知，本项目</w:t>
            </w:r>
            <w:r>
              <w:rPr>
                <w:rFonts w:hint="eastAsia" w:ascii="Times New Roman" w:hAnsi="Times New Roman" w:eastAsia="宋体"/>
                <w:snapToGrid w:val="0"/>
                <w:color w:val="auto"/>
                <w:lang w:val="en-US" w:eastAsia="zh-CN"/>
              </w:rPr>
              <w:t>贡献值对</w:t>
            </w:r>
            <w:r>
              <w:rPr>
                <w:rFonts w:hint="eastAsia" w:ascii="Times New Roman" w:hAnsi="Times New Roman" w:eastAsia="宋体"/>
                <w:color w:val="auto"/>
                <w:lang w:val="en-US" w:eastAsia="zh-CN"/>
              </w:rPr>
              <w:t>项目</w:t>
            </w:r>
            <w:r>
              <w:rPr>
                <w:rFonts w:ascii="Times New Roman" w:hAnsi="Times New Roman" w:eastAsia="宋体"/>
                <w:snapToGrid w:val="0"/>
                <w:color w:val="auto"/>
              </w:rPr>
              <w:t>东、南、西、北各</w:t>
            </w:r>
            <w:r>
              <w:rPr>
                <w:rFonts w:hint="eastAsia" w:ascii="Times New Roman" w:hAnsi="Times New Roman" w:eastAsia="宋体" w:cs="宋体"/>
                <w:color w:val="auto"/>
                <w:sz w:val="24"/>
                <w:lang w:val="en-US" w:eastAsia="zh-CN"/>
              </w:rPr>
              <w:t>厂界</w:t>
            </w:r>
            <w:r>
              <w:rPr>
                <w:rFonts w:ascii="Times New Roman" w:hAnsi="Times New Roman" w:eastAsia="宋体"/>
                <w:snapToGrid w:val="0"/>
                <w:color w:val="auto"/>
              </w:rPr>
              <w:t>均能满足《工业企业厂界环境噪声排放标准》（GB12348-2008）中</w:t>
            </w:r>
            <w:r>
              <w:rPr>
                <w:rFonts w:hint="eastAsia" w:ascii="Times New Roman" w:hAnsi="Times New Roman" w:eastAsia="宋体"/>
                <w:snapToGrid w:val="0"/>
                <w:color w:val="auto"/>
                <w:lang w:val="en-US" w:eastAsia="zh-CN"/>
              </w:rPr>
              <w:t>2</w:t>
            </w:r>
            <w:r>
              <w:rPr>
                <w:rFonts w:ascii="Times New Roman" w:hAnsi="Times New Roman" w:eastAsia="宋体"/>
                <w:snapToGrid w:val="0"/>
                <w:color w:val="auto"/>
              </w:rPr>
              <w:t>类标准的要求</w:t>
            </w:r>
            <w:r>
              <w:rPr>
                <w:rFonts w:hint="eastAsia" w:ascii="Times New Roman" w:hAnsi="Times New Roman" w:eastAsia="宋体"/>
                <w:snapToGrid w:val="0"/>
                <w:color w:val="auto"/>
              </w:rPr>
              <w:t>。</w:t>
            </w:r>
          </w:p>
          <w:p w14:paraId="7A961A15">
            <w:pPr>
              <w:pStyle w:val="61"/>
              <w:spacing w:before="158" w:beforeLines="50"/>
              <w:ind w:left="0" w:leftChars="0" w:firstLine="0" w:firstLineChars="0"/>
              <w:rPr>
                <w:rFonts w:hint="eastAsia" w:ascii="Times New Roman" w:hAnsi="Times New Roman" w:eastAsia="宋体"/>
                <w:snapToGrid w:val="0"/>
                <w:color w:val="auto"/>
                <w:lang w:eastAsia="zh-CN"/>
              </w:rPr>
            </w:pPr>
            <w:r>
              <w:rPr>
                <w:rFonts w:hint="eastAsia" w:ascii="Times New Roman" w:hAnsi="Times New Roman" w:eastAsia="宋体"/>
                <w:snapToGrid w:val="0"/>
                <w:color w:val="auto"/>
                <w:lang w:eastAsia="zh-CN"/>
              </w:rPr>
              <w:drawing>
                <wp:inline distT="0" distB="0" distL="114300" distR="114300">
                  <wp:extent cx="5203825" cy="4305935"/>
                  <wp:effectExtent l="0" t="0" r="15875" b="18415"/>
                  <wp:docPr id="1" name="图片 1" descr="噪声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噪声计算"/>
                          <pic:cNvPicPr>
                            <a:picLocks noChangeAspect="1"/>
                          </pic:cNvPicPr>
                        </pic:nvPicPr>
                        <pic:blipFill>
                          <a:blip r:embed="rId14"/>
                          <a:stretch>
                            <a:fillRect/>
                          </a:stretch>
                        </pic:blipFill>
                        <pic:spPr>
                          <a:xfrm>
                            <a:off x="0" y="0"/>
                            <a:ext cx="5203825" cy="4305935"/>
                          </a:xfrm>
                          <a:prstGeom prst="rect">
                            <a:avLst/>
                          </a:prstGeom>
                        </pic:spPr>
                      </pic:pic>
                    </a:graphicData>
                  </a:graphic>
                </wp:inline>
              </w:drawing>
            </w:r>
          </w:p>
          <w:p w14:paraId="7BBBF760">
            <w:pPr>
              <w:pStyle w:val="83"/>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图4-</w:t>
            </w:r>
            <w:r>
              <w:rPr>
                <w:rFonts w:hint="eastAsia"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t>项目厂界昼间噪声贡献值预测结果图</w:t>
            </w:r>
          </w:p>
          <w:p w14:paraId="45D5B8E1">
            <w:pPr>
              <w:pStyle w:val="61"/>
              <w:keepNext w:val="0"/>
              <w:keepLines w:val="0"/>
              <w:pageBreakBefore w:val="0"/>
              <w:widowControl w:val="0"/>
              <w:kinsoku/>
              <w:wordWrap/>
              <w:overflowPunct/>
              <w:topLinePunct w:val="0"/>
              <w:autoSpaceDE/>
              <w:autoSpaceDN/>
              <w:bidi w:val="0"/>
              <w:adjustRightInd w:val="0"/>
              <w:snapToGrid w:val="0"/>
              <w:spacing w:before="158" w:beforeLines="50"/>
              <w:ind w:firstLine="482" w:firstLineChars="200"/>
              <w:textAlignment w:val="auto"/>
              <w:rPr>
                <w:rFonts w:ascii="Times New Roman" w:hAnsi="Times New Roman" w:eastAsia="宋体"/>
                <w:b/>
                <w:bCs/>
                <w:color w:val="auto"/>
              </w:rPr>
            </w:pPr>
            <w:r>
              <w:rPr>
                <w:rFonts w:hint="eastAsia" w:ascii="Times New Roman" w:hAnsi="Times New Roman"/>
                <w:b/>
                <w:bCs/>
                <w:color w:val="auto"/>
                <w:lang w:eastAsia="zh-CN"/>
              </w:rPr>
              <w:t>（</w:t>
            </w:r>
            <w:r>
              <w:rPr>
                <w:rFonts w:hint="eastAsia" w:ascii="Times New Roman" w:hAnsi="Times New Roman"/>
                <w:b/>
                <w:bCs/>
                <w:color w:val="auto"/>
                <w:lang w:val="en-US" w:eastAsia="zh-CN"/>
              </w:rPr>
              <w:t>5</w:t>
            </w:r>
            <w:r>
              <w:rPr>
                <w:rFonts w:hint="eastAsia" w:ascii="Times New Roman" w:hAnsi="Times New Roman"/>
                <w:b/>
                <w:bCs/>
                <w:color w:val="auto"/>
                <w:lang w:eastAsia="zh-CN"/>
              </w:rPr>
              <w:t>）</w:t>
            </w:r>
            <w:r>
              <w:rPr>
                <w:rFonts w:ascii="Times New Roman" w:hAnsi="Times New Roman" w:eastAsia="宋体"/>
                <w:b/>
                <w:bCs/>
                <w:color w:val="auto"/>
              </w:rPr>
              <w:t>运营期声环境影响评价结论</w:t>
            </w:r>
          </w:p>
          <w:p w14:paraId="05C670D6">
            <w:pPr>
              <w:pStyle w:val="61"/>
              <w:ind w:firstLine="480"/>
              <w:rPr>
                <w:rFonts w:hint="eastAsia" w:ascii="Times New Roman" w:hAnsi="Times New Roman" w:eastAsia="宋体"/>
                <w:color w:val="auto"/>
              </w:rPr>
            </w:pPr>
            <w:r>
              <w:rPr>
                <w:rFonts w:hint="eastAsia"/>
                <w:color w:val="auto"/>
                <w:lang w:eastAsia="zh-CN"/>
              </w:rPr>
              <w:t>本项目周边没有噪声敏感点，项目厂界预测噪声贡献值可达到《工业企业厂界环境噪声排放标准》</w:t>
            </w:r>
            <w:r>
              <w:rPr>
                <w:rFonts w:hint="default" w:ascii="Times New Roman" w:hAnsi="Times New Roman" w:cs="Times New Roman"/>
                <w:color w:val="auto"/>
                <w:lang w:eastAsia="zh-CN"/>
              </w:rPr>
              <w:t>（GB12348-2008）2</w:t>
            </w:r>
            <w:r>
              <w:rPr>
                <w:rFonts w:hint="eastAsia"/>
                <w:color w:val="auto"/>
                <w:lang w:eastAsia="zh-CN"/>
              </w:rPr>
              <w:t>类区昼间标准的要求</w:t>
            </w:r>
            <w:r>
              <w:rPr>
                <w:rFonts w:ascii="Times New Roman" w:hAnsi="Times New Roman" w:eastAsia="宋体"/>
                <w:color w:val="auto"/>
              </w:rPr>
              <w:t>。项目区生产噪声不会改变声环境功能，因此，对周围环境的影响不大</w:t>
            </w:r>
            <w:r>
              <w:rPr>
                <w:rFonts w:hint="eastAsia" w:ascii="Times New Roman" w:hAnsi="Times New Roman" w:eastAsia="宋体"/>
                <w:color w:val="auto"/>
              </w:rPr>
              <w:t>。</w:t>
            </w:r>
          </w:p>
          <w:p w14:paraId="27D52B78">
            <w:pPr>
              <w:pStyle w:val="61"/>
              <w:ind w:firstLine="480"/>
              <w:rPr>
                <w:rFonts w:ascii="Times New Roman" w:hAnsi="Times New Roman" w:eastAsia="宋体"/>
                <w:color w:val="auto"/>
                <w:sz w:val="24"/>
              </w:rPr>
            </w:pPr>
            <w:r>
              <w:rPr>
                <w:rFonts w:ascii="Times New Roman" w:hAnsi="Times New Roman" w:eastAsia="宋体"/>
                <w:color w:val="auto"/>
                <w:sz w:val="24"/>
              </w:rPr>
              <w:t>项目建成运营后，设备噪声来源主要为</w:t>
            </w:r>
            <w:r>
              <w:rPr>
                <w:rFonts w:hint="eastAsia" w:ascii="Times New Roman" w:hAnsi="Times New Roman"/>
                <w:color w:val="auto"/>
                <w:sz w:val="24"/>
                <w:lang w:eastAsia="zh-CN"/>
              </w:rPr>
              <w:t>开卷、</w:t>
            </w:r>
            <w:r>
              <w:rPr>
                <w:rFonts w:hint="eastAsia" w:ascii="Times New Roman" w:hAnsi="Times New Roman"/>
                <w:color w:val="auto"/>
                <w:sz w:val="24"/>
                <w:lang w:val="en-US" w:eastAsia="zh-CN"/>
              </w:rPr>
              <w:t>高频直缝焊管机、</w:t>
            </w:r>
            <w:r>
              <w:rPr>
                <w:rFonts w:hint="eastAsia" w:ascii="Times New Roman" w:hAnsi="Times New Roman"/>
                <w:color w:val="auto"/>
                <w:sz w:val="24"/>
                <w:lang w:eastAsia="zh-CN"/>
              </w:rPr>
              <w:t>除尘风机、</w:t>
            </w:r>
            <w:r>
              <w:rPr>
                <w:rFonts w:hint="eastAsia" w:ascii="Times New Roman" w:hAnsi="Times New Roman" w:eastAsia="宋体"/>
                <w:color w:val="auto"/>
                <w:sz w:val="24"/>
                <w:lang w:val="en-US" w:eastAsia="zh-CN"/>
              </w:rPr>
              <w:t>飞锯</w:t>
            </w:r>
            <w:r>
              <w:rPr>
                <w:rFonts w:hint="eastAsia" w:ascii="Times New Roman" w:hAnsi="Times New Roman" w:eastAsia="宋体"/>
                <w:color w:val="auto"/>
                <w:sz w:val="24"/>
              </w:rPr>
              <w:t>、</w:t>
            </w:r>
            <w:r>
              <w:rPr>
                <w:rFonts w:hint="eastAsia" w:ascii="Times New Roman" w:hAnsi="Times New Roman" w:eastAsia="宋体"/>
                <w:color w:val="auto"/>
                <w:sz w:val="24"/>
                <w:lang w:val="en-US" w:eastAsia="zh-CN"/>
              </w:rPr>
              <w:t>空压机</w:t>
            </w:r>
            <w:r>
              <w:rPr>
                <w:rFonts w:ascii="Times New Roman" w:hAnsi="Times New Roman" w:eastAsia="宋体"/>
                <w:color w:val="auto"/>
                <w:sz w:val="24"/>
              </w:rPr>
              <w:t>等生产机械设备，设备噪声源强为</w:t>
            </w:r>
            <w:r>
              <w:rPr>
                <w:rFonts w:hint="eastAsia" w:ascii="Times New Roman" w:hAnsi="Times New Roman" w:eastAsia="宋体"/>
                <w:color w:val="auto"/>
                <w:sz w:val="24"/>
                <w:lang w:val="en-US" w:eastAsia="zh-CN"/>
              </w:rPr>
              <w:t>70</w:t>
            </w:r>
            <w:r>
              <w:rPr>
                <w:rFonts w:ascii="Times New Roman" w:hAnsi="Times New Roman" w:eastAsia="宋体"/>
                <w:color w:val="auto"/>
                <w:sz w:val="24"/>
              </w:rPr>
              <w:t>～</w:t>
            </w:r>
            <w:r>
              <w:rPr>
                <w:rFonts w:hint="eastAsia" w:ascii="Times New Roman" w:hAnsi="Times New Roman"/>
                <w:color w:val="auto"/>
                <w:sz w:val="24"/>
                <w:lang w:val="en-US" w:eastAsia="zh-CN"/>
              </w:rPr>
              <w:t>90</w:t>
            </w:r>
            <w:r>
              <w:rPr>
                <w:rFonts w:ascii="Times New Roman" w:hAnsi="Times New Roman" w:eastAsia="宋体"/>
                <w:color w:val="auto"/>
                <w:sz w:val="24"/>
              </w:rPr>
              <w:t>dB(A)。</w:t>
            </w:r>
          </w:p>
          <w:p w14:paraId="5766D9BE">
            <w:pPr>
              <w:pStyle w:val="61"/>
              <w:ind w:firstLine="480"/>
              <w:rPr>
                <w:rFonts w:ascii="Times New Roman" w:hAnsi="Times New Roman" w:eastAsia="宋体"/>
                <w:color w:val="auto"/>
                <w:sz w:val="24"/>
              </w:rPr>
            </w:pPr>
            <w:r>
              <w:rPr>
                <w:rFonts w:ascii="Times New Roman" w:hAnsi="Times New Roman" w:eastAsia="宋体"/>
                <w:color w:val="auto"/>
                <w:sz w:val="24"/>
              </w:rPr>
              <w:t>为了尽可能降低机械设备噪声对周围敏感点的影响，本环评建议建设单位要进一步加强机械设备噪声防治措施，具体降噪措施如下：</w:t>
            </w:r>
          </w:p>
          <w:p w14:paraId="1C602B0A">
            <w:pPr>
              <w:pStyle w:val="61"/>
              <w:ind w:firstLine="480"/>
              <w:rPr>
                <w:rFonts w:ascii="Times New Roman" w:hAnsi="Times New Roman" w:eastAsia="宋体"/>
                <w:color w:val="auto"/>
                <w:sz w:val="24"/>
              </w:rPr>
            </w:pPr>
            <w:r>
              <w:rPr>
                <w:rFonts w:ascii="Times New Roman" w:hAnsi="Times New Roman" w:eastAsia="宋体"/>
                <w:color w:val="auto"/>
                <w:sz w:val="24"/>
              </w:rPr>
              <w:t>①加强设备的维护，确保设备处于良好</w:t>
            </w:r>
            <w:r>
              <w:rPr>
                <w:rFonts w:hint="eastAsia" w:ascii="Times New Roman" w:hAnsi="Times New Roman"/>
                <w:color w:val="auto"/>
                <w:sz w:val="24"/>
                <w:lang w:eastAsia="zh-CN"/>
              </w:rPr>
              <w:t>地</w:t>
            </w:r>
            <w:r>
              <w:rPr>
                <w:rFonts w:ascii="Times New Roman" w:hAnsi="Times New Roman" w:eastAsia="宋体"/>
                <w:color w:val="auto"/>
                <w:sz w:val="24"/>
              </w:rPr>
              <w:t>运转状态，杜绝因设备不正常运转产生高噪声现象</w:t>
            </w:r>
            <w:r>
              <w:rPr>
                <w:rFonts w:hint="eastAsia" w:ascii="Times New Roman" w:hAnsi="Times New Roman" w:eastAsia="宋体"/>
                <w:color w:val="auto"/>
                <w:sz w:val="24"/>
              </w:rPr>
              <w:t>；</w:t>
            </w:r>
          </w:p>
          <w:p w14:paraId="153E61D3">
            <w:pPr>
              <w:pStyle w:val="61"/>
              <w:ind w:firstLine="480"/>
              <w:rPr>
                <w:rFonts w:ascii="Times New Roman" w:hAnsi="Times New Roman" w:eastAsia="宋体"/>
                <w:color w:val="auto"/>
                <w:sz w:val="24"/>
              </w:rPr>
            </w:pPr>
            <w:r>
              <w:rPr>
                <w:rFonts w:ascii="Times New Roman" w:hAnsi="Times New Roman" w:eastAsia="宋体"/>
                <w:color w:val="auto"/>
                <w:sz w:val="24"/>
              </w:rPr>
              <w:t>②对于噪声较大的设备，布置在</w:t>
            </w:r>
            <w:r>
              <w:rPr>
                <w:rFonts w:hint="eastAsia" w:ascii="Times New Roman" w:hAnsi="Times New Roman" w:eastAsia="宋体"/>
                <w:color w:val="auto"/>
                <w:sz w:val="24"/>
                <w:lang w:val="en-US" w:eastAsia="zh-CN"/>
              </w:rPr>
              <w:t>室内</w:t>
            </w:r>
            <w:r>
              <w:rPr>
                <w:rFonts w:ascii="Times New Roman" w:hAnsi="Times New Roman" w:eastAsia="宋体"/>
                <w:color w:val="auto"/>
                <w:sz w:val="24"/>
              </w:rPr>
              <w:t>或安装消声器、减震垫</w:t>
            </w:r>
            <w:r>
              <w:rPr>
                <w:rFonts w:hint="eastAsia" w:ascii="Times New Roman" w:hAnsi="Times New Roman" w:eastAsia="宋体"/>
                <w:color w:val="auto"/>
                <w:sz w:val="24"/>
              </w:rPr>
              <w:t>；</w:t>
            </w:r>
          </w:p>
          <w:p w14:paraId="7CEC9BB7">
            <w:pPr>
              <w:pStyle w:val="61"/>
              <w:ind w:firstLine="480"/>
              <w:rPr>
                <w:rFonts w:ascii="Times New Roman" w:hAnsi="Times New Roman" w:eastAsia="宋体"/>
                <w:color w:val="auto"/>
                <w:sz w:val="24"/>
              </w:rPr>
            </w:pPr>
            <w:r>
              <w:rPr>
                <w:rFonts w:hint="eastAsia" w:ascii="Times New Roman" w:hAnsi="Times New Roman" w:eastAsia="宋体"/>
                <w:color w:val="auto"/>
                <w:sz w:val="24"/>
              </w:rPr>
              <w:t>③</w:t>
            </w:r>
            <w:r>
              <w:rPr>
                <w:rFonts w:ascii="Times New Roman" w:hAnsi="Times New Roman" w:eastAsia="宋体"/>
                <w:color w:val="auto"/>
                <w:sz w:val="24"/>
              </w:rPr>
              <w:t>对强噪声设备安装橡胶</w:t>
            </w:r>
            <w:r>
              <w:rPr>
                <w:rFonts w:hint="eastAsia" w:ascii="Times New Roman" w:hAnsi="Times New Roman"/>
                <w:color w:val="auto"/>
                <w:sz w:val="24"/>
                <w:lang w:eastAsia="zh-CN"/>
              </w:rPr>
              <w:t>减振</w:t>
            </w:r>
            <w:r>
              <w:rPr>
                <w:rFonts w:ascii="Times New Roman" w:hAnsi="Times New Roman" w:eastAsia="宋体"/>
                <w:color w:val="auto"/>
                <w:sz w:val="24"/>
              </w:rPr>
              <w:t>设施，以减少振动，降低噪声；</w:t>
            </w:r>
          </w:p>
          <w:p w14:paraId="522C648D">
            <w:pPr>
              <w:pStyle w:val="61"/>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ascii="Times New Roman" w:hAnsi="Times New Roman" w:eastAsia="宋体" w:cs="宋体"/>
                <w:b/>
                <w:bCs/>
                <w:color w:val="auto"/>
              </w:rPr>
            </w:pPr>
            <w:r>
              <w:rPr>
                <w:rFonts w:hint="eastAsia" w:ascii="Times New Roman" w:hAnsi="Times New Roman" w:eastAsia="宋体" w:cs="宋体"/>
                <w:b/>
                <w:bCs/>
                <w:color w:val="auto"/>
                <w:lang w:val="en-US" w:eastAsia="zh-CN"/>
              </w:rPr>
              <w:t>（6）</w:t>
            </w:r>
            <w:r>
              <w:rPr>
                <w:rFonts w:ascii="Times New Roman" w:hAnsi="Times New Roman" w:eastAsia="宋体" w:cs="宋体"/>
                <w:b/>
                <w:bCs/>
                <w:color w:val="auto"/>
              </w:rPr>
              <w:t>环境监测计划的建议</w:t>
            </w:r>
          </w:p>
          <w:p w14:paraId="29DA609C">
            <w:pPr>
              <w:pStyle w:val="61"/>
              <w:ind w:firstLine="480"/>
              <w:rPr>
                <w:rFonts w:ascii="Times New Roman" w:hAnsi="Times New Roman" w:eastAsia="宋体"/>
                <w:color w:val="auto"/>
              </w:rPr>
            </w:pPr>
            <w:r>
              <w:rPr>
                <w:rFonts w:hint="eastAsia" w:ascii="Times New Roman" w:hAnsi="Times New Roman" w:eastAsia="宋体"/>
                <w:color w:val="auto"/>
              </w:rPr>
              <w:t>根据《排污单位自行监测技术指南总则》（HJ819-2018）</w:t>
            </w:r>
            <w:r>
              <w:rPr>
                <w:rFonts w:hint="eastAsia" w:ascii="Times New Roman" w:hAnsi="Times New Roman" w:eastAsia="宋体"/>
                <w:color w:val="auto"/>
                <w:sz w:val="24"/>
                <w:lang w:val="en-US" w:eastAsia="zh-CN"/>
              </w:rPr>
              <w:t>并参考</w:t>
            </w:r>
            <w:r>
              <w:rPr>
                <w:rFonts w:hint="eastAsia" w:ascii="Times New Roman" w:hAnsi="Times New Roman" w:eastAsia="宋体"/>
                <w:color w:val="auto"/>
                <w:sz w:val="24"/>
                <w:lang w:eastAsia="zh-CN"/>
              </w:rPr>
              <w:t>《排污单位自行监测技术指南钢铁工业及炼焦化学工业》（HJ878-2017）</w:t>
            </w:r>
            <w:r>
              <w:rPr>
                <w:rFonts w:hint="eastAsia" w:ascii="Times New Roman" w:hAnsi="Times New Roman" w:eastAsia="宋体"/>
                <w:color w:val="auto"/>
              </w:rPr>
              <w:t>中噪声监测要求，并结合项目实际，本项目自行监测计划如下</w:t>
            </w:r>
            <w:r>
              <w:rPr>
                <w:rFonts w:ascii="Times New Roman" w:hAnsi="Times New Roman" w:eastAsia="宋体"/>
                <w:color w:val="auto"/>
              </w:rPr>
              <w:t>。</w:t>
            </w:r>
          </w:p>
          <w:p w14:paraId="550DD70E">
            <w:pPr>
              <w:pStyle w:val="83"/>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8</w:t>
            </w:r>
            <w:r>
              <w:rPr>
                <w:rFonts w:hint="eastAsia" w:ascii="Times New Roman" w:hAnsi="Times New Roman" w:eastAsia="宋体" w:cs="Times New Roman"/>
                <w:b/>
                <w:color w:val="auto"/>
                <w:kern w:val="2"/>
                <w:sz w:val="21"/>
                <w:szCs w:val="24"/>
                <w:lang w:val="en-US" w:eastAsia="zh-CN" w:bidi="ar-SA"/>
              </w:rPr>
              <w:t>环境监测计划一览表</w:t>
            </w:r>
          </w:p>
          <w:tbl>
            <w:tblPr>
              <w:tblStyle w:val="24"/>
              <w:tblpPr w:leftFromText="180" w:rightFromText="180" w:vertAnchor="text" w:tblpXSpec="center" w:tblpY="1"/>
              <w:tblOverlap w:val="never"/>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126"/>
              <w:gridCol w:w="1155"/>
              <w:gridCol w:w="1155"/>
              <w:gridCol w:w="1224"/>
              <w:gridCol w:w="2259"/>
            </w:tblGrid>
            <w:tr w14:paraId="41E3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shd w:val="clear" w:color="auto" w:fill="D9D9D9"/>
                  <w:vAlign w:val="center"/>
                </w:tcPr>
                <w:p w14:paraId="215A2045">
                  <w:pPr>
                    <w:pStyle w:val="64"/>
                    <w:jc w:val="center"/>
                    <w:rPr>
                      <w:rFonts w:ascii="Times New Roman" w:hAnsi="Times New Roman" w:eastAsia="宋体"/>
                      <w:color w:val="auto"/>
                    </w:rPr>
                  </w:pPr>
                  <w:r>
                    <w:rPr>
                      <w:rFonts w:ascii="Times New Roman" w:hAnsi="Times New Roman" w:eastAsia="宋体"/>
                      <w:color w:val="auto"/>
                    </w:rPr>
                    <w:t>监测时间</w:t>
                  </w:r>
                </w:p>
              </w:tc>
              <w:tc>
                <w:tcPr>
                  <w:tcW w:w="1104" w:type="dxa"/>
                  <w:shd w:val="clear" w:color="auto" w:fill="D9D9D9"/>
                  <w:vAlign w:val="center"/>
                </w:tcPr>
                <w:p w14:paraId="5D4A5DB6">
                  <w:pPr>
                    <w:pStyle w:val="64"/>
                    <w:jc w:val="center"/>
                    <w:rPr>
                      <w:rFonts w:ascii="Times New Roman" w:hAnsi="Times New Roman" w:eastAsia="宋体"/>
                      <w:color w:val="auto"/>
                    </w:rPr>
                  </w:pPr>
                  <w:r>
                    <w:rPr>
                      <w:rFonts w:ascii="Times New Roman" w:hAnsi="Times New Roman" w:eastAsia="宋体"/>
                      <w:color w:val="auto"/>
                    </w:rPr>
                    <w:t>监测对象</w:t>
                  </w:r>
                </w:p>
              </w:tc>
              <w:tc>
                <w:tcPr>
                  <w:tcW w:w="1132" w:type="dxa"/>
                  <w:shd w:val="clear" w:color="auto" w:fill="D9D9D9"/>
                  <w:vAlign w:val="center"/>
                </w:tcPr>
                <w:p w14:paraId="03C1AD8D">
                  <w:pPr>
                    <w:pStyle w:val="64"/>
                    <w:jc w:val="center"/>
                    <w:rPr>
                      <w:rFonts w:ascii="Times New Roman" w:hAnsi="Times New Roman" w:eastAsia="宋体"/>
                      <w:color w:val="auto"/>
                    </w:rPr>
                  </w:pPr>
                  <w:r>
                    <w:rPr>
                      <w:rFonts w:ascii="Times New Roman" w:hAnsi="Times New Roman" w:eastAsia="宋体"/>
                      <w:color w:val="auto"/>
                    </w:rPr>
                    <w:t>监测点位</w:t>
                  </w:r>
                </w:p>
              </w:tc>
              <w:tc>
                <w:tcPr>
                  <w:tcW w:w="1132" w:type="dxa"/>
                  <w:shd w:val="clear" w:color="auto" w:fill="D9D9D9"/>
                  <w:vAlign w:val="center"/>
                </w:tcPr>
                <w:p w14:paraId="5B53572D">
                  <w:pPr>
                    <w:pStyle w:val="64"/>
                    <w:jc w:val="center"/>
                    <w:rPr>
                      <w:rFonts w:ascii="Times New Roman" w:hAnsi="Times New Roman" w:eastAsia="宋体"/>
                      <w:color w:val="auto"/>
                    </w:rPr>
                  </w:pPr>
                  <w:r>
                    <w:rPr>
                      <w:rFonts w:ascii="Times New Roman" w:hAnsi="Times New Roman" w:eastAsia="宋体"/>
                      <w:color w:val="auto"/>
                    </w:rPr>
                    <w:t>监测因子</w:t>
                  </w:r>
                </w:p>
              </w:tc>
              <w:tc>
                <w:tcPr>
                  <w:tcW w:w="1200" w:type="dxa"/>
                  <w:shd w:val="clear" w:color="auto" w:fill="D9D9D9"/>
                  <w:vAlign w:val="center"/>
                </w:tcPr>
                <w:p w14:paraId="07F0B2EC">
                  <w:pPr>
                    <w:pStyle w:val="64"/>
                    <w:jc w:val="center"/>
                    <w:rPr>
                      <w:rFonts w:ascii="Times New Roman" w:hAnsi="Times New Roman" w:eastAsia="宋体"/>
                      <w:color w:val="auto"/>
                    </w:rPr>
                  </w:pPr>
                  <w:r>
                    <w:rPr>
                      <w:rFonts w:ascii="Times New Roman" w:hAnsi="Times New Roman" w:eastAsia="宋体"/>
                      <w:color w:val="auto"/>
                    </w:rPr>
                    <w:t>监测频率</w:t>
                  </w:r>
                </w:p>
              </w:tc>
              <w:tc>
                <w:tcPr>
                  <w:tcW w:w="2213" w:type="dxa"/>
                  <w:shd w:val="clear" w:color="auto" w:fill="D9D9D9"/>
                  <w:vAlign w:val="center"/>
                </w:tcPr>
                <w:p w14:paraId="619C927E">
                  <w:pPr>
                    <w:pStyle w:val="64"/>
                    <w:jc w:val="center"/>
                    <w:rPr>
                      <w:rFonts w:ascii="Times New Roman" w:hAnsi="Times New Roman" w:eastAsia="宋体"/>
                      <w:color w:val="auto"/>
                    </w:rPr>
                  </w:pPr>
                  <w:r>
                    <w:rPr>
                      <w:rFonts w:ascii="Times New Roman" w:hAnsi="Times New Roman" w:eastAsia="宋体"/>
                      <w:color w:val="auto"/>
                    </w:rPr>
                    <w:t>执行标准</w:t>
                  </w:r>
                </w:p>
              </w:tc>
            </w:tr>
            <w:tr w14:paraId="305B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103" w:type="dxa"/>
                  <w:vAlign w:val="center"/>
                </w:tcPr>
                <w:p w14:paraId="58182547">
                  <w:pPr>
                    <w:pStyle w:val="64"/>
                    <w:jc w:val="center"/>
                    <w:rPr>
                      <w:rFonts w:ascii="Times New Roman" w:hAnsi="Times New Roman" w:eastAsia="宋体"/>
                      <w:color w:val="auto"/>
                    </w:rPr>
                  </w:pPr>
                  <w:r>
                    <w:rPr>
                      <w:rFonts w:hint="eastAsia" w:ascii="Times New Roman" w:hAnsi="Times New Roman" w:eastAsia="宋体"/>
                      <w:color w:val="auto"/>
                      <w:lang w:eastAsia="zh-CN"/>
                    </w:rPr>
                    <w:t>运营</w:t>
                  </w:r>
                  <w:r>
                    <w:rPr>
                      <w:rFonts w:ascii="Times New Roman" w:hAnsi="Times New Roman" w:eastAsia="宋体"/>
                      <w:color w:val="auto"/>
                    </w:rPr>
                    <w:t>期</w:t>
                  </w:r>
                </w:p>
              </w:tc>
              <w:tc>
                <w:tcPr>
                  <w:tcW w:w="1104" w:type="dxa"/>
                  <w:vAlign w:val="center"/>
                </w:tcPr>
                <w:p w14:paraId="23C764C6">
                  <w:pPr>
                    <w:pStyle w:val="64"/>
                    <w:jc w:val="center"/>
                    <w:rPr>
                      <w:rFonts w:ascii="Times New Roman" w:hAnsi="Times New Roman" w:eastAsia="宋体"/>
                      <w:color w:val="auto"/>
                    </w:rPr>
                  </w:pPr>
                  <w:r>
                    <w:rPr>
                      <w:rFonts w:ascii="Times New Roman" w:hAnsi="Times New Roman" w:eastAsia="宋体"/>
                      <w:color w:val="auto"/>
                    </w:rPr>
                    <w:t>噪声</w:t>
                  </w:r>
                </w:p>
              </w:tc>
              <w:tc>
                <w:tcPr>
                  <w:tcW w:w="1132" w:type="dxa"/>
                  <w:vAlign w:val="center"/>
                </w:tcPr>
                <w:p w14:paraId="262CF05B">
                  <w:pPr>
                    <w:pStyle w:val="64"/>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厂界四周</w:t>
                  </w:r>
                </w:p>
              </w:tc>
              <w:tc>
                <w:tcPr>
                  <w:tcW w:w="1132" w:type="dxa"/>
                  <w:vAlign w:val="center"/>
                </w:tcPr>
                <w:p w14:paraId="41D195D2">
                  <w:pPr>
                    <w:pStyle w:val="64"/>
                    <w:jc w:val="center"/>
                    <w:rPr>
                      <w:rFonts w:ascii="Times New Roman" w:hAnsi="Times New Roman" w:eastAsia="宋体"/>
                      <w:color w:val="auto"/>
                    </w:rPr>
                  </w:pPr>
                  <w:r>
                    <w:rPr>
                      <w:rFonts w:ascii="Times New Roman" w:hAnsi="Times New Roman" w:eastAsia="宋体"/>
                      <w:color w:val="auto"/>
                    </w:rPr>
                    <w:t>等效声级LepdB（A）</w:t>
                  </w:r>
                </w:p>
              </w:tc>
              <w:tc>
                <w:tcPr>
                  <w:tcW w:w="1200" w:type="dxa"/>
                  <w:vAlign w:val="center"/>
                </w:tcPr>
                <w:p w14:paraId="4B11D6B3">
                  <w:pPr>
                    <w:pStyle w:val="64"/>
                    <w:jc w:val="center"/>
                    <w:rPr>
                      <w:rFonts w:hint="eastAsia" w:ascii="Times New Roman" w:hAnsi="Times New Roman" w:eastAsia="宋体"/>
                      <w:color w:val="auto"/>
                      <w:lang w:eastAsia="zh-CN"/>
                    </w:rPr>
                  </w:pPr>
                  <w:r>
                    <w:rPr>
                      <w:rFonts w:hint="eastAsia" w:ascii="Times New Roman" w:hAnsi="Times New Roman" w:eastAsia="宋体"/>
                      <w:color w:val="auto"/>
                    </w:rPr>
                    <w:t>1次/</w:t>
                  </w:r>
                  <w:r>
                    <w:rPr>
                      <w:rFonts w:hint="eastAsia" w:ascii="Times New Roman" w:hAnsi="Times New Roman" w:eastAsia="宋体"/>
                      <w:color w:val="auto"/>
                      <w:lang w:eastAsia="zh-CN"/>
                    </w:rPr>
                    <w:t>季度</w:t>
                  </w:r>
                </w:p>
              </w:tc>
              <w:tc>
                <w:tcPr>
                  <w:tcW w:w="2213" w:type="dxa"/>
                  <w:vAlign w:val="center"/>
                </w:tcPr>
                <w:p w14:paraId="2B665879">
                  <w:pPr>
                    <w:pStyle w:val="64"/>
                    <w:jc w:val="center"/>
                    <w:rPr>
                      <w:rFonts w:ascii="Times New Roman" w:hAnsi="Times New Roman" w:eastAsia="宋体"/>
                      <w:color w:val="auto"/>
                    </w:rPr>
                  </w:pPr>
                  <w:r>
                    <w:rPr>
                      <w:rFonts w:hint="eastAsia" w:ascii="Times New Roman" w:hAnsi="Times New Roman" w:eastAsia="宋体"/>
                      <w:color w:val="auto"/>
                      <w:lang w:eastAsia="zh-CN"/>
                    </w:rPr>
                    <w:t>执行</w:t>
                  </w:r>
                  <w:r>
                    <w:rPr>
                      <w:rFonts w:ascii="Times New Roman" w:hAnsi="Times New Roman" w:eastAsia="宋体"/>
                      <w:color w:val="auto"/>
                    </w:rPr>
                    <w:t>《工业企业厂界环境噪声排放标准》</w:t>
                  </w:r>
                  <w:r>
                    <w:rPr>
                      <w:rFonts w:hint="eastAsia" w:ascii="Times New Roman" w:hAnsi="Times New Roman" w:eastAsia="宋体"/>
                      <w:color w:val="auto"/>
                      <w:lang w:eastAsia="zh-CN"/>
                    </w:rPr>
                    <w:t>（</w:t>
                  </w:r>
                  <w:r>
                    <w:rPr>
                      <w:rFonts w:ascii="Times New Roman" w:hAnsi="Times New Roman" w:eastAsia="宋体"/>
                      <w:color w:val="auto"/>
                    </w:rPr>
                    <w:t>GB12348-2008</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2</w:t>
                  </w:r>
                  <w:r>
                    <w:rPr>
                      <w:rFonts w:ascii="Times New Roman" w:hAnsi="Times New Roman" w:eastAsia="宋体"/>
                      <w:color w:val="auto"/>
                    </w:rPr>
                    <w:t>类区标准</w:t>
                  </w:r>
                </w:p>
              </w:tc>
            </w:tr>
          </w:tbl>
          <w:p w14:paraId="7C6FD1E0">
            <w:pPr>
              <w:pStyle w:val="61"/>
              <w:ind w:firstLine="482"/>
              <w:rPr>
                <w:rFonts w:ascii="Times New Roman" w:hAnsi="Times New Roman" w:eastAsia="宋体"/>
                <w:b/>
                <w:bCs/>
                <w:color w:val="auto"/>
                <w:kern w:val="0"/>
                <w:sz w:val="24"/>
                <w:lang w:val="zh-CN"/>
              </w:rPr>
            </w:pPr>
            <w:r>
              <w:rPr>
                <w:rFonts w:hint="eastAsia" w:ascii="Times New Roman" w:hAnsi="Times New Roman"/>
                <w:b/>
                <w:bCs/>
                <w:color w:val="auto"/>
                <w:kern w:val="0"/>
                <w:sz w:val="24"/>
                <w:lang w:val="en-US" w:eastAsia="zh-CN"/>
              </w:rPr>
              <w:t>4、</w:t>
            </w:r>
            <w:r>
              <w:rPr>
                <w:rFonts w:hint="eastAsia" w:ascii="Times New Roman" w:hAnsi="Times New Roman" w:eastAsia="宋体"/>
                <w:b/>
                <w:bCs/>
                <w:color w:val="auto"/>
                <w:kern w:val="0"/>
                <w:sz w:val="24"/>
                <w:lang w:val="zh-CN"/>
              </w:rPr>
              <w:t>固体废物</w:t>
            </w:r>
          </w:p>
          <w:p w14:paraId="1AE9D223">
            <w:pPr>
              <w:pStyle w:val="35"/>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（1）</w:t>
            </w:r>
            <w:r>
              <w:rPr>
                <w:rFonts w:hint="eastAsia" w:ascii="Times New Roman" w:hAnsi="Times New Roman" w:eastAsia="宋体" w:cs="Times New Roman"/>
                <w:b/>
                <w:bCs/>
                <w:color w:val="auto"/>
                <w:sz w:val="24"/>
                <w:szCs w:val="24"/>
                <w:vertAlign w:val="baseline"/>
                <w:lang w:val="en-US" w:eastAsia="zh-CN"/>
              </w:rPr>
              <w:t>固体废物产生量核算结果及相关参数</w:t>
            </w:r>
          </w:p>
          <w:p w14:paraId="24166F4A">
            <w:pPr>
              <w:pStyle w:val="61"/>
              <w:ind w:firstLine="480"/>
              <w:rPr>
                <w:rFonts w:hint="default" w:ascii="Times New Roman" w:hAnsi="Times New Roman" w:eastAsia="宋体" w:cs="宋体"/>
                <w:color w:val="auto"/>
                <w:sz w:val="24"/>
              </w:rPr>
            </w:pPr>
            <w:r>
              <w:rPr>
                <w:rFonts w:hint="eastAsia" w:ascii="Times New Roman" w:hAnsi="Times New Roman" w:eastAsia="宋体"/>
                <w:color w:val="auto"/>
                <w:sz w:val="24"/>
              </w:rPr>
              <w:t>项目运营期产生的固体废物主要为</w:t>
            </w:r>
            <w:r>
              <w:rPr>
                <w:rFonts w:hint="eastAsia" w:ascii="Times New Roman" w:hAnsi="Times New Roman" w:eastAsia="宋体"/>
                <w:color w:val="auto"/>
                <w:sz w:val="24"/>
                <w:lang w:val="en-US" w:eastAsia="zh-CN"/>
              </w:rPr>
              <w:t>生产固废和生活垃圾，生产固废主要为焊渣、循环水池沉渣、</w:t>
            </w:r>
            <w:r>
              <w:rPr>
                <w:rFonts w:hint="eastAsia" w:ascii="Times New Roman" w:hAnsi="Times New Roman" w:eastAsia="宋体" w:cs="宋体"/>
                <w:color w:val="auto"/>
                <w:sz w:val="24"/>
                <w:lang w:val="en-US" w:eastAsia="zh-CN"/>
              </w:rPr>
              <w:t>边角废料及切割碎屑、除尘灰和不合格品、</w:t>
            </w:r>
            <w:r>
              <w:rPr>
                <w:rFonts w:hint="eastAsia" w:ascii="Times New Roman" w:hAnsi="Times New Roman" w:eastAsia="宋体" w:cs="宋体"/>
                <w:color w:val="auto"/>
                <w:sz w:val="24"/>
                <w:lang w:eastAsia="zh-CN"/>
              </w:rPr>
              <w:t>废机油、废液压油</w:t>
            </w:r>
            <w:r>
              <w:rPr>
                <w:rFonts w:hint="default" w:ascii="Times New Roman" w:hAnsi="Times New Roman" w:eastAsia="宋体" w:cs="宋体"/>
                <w:color w:val="auto"/>
                <w:sz w:val="24"/>
              </w:rPr>
              <w:t>。主要分为</w:t>
            </w:r>
            <w:r>
              <w:rPr>
                <w:rFonts w:hint="default" w:ascii="Times New Roman" w:hAnsi="Times New Roman" w:eastAsia="宋体" w:cs="宋体"/>
                <w:color w:val="auto"/>
                <w:sz w:val="24"/>
                <w:lang w:eastAsia="zh-CN"/>
              </w:rPr>
              <w:t>生活垃圾、</w:t>
            </w:r>
            <w:r>
              <w:rPr>
                <w:rFonts w:hint="default" w:ascii="Times New Roman" w:hAnsi="Times New Roman" w:eastAsia="宋体" w:cs="宋体"/>
                <w:color w:val="auto"/>
                <w:sz w:val="24"/>
              </w:rPr>
              <w:t>一般固废和危险废物。</w:t>
            </w:r>
          </w:p>
          <w:p w14:paraId="3E6DB61D">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val="en-US" w:eastAsia="zh-CN"/>
              </w:rPr>
              <w:t>1）一般固废</w:t>
            </w:r>
          </w:p>
          <w:p w14:paraId="0691243B">
            <w:pPr>
              <w:pStyle w:val="61"/>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b/>
                <w:bCs/>
                <w:color w:val="auto"/>
                <w:sz w:val="24"/>
                <w:lang w:val="en-US" w:eastAsia="zh-CN"/>
              </w:rPr>
            </w:pPr>
            <w:r>
              <w:rPr>
                <w:rFonts w:hint="default" w:ascii="Times New Roman" w:hAnsi="Times New Roman" w:eastAsia="宋体" w:cs="宋体"/>
                <w:b/>
                <w:bCs/>
                <w:color w:val="auto"/>
                <w:sz w:val="24"/>
              </w:rPr>
              <w:t>①</w:t>
            </w:r>
            <w:r>
              <w:rPr>
                <w:rFonts w:hint="eastAsia" w:ascii="Times New Roman" w:hAnsi="Times New Roman" w:eastAsia="宋体" w:cs="宋体"/>
                <w:b/>
                <w:bCs/>
                <w:color w:val="auto"/>
                <w:sz w:val="24"/>
                <w:lang w:val="en-US" w:eastAsia="zh-CN"/>
              </w:rPr>
              <w:t>焊渣</w:t>
            </w:r>
          </w:p>
          <w:p w14:paraId="0C05A310">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default"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高频焊接的过程中会产生一定的焊渣以及刮出的焊疤，其产生量根据项目单位的统计资料，产生系数为0.5kg/t产品，项目年产</w:t>
            </w:r>
            <w:r>
              <w:rPr>
                <w:rFonts w:hint="eastAsia" w:ascii="Times New Roman" w:hAnsi="Times New Roman"/>
                <w:color w:val="auto"/>
                <w:sz w:val="24"/>
                <w:lang w:val="en-US" w:eastAsia="zh-CN"/>
              </w:rPr>
              <w:t>20</w:t>
            </w:r>
            <w:r>
              <w:rPr>
                <w:rFonts w:hint="eastAsia" w:ascii="Times New Roman" w:hAnsi="Times New Roman" w:eastAsia="宋体"/>
                <w:color w:val="auto"/>
                <w:sz w:val="24"/>
                <w:lang w:eastAsia="zh-CN"/>
              </w:rPr>
              <w:t>万吨焊管，</w:t>
            </w:r>
            <w:r>
              <w:rPr>
                <w:rFonts w:hint="eastAsia" w:ascii="Times New Roman" w:hAnsi="Times New Roman" w:eastAsia="宋体"/>
                <w:color w:val="auto"/>
                <w:sz w:val="24"/>
                <w:lang w:val="en-US" w:eastAsia="zh-CN"/>
              </w:rPr>
              <w:t>故焊渣产生量为</w:t>
            </w:r>
            <w:r>
              <w:rPr>
                <w:rFonts w:hint="eastAsia" w:ascii="Times New Roman" w:hAnsi="Times New Roman"/>
                <w:color w:val="auto"/>
                <w:sz w:val="24"/>
                <w:lang w:val="en-US" w:eastAsia="zh-CN"/>
              </w:rPr>
              <w:t>100</w:t>
            </w:r>
            <w:r>
              <w:rPr>
                <w:rFonts w:hint="eastAsia" w:ascii="Times New Roman" w:hAnsi="Times New Roman" w:eastAsia="宋体"/>
                <w:color w:val="auto"/>
                <w:sz w:val="24"/>
                <w:lang w:val="en-US" w:eastAsia="zh-CN"/>
              </w:rPr>
              <w:t>t/a，</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15F88FDA">
            <w:pPr>
              <w:pStyle w:val="61"/>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②</w:t>
            </w:r>
            <w:r>
              <w:rPr>
                <w:rFonts w:hint="eastAsia" w:ascii="Times New Roman" w:hAnsi="Times New Roman" w:cs="宋体"/>
                <w:b/>
                <w:bCs/>
                <w:color w:val="auto"/>
                <w:sz w:val="24"/>
                <w:lang w:val="en-US" w:eastAsia="zh-CN"/>
              </w:rPr>
              <w:t>循环</w:t>
            </w:r>
            <w:r>
              <w:rPr>
                <w:rFonts w:hint="eastAsia" w:ascii="Times New Roman" w:hAnsi="Times New Roman" w:eastAsia="宋体" w:cs="宋体"/>
                <w:b/>
                <w:bCs/>
                <w:color w:val="auto"/>
                <w:sz w:val="24"/>
                <w:lang w:val="en-US" w:eastAsia="zh-CN"/>
              </w:rPr>
              <w:t>水池沉渣</w:t>
            </w:r>
          </w:p>
          <w:p w14:paraId="116AFDEB">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项目高频焊接过程中</w:t>
            </w:r>
            <w:r>
              <w:rPr>
                <w:rFonts w:hint="eastAsia" w:ascii="Times New Roman" w:hAnsi="Times New Roman" w:eastAsia="宋体" w:cs="Times New Roman"/>
                <w:color w:val="auto"/>
                <w:sz w:val="24"/>
                <w:lang w:val="en-US" w:eastAsia="zh-CN"/>
              </w:rPr>
              <w:t>需用水冷却焊接的焊管，冷却水</w:t>
            </w:r>
            <w:r>
              <w:rPr>
                <w:rFonts w:hint="eastAsia" w:ascii="Times New Roman" w:hAnsi="Times New Roman" w:eastAsia="宋体" w:cs="宋体"/>
                <w:color w:val="auto"/>
                <w:sz w:val="24"/>
                <w:lang w:eastAsia="zh-CN"/>
              </w:rPr>
              <w:t>与物料直接接触，为直接冷却水，通过生产线下方排水沟引入</w:t>
            </w:r>
            <w:r>
              <w:rPr>
                <w:rFonts w:hint="eastAsia" w:ascii="Times New Roman" w:hAnsi="Times New Roman" w:cs="宋体"/>
                <w:color w:val="auto"/>
                <w:sz w:val="24"/>
                <w:lang w:eastAsia="zh-CN"/>
              </w:rPr>
              <w:t>循环</w:t>
            </w:r>
            <w:r>
              <w:rPr>
                <w:rFonts w:hint="eastAsia" w:ascii="Times New Roman" w:hAnsi="Times New Roman" w:eastAsia="宋体" w:cs="宋体"/>
                <w:color w:val="auto"/>
                <w:sz w:val="24"/>
                <w:lang w:val="en-US" w:eastAsia="zh-CN"/>
              </w:rPr>
              <w:t>沉淀水池</w:t>
            </w:r>
            <w:r>
              <w:rPr>
                <w:rFonts w:hint="eastAsia" w:ascii="Times New Roman" w:hAnsi="Times New Roman" w:eastAsia="宋体" w:cs="宋体"/>
                <w:color w:val="auto"/>
                <w:sz w:val="24"/>
                <w:lang w:eastAsia="zh-CN"/>
              </w:rPr>
              <w:t>，焊管直接冷却水经沉淀、冷却后循环利用。</w:t>
            </w:r>
            <w:r>
              <w:rPr>
                <w:rFonts w:hint="default" w:ascii="Times New Roman" w:hAnsi="Times New Roman" w:eastAsia="宋体" w:cs="Times New Roman"/>
                <w:color w:val="auto"/>
                <w:sz w:val="24"/>
                <w:szCs w:val="24"/>
                <w:lang w:val="en-US" w:eastAsia="zh-CN"/>
              </w:rPr>
              <w:t>循环水池</w:t>
            </w:r>
            <w:r>
              <w:rPr>
                <w:rFonts w:hint="eastAsia" w:ascii="Times New Roman" w:hAnsi="Times New Roman" w:eastAsia="宋体" w:cs="Times New Roman"/>
                <w:color w:val="auto"/>
                <w:sz w:val="24"/>
                <w:szCs w:val="24"/>
                <w:lang w:val="en-US" w:eastAsia="zh-CN"/>
              </w:rPr>
              <w:t>有少量的金属渣产生，</w:t>
            </w:r>
            <w:r>
              <w:rPr>
                <w:rFonts w:hint="eastAsia" w:ascii="Times New Roman" w:hAnsi="Times New Roman" w:eastAsia="宋体" w:cs="宋体"/>
                <w:color w:val="auto"/>
                <w:sz w:val="24"/>
                <w:lang w:val="en-US" w:eastAsia="zh-CN"/>
              </w:rPr>
              <w:t>根据项目单位的统计资料</w:t>
            </w:r>
            <w:r>
              <w:rPr>
                <w:rFonts w:hint="eastAsia" w:ascii="Times New Roman" w:hAnsi="Times New Roman" w:eastAsia="宋体" w:cs="Times New Roman"/>
                <w:color w:val="auto"/>
                <w:sz w:val="24"/>
                <w:szCs w:val="24"/>
                <w:lang w:val="en-US" w:eastAsia="zh-CN"/>
              </w:rPr>
              <w:t>产生量约</w:t>
            </w:r>
            <w:r>
              <w:rPr>
                <w:rFonts w:hint="eastAsia" w:ascii="Times New Roman" w:hAnsi="Times New Roman" w:cs="Times New Roman"/>
                <w:color w:val="auto"/>
                <w:sz w:val="24"/>
                <w:szCs w:val="24"/>
                <w:lang w:val="en-US" w:eastAsia="zh-CN"/>
              </w:rPr>
              <w:t>40</w:t>
            </w:r>
            <w:r>
              <w:rPr>
                <w:rFonts w:hint="eastAsia" w:ascii="Times New Roman" w:hAnsi="Times New Roman" w:eastAsia="宋体" w:cs="Times New Roman"/>
                <w:color w:val="auto"/>
                <w:sz w:val="24"/>
                <w:szCs w:val="24"/>
                <w:lang w:val="en-US" w:eastAsia="zh-CN"/>
              </w:rPr>
              <w:t>t/a</w:t>
            </w:r>
            <w:r>
              <w:rPr>
                <w:rFonts w:hint="eastAsia" w:ascii="Times New Roman" w:hAnsi="Times New Roman" w:eastAsia="宋体"/>
                <w:color w:val="auto"/>
                <w:sz w:val="24"/>
                <w:lang w:val="en-US" w:eastAsia="zh-CN"/>
              </w:rPr>
              <w:t>，</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s="Times New Roman"/>
                <w:color w:val="auto"/>
                <w:lang w:val="en-US" w:eastAsia="zh-CN"/>
              </w:rPr>
              <w:t>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p>
          <w:p w14:paraId="3F0FF0CD">
            <w:pPr>
              <w:pStyle w:val="61"/>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③边角废料及切割碎屑</w:t>
            </w:r>
          </w:p>
          <w:p w14:paraId="5BF0CA07">
            <w:pPr>
              <w:pStyle w:val="61"/>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宋体"/>
                <w:color w:val="auto"/>
                <w:sz w:val="24"/>
                <w:lang w:val="en-US" w:eastAsia="zh-CN"/>
              </w:rPr>
              <w:t>项目生产过程中会切除一定的边角，以及在切割过程中产生的切割金属碎屑，其产生量根据项目单位的统计资料，产生系数为1kg/t产品，项目年产</w:t>
            </w:r>
            <w:r>
              <w:rPr>
                <w:rFonts w:hint="eastAsia" w:ascii="Times New Roman" w:hAnsi="Times New Roman"/>
                <w:color w:val="auto"/>
                <w:sz w:val="24"/>
                <w:lang w:val="en-US" w:eastAsia="zh-CN"/>
              </w:rPr>
              <w:t>20</w:t>
            </w:r>
            <w:r>
              <w:rPr>
                <w:rFonts w:hint="eastAsia" w:ascii="Times New Roman" w:hAnsi="Times New Roman" w:eastAsia="宋体"/>
                <w:color w:val="auto"/>
                <w:sz w:val="24"/>
                <w:lang w:eastAsia="zh-CN"/>
              </w:rPr>
              <w:t>万吨焊管，</w:t>
            </w:r>
            <w:r>
              <w:rPr>
                <w:rFonts w:hint="eastAsia" w:ascii="Times New Roman" w:hAnsi="Times New Roman" w:eastAsia="宋体"/>
                <w:color w:val="auto"/>
                <w:sz w:val="24"/>
                <w:lang w:val="en-US" w:eastAsia="zh-CN"/>
              </w:rPr>
              <w:t>故</w:t>
            </w:r>
            <w:r>
              <w:rPr>
                <w:rFonts w:hint="eastAsia" w:ascii="Times New Roman" w:hAnsi="Times New Roman" w:eastAsia="宋体" w:cs="宋体"/>
                <w:color w:val="auto"/>
                <w:sz w:val="24"/>
                <w:lang w:val="en-US" w:eastAsia="zh-CN"/>
              </w:rPr>
              <w:t>边角废料及切割碎屑</w:t>
            </w:r>
            <w:r>
              <w:rPr>
                <w:rFonts w:hint="eastAsia" w:ascii="Times New Roman" w:hAnsi="Times New Roman" w:eastAsia="宋体"/>
                <w:color w:val="auto"/>
                <w:sz w:val="24"/>
                <w:lang w:val="en-US" w:eastAsia="zh-CN"/>
              </w:rPr>
              <w:t>产生量为</w:t>
            </w:r>
            <w:r>
              <w:rPr>
                <w:rFonts w:hint="eastAsia" w:ascii="Times New Roman" w:hAnsi="Times New Roman"/>
                <w:color w:val="auto"/>
                <w:sz w:val="24"/>
                <w:lang w:val="en-US" w:eastAsia="zh-CN"/>
              </w:rPr>
              <w:t>200</w:t>
            </w:r>
            <w:r>
              <w:rPr>
                <w:rFonts w:hint="eastAsia" w:ascii="Times New Roman" w:hAnsi="Times New Roman" w:eastAsia="宋体"/>
                <w:color w:val="auto"/>
                <w:sz w:val="24"/>
                <w:lang w:val="en-US" w:eastAsia="zh-CN"/>
              </w:rPr>
              <w:t>t/a，</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0E57456D">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④除尘灰</w:t>
            </w:r>
          </w:p>
          <w:p w14:paraId="3F4325FA">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lang w:val="en-US" w:eastAsia="zh-CN"/>
              </w:rPr>
            </w:pPr>
            <w:r>
              <w:rPr>
                <w:rFonts w:hint="eastAsia" w:ascii="Times New Roman" w:hAnsi="Times New Roman" w:eastAsia="宋体" w:cs="宋体"/>
                <w:color w:val="auto"/>
                <w:sz w:val="24"/>
                <w:lang w:val="en-US" w:eastAsia="zh-CN"/>
              </w:rPr>
              <w:t>高频焊接产生的颗粒物经过集气罩收集后通过</w:t>
            </w:r>
            <w:r>
              <w:rPr>
                <w:rFonts w:hint="eastAsia" w:ascii="Times New Roman" w:hAnsi="Times New Roman" w:cs="宋体"/>
                <w:color w:val="auto"/>
                <w:sz w:val="24"/>
                <w:lang w:val="en-US" w:eastAsia="zh-CN"/>
              </w:rPr>
              <w:t>烟尘</w:t>
            </w:r>
            <w:r>
              <w:rPr>
                <w:rFonts w:hint="eastAsia" w:ascii="Times New Roman" w:hAnsi="Times New Roman" w:eastAsia="宋体" w:cs="宋体"/>
                <w:color w:val="auto"/>
                <w:sz w:val="24"/>
                <w:lang w:val="en-US" w:eastAsia="zh-CN"/>
              </w:rPr>
              <w:t>除尘器净化处理，</w:t>
            </w:r>
            <w:r>
              <w:rPr>
                <w:rFonts w:hint="eastAsia" w:ascii="Times New Roman" w:hAnsi="Times New Roman" w:cs="宋体"/>
                <w:color w:val="auto"/>
                <w:sz w:val="24"/>
                <w:lang w:val="en-US" w:eastAsia="zh-CN"/>
              </w:rPr>
              <w:t>烟尘净化</w:t>
            </w:r>
            <w:r>
              <w:rPr>
                <w:rFonts w:hint="eastAsia" w:ascii="Times New Roman" w:hAnsi="Times New Roman" w:eastAsia="宋体" w:cs="宋体"/>
                <w:color w:val="auto"/>
                <w:sz w:val="24"/>
                <w:lang w:val="en-US" w:eastAsia="zh-CN"/>
              </w:rPr>
              <w:t>除尘器会产生一定除尘灰，其主要成分为铁粉，通过</w:t>
            </w:r>
            <w:r>
              <w:rPr>
                <w:rFonts w:hint="eastAsia" w:ascii="Times New Roman" w:hAnsi="Times New Roman" w:cs="宋体"/>
                <w:color w:val="auto"/>
                <w:sz w:val="24"/>
                <w:lang w:val="en-US" w:eastAsia="zh-CN"/>
              </w:rPr>
              <w:t>前文</w:t>
            </w:r>
            <w:r>
              <w:rPr>
                <w:rFonts w:hint="eastAsia" w:ascii="Times New Roman" w:hAnsi="Times New Roman" w:eastAsia="宋体" w:cs="宋体"/>
                <w:color w:val="auto"/>
                <w:sz w:val="24"/>
                <w:lang w:val="en-US" w:eastAsia="zh-CN"/>
              </w:rPr>
              <w:t>核算产生量为1.</w:t>
            </w:r>
            <w:r>
              <w:rPr>
                <w:rFonts w:hint="eastAsia" w:ascii="Times New Roman" w:hAnsi="Times New Roman" w:cs="宋体"/>
                <w:color w:val="auto"/>
                <w:sz w:val="24"/>
                <w:lang w:val="en-US" w:eastAsia="zh-CN"/>
              </w:rPr>
              <w:t>6799</w:t>
            </w:r>
            <w:r>
              <w:rPr>
                <w:rFonts w:hint="eastAsia" w:ascii="Times New Roman" w:hAnsi="Times New Roman" w:eastAsia="宋体" w:cs="宋体"/>
                <w:color w:val="auto"/>
                <w:sz w:val="24"/>
                <w:lang w:val="en-US" w:eastAsia="zh-CN"/>
              </w:rPr>
              <w:t>t/a，</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eastAsia="宋体" w:cs="Times New Roman"/>
                <w:color w:val="auto"/>
                <w:lang w:val="en-US" w:eastAsia="zh-CN"/>
              </w:rPr>
              <w:t>定期外售给废旧物资回收单位。</w:t>
            </w:r>
          </w:p>
          <w:p w14:paraId="6AD29D1A">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cs="宋体"/>
                <w:b/>
                <w:bCs/>
                <w:color w:val="auto"/>
                <w:sz w:val="24"/>
                <w:lang w:val="en-US" w:eastAsia="zh-CN"/>
              </w:rPr>
              <w:t>⑤</w:t>
            </w:r>
            <w:r>
              <w:rPr>
                <w:rFonts w:hint="eastAsia" w:ascii="Times New Roman" w:hAnsi="Times New Roman" w:eastAsia="宋体" w:cs="宋体"/>
                <w:b/>
                <w:bCs/>
                <w:color w:val="auto"/>
                <w:sz w:val="24"/>
                <w:lang w:val="en-US" w:eastAsia="zh-CN"/>
              </w:rPr>
              <w:t>不合格产品</w:t>
            </w:r>
          </w:p>
          <w:p w14:paraId="5AAF5A0D">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lang w:val="en-US" w:eastAsia="zh-CN"/>
              </w:rPr>
            </w:pPr>
            <w:r>
              <w:rPr>
                <w:rFonts w:hint="eastAsia" w:ascii="Times New Roman" w:hAnsi="Times New Roman" w:eastAsia="宋体" w:cs="宋体"/>
                <w:color w:val="auto"/>
                <w:sz w:val="24"/>
                <w:lang w:val="en-US" w:eastAsia="zh-CN"/>
              </w:rPr>
              <w:t>项目生产过程中不可避免</w:t>
            </w:r>
            <w:r>
              <w:rPr>
                <w:rFonts w:hint="eastAsia" w:ascii="Times New Roman" w:hAnsi="Times New Roman" w:cs="宋体"/>
                <w:color w:val="auto"/>
                <w:sz w:val="24"/>
                <w:lang w:val="en-US" w:eastAsia="zh-CN"/>
              </w:rPr>
              <w:t>地</w:t>
            </w:r>
            <w:r>
              <w:rPr>
                <w:rFonts w:hint="eastAsia" w:ascii="Times New Roman" w:hAnsi="Times New Roman" w:eastAsia="宋体" w:cs="宋体"/>
                <w:color w:val="auto"/>
                <w:sz w:val="24"/>
                <w:lang w:val="en-US" w:eastAsia="zh-CN"/>
              </w:rPr>
              <w:t>会产生一定的不合格品，该行业产品合格率一般在9</w:t>
            </w:r>
            <w:r>
              <w:rPr>
                <w:rFonts w:hint="eastAsia" w:ascii="Times New Roman" w:hAnsi="Times New Roman" w:cs="宋体"/>
                <w:color w:val="auto"/>
                <w:sz w:val="24"/>
                <w:lang w:val="en-US" w:eastAsia="zh-CN"/>
              </w:rPr>
              <w:t>9.7</w:t>
            </w:r>
            <w:r>
              <w:rPr>
                <w:rFonts w:hint="eastAsia" w:ascii="Times New Roman" w:hAnsi="Times New Roman" w:eastAsia="宋体" w:cs="宋体"/>
                <w:color w:val="auto"/>
                <w:sz w:val="24"/>
                <w:lang w:val="en-US" w:eastAsia="zh-CN"/>
              </w:rPr>
              <w:t>%以上，故不合格品量为</w:t>
            </w:r>
            <w:r>
              <w:rPr>
                <w:rFonts w:hint="eastAsia" w:ascii="Times New Roman" w:hAnsi="Times New Roman" w:cs="宋体"/>
                <w:color w:val="auto"/>
                <w:sz w:val="24"/>
                <w:lang w:val="en-US" w:eastAsia="zh-CN"/>
              </w:rPr>
              <w:t>600</w:t>
            </w:r>
            <w:r>
              <w:rPr>
                <w:rFonts w:hint="eastAsia" w:ascii="Times New Roman" w:hAnsi="Times New Roman" w:eastAsia="宋体" w:cs="宋体"/>
                <w:color w:val="auto"/>
                <w:sz w:val="24"/>
                <w:lang w:val="en-US" w:eastAsia="zh-CN"/>
              </w:rPr>
              <w:t>吨，</w:t>
            </w:r>
            <w:r>
              <w:rPr>
                <w:rFonts w:hint="default" w:ascii="Times New Roman" w:hAnsi="Times New Roman" w:eastAsia="宋体" w:cs="宋体"/>
                <w:color w:val="auto"/>
                <w:sz w:val="24"/>
              </w:rPr>
              <w:t>根据《固体废物分类与代码目录》（生态环境部公告2024年第4号），属于SW</w:t>
            </w:r>
            <w:r>
              <w:rPr>
                <w:rFonts w:hint="eastAsia" w:ascii="Times New Roman" w:hAnsi="Times New Roman" w:eastAsia="宋体" w:cs="宋体"/>
                <w:color w:val="auto"/>
                <w:sz w:val="24"/>
                <w:lang w:val="en-US" w:eastAsia="zh-CN"/>
              </w:rPr>
              <w:t>17</w:t>
            </w:r>
            <w:r>
              <w:rPr>
                <w:rFonts w:hint="default" w:ascii="Times New Roman" w:hAnsi="Times New Roman" w:eastAsia="宋体" w:cs="宋体"/>
                <w:color w:val="auto"/>
                <w:sz w:val="24"/>
              </w:rPr>
              <w:t>其</w:t>
            </w:r>
            <w:r>
              <w:rPr>
                <w:rFonts w:hint="eastAsia" w:ascii="Times New Roman" w:hAnsi="Times New Roman" w:eastAsia="宋体" w:cs="宋体"/>
                <w:color w:val="auto"/>
                <w:sz w:val="24"/>
                <w:lang w:val="en-US" w:eastAsia="zh-CN"/>
              </w:rPr>
              <w:t>可再生类废物</w:t>
            </w:r>
            <w:r>
              <w:rPr>
                <w:rFonts w:hint="default" w:ascii="Times New Roman" w:hAnsi="Times New Roman" w:eastAsia="宋体" w:cs="宋体"/>
                <w:color w:val="auto"/>
                <w:sz w:val="24"/>
              </w:rPr>
              <w:t>，代码为900-00</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-S17。</w:t>
            </w:r>
            <w:r>
              <w:rPr>
                <w:rFonts w:hint="eastAsia" w:ascii="Times New Roman" w:hAnsi="Times New Roman" w:eastAsia="宋体"/>
                <w:color w:val="auto"/>
                <w:sz w:val="24"/>
                <w:lang w:val="en-US" w:eastAsia="zh-CN"/>
              </w:rPr>
              <w:t>统一收集后暂存于一般固废暂存间，</w:t>
            </w:r>
            <w:r>
              <w:rPr>
                <w:rFonts w:hint="eastAsia" w:ascii="Times New Roman" w:hAnsi="Times New Roman"/>
                <w:color w:val="auto"/>
                <w:sz w:val="24"/>
                <w:lang w:val="en-US" w:eastAsia="zh-CN"/>
              </w:rPr>
              <w:t>利用机器压扁之后，用于产品包装固定带使用</w:t>
            </w:r>
            <w:r>
              <w:rPr>
                <w:rFonts w:hint="eastAsia" w:ascii="Times New Roman" w:hAnsi="Times New Roman" w:eastAsia="宋体" w:cs="Times New Roman"/>
                <w:color w:val="auto"/>
                <w:lang w:val="en-US" w:eastAsia="zh-CN"/>
              </w:rPr>
              <w:t>。</w:t>
            </w:r>
          </w:p>
          <w:p w14:paraId="057E16C6">
            <w:pPr>
              <w:pStyle w:val="61"/>
              <w:keepNext w:val="0"/>
              <w:pageBreakBefore w:val="0"/>
              <w:kinsoku/>
              <w:wordWrap/>
              <w:overflowPunct/>
              <w:topLinePunct w:val="0"/>
              <w:autoSpaceDE/>
              <w:autoSpaceDN/>
              <w:bidi w:val="0"/>
              <w:adjustRightInd w:val="0"/>
              <w:snapToGrid w:val="0"/>
              <w:ind w:firstLine="480"/>
              <w:textAlignment w:val="auto"/>
              <w:rPr>
                <w:rFonts w:hint="eastAsia"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2）生活垃圾</w:t>
            </w:r>
          </w:p>
          <w:p w14:paraId="00328EF2">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①员工生活垃圾</w:t>
            </w:r>
          </w:p>
          <w:p w14:paraId="2A05505B">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rPr>
            </w:pPr>
            <w:r>
              <w:rPr>
                <w:rFonts w:hint="default" w:ascii="Times New Roman" w:hAnsi="Times New Roman" w:eastAsia="宋体" w:cs="宋体"/>
                <w:color w:val="auto"/>
                <w:sz w:val="24"/>
              </w:rPr>
              <w:t>项目</w:t>
            </w:r>
            <w:r>
              <w:rPr>
                <w:rFonts w:hint="default" w:ascii="Times New Roman" w:hAnsi="Times New Roman" w:eastAsia="宋体" w:cs="宋体"/>
                <w:color w:val="auto"/>
                <w:sz w:val="24"/>
                <w:lang w:eastAsia="zh-CN"/>
              </w:rPr>
              <w:t>员工人数为</w:t>
            </w:r>
            <w:r>
              <w:rPr>
                <w:rFonts w:hint="eastAsia" w:ascii="Times New Roman" w:hAnsi="Times New Roman" w:cs="宋体"/>
                <w:color w:val="auto"/>
                <w:sz w:val="24"/>
                <w:lang w:val="en-US" w:eastAsia="zh-CN"/>
              </w:rPr>
              <w:t>55</w:t>
            </w:r>
            <w:r>
              <w:rPr>
                <w:rFonts w:hint="default" w:ascii="Times New Roman" w:hAnsi="Times New Roman" w:eastAsia="宋体" w:cs="宋体"/>
                <w:color w:val="auto"/>
                <w:sz w:val="24"/>
                <w:lang w:val="en-US" w:eastAsia="zh-CN"/>
              </w:rPr>
              <w:t>人</w:t>
            </w:r>
            <w:r>
              <w:rPr>
                <w:rFonts w:hint="default" w:ascii="Times New Roman" w:hAnsi="Times New Roman" w:eastAsia="宋体" w:cs="宋体"/>
                <w:color w:val="auto"/>
                <w:sz w:val="24"/>
              </w:rPr>
              <w:t>，年总工作日</w:t>
            </w:r>
            <w:r>
              <w:rPr>
                <w:rFonts w:hint="eastAsia" w:ascii="Times New Roman" w:hAnsi="Times New Roman" w:eastAsia="宋体" w:cs="宋体"/>
                <w:color w:val="auto"/>
                <w:sz w:val="24"/>
                <w:lang w:val="en-US" w:eastAsia="zh-CN"/>
              </w:rPr>
              <w:t>300</w:t>
            </w:r>
            <w:r>
              <w:rPr>
                <w:rFonts w:hint="default" w:ascii="Times New Roman" w:hAnsi="Times New Roman" w:eastAsia="宋体" w:cs="宋体"/>
                <w:color w:val="auto"/>
                <w:sz w:val="24"/>
              </w:rPr>
              <w:t>天，生活垃圾</w:t>
            </w:r>
            <w:r>
              <w:rPr>
                <w:rFonts w:hint="eastAsia" w:ascii="Times New Roman" w:hAnsi="Times New Roman" w:cs="宋体"/>
                <w:color w:val="auto"/>
                <w:sz w:val="24"/>
                <w:lang w:eastAsia="zh-CN"/>
              </w:rPr>
              <w:t>按照</w:t>
            </w:r>
            <w:r>
              <w:rPr>
                <w:rFonts w:hint="default" w:ascii="Times New Roman" w:hAnsi="Times New Roman" w:eastAsia="宋体" w:cs="宋体"/>
                <w:color w:val="auto"/>
                <w:sz w:val="24"/>
              </w:rPr>
              <w:t>每人每</w:t>
            </w:r>
            <w:r>
              <w:rPr>
                <w:rFonts w:hint="eastAsia" w:ascii="Times New Roman" w:hAnsi="Times New Roman" w:cs="宋体"/>
                <w:color w:val="auto"/>
                <w:sz w:val="24"/>
                <w:lang w:eastAsia="zh-CN"/>
              </w:rPr>
              <w:t>天</w:t>
            </w:r>
            <w:r>
              <w:rPr>
                <w:rFonts w:hint="default" w:ascii="Times New Roman" w:hAnsi="Times New Roman" w:eastAsia="宋体" w:cs="宋体"/>
                <w:color w:val="auto"/>
                <w:sz w:val="24"/>
              </w:rPr>
              <w:t>0.5kg</w:t>
            </w:r>
            <w:r>
              <w:rPr>
                <w:rFonts w:hint="eastAsia" w:ascii="Times New Roman" w:hAnsi="Times New Roman" w:cs="宋体"/>
                <w:color w:val="auto"/>
                <w:sz w:val="24"/>
                <w:lang w:eastAsia="zh-CN"/>
              </w:rPr>
              <w:t>计算</w:t>
            </w:r>
            <w:r>
              <w:rPr>
                <w:rFonts w:hint="default" w:ascii="Times New Roman" w:hAnsi="Times New Roman" w:eastAsia="宋体" w:cs="宋体"/>
                <w:color w:val="auto"/>
                <w:sz w:val="24"/>
              </w:rPr>
              <w:t>，生活垃圾产生量为</w:t>
            </w:r>
            <w:r>
              <w:rPr>
                <w:rFonts w:hint="eastAsia" w:ascii="Times New Roman" w:hAnsi="Times New Roman" w:cs="宋体"/>
                <w:color w:val="auto"/>
                <w:sz w:val="24"/>
                <w:lang w:val="en-US" w:eastAsia="zh-CN"/>
              </w:rPr>
              <w:t>27.5</w:t>
            </w:r>
            <w:r>
              <w:rPr>
                <w:rFonts w:hint="default" w:ascii="Times New Roman" w:hAnsi="Times New Roman" w:eastAsia="宋体" w:cs="宋体"/>
                <w:color w:val="auto"/>
                <w:sz w:val="24"/>
              </w:rPr>
              <w:t>kg/d，</w:t>
            </w:r>
            <w:r>
              <w:rPr>
                <w:rFonts w:hint="eastAsia" w:ascii="Times New Roman" w:hAnsi="Times New Roman" w:cs="宋体"/>
                <w:color w:val="auto"/>
                <w:sz w:val="24"/>
                <w:lang w:val="en-US" w:eastAsia="zh-CN"/>
              </w:rPr>
              <w:t>8.25</w:t>
            </w:r>
            <w:r>
              <w:rPr>
                <w:rFonts w:hint="eastAsia" w:ascii="Times New Roman" w:hAnsi="Times New Roman" w:eastAsia="宋体" w:cs="宋体"/>
                <w:color w:val="auto"/>
                <w:sz w:val="24"/>
                <w:lang w:val="en-US" w:eastAsia="zh-CN"/>
              </w:rPr>
              <w:t>t</w:t>
            </w:r>
            <w:r>
              <w:rPr>
                <w:rFonts w:hint="default" w:ascii="Times New Roman" w:hAnsi="Times New Roman" w:eastAsia="宋体" w:cs="宋体"/>
                <w:color w:val="auto"/>
                <w:sz w:val="24"/>
              </w:rPr>
              <w:t>/a，厂区设置的若干只垃圾桶，用于收集生活垃圾，收集后运至附近垃圾收集点由环卫部门统一清运处置。</w:t>
            </w:r>
          </w:p>
          <w:p w14:paraId="34DA511B">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②化粪池污泥</w:t>
            </w:r>
          </w:p>
          <w:p w14:paraId="0F0043E5">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color w:val="auto"/>
                <w:sz w:val="24"/>
              </w:rPr>
            </w:pPr>
            <w:r>
              <w:rPr>
                <w:rFonts w:hint="default"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生活污水经现有化粪池处理后，利用罐车拉运至纳古镇污水处理站处理</w:t>
            </w:r>
            <w:r>
              <w:rPr>
                <w:rFonts w:hint="eastAsia" w:ascii="Times New Roman" w:hAnsi="Times New Roman" w:eastAsia="宋体"/>
                <w:color w:val="auto"/>
                <w:lang w:eastAsia="zh-CN"/>
              </w:rPr>
              <w:t>。</w:t>
            </w:r>
            <w:r>
              <w:rPr>
                <w:rFonts w:hint="default" w:ascii="Times New Roman" w:hAnsi="Times New Roman" w:eastAsia="宋体" w:cs="宋体"/>
                <w:color w:val="auto"/>
                <w:sz w:val="24"/>
              </w:rPr>
              <w:t>化粪池污泥</w:t>
            </w:r>
            <w:r>
              <w:rPr>
                <w:rFonts w:hint="eastAsia" w:ascii="Times New Roman" w:hAnsi="Times New Roman" w:eastAsia="宋体"/>
                <w:color w:val="auto"/>
                <w:sz w:val="24"/>
              </w:rPr>
              <w:t>委托</w:t>
            </w:r>
            <w:r>
              <w:rPr>
                <w:rFonts w:hint="eastAsia" w:ascii="Times New Roman" w:hAnsi="Times New Roman"/>
                <w:color w:val="auto"/>
                <w:sz w:val="24"/>
                <w:lang w:eastAsia="zh-CN"/>
              </w:rPr>
              <w:t>环卫部门进行清掏处置</w:t>
            </w:r>
            <w:r>
              <w:rPr>
                <w:rFonts w:hint="eastAsia" w:ascii="Times New Roman" w:hAnsi="Times New Roman" w:eastAsia="宋体"/>
                <w:color w:val="auto"/>
                <w:sz w:val="24"/>
              </w:rPr>
              <w:t>，不外排</w:t>
            </w:r>
            <w:r>
              <w:rPr>
                <w:rFonts w:hint="default" w:ascii="Times New Roman" w:hAnsi="Times New Roman" w:eastAsia="宋体" w:cs="宋体"/>
                <w:color w:val="auto"/>
                <w:sz w:val="24"/>
              </w:rPr>
              <w:t>，根据建设单位提供资料产生量为</w:t>
            </w:r>
            <w:r>
              <w:rPr>
                <w:rFonts w:hint="eastAsia" w:ascii="Times New Roman" w:hAnsi="Times New Roman" w:eastAsia="宋体" w:cs="宋体"/>
                <w:color w:val="auto"/>
                <w:sz w:val="24"/>
                <w:lang w:val="en-US" w:eastAsia="zh-CN"/>
              </w:rPr>
              <w:t>1</w:t>
            </w:r>
            <w:r>
              <w:rPr>
                <w:rFonts w:hint="default" w:ascii="Times New Roman" w:hAnsi="Times New Roman" w:eastAsia="宋体" w:cs="宋体"/>
                <w:color w:val="auto"/>
                <w:sz w:val="24"/>
              </w:rPr>
              <w:t>t/a。</w:t>
            </w:r>
          </w:p>
          <w:p w14:paraId="413C63BA">
            <w:pPr>
              <w:pStyle w:val="61"/>
              <w:keepNext w:val="0"/>
              <w:pageBreakBefore w:val="0"/>
              <w:kinsoku/>
              <w:wordWrap/>
              <w:overflowPunct/>
              <w:topLinePunct w:val="0"/>
              <w:autoSpaceDE/>
              <w:autoSpaceDN/>
              <w:bidi w:val="0"/>
              <w:adjustRightInd w:val="0"/>
              <w:snapToGrid w:val="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eastAsia="宋体" w:cs="宋体"/>
                <w:b/>
                <w:bCs/>
                <w:color w:val="auto"/>
                <w:sz w:val="24"/>
                <w:lang w:val="en-US" w:eastAsia="zh-CN"/>
              </w:rPr>
              <w:t>3）危险废物</w:t>
            </w:r>
          </w:p>
          <w:p w14:paraId="6216F69D">
            <w:pPr>
              <w:pStyle w:val="13"/>
              <w:keepNext w:val="0"/>
              <w:keepLines/>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①</w:t>
            </w:r>
            <w:r>
              <w:rPr>
                <w:rFonts w:hint="default" w:ascii="Times New Roman" w:hAnsi="Times New Roman" w:eastAsia="宋体" w:cs="Times New Roman"/>
                <w:b/>
                <w:bCs/>
                <w:color w:val="auto"/>
                <w:sz w:val="24"/>
                <w:highlight w:val="none"/>
              </w:rPr>
              <w:t>废</w:t>
            </w:r>
            <w:r>
              <w:rPr>
                <w:rFonts w:hint="eastAsia" w:ascii="Times New Roman" w:hAnsi="Times New Roman" w:eastAsia="宋体" w:cs="Times New Roman"/>
                <w:b/>
                <w:bCs/>
                <w:color w:val="auto"/>
                <w:sz w:val="24"/>
                <w:highlight w:val="none"/>
                <w:lang w:eastAsia="zh-CN"/>
              </w:rPr>
              <w:t>机</w:t>
            </w:r>
            <w:r>
              <w:rPr>
                <w:rFonts w:hint="default" w:ascii="Times New Roman" w:hAnsi="Times New Roman" w:eastAsia="宋体" w:cs="Times New Roman"/>
                <w:b/>
                <w:bCs/>
                <w:color w:val="auto"/>
                <w:sz w:val="24"/>
                <w:highlight w:val="none"/>
              </w:rPr>
              <w:t>油</w:t>
            </w:r>
          </w:p>
          <w:p w14:paraId="00F6922B">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highlight w:val="none"/>
              </w:rPr>
              <w:t>项目设备生产过程中产生的废</w:t>
            </w:r>
            <w:r>
              <w:rPr>
                <w:rFonts w:hint="eastAsia" w:ascii="Times New Roman" w:hAnsi="Times New Roman" w:eastAsia="宋体" w:cs="Times New Roman"/>
                <w:color w:val="auto"/>
                <w:sz w:val="24"/>
                <w:highlight w:val="none"/>
                <w:lang w:eastAsia="zh-CN"/>
              </w:rPr>
              <w:t>机油</w:t>
            </w:r>
            <w:r>
              <w:rPr>
                <w:rFonts w:hint="default" w:ascii="Times New Roman" w:hAnsi="Times New Roman" w:eastAsia="宋体" w:cs="Times New Roman"/>
                <w:color w:val="auto"/>
                <w:sz w:val="24"/>
                <w:highlight w:val="none"/>
              </w:rPr>
              <w:t>为危废，大概1年更换一次，经查阅《国家危险废物名录》（202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w:t>
            </w:r>
            <w:r>
              <w:rPr>
                <w:rFonts w:hint="eastAsia" w:ascii="Times New Roman" w:hAnsi="Times New Roman" w:eastAsia="宋体" w:cs="Times New Roman"/>
                <w:color w:val="auto"/>
                <w:sz w:val="24"/>
                <w:lang w:eastAsia="zh-CN"/>
              </w:rPr>
              <w:t>废机油属于危险废物，</w:t>
            </w:r>
            <w:r>
              <w:rPr>
                <w:rFonts w:hint="default" w:ascii="Times New Roman" w:hAnsi="Times New Roman" w:eastAsia="宋体" w:cs="Times New Roman"/>
                <w:color w:val="auto"/>
                <w:sz w:val="24"/>
              </w:rPr>
              <w:t>废物类别为HW08废矿物油与含矿物油废物，危废代码为900-21</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-08，产生量约为</w:t>
            </w:r>
            <w:r>
              <w:rPr>
                <w:rFonts w:hint="eastAsia" w:cs="Times New Roman"/>
                <w:color w:val="auto"/>
                <w:sz w:val="24"/>
                <w:lang w:val="en-US" w:eastAsia="zh-CN"/>
              </w:rPr>
              <w:t>0.2</w:t>
            </w:r>
            <w:r>
              <w:rPr>
                <w:rFonts w:hint="default" w:ascii="Times New Roman" w:hAnsi="Times New Roman" w:eastAsia="宋体" w:cs="Times New Roman"/>
                <w:color w:val="auto"/>
                <w:sz w:val="24"/>
              </w:rPr>
              <w:t>t/a，通过收集后暂存于危废暂存间，定期委托</w:t>
            </w:r>
            <w:r>
              <w:rPr>
                <w:rFonts w:hint="eastAsia" w:ascii="Times New Roman" w:hAnsi="Times New Roman" w:eastAsia="宋体" w:cs="Times New Roman"/>
                <w:color w:val="auto"/>
                <w:sz w:val="24"/>
                <w:lang w:val="en-US" w:eastAsia="zh-CN"/>
              </w:rPr>
              <w:t>有资质单位</w:t>
            </w:r>
            <w:r>
              <w:rPr>
                <w:rFonts w:hint="default" w:ascii="Times New Roman" w:hAnsi="Times New Roman" w:eastAsia="宋体" w:cs="Times New Roman"/>
                <w:color w:val="auto"/>
                <w:sz w:val="24"/>
              </w:rPr>
              <w:t>清运处置。</w:t>
            </w:r>
          </w:p>
          <w:p w14:paraId="57045652">
            <w:pPr>
              <w:pStyle w:val="13"/>
              <w:keepNext w:val="0"/>
              <w:keepLines/>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②</w:t>
            </w:r>
            <w:r>
              <w:rPr>
                <w:rFonts w:hint="default" w:ascii="Times New Roman" w:hAnsi="Times New Roman" w:eastAsia="宋体" w:cs="Times New Roman"/>
                <w:b/>
                <w:bCs/>
                <w:color w:val="auto"/>
                <w:sz w:val="24"/>
              </w:rPr>
              <w:t>废</w:t>
            </w:r>
            <w:r>
              <w:rPr>
                <w:rFonts w:hint="eastAsia" w:ascii="Times New Roman" w:hAnsi="Times New Roman" w:eastAsia="宋体" w:cs="Times New Roman"/>
                <w:b/>
                <w:bCs/>
                <w:color w:val="auto"/>
                <w:sz w:val="24"/>
                <w:lang w:eastAsia="zh-CN"/>
              </w:rPr>
              <w:t>液压</w:t>
            </w:r>
            <w:r>
              <w:rPr>
                <w:rFonts w:hint="default" w:ascii="Times New Roman" w:hAnsi="Times New Roman" w:eastAsia="宋体" w:cs="Times New Roman"/>
                <w:b/>
                <w:bCs/>
                <w:color w:val="auto"/>
                <w:sz w:val="24"/>
              </w:rPr>
              <w:t>油</w:t>
            </w:r>
          </w:p>
          <w:p w14:paraId="56703FB9">
            <w:pPr>
              <w:keepNext w:val="0"/>
              <w:keepLines/>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项目设备在运行过程中需要定期更换液压油，</w:t>
            </w:r>
            <w:r>
              <w:rPr>
                <w:rFonts w:hint="eastAsia" w:ascii="Times New Roman" w:hAnsi="Times New Roman" w:eastAsia="宋体" w:cs="Times New Roman"/>
                <w:color w:val="auto"/>
                <w:sz w:val="24"/>
                <w:lang w:eastAsia="zh-CN"/>
              </w:rPr>
              <w:t>根据设备情况，</w:t>
            </w:r>
            <w:r>
              <w:rPr>
                <w:rFonts w:hint="eastAsia" w:ascii="Times New Roman" w:hAnsi="Times New Roman" w:eastAsia="宋体" w:cs="Times New Roman"/>
                <w:color w:val="auto"/>
                <w:sz w:val="24"/>
                <w:lang w:val="en-US" w:eastAsia="zh-CN"/>
              </w:rPr>
              <w:t>所有</w:t>
            </w:r>
            <w:r>
              <w:rPr>
                <w:rFonts w:hint="eastAsia" w:ascii="Times New Roman" w:hAnsi="Times New Roman" w:eastAsia="宋体" w:cs="Times New Roman"/>
                <w:color w:val="auto"/>
                <w:sz w:val="24"/>
                <w:lang w:eastAsia="zh-CN"/>
              </w:rPr>
              <w:t>设备</w:t>
            </w:r>
            <w:r>
              <w:rPr>
                <w:rFonts w:hint="default" w:ascii="Times New Roman" w:hAnsi="Times New Roman" w:eastAsia="宋体" w:cs="Times New Roman"/>
                <w:color w:val="auto"/>
                <w:sz w:val="24"/>
              </w:rPr>
              <w:t>油箱容量</w:t>
            </w:r>
            <w:r>
              <w:rPr>
                <w:rFonts w:hint="eastAsia" w:ascii="Times New Roman" w:hAnsi="Times New Roman" w:eastAsia="宋体" w:cs="Times New Roman"/>
                <w:color w:val="auto"/>
                <w:sz w:val="24"/>
                <w:lang w:eastAsia="zh-CN"/>
              </w:rPr>
              <w:t>约</w:t>
            </w:r>
            <w:r>
              <w:rPr>
                <w:rFonts w:hint="eastAsia" w:cs="Times New Roman"/>
                <w:color w:val="auto"/>
                <w:sz w:val="24"/>
                <w:lang w:val="en-US" w:eastAsia="zh-CN"/>
              </w:rPr>
              <w:t>400</w:t>
            </w:r>
            <w:r>
              <w:rPr>
                <w:rFonts w:hint="eastAsia" w:ascii="Times New Roman" w:hAnsi="Times New Roman" w:eastAsia="宋体" w:cs="Times New Roman"/>
                <w:color w:val="auto"/>
                <w:sz w:val="24"/>
                <w:lang w:val="en-US" w:eastAsia="zh-CN"/>
              </w:rPr>
              <w:t>L</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液压油密度</w:t>
            </w:r>
            <w:r>
              <w:rPr>
                <w:rFonts w:hint="eastAsia" w:ascii="Times New Roman" w:hAnsi="Times New Roman" w:eastAsia="宋体" w:cs="Times New Roman"/>
                <w:color w:val="auto"/>
                <w:sz w:val="24"/>
                <w:lang w:eastAsia="zh-CN"/>
              </w:rPr>
              <w:t>以</w:t>
            </w:r>
            <w:r>
              <w:rPr>
                <w:rFonts w:hint="eastAsia" w:ascii="Times New Roman" w:hAnsi="Times New Roman" w:eastAsia="宋体" w:cs="Times New Roman"/>
                <w:color w:val="auto"/>
                <w:sz w:val="24"/>
                <w:lang w:val="en-US" w:eastAsia="zh-CN"/>
              </w:rPr>
              <w:t>0.9g</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ml计，则本项目液压油用量为0.</w:t>
            </w:r>
            <w:r>
              <w:rPr>
                <w:rFonts w:hint="eastAsia" w:cs="Times New Roman"/>
                <w:color w:val="auto"/>
                <w:sz w:val="24"/>
                <w:lang w:val="en-US" w:eastAsia="zh-CN"/>
              </w:rPr>
              <w:t>36</w:t>
            </w:r>
            <w:r>
              <w:rPr>
                <w:rFonts w:hint="eastAsia" w:ascii="Times New Roman" w:hAnsi="Times New Roman" w:eastAsia="宋体" w:cs="Times New Roman"/>
                <w:color w:val="auto"/>
                <w:sz w:val="24"/>
                <w:lang w:val="en-US" w:eastAsia="zh-CN"/>
              </w:rPr>
              <w:t>t，液压油</w:t>
            </w:r>
            <w:r>
              <w:rPr>
                <w:rFonts w:hint="default" w:ascii="Times New Roman" w:hAnsi="Times New Roman" w:eastAsia="宋体" w:cs="Times New Roman"/>
                <w:color w:val="auto"/>
                <w:sz w:val="24"/>
              </w:rPr>
              <w:t>大概</w:t>
            </w:r>
            <w:r>
              <w:rPr>
                <w:rFonts w:hint="eastAsia" w:ascii="Times New Roman" w:hAnsi="Times New Roman" w:eastAsia="宋体" w:cs="Times New Roman"/>
                <w:color w:val="auto"/>
                <w:sz w:val="24"/>
                <w:lang w:eastAsia="zh-CN"/>
              </w:rPr>
              <w:t>一</w:t>
            </w:r>
            <w:r>
              <w:rPr>
                <w:rFonts w:hint="default" w:ascii="Times New Roman" w:hAnsi="Times New Roman" w:eastAsia="宋体" w:cs="Times New Roman"/>
                <w:color w:val="auto"/>
                <w:sz w:val="24"/>
              </w:rPr>
              <w:t>年更换一次，</w:t>
            </w:r>
            <w:r>
              <w:rPr>
                <w:rFonts w:hint="eastAsia" w:ascii="Times New Roman" w:hAnsi="Times New Roman" w:eastAsia="宋体" w:cs="Times New Roman"/>
                <w:color w:val="auto"/>
                <w:sz w:val="24"/>
                <w:lang w:eastAsia="zh-CN"/>
              </w:rPr>
              <w:t>则废液压油</w:t>
            </w:r>
            <w:r>
              <w:rPr>
                <w:rFonts w:hint="eastAsia" w:ascii="Times New Roman" w:hAnsi="Times New Roman" w:eastAsia="宋体" w:cs="Times New Roman"/>
                <w:color w:val="auto"/>
                <w:sz w:val="24"/>
                <w:lang w:val="en-US" w:eastAsia="zh-CN"/>
              </w:rPr>
              <w:t>产生量为0.</w:t>
            </w:r>
            <w:r>
              <w:rPr>
                <w:rFonts w:hint="eastAsia" w:cs="Times New Roman"/>
                <w:color w:val="auto"/>
                <w:sz w:val="24"/>
                <w:lang w:val="en-US" w:eastAsia="zh-CN"/>
              </w:rPr>
              <w:t>36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，根据《国家危险废物名录（</w:t>
            </w: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5版）》，废液压油属于危险废物，</w:t>
            </w:r>
            <w:r>
              <w:rPr>
                <w:rFonts w:hint="default" w:ascii="Times New Roman" w:hAnsi="Times New Roman" w:eastAsia="宋体" w:cs="Times New Roman"/>
                <w:color w:val="auto"/>
                <w:sz w:val="24"/>
              </w:rPr>
              <w:t>废物类别为HW08废矿物油与含矿物油废物，危废代码为900-21</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-08，通过收集后暂存于危废暂存间，定期委托</w:t>
            </w:r>
            <w:r>
              <w:rPr>
                <w:rFonts w:hint="eastAsia" w:ascii="Times New Roman" w:hAnsi="Times New Roman" w:eastAsia="宋体" w:cs="Times New Roman"/>
                <w:color w:val="auto"/>
                <w:sz w:val="24"/>
                <w:lang w:val="en-US" w:eastAsia="zh-CN"/>
              </w:rPr>
              <w:t>有资质单位</w:t>
            </w:r>
            <w:r>
              <w:rPr>
                <w:rFonts w:hint="default" w:ascii="Times New Roman" w:hAnsi="Times New Roman" w:eastAsia="宋体" w:cs="Times New Roman"/>
                <w:color w:val="auto"/>
                <w:sz w:val="24"/>
              </w:rPr>
              <w:t>清运处置。</w:t>
            </w:r>
          </w:p>
          <w:p w14:paraId="4BDFD8B4">
            <w:pPr>
              <w:keepNext w:val="0"/>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③</w:t>
            </w:r>
            <w:r>
              <w:rPr>
                <w:rFonts w:hint="eastAsia" w:ascii="Times New Roman" w:hAnsi="Times New Roman" w:eastAsia="宋体" w:cs="Times New Roman"/>
                <w:b/>
                <w:bCs/>
                <w:color w:val="auto"/>
                <w:sz w:val="24"/>
              </w:rPr>
              <w:t>含油废抹布</w:t>
            </w:r>
          </w:p>
          <w:p w14:paraId="122A993B">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设备维护检修会产生</w:t>
            </w:r>
            <w:r>
              <w:rPr>
                <w:rFonts w:hint="eastAsia" w:cs="Times New Roman"/>
                <w:color w:val="auto"/>
                <w:sz w:val="24"/>
                <w:lang w:eastAsia="zh-CN"/>
              </w:rPr>
              <w:t>少量</w:t>
            </w:r>
            <w:r>
              <w:rPr>
                <w:rFonts w:hint="eastAsia" w:ascii="Times New Roman" w:hAnsi="Times New Roman" w:eastAsia="宋体" w:cs="Times New Roman"/>
                <w:color w:val="auto"/>
                <w:sz w:val="24"/>
              </w:rPr>
              <w:t>含油废抹布，产生量为0.005t/a，根据</w:t>
            </w:r>
            <w:r>
              <w:rPr>
                <w:rFonts w:hint="eastAsia" w:ascii="Times New Roman" w:hAnsi="Times New Roman" w:eastAsia="宋体" w:cs="Times New Roman"/>
                <w:color w:val="auto"/>
                <w:sz w:val="24"/>
                <w:lang w:val="en-US" w:eastAsia="zh-CN"/>
              </w:rPr>
              <w:t>《国家危险废物名录（</w:t>
            </w:r>
            <w:r>
              <w:rPr>
                <w:rFonts w:hint="default" w:ascii="Times New Roman" w:hAnsi="Times New Roman" w:eastAsia="宋体" w:cs="Times New Roman"/>
                <w:color w:val="auto"/>
                <w:sz w:val="24"/>
                <w:lang w:val="en-US" w:eastAsia="zh-CN"/>
              </w:rPr>
              <w:t>202</w:t>
            </w:r>
            <w:r>
              <w:rPr>
                <w:rFonts w:hint="eastAsia" w:ascii="Times New Roman" w:hAnsi="Times New Roman" w:eastAsia="宋体" w:cs="Times New Roman"/>
                <w:color w:val="auto"/>
                <w:sz w:val="24"/>
                <w:lang w:val="en-US" w:eastAsia="zh-CN"/>
              </w:rPr>
              <w:t>5版）》</w:t>
            </w:r>
            <w:r>
              <w:rPr>
                <w:rFonts w:hint="eastAsia" w:ascii="Times New Roman" w:hAnsi="Times New Roman" w:cs="Times New Roman"/>
                <w:color w:val="auto"/>
                <w:sz w:val="24"/>
                <w:lang w:val="en-US" w:eastAsia="zh-CN"/>
              </w:rPr>
              <w:t>，</w:t>
            </w:r>
            <w:r>
              <w:rPr>
                <w:rFonts w:hint="eastAsia" w:ascii="Times New Roman" w:hAnsi="Times New Roman" w:eastAsia="宋体" w:cs="Times New Roman"/>
                <w:color w:val="auto"/>
                <w:sz w:val="24"/>
              </w:rPr>
              <w:t>含油废抹布属于危险废物，危废种类为HW49，分类代码为900-041-49，</w:t>
            </w:r>
            <w:r>
              <w:rPr>
                <w:rFonts w:hint="default" w:ascii="Times New Roman" w:hAnsi="Times New Roman" w:eastAsia="宋体" w:cs="Times New Roman"/>
                <w:color w:val="auto"/>
                <w:sz w:val="24"/>
              </w:rPr>
              <w:t>通过收集后暂存于危废暂存间，定期委托</w:t>
            </w:r>
            <w:r>
              <w:rPr>
                <w:rFonts w:hint="eastAsia" w:ascii="Times New Roman" w:hAnsi="Times New Roman" w:eastAsia="宋体" w:cs="Times New Roman"/>
                <w:color w:val="auto"/>
                <w:sz w:val="24"/>
                <w:lang w:val="en-US" w:eastAsia="zh-CN"/>
              </w:rPr>
              <w:t>有资质单位</w:t>
            </w:r>
            <w:r>
              <w:rPr>
                <w:rFonts w:hint="default" w:ascii="Times New Roman" w:hAnsi="Times New Roman" w:eastAsia="宋体" w:cs="Times New Roman"/>
                <w:color w:val="auto"/>
                <w:sz w:val="24"/>
              </w:rPr>
              <w:t>清运处置。</w:t>
            </w:r>
          </w:p>
          <w:p w14:paraId="3438F4FF">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综上，项目各固体废弃物均得到妥善处置，处置率为100%，对周边环境的影响可接受。本项目营运期固废汇总情况如下。</w:t>
            </w:r>
          </w:p>
          <w:p w14:paraId="7D214959">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rPr>
            </w:pPr>
          </w:p>
          <w:p w14:paraId="4714B20C">
            <w:pPr>
              <w:keepNext w:val="0"/>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rPr>
            </w:pPr>
          </w:p>
          <w:p w14:paraId="369D3AF3">
            <w:pPr>
              <w:adjustRightInd w:val="0"/>
              <w:snapToGrid w:val="0"/>
              <w:spacing w:after="158" w:afterLines="50"/>
              <w:jc w:val="center"/>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9</w:t>
            </w:r>
            <w:r>
              <w:rPr>
                <w:rFonts w:hint="eastAsia" w:ascii="Times New Roman" w:hAnsi="Times New Roman" w:eastAsia="宋体" w:cs="Times New Roman"/>
                <w:b/>
                <w:color w:val="auto"/>
                <w:kern w:val="2"/>
                <w:sz w:val="21"/>
                <w:szCs w:val="24"/>
                <w:lang w:val="en-US" w:eastAsia="zh-CN" w:bidi="ar-SA"/>
              </w:rPr>
              <w:t>项目</w:t>
            </w:r>
            <w:r>
              <w:rPr>
                <w:rFonts w:hint="eastAsia" w:cs="Times New Roman"/>
                <w:b/>
                <w:color w:val="auto"/>
                <w:kern w:val="2"/>
                <w:sz w:val="21"/>
                <w:szCs w:val="24"/>
                <w:lang w:val="en-US" w:eastAsia="zh-CN" w:bidi="ar-SA"/>
              </w:rPr>
              <w:t>运营期固体废物</w:t>
            </w:r>
            <w:r>
              <w:rPr>
                <w:rFonts w:hint="eastAsia" w:ascii="Times New Roman" w:hAnsi="Times New Roman" w:eastAsia="宋体" w:cs="Times New Roman"/>
                <w:b/>
                <w:color w:val="auto"/>
                <w:kern w:val="2"/>
                <w:sz w:val="21"/>
                <w:szCs w:val="24"/>
                <w:lang w:val="en-US" w:eastAsia="zh-CN" w:bidi="ar-SA"/>
              </w:rPr>
              <w:t>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730"/>
              <w:gridCol w:w="1441"/>
              <w:gridCol w:w="779"/>
              <w:gridCol w:w="852"/>
              <w:gridCol w:w="701"/>
              <w:gridCol w:w="1380"/>
              <w:gridCol w:w="1381"/>
            </w:tblGrid>
            <w:tr w14:paraId="51DA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38" w:type="dxa"/>
                  <w:shd w:val="clear" w:color="auto" w:fill="D7D7D7" w:themeFill="background1" w:themeFillShade="D8"/>
                  <w:vAlign w:val="center"/>
                </w:tcPr>
                <w:p w14:paraId="59BA6E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名称</w:t>
                  </w:r>
                </w:p>
              </w:tc>
              <w:tc>
                <w:tcPr>
                  <w:tcW w:w="730" w:type="dxa"/>
                  <w:shd w:val="clear" w:color="auto" w:fill="auto"/>
                  <w:vAlign w:val="center"/>
                </w:tcPr>
                <w:p w14:paraId="48C43D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焊渣</w:t>
                  </w:r>
                </w:p>
              </w:tc>
              <w:tc>
                <w:tcPr>
                  <w:tcW w:w="1441" w:type="dxa"/>
                  <w:shd w:val="clear" w:color="auto" w:fill="auto"/>
                  <w:vAlign w:val="center"/>
                </w:tcPr>
                <w:p w14:paraId="091E71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循环水池沉渣</w:t>
                  </w:r>
                </w:p>
              </w:tc>
              <w:tc>
                <w:tcPr>
                  <w:tcW w:w="779" w:type="dxa"/>
                  <w:shd w:val="clear" w:color="auto" w:fill="auto"/>
                  <w:vAlign w:val="center"/>
                </w:tcPr>
                <w:p w14:paraId="6C38FA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边角废料及切割碎屑</w:t>
                  </w:r>
                </w:p>
              </w:tc>
              <w:tc>
                <w:tcPr>
                  <w:tcW w:w="852" w:type="dxa"/>
                  <w:shd w:val="clear" w:color="auto" w:fill="auto"/>
                  <w:vAlign w:val="center"/>
                </w:tcPr>
                <w:p w14:paraId="71DDF7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szCs w:val="24"/>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除尘灰</w:t>
                  </w:r>
                </w:p>
              </w:tc>
              <w:tc>
                <w:tcPr>
                  <w:tcW w:w="701" w:type="dxa"/>
                  <w:shd w:val="clear" w:color="auto" w:fill="auto"/>
                  <w:vAlign w:val="center"/>
                </w:tcPr>
                <w:p w14:paraId="28EF77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不合格品</w:t>
                  </w:r>
                </w:p>
              </w:tc>
              <w:tc>
                <w:tcPr>
                  <w:tcW w:w="1380" w:type="dxa"/>
                  <w:shd w:val="clear" w:color="auto" w:fill="auto"/>
                  <w:vAlign w:val="center"/>
                </w:tcPr>
                <w:p w14:paraId="0063FA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生活垃圾</w:t>
                  </w:r>
                </w:p>
              </w:tc>
              <w:tc>
                <w:tcPr>
                  <w:tcW w:w="1381" w:type="dxa"/>
                  <w:shd w:val="clear" w:color="auto" w:fill="auto"/>
                  <w:vAlign w:val="center"/>
                </w:tcPr>
                <w:p w14:paraId="7B641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化粪池污泥</w:t>
                  </w:r>
                </w:p>
              </w:tc>
            </w:tr>
            <w:tr w14:paraId="738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38" w:type="dxa"/>
                  <w:shd w:val="clear" w:color="auto" w:fill="D7D7D7" w:themeFill="background1" w:themeFillShade="D8"/>
                  <w:vAlign w:val="center"/>
                </w:tcPr>
                <w:p w14:paraId="0DAA12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产生环节</w:t>
                  </w:r>
                </w:p>
              </w:tc>
              <w:tc>
                <w:tcPr>
                  <w:tcW w:w="730" w:type="dxa"/>
                  <w:vAlign w:val="center"/>
                </w:tcPr>
                <w:p w14:paraId="3440B7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焊接</w:t>
                  </w:r>
                </w:p>
              </w:tc>
              <w:tc>
                <w:tcPr>
                  <w:tcW w:w="1441" w:type="dxa"/>
                  <w:vAlign w:val="center"/>
                </w:tcPr>
                <w:p w14:paraId="09C01C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水循环沉淀</w:t>
                  </w:r>
                </w:p>
              </w:tc>
              <w:tc>
                <w:tcPr>
                  <w:tcW w:w="779" w:type="dxa"/>
                  <w:vAlign w:val="center"/>
                </w:tcPr>
                <w:p w14:paraId="446B38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修整、切割</w:t>
                  </w:r>
                </w:p>
              </w:tc>
              <w:tc>
                <w:tcPr>
                  <w:tcW w:w="852" w:type="dxa"/>
                  <w:shd w:val="clear" w:color="auto" w:fill="auto"/>
                  <w:vAlign w:val="center"/>
                </w:tcPr>
                <w:p w14:paraId="120A53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szCs w:val="24"/>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废气处理</w:t>
                  </w:r>
                </w:p>
              </w:tc>
              <w:tc>
                <w:tcPr>
                  <w:tcW w:w="701" w:type="dxa"/>
                  <w:vAlign w:val="center"/>
                </w:tcPr>
                <w:p w14:paraId="2DD039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检验</w:t>
                  </w:r>
                </w:p>
              </w:tc>
              <w:tc>
                <w:tcPr>
                  <w:tcW w:w="1380" w:type="dxa"/>
                  <w:vAlign w:val="center"/>
                </w:tcPr>
                <w:p w14:paraId="69E6F0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员工生活</w:t>
                  </w:r>
                </w:p>
              </w:tc>
              <w:tc>
                <w:tcPr>
                  <w:tcW w:w="1381" w:type="dxa"/>
                  <w:vAlign w:val="center"/>
                </w:tcPr>
                <w:p w14:paraId="095921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员工生活</w:t>
                  </w:r>
                </w:p>
              </w:tc>
            </w:tr>
            <w:tr w14:paraId="1661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38" w:type="dxa"/>
                  <w:shd w:val="clear" w:color="auto" w:fill="D7D7D7" w:themeFill="background1" w:themeFillShade="D8"/>
                  <w:vAlign w:val="center"/>
                </w:tcPr>
                <w:p w14:paraId="4D1E8A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属性</w:t>
                  </w:r>
                </w:p>
              </w:tc>
              <w:tc>
                <w:tcPr>
                  <w:tcW w:w="4503" w:type="dxa"/>
                  <w:gridSpan w:val="5"/>
                  <w:vAlign w:val="center"/>
                </w:tcPr>
                <w:p w14:paraId="1A55ED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一般工业固废</w:t>
                  </w:r>
                </w:p>
              </w:tc>
              <w:tc>
                <w:tcPr>
                  <w:tcW w:w="1380" w:type="dxa"/>
                  <w:vAlign w:val="center"/>
                </w:tcPr>
                <w:p w14:paraId="0A69AA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生活垃圾</w:t>
                  </w:r>
                </w:p>
              </w:tc>
              <w:tc>
                <w:tcPr>
                  <w:tcW w:w="1381" w:type="dxa"/>
                  <w:vAlign w:val="center"/>
                </w:tcPr>
                <w:p w14:paraId="780D0A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其他垃圾</w:t>
                  </w:r>
                </w:p>
              </w:tc>
            </w:tr>
            <w:tr w14:paraId="6024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38" w:type="dxa"/>
                  <w:shd w:val="clear" w:color="auto" w:fill="D7D7D7" w:themeFill="background1" w:themeFillShade="D8"/>
                  <w:vAlign w:val="center"/>
                </w:tcPr>
                <w:p w14:paraId="18918F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固废代码</w:t>
                  </w:r>
                </w:p>
              </w:tc>
              <w:tc>
                <w:tcPr>
                  <w:tcW w:w="4503" w:type="dxa"/>
                  <w:gridSpan w:val="5"/>
                  <w:vAlign w:val="center"/>
                </w:tcPr>
                <w:p w14:paraId="37D293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900-00</w:t>
                  </w:r>
                  <w:r>
                    <w:rPr>
                      <w:rFonts w:hint="eastAsia" w:ascii="Times New Roman" w:hAnsi="Times New Roman" w:eastAsia="宋体" w:cs="宋体"/>
                      <w:b w:val="0"/>
                      <w:bCs w:val="0"/>
                      <w:color w:val="auto"/>
                      <w:spacing w:val="6"/>
                      <w:kern w:val="0"/>
                      <w:sz w:val="21"/>
                      <w:vertAlign w:val="baseline"/>
                      <w:lang w:val="en-US" w:eastAsia="zh-CN" w:bidi="ar"/>
                    </w:rPr>
                    <w:t>1</w:t>
                  </w:r>
                  <w:r>
                    <w:rPr>
                      <w:rFonts w:hint="eastAsia" w:ascii="Times New Roman" w:hAnsi="Times New Roman" w:eastAsia="宋体" w:cs="宋体"/>
                      <w:b w:val="0"/>
                      <w:bCs w:val="0"/>
                      <w:color w:val="auto"/>
                      <w:spacing w:val="6"/>
                      <w:kern w:val="0"/>
                      <w:sz w:val="21"/>
                      <w:vertAlign w:val="baseline"/>
                      <w:lang w:bidi="ar"/>
                    </w:rPr>
                    <w:t>-S17</w:t>
                  </w:r>
                </w:p>
              </w:tc>
              <w:tc>
                <w:tcPr>
                  <w:tcW w:w="1380" w:type="dxa"/>
                  <w:vAlign w:val="center"/>
                </w:tcPr>
                <w:p w14:paraId="1CA593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900-099-S64</w:t>
                  </w:r>
                </w:p>
              </w:tc>
              <w:tc>
                <w:tcPr>
                  <w:tcW w:w="1381" w:type="dxa"/>
                  <w:vAlign w:val="center"/>
                </w:tcPr>
                <w:p w14:paraId="079D3A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900-002-S64</w:t>
                  </w:r>
                </w:p>
              </w:tc>
            </w:tr>
            <w:tr w14:paraId="1C37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38" w:type="dxa"/>
                  <w:shd w:val="clear" w:color="auto" w:fill="D7D7D7" w:themeFill="background1" w:themeFillShade="D8"/>
                  <w:vAlign w:val="center"/>
                </w:tcPr>
                <w:p w14:paraId="714A47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物理性状</w:t>
                  </w:r>
                </w:p>
              </w:tc>
              <w:tc>
                <w:tcPr>
                  <w:tcW w:w="730" w:type="dxa"/>
                  <w:vAlign w:val="center"/>
                </w:tcPr>
                <w:p w14:paraId="00C5D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1441" w:type="dxa"/>
                  <w:vAlign w:val="center"/>
                </w:tcPr>
                <w:p w14:paraId="1CAAF3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779" w:type="dxa"/>
                  <w:vAlign w:val="center"/>
                </w:tcPr>
                <w:p w14:paraId="53A9FE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852" w:type="dxa"/>
                  <w:vAlign w:val="center"/>
                </w:tcPr>
                <w:p w14:paraId="43BE9D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701" w:type="dxa"/>
                  <w:vAlign w:val="center"/>
                </w:tcPr>
                <w:p w14:paraId="0D7EEF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1380" w:type="dxa"/>
                  <w:vAlign w:val="center"/>
                </w:tcPr>
                <w:p w14:paraId="1077BB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c>
                <w:tcPr>
                  <w:tcW w:w="1381" w:type="dxa"/>
                  <w:vAlign w:val="center"/>
                </w:tcPr>
                <w:p w14:paraId="383D30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固态、液态</w:t>
                  </w:r>
                </w:p>
              </w:tc>
            </w:tr>
            <w:tr w14:paraId="576E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shd w:val="clear" w:color="auto" w:fill="D7D7D7" w:themeFill="background1" w:themeFillShade="D8"/>
                  <w:vAlign w:val="center"/>
                </w:tcPr>
                <w:p w14:paraId="5F872F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年度产生量（t/a）</w:t>
                  </w:r>
                </w:p>
              </w:tc>
              <w:tc>
                <w:tcPr>
                  <w:tcW w:w="730" w:type="dxa"/>
                  <w:vAlign w:val="center"/>
                </w:tcPr>
                <w:p w14:paraId="4E05E9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100</w:t>
                  </w:r>
                </w:p>
              </w:tc>
              <w:tc>
                <w:tcPr>
                  <w:tcW w:w="1441" w:type="dxa"/>
                  <w:vAlign w:val="center"/>
                </w:tcPr>
                <w:p w14:paraId="250164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40</w:t>
                  </w:r>
                </w:p>
              </w:tc>
              <w:tc>
                <w:tcPr>
                  <w:tcW w:w="779" w:type="dxa"/>
                  <w:vAlign w:val="center"/>
                </w:tcPr>
                <w:p w14:paraId="2A08FB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200</w:t>
                  </w:r>
                </w:p>
              </w:tc>
              <w:tc>
                <w:tcPr>
                  <w:tcW w:w="852" w:type="dxa"/>
                  <w:vAlign w:val="center"/>
                </w:tcPr>
                <w:p w14:paraId="71B588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1.6799</w:t>
                  </w:r>
                </w:p>
              </w:tc>
              <w:tc>
                <w:tcPr>
                  <w:tcW w:w="701" w:type="dxa"/>
                  <w:vAlign w:val="center"/>
                </w:tcPr>
                <w:p w14:paraId="4BE9E4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600</w:t>
                  </w:r>
                </w:p>
              </w:tc>
              <w:tc>
                <w:tcPr>
                  <w:tcW w:w="1380" w:type="dxa"/>
                  <w:vAlign w:val="center"/>
                </w:tcPr>
                <w:p w14:paraId="45E988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8.25</w:t>
                  </w:r>
                </w:p>
              </w:tc>
              <w:tc>
                <w:tcPr>
                  <w:tcW w:w="1381" w:type="dxa"/>
                  <w:vAlign w:val="center"/>
                </w:tcPr>
                <w:p w14:paraId="301E35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1</w:t>
                  </w:r>
                </w:p>
              </w:tc>
            </w:tr>
            <w:tr w14:paraId="11B4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8" w:type="dxa"/>
                  <w:shd w:val="clear" w:color="auto" w:fill="D7D7D7" w:themeFill="background1" w:themeFillShade="D8"/>
                  <w:vAlign w:val="center"/>
                </w:tcPr>
                <w:p w14:paraId="0B9FF9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贮存方式</w:t>
                  </w:r>
                </w:p>
              </w:tc>
              <w:tc>
                <w:tcPr>
                  <w:tcW w:w="730" w:type="dxa"/>
                  <w:vAlign w:val="center"/>
                </w:tcPr>
                <w:p w14:paraId="1B9DD2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袋装</w:t>
                  </w:r>
                </w:p>
              </w:tc>
              <w:tc>
                <w:tcPr>
                  <w:tcW w:w="1441" w:type="dxa"/>
                  <w:vAlign w:val="center"/>
                </w:tcPr>
                <w:p w14:paraId="6F092C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袋装</w:t>
                  </w:r>
                </w:p>
              </w:tc>
              <w:tc>
                <w:tcPr>
                  <w:tcW w:w="779" w:type="dxa"/>
                  <w:shd w:val="clear" w:color="auto" w:fill="auto"/>
                  <w:vAlign w:val="center"/>
                </w:tcPr>
                <w:p w14:paraId="3830D6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szCs w:val="24"/>
                      <w:vertAlign w:val="baseline"/>
                      <w:lang w:val="en-US" w:eastAsia="zh-CN" w:bidi="ar"/>
                    </w:rPr>
                  </w:pPr>
                  <w:r>
                    <w:rPr>
                      <w:rFonts w:hint="eastAsia" w:cs="宋体"/>
                      <w:b w:val="0"/>
                      <w:bCs w:val="0"/>
                      <w:color w:val="auto"/>
                      <w:spacing w:val="6"/>
                      <w:kern w:val="0"/>
                      <w:sz w:val="21"/>
                      <w:vertAlign w:val="baseline"/>
                      <w:lang w:val="en-US" w:eastAsia="zh-CN" w:bidi="ar"/>
                    </w:rPr>
                    <w:t>袋装</w:t>
                  </w:r>
                </w:p>
              </w:tc>
              <w:tc>
                <w:tcPr>
                  <w:tcW w:w="852" w:type="dxa"/>
                  <w:shd w:val="clear" w:color="auto" w:fill="auto"/>
                  <w:vAlign w:val="center"/>
                </w:tcPr>
                <w:p w14:paraId="1C75D8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szCs w:val="24"/>
                      <w:vertAlign w:val="baseline"/>
                      <w:lang w:val="en-US" w:eastAsia="zh-CN" w:bidi="ar"/>
                    </w:rPr>
                  </w:pPr>
                  <w:r>
                    <w:rPr>
                      <w:rFonts w:hint="eastAsia" w:cs="宋体"/>
                      <w:b w:val="0"/>
                      <w:bCs w:val="0"/>
                      <w:color w:val="auto"/>
                      <w:spacing w:val="6"/>
                      <w:kern w:val="0"/>
                      <w:sz w:val="21"/>
                      <w:vertAlign w:val="baseline"/>
                      <w:lang w:val="en-US" w:eastAsia="zh-CN" w:bidi="ar"/>
                    </w:rPr>
                    <w:t>袋装</w:t>
                  </w:r>
                </w:p>
              </w:tc>
              <w:tc>
                <w:tcPr>
                  <w:tcW w:w="701" w:type="dxa"/>
                  <w:vAlign w:val="center"/>
                </w:tcPr>
                <w:p w14:paraId="5DD50E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袋装</w:t>
                  </w:r>
                </w:p>
              </w:tc>
              <w:tc>
                <w:tcPr>
                  <w:tcW w:w="1380" w:type="dxa"/>
                  <w:vAlign w:val="center"/>
                </w:tcPr>
                <w:p w14:paraId="3BAA5A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生活垃圾桶</w:t>
                  </w:r>
                </w:p>
              </w:tc>
              <w:tc>
                <w:tcPr>
                  <w:tcW w:w="1381" w:type="dxa"/>
                  <w:vAlign w:val="center"/>
                </w:tcPr>
                <w:p w14:paraId="6DB98E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化粪池</w:t>
                  </w:r>
                </w:p>
              </w:tc>
            </w:tr>
            <w:tr w14:paraId="70CD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38" w:type="dxa"/>
                  <w:shd w:val="clear" w:color="auto" w:fill="D7D7D7" w:themeFill="background1" w:themeFillShade="D8"/>
                  <w:vAlign w:val="center"/>
                </w:tcPr>
                <w:p w14:paraId="323096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利用处置方式和去向</w:t>
                  </w:r>
                </w:p>
              </w:tc>
              <w:tc>
                <w:tcPr>
                  <w:tcW w:w="730" w:type="dxa"/>
                  <w:vAlign w:val="center"/>
                </w:tcPr>
                <w:p w14:paraId="4AA5F9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外售处置</w:t>
                  </w:r>
                </w:p>
              </w:tc>
              <w:tc>
                <w:tcPr>
                  <w:tcW w:w="1441" w:type="dxa"/>
                  <w:vAlign w:val="center"/>
                </w:tcPr>
                <w:p w14:paraId="58FDA2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定期清掏时，每次清掏时需进行浸出毒性检测，检测结果需满足</w:t>
                  </w:r>
                  <w:r>
                    <w:rPr>
                      <w:rFonts w:hint="eastAsia" w:ascii="Times New Roman" w:hAnsi="Times New Roman" w:eastAsia="宋体" w:cs="Times New Roman"/>
                      <w:color w:val="auto"/>
                      <w:lang w:val="en-US" w:eastAsia="zh-CN"/>
                    </w:rPr>
                    <w:t>（GB 18599-2020）</w:t>
                  </w:r>
                  <w:r>
                    <w:rPr>
                      <w:rFonts w:hint="eastAsia" w:cs="Times New Roman"/>
                      <w:color w:val="auto"/>
                      <w:lang w:val="en-US" w:eastAsia="zh-CN"/>
                    </w:rPr>
                    <w:t>中一般工业固体废物的要求，方可作为一般固体废物外售处置</w:t>
                  </w:r>
                </w:p>
              </w:tc>
              <w:tc>
                <w:tcPr>
                  <w:tcW w:w="779" w:type="dxa"/>
                  <w:vAlign w:val="center"/>
                </w:tcPr>
                <w:p w14:paraId="215405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外售处置</w:t>
                  </w:r>
                </w:p>
              </w:tc>
              <w:tc>
                <w:tcPr>
                  <w:tcW w:w="852" w:type="dxa"/>
                  <w:vAlign w:val="center"/>
                </w:tcPr>
                <w:p w14:paraId="6B1649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外售处置</w:t>
                  </w:r>
                </w:p>
              </w:tc>
              <w:tc>
                <w:tcPr>
                  <w:tcW w:w="701" w:type="dxa"/>
                  <w:vAlign w:val="center"/>
                </w:tcPr>
                <w:p w14:paraId="095799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回</w:t>
                  </w:r>
                  <w:r>
                    <w:rPr>
                      <w:rFonts w:hint="eastAsia" w:ascii="Times New Roman" w:hAnsi="Times New Roman" w:eastAsia="宋体" w:cs="宋体"/>
                      <w:b w:val="0"/>
                      <w:bCs w:val="0"/>
                      <w:color w:val="auto"/>
                      <w:spacing w:val="6"/>
                      <w:kern w:val="0"/>
                      <w:sz w:val="21"/>
                      <w:vertAlign w:val="baseline"/>
                      <w:lang w:val="en-US" w:eastAsia="zh-CN" w:bidi="ar"/>
                    </w:rPr>
                    <w:t>用于产品包装带</w:t>
                  </w:r>
                </w:p>
              </w:tc>
              <w:tc>
                <w:tcPr>
                  <w:tcW w:w="1380" w:type="dxa"/>
                  <w:vAlign w:val="center"/>
                </w:tcPr>
                <w:p w14:paraId="55D392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cs="宋体"/>
                      <w:b w:val="0"/>
                      <w:bCs w:val="0"/>
                      <w:color w:val="auto"/>
                      <w:spacing w:val="6"/>
                      <w:kern w:val="0"/>
                      <w:sz w:val="21"/>
                      <w:vertAlign w:val="baseline"/>
                      <w:lang w:val="en-US" w:eastAsia="zh-CN" w:bidi="ar"/>
                    </w:rPr>
                    <w:t>委托</w:t>
                  </w:r>
                  <w:r>
                    <w:rPr>
                      <w:rFonts w:hint="eastAsia" w:ascii="Times New Roman" w:hAnsi="Times New Roman" w:eastAsia="宋体" w:cs="宋体"/>
                      <w:b w:val="0"/>
                      <w:bCs w:val="0"/>
                      <w:color w:val="auto"/>
                      <w:spacing w:val="6"/>
                      <w:kern w:val="0"/>
                      <w:sz w:val="21"/>
                      <w:vertAlign w:val="baseline"/>
                      <w:lang w:val="en-US" w:eastAsia="zh-CN" w:bidi="ar"/>
                    </w:rPr>
                    <w:t>环卫部门清运</w:t>
                  </w:r>
                  <w:r>
                    <w:rPr>
                      <w:rFonts w:hint="eastAsia" w:cs="宋体"/>
                      <w:b w:val="0"/>
                      <w:bCs w:val="0"/>
                      <w:color w:val="auto"/>
                      <w:spacing w:val="6"/>
                      <w:kern w:val="0"/>
                      <w:sz w:val="21"/>
                      <w:vertAlign w:val="baseline"/>
                      <w:lang w:val="en-US" w:eastAsia="zh-CN" w:bidi="ar"/>
                    </w:rPr>
                    <w:t>处置</w:t>
                  </w:r>
                </w:p>
              </w:tc>
              <w:tc>
                <w:tcPr>
                  <w:tcW w:w="1381" w:type="dxa"/>
                  <w:vAlign w:val="center"/>
                </w:tcPr>
                <w:p w14:paraId="504640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委托环卫部门清掏处置</w:t>
                  </w:r>
                </w:p>
              </w:tc>
            </w:tr>
            <w:tr w14:paraId="7B63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938" w:type="dxa"/>
                  <w:shd w:val="clear" w:color="auto" w:fill="D7D7D7" w:themeFill="background1" w:themeFillShade="D8"/>
                  <w:vAlign w:val="center"/>
                </w:tcPr>
                <w:p w14:paraId="4649D9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利用或处置量</w:t>
                  </w:r>
                </w:p>
              </w:tc>
              <w:tc>
                <w:tcPr>
                  <w:tcW w:w="730" w:type="dxa"/>
                  <w:vAlign w:val="center"/>
                </w:tcPr>
                <w:p w14:paraId="3F93C9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bidi="ar"/>
                    </w:rPr>
                  </w:pPr>
                  <w:r>
                    <w:rPr>
                      <w:rFonts w:hint="eastAsia" w:cs="宋体"/>
                      <w:b w:val="0"/>
                      <w:bCs w:val="0"/>
                      <w:color w:val="auto"/>
                      <w:spacing w:val="6"/>
                      <w:kern w:val="0"/>
                      <w:sz w:val="21"/>
                      <w:vertAlign w:val="baseline"/>
                      <w:lang w:val="en-US" w:eastAsia="zh-CN" w:bidi="ar"/>
                    </w:rPr>
                    <w:t>100</w:t>
                  </w:r>
                </w:p>
              </w:tc>
              <w:tc>
                <w:tcPr>
                  <w:tcW w:w="1441" w:type="dxa"/>
                  <w:vAlign w:val="center"/>
                </w:tcPr>
                <w:p w14:paraId="718D7C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bidi="ar"/>
                    </w:rPr>
                  </w:pPr>
                  <w:r>
                    <w:rPr>
                      <w:rFonts w:hint="eastAsia" w:cs="宋体"/>
                      <w:b w:val="0"/>
                      <w:bCs w:val="0"/>
                      <w:color w:val="auto"/>
                      <w:spacing w:val="6"/>
                      <w:kern w:val="0"/>
                      <w:sz w:val="21"/>
                      <w:vertAlign w:val="baseline"/>
                      <w:lang w:val="en-US" w:eastAsia="zh-CN" w:bidi="ar"/>
                    </w:rPr>
                    <w:t>40</w:t>
                  </w:r>
                </w:p>
              </w:tc>
              <w:tc>
                <w:tcPr>
                  <w:tcW w:w="779" w:type="dxa"/>
                  <w:vAlign w:val="center"/>
                </w:tcPr>
                <w:p w14:paraId="60903E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cs="宋体"/>
                      <w:b w:val="0"/>
                      <w:bCs w:val="0"/>
                      <w:color w:val="auto"/>
                      <w:spacing w:val="6"/>
                      <w:kern w:val="0"/>
                      <w:sz w:val="21"/>
                      <w:vertAlign w:val="baseline"/>
                      <w:lang w:val="en-US" w:eastAsia="zh-CN" w:bidi="ar"/>
                    </w:rPr>
                    <w:t>200</w:t>
                  </w:r>
                </w:p>
              </w:tc>
              <w:tc>
                <w:tcPr>
                  <w:tcW w:w="852" w:type="dxa"/>
                  <w:vAlign w:val="center"/>
                </w:tcPr>
                <w:p w14:paraId="7AD40C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1.6799</w:t>
                  </w:r>
                </w:p>
              </w:tc>
              <w:tc>
                <w:tcPr>
                  <w:tcW w:w="701" w:type="dxa"/>
                  <w:vAlign w:val="center"/>
                </w:tcPr>
                <w:p w14:paraId="1E5392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bidi="ar"/>
                    </w:rPr>
                  </w:pPr>
                  <w:r>
                    <w:rPr>
                      <w:rFonts w:hint="eastAsia" w:cs="宋体"/>
                      <w:b w:val="0"/>
                      <w:bCs w:val="0"/>
                      <w:color w:val="auto"/>
                      <w:spacing w:val="6"/>
                      <w:kern w:val="0"/>
                      <w:sz w:val="21"/>
                      <w:vertAlign w:val="baseline"/>
                      <w:lang w:val="en-US" w:eastAsia="zh-CN" w:bidi="ar"/>
                    </w:rPr>
                    <w:t>600</w:t>
                  </w:r>
                </w:p>
              </w:tc>
              <w:tc>
                <w:tcPr>
                  <w:tcW w:w="1380" w:type="dxa"/>
                  <w:vAlign w:val="center"/>
                </w:tcPr>
                <w:p w14:paraId="44FAD3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bidi="ar"/>
                    </w:rPr>
                  </w:pPr>
                  <w:r>
                    <w:rPr>
                      <w:rFonts w:hint="eastAsia" w:cs="宋体"/>
                      <w:b w:val="0"/>
                      <w:bCs w:val="0"/>
                      <w:color w:val="auto"/>
                      <w:spacing w:val="6"/>
                      <w:kern w:val="0"/>
                      <w:sz w:val="21"/>
                      <w:vertAlign w:val="baseline"/>
                      <w:lang w:val="en-US" w:eastAsia="zh-CN" w:bidi="ar"/>
                    </w:rPr>
                    <w:t>8.25</w:t>
                  </w:r>
                </w:p>
              </w:tc>
              <w:tc>
                <w:tcPr>
                  <w:tcW w:w="1381" w:type="dxa"/>
                  <w:vAlign w:val="center"/>
                </w:tcPr>
                <w:p w14:paraId="09C6EA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1</w:t>
                  </w:r>
                </w:p>
              </w:tc>
            </w:tr>
            <w:tr w14:paraId="587C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938" w:type="dxa"/>
                  <w:shd w:val="clear" w:color="auto" w:fill="D7D7D7" w:themeFill="background1" w:themeFillShade="D8"/>
                  <w:vAlign w:val="center"/>
                </w:tcPr>
                <w:p w14:paraId="5BD8F5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环境管理要求</w:t>
                  </w:r>
                </w:p>
              </w:tc>
              <w:tc>
                <w:tcPr>
                  <w:tcW w:w="7264" w:type="dxa"/>
                  <w:gridSpan w:val="7"/>
                  <w:vAlign w:val="center"/>
                </w:tcPr>
                <w:p w14:paraId="797503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100%处置</w:t>
                  </w:r>
                </w:p>
              </w:tc>
            </w:tr>
          </w:tbl>
          <w:p w14:paraId="1D59053F">
            <w:pPr>
              <w:adjustRightInd w:val="0"/>
              <w:snapToGrid w:val="0"/>
              <w:spacing w:after="158" w:afterLines="50"/>
              <w:jc w:val="center"/>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表4-1</w:t>
            </w:r>
            <w:r>
              <w:rPr>
                <w:rFonts w:hint="eastAsia" w:cs="Times New Roman"/>
                <w:b/>
                <w:color w:val="auto"/>
                <w:kern w:val="2"/>
                <w:sz w:val="21"/>
                <w:szCs w:val="24"/>
                <w:lang w:val="en-US" w:eastAsia="zh-CN" w:bidi="ar-SA"/>
              </w:rPr>
              <w:t>0</w:t>
            </w:r>
            <w:r>
              <w:rPr>
                <w:rFonts w:hint="eastAsia" w:ascii="Times New Roman" w:hAnsi="Times New Roman" w:eastAsia="宋体" w:cs="Times New Roman"/>
                <w:b/>
                <w:color w:val="auto"/>
                <w:kern w:val="2"/>
                <w:sz w:val="21"/>
                <w:szCs w:val="24"/>
                <w:lang w:val="en-US" w:eastAsia="zh-CN" w:bidi="ar-SA"/>
              </w:rPr>
              <w:t>项目危险废物产生及处置情况一览表</w:t>
            </w:r>
          </w:p>
          <w:tbl>
            <w:tblPr>
              <w:tblStyle w:val="25"/>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709"/>
              <w:gridCol w:w="1813"/>
              <w:gridCol w:w="2372"/>
            </w:tblGrid>
            <w:tr w14:paraId="6BB1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3C1E6A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危险废物名称</w:t>
                  </w:r>
                </w:p>
              </w:tc>
              <w:tc>
                <w:tcPr>
                  <w:tcW w:w="1709" w:type="dxa"/>
                  <w:vAlign w:val="center"/>
                </w:tcPr>
                <w:p w14:paraId="1FA62F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废机油</w:t>
                  </w:r>
                </w:p>
              </w:tc>
              <w:tc>
                <w:tcPr>
                  <w:tcW w:w="1813" w:type="dxa"/>
                  <w:vAlign w:val="center"/>
                </w:tcPr>
                <w:p w14:paraId="032F15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废液压油</w:t>
                  </w:r>
                </w:p>
              </w:tc>
              <w:tc>
                <w:tcPr>
                  <w:tcW w:w="2373" w:type="dxa"/>
                  <w:vAlign w:val="center"/>
                </w:tcPr>
                <w:p w14:paraId="0B5522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含油废抹布</w:t>
                  </w:r>
                </w:p>
              </w:tc>
            </w:tr>
            <w:tr w14:paraId="2B27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6208D5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危险废物类别</w:t>
                  </w:r>
                </w:p>
              </w:tc>
              <w:tc>
                <w:tcPr>
                  <w:tcW w:w="3522" w:type="dxa"/>
                  <w:gridSpan w:val="2"/>
                  <w:vAlign w:val="center"/>
                </w:tcPr>
                <w:p w14:paraId="340559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HW08废矿物油与含矿物油废物</w:t>
                  </w:r>
                </w:p>
              </w:tc>
              <w:tc>
                <w:tcPr>
                  <w:tcW w:w="2373" w:type="dxa"/>
                  <w:vAlign w:val="center"/>
                </w:tcPr>
                <w:p w14:paraId="2D9306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HW49其他废物</w:t>
                  </w:r>
                </w:p>
              </w:tc>
            </w:tr>
            <w:tr w14:paraId="0A0C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389BE0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危险废物代码</w:t>
                  </w:r>
                </w:p>
              </w:tc>
              <w:tc>
                <w:tcPr>
                  <w:tcW w:w="1709" w:type="dxa"/>
                  <w:vAlign w:val="center"/>
                </w:tcPr>
                <w:p w14:paraId="7BD31C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900-217-08</w:t>
                  </w:r>
                </w:p>
              </w:tc>
              <w:tc>
                <w:tcPr>
                  <w:tcW w:w="1813" w:type="dxa"/>
                  <w:vAlign w:val="center"/>
                </w:tcPr>
                <w:p w14:paraId="0927DC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900-218-08</w:t>
                  </w:r>
                </w:p>
              </w:tc>
              <w:tc>
                <w:tcPr>
                  <w:tcW w:w="2373" w:type="dxa"/>
                  <w:vAlign w:val="center"/>
                </w:tcPr>
                <w:p w14:paraId="3506FA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900-041-49</w:t>
                  </w:r>
                </w:p>
              </w:tc>
            </w:tr>
            <w:tr w14:paraId="3A50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20DC5F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产生量合计（t/a）</w:t>
                  </w:r>
                </w:p>
              </w:tc>
              <w:tc>
                <w:tcPr>
                  <w:tcW w:w="1709" w:type="dxa"/>
                  <w:vAlign w:val="center"/>
                </w:tcPr>
                <w:p w14:paraId="4AE93B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0.2</w:t>
                  </w:r>
                </w:p>
              </w:tc>
              <w:tc>
                <w:tcPr>
                  <w:tcW w:w="1813" w:type="dxa"/>
                  <w:vAlign w:val="center"/>
                </w:tcPr>
                <w:p w14:paraId="7DE60D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0.</w:t>
                  </w:r>
                  <w:r>
                    <w:rPr>
                      <w:rFonts w:hint="eastAsia" w:cs="宋体"/>
                      <w:b w:val="0"/>
                      <w:bCs w:val="0"/>
                      <w:color w:val="auto"/>
                      <w:spacing w:val="6"/>
                      <w:kern w:val="0"/>
                      <w:sz w:val="21"/>
                      <w:vertAlign w:val="baseline"/>
                      <w:lang w:val="en-US" w:eastAsia="zh-CN" w:bidi="ar"/>
                    </w:rPr>
                    <w:t>36</w:t>
                  </w:r>
                </w:p>
              </w:tc>
              <w:tc>
                <w:tcPr>
                  <w:tcW w:w="2373" w:type="dxa"/>
                  <w:vAlign w:val="center"/>
                </w:tcPr>
                <w:p w14:paraId="106041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0.005</w:t>
                  </w:r>
                </w:p>
              </w:tc>
            </w:tr>
            <w:tr w14:paraId="50C8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37105A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产生工序及装置</w:t>
                  </w:r>
                </w:p>
              </w:tc>
              <w:tc>
                <w:tcPr>
                  <w:tcW w:w="1709" w:type="dxa"/>
                  <w:vAlign w:val="center"/>
                </w:tcPr>
                <w:p w14:paraId="07D5E3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生产设备等</w:t>
                  </w:r>
                </w:p>
              </w:tc>
              <w:tc>
                <w:tcPr>
                  <w:tcW w:w="1813" w:type="dxa"/>
                  <w:vAlign w:val="center"/>
                </w:tcPr>
                <w:p w14:paraId="6CE69F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生产设备等</w:t>
                  </w:r>
                </w:p>
              </w:tc>
              <w:tc>
                <w:tcPr>
                  <w:tcW w:w="2373" w:type="dxa"/>
                  <w:vAlign w:val="center"/>
                </w:tcPr>
                <w:p w14:paraId="00AAFB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设备维护检修操作</w:t>
                  </w:r>
                </w:p>
              </w:tc>
            </w:tr>
            <w:tr w14:paraId="50A6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6F114D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形态</w:t>
                  </w:r>
                </w:p>
              </w:tc>
              <w:tc>
                <w:tcPr>
                  <w:tcW w:w="1709" w:type="dxa"/>
                  <w:vAlign w:val="center"/>
                </w:tcPr>
                <w:p w14:paraId="647F2C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液态</w:t>
                  </w:r>
                </w:p>
              </w:tc>
              <w:tc>
                <w:tcPr>
                  <w:tcW w:w="1813" w:type="dxa"/>
                  <w:vAlign w:val="center"/>
                </w:tcPr>
                <w:p w14:paraId="70FF52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液态</w:t>
                  </w:r>
                </w:p>
              </w:tc>
              <w:tc>
                <w:tcPr>
                  <w:tcW w:w="2373" w:type="dxa"/>
                  <w:vAlign w:val="center"/>
                </w:tcPr>
                <w:p w14:paraId="3635EF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固态</w:t>
                  </w:r>
                </w:p>
              </w:tc>
            </w:tr>
            <w:tr w14:paraId="310D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718D14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有害成分</w:t>
                  </w:r>
                </w:p>
              </w:tc>
              <w:tc>
                <w:tcPr>
                  <w:tcW w:w="1709" w:type="dxa"/>
                  <w:vAlign w:val="center"/>
                </w:tcPr>
                <w:p w14:paraId="2DEA2D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矿物油</w:t>
                  </w:r>
                </w:p>
              </w:tc>
              <w:tc>
                <w:tcPr>
                  <w:tcW w:w="1813" w:type="dxa"/>
                  <w:vAlign w:val="center"/>
                </w:tcPr>
                <w:p w14:paraId="7DB544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矿物油</w:t>
                  </w:r>
                </w:p>
              </w:tc>
              <w:tc>
                <w:tcPr>
                  <w:tcW w:w="2373" w:type="dxa"/>
                  <w:vAlign w:val="center"/>
                </w:tcPr>
                <w:p w14:paraId="5B9977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矿物油</w:t>
                  </w:r>
                </w:p>
              </w:tc>
            </w:tr>
            <w:tr w14:paraId="0C1A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4B08A2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产危周期</w:t>
                  </w:r>
                </w:p>
              </w:tc>
              <w:tc>
                <w:tcPr>
                  <w:tcW w:w="1709" w:type="dxa"/>
                  <w:vAlign w:val="center"/>
                </w:tcPr>
                <w:p w14:paraId="3F712E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不定期</w:t>
                  </w:r>
                </w:p>
              </w:tc>
              <w:tc>
                <w:tcPr>
                  <w:tcW w:w="1813" w:type="dxa"/>
                  <w:vAlign w:val="center"/>
                </w:tcPr>
                <w:p w14:paraId="63D46E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不定期</w:t>
                  </w:r>
                </w:p>
              </w:tc>
              <w:tc>
                <w:tcPr>
                  <w:tcW w:w="2373" w:type="dxa"/>
                  <w:vAlign w:val="center"/>
                </w:tcPr>
                <w:p w14:paraId="05CB30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不定期</w:t>
                  </w:r>
                </w:p>
              </w:tc>
            </w:tr>
            <w:tr w14:paraId="1874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27CED1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危险特性</w:t>
                  </w:r>
                </w:p>
              </w:tc>
              <w:tc>
                <w:tcPr>
                  <w:tcW w:w="1709" w:type="dxa"/>
                  <w:vAlign w:val="center"/>
                </w:tcPr>
                <w:p w14:paraId="21BCAC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T、I</w:t>
                  </w:r>
                </w:p>
              </w:tc>
              <w:tc>
                <w:tcPr>
                  <w:tcW w:w="1813" w:type="dxa"/>
                  <w:vAlign w:val="center"/>
                </w:tcPr>
                <w:p w14:paraId="7CAE90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val="en-US" w:eastAsia="zh-CN" w:bidi="ar"/>
                    </w:rPr>
                    <w:t>T、I</w:t>
                  </w:r>
                </w:p>
              </w:tc>
              <w:tc>
                <w:tcPr>
                  <w:tcW w:w="2373" w:type="dxa"/>
                  <w:vAlign w:val="center"/>
                </w:tcPr>
                <w:p w14:paraId="163EFC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T、I</w:t>
                  </w:r>
                </w:p>
              </w:tc>
            </w:tr>
            <w:tr w14:paraId="522A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266A77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贮存方式</w:t>
                  </w:r>
                </w:p>
              </w:tc>
              <w:tc>
                <w:tcPr>
                  <w:tcW w:w="1709" w:type="dxa"/>
                  <w:vAlign w:val="center"/>
                </w:tcPr>
                <w:p w14:paraId="7E46AB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桶装、危废暂存间暂存</w:t>
                  </w:r>
                </w:p>
              </w:tc>
              <w:tc>
                <w:tcPr>
                  <w:tcW w:w="1813" w:type="dxa"/>
                  <w:vAlign w:val="center"/>
                </w:tcPr>
                <w:p w14:paraId="37E535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bidi="ar"/>
                    </w:rPr>
                  </w:pPr>
                  <w:r>
                    <w:rPr>
                      <w:rFonts w:hint="eastAsia" w:ascii="Times New Roman" w:hAnsi="Times New Roman" w:eastAsia="宋体" w:cs="宋体"/>
                      <w:b w:val="0"/>
                      <w:bCs w:val="0"/>
                      <w:color w:val="auto"/>
                      <w:spacing w:val="6"/>
                      <w:kern w:val="0"/>
                      <w:sz w:val="21"/>
                      <w:vertAlign w:val="baseline"/>
                      <w:lang w:bidi="ar"/>
                    </w:rPr>
                    <w:t>桶装、危废暂存间暂存</w:t>
                  </w:r>
                </w:p>
              </w:tc>
              <w:tc>
                <w:tcPr>
                  <w:tcW w:w="2373" w:type="dxa"/>
                  <w:vAlign w:val="center"/>
                </w:tcPr>
                <w:p w14:paraId="4A4380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bidi="ar"/>
                    </w:rPr>
                    <w:t>桶装、危废暂存间暂存</w:t>
                  </w:r>
                </w:p>
              </w:tc>
            </w:tr>
            <w:tr w14:paraId="3B54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2" w:type="dxa"/>
                  <w:shd w:val="clear" w:color="auto" w:fill="D7D7D7" w:themeFill="background1" w:themeFillShade="D8"/>
                  <w:vAlign w:val="center"/>
                </w:tcPr>
                <w:p w14:paraId="6333F3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处置方式及去向</w:t>
                  </w:r>
                </w:p>
              </w:tc>
              <w:tc>
                <w:tcPr>
                  <w:tcW w:w="5895" w:type="dxa"/>
                  <w:gridSpan w:val="3"/>
                  <w:vAlign w:val="center"/>
                </w:tcPr>
                <w:p w14:paraId="233EA3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ascii="Times New Roman" w:hAnsi="Times New Roman" w:eastAsia="宋体" w:cs="宋体"/>
                      <w:b w:val="0"/>
                      <w:bCs w:val="0"/>
                      <w:color w:val="auto"/>
                      <w:spacing w:val="6"/>
                      <w:kern w:val="0"/>
                      <w:sz w:val="21"/>
                      <w:vertAlign w:val="baseline"/>
                      <w:lang w:val="en-US" w:eastAsia="zh-CN" w:bidi="ar"/>
                    </w:rPr>
                    <w:t>定期委托有资质单位清运处置</w:t>
                  </w:r>
                </w:p>
              </w:tc>
            </w:tr>
          </w:tbl>
          <w:p w14:paraId="0872BB75">
            <w:pPr>
              <w:keepNext w:val="0"/>
              <w:keepLines w:val="0"/>
              <w:pageBreakBefore w:val="0"/>
              <w:widowControl w:val="0"/>
              <w:kinsoku/>
              <w:wordWrap/>
              <w:overflowPunct/>
              <w:topLinePunct w:val="0"/>
              <w:autoSpaceDE/>
              <w:autoSpaceDN/>
              <w:bidi w:val="0"/>
              <w:adjustRightInd/>
              <w:snapToGrid/>
              <w:spacing w:before="160" w:beforeLines="50" w:line="360" w:lineRule="auto"/>
              <w:ind w:firstLine="482" w:firstLineChars="200"/>
              <w:textAlignment w:val="auto"/>
              <w:rPr>
                <w:rFonts w:ascii="Times New Roman" w:hAnsi="Times New Roman" w:eastAsia="宋体"/>
                <w:b/>
                <w:color w:val="auto"/>
                <w:sz w:val="24"/>
              </w:rPr>
            </w:pPr>
            <w:r>
              <w:rPr>
                <w:rFonts w:hint="eastAsia"/>
                <w:b/>
                <w:color w:val="auto"/>
                <w:sz w:val="24"/>
                <w:lang w:val="en-US" w:eastAsia="zh-CN"/>
              </w:rPr>
              <w:t>（2）</w:t>
            </w:r>
            <w:r>
              <w:rPr>
                <w:rFonts w:ascii="Times New Roman" w:hAnsi="Times New Roman" w:eastAsia="宋体"/>
                <w:b/>
                <w:bCs/>
                <w:color w:val="auto"/>
                <w:sz w:val="24"/>
              </w:rPr>
              <w:t>固体废物的产生及处置方式</w:t>
            </w:r>
          </w:p>
          <w:p w14:paraId="23936901">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ascii="Times New Roman" w:hAnsi="Times New Roman" w:eastAsia="宋体"/>
                <w:b/>
                <w:bCs/>
                <w:color w:val="auto"/>
                <w:kern w:val="0"/>
                <w:sz w:val="24"/>
                <w:lang w:val="zh-CN"/>
              </w:rPr>
            </w:pPr>
            <w:r>
              <w:rPr>
                <w:rFonts w:hint="eastAsia" w:ascii="Times New Roman" w:hAnsi="Times New Roman" w:eastAsia="宋体"/>
                <w:b/>
                <w:bCs/>
                <w:color w:val="auto"/>
                <w:kern w:val="0"/>
                <w:sz w:val="24"/>
                <w:lang w:val="zh-CN"/>
              </w:rPr>
              <w:t>1）一般固体废弃物</w:t>
            </w:r>
          </w:p>
          <w:p w14:paraId="22ED1CE2">
            <w:pPr>
              <w:pStyle w:val="61"/>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olor w:val="auto"/>
                <w:sz w:val="24"/>
                <w:lang w:val="en-US" w:eastAsia="zh-CN"/>
              </w:rPr>
            </w:pPr>
            <w:r>
              <w:rPr>
                <w:rFonts w:hint="eastAsia" w:ascii="Times New Roman" w:hAnsi="Times New Roman" w:eastAsia="宋体"/>
                <w:color w:val="auto"/>
                <w:sz w:val="24"/>
              </w:rPr>
              <w:t>项目</w:t>
            </w:r>
            <w:r>
              <w:rPr>
                <w:rFonts w:hint="eastAsia" w:ascii="Times New Roman" w:hAnsi="Times New Roman" w:eastAsia="宋体"/>
                <w:color w:val="auto"/>
                <w:sz w:val="24"/>
                <w:lang w:val="en-US" w:eastAsia="zh-CN"/>
              </w:rPr>
              <w:t>产生的一般固废为焊渣</w:t>
            </w:r>
            <w:r>
              <w:rPr>
                <w:rFonts w:hint="eastAsia" w:ascii="Times New Roman" w:hAnsi="Times New Roman"/>
                <w:color w:val="auto"/>
                <w:sz w:val="24"/>
                <w:lang w:val="en-US" w:eastAsia="zh-CN"/>
              </w:rPr>
              <w:t>、</w:t>
            </w:r>
            <w:r>
              <w:rPr>
                <w:rFonts w:hint="eastAsia" w:ascii="Times New Roman" w:hAnsi="Times New Roman" w:eastAsia="宋体" w:cs="宋体"/>
                <w:color w:val="auto"/>
                <w:sz w:val="24"/>
                <w:lang w:val="en-US" w:eastAsia="zh-CN"/>
              </w:rPr>
              <w:t>边角废料</w:t>
            </w:r>
            <w:r>
              <w:rPr>
                <w:rFonts w:hint="eastAsia" w:ascii="Times New Roman" w:hAnsi="Times New Roman" w:cs="宋体"/>
                <w:color w:val="auto"/>
                <w:sz w:val="24"/>
                <w:lang w:val="en-US" w:eastAsia="zh-CN"/>
              </w:rPr>
              <w:t>、</w:t>
            </w:r>
            <w:r>
              <w:rPr>
                <w:rFonts w:hint="eastAsia" w:ascii="Times New Roman" w:hAnsi="Times New Roman" w:eastAsia="宋体" w:cs="宋体"/>
                <w:color w:val="auto"/>
                <w:sz w:val="24"/>
                <w:lang w:val="en-US" w:eastAsia="zh-CN"/>
              </w:rPr>
              <w:t>切割碎屑及除尘灰</w:t>
            </w:r>
            <w:r>
              <w:rPr>
                <w:rFonts w:hint="eastAsia" w:ascii="Times New Roman" w:hAnsi="Times New Roman" w:eastAsia="宋体"/>
                <w:color w:val="auto"/>
                <w:sz w:val="24"/>
                <w:lang w:val="en-US" w:eastAsia="zh-CN"/>
              </w:rPr>
              <w:t>，统一收集后外售给废旧物资回收单位</w:t>
            </w:r>
            <w:r>
              <w:rPr>
                <w:rFonts w:hint="eastAsia" w:ascii="Times New Roman" w:hAnsi="Times New Roman"/>
                <w:color w:val="auto"/>
                <w:sz w:val="24"/>
                <w:lang w:val="en-US" w:eastAsia="zh-CN"/>
              </w:rPr>
              <w:t>，不合格品回用于产品打包带</w:t>
            </w:r>
            <w:r>
              <w:rPr>
                <w:rFonts w:hint="eastAsia" w:ascii="Times New Roman" w:hAnsi="Times New Roman" w:eastAsia="宋体"/>
                <w:color w:val="auto"/>
                <w:sz w:val="24"/>
                <w:lang w:val="en-US" w:eastAsia="zh-CN"/>
              </w:rPr>
              <w:t>。</w:t>
            </w:r>
          </w:p>
          <w:p w14:paraId="231C197D">
            <w:pPr>
              <w:pStyle w:val="61"/>
              <w:ind w:firstLine="480"/>
              <w:rPr>
                <w:rFonts w:hint="eastAsia" w:ascii="Times New Roman" w:hAnsi="Times New Roman" w:eastAsia="宋体" w:cs="宋体"/>
                <w:color w:val="auto"/>
                <w:sz w:val="24"/>
                <w:vertAlign w:val="baseline"/>
                <w:lang w:val="en-US" w:eastAsia="zh-CN"/>
              </w:rPr>
            </w:pPr>
            <w:r>
              <w:rPr>
                <w:rFonts w:hint="eastAsia" w:ascii="Times New Roman" w:hAnsi="Times New Roman" w:eastAsia="宋体"/>
                <w:color w:val="auto"/>
                <w:sz w:val="24"/>
                <w:lang w:val="en-US" w:eastAsia="zh-CN"/>
              </w:rPr>
              <w:t>项目设置一间一般固废暂存间（占地面积50m</w:t>
            </w:r>
            <w:r>
              <w:rPr>
                <w:rFonts w:hint="eastAsia" w:ascii="Times New Roman" w:hAnsi="Times New Roman" w:eastAsia="宋体"/>
                <w:color w:val="auto"/>
                <w:sz w:val="24"/>
                <w:vertAlign w:val="superscript"/>
                <w:lang w:val="en-US" w:eastAsia="zh-CN"/>
              </w:rPr>
              <w:t>2</w:t>
            </w:r>
            <w:r>
              <w:rPr>
                <w:rFonts w:hint="eastAsia" w:ascii="Times New Roman" w:hAnsi="Times New Roman" w:eastAsia="宋体"/>
                <w:color w:val="auto"/>
                <w:sz w:val="24"/>
                <w:lang w:val="en-US" w:eastAsia="zh-CN"/>
              </w:rPr>
              <w:t>），位于</w:t>
            </w:r>
            <w:r>
              <w:rPr>
                <w:rFonts w:hint="eastAsia" w:ascii="Times New Roman" w:hAnsi="Times New Roman"/>
                <w:color w:val="auto"/>
                <w:sz w:val="24"/>
                <w:lang w:val="en-US" w:eastAsia="zh-CN"/>
              </w:rPr>
              <w:t>1</w:t>
            </w:r>
            <w:r>
              <w:rPr>
                <w:rFonts w:hint="eastAsia" w:ascii="Times New Roman" w:hAnsi="Times New Roman" w:eastAsia="宋体"/>
                <w:color w:val="auto"/>
                <w:sz w:val="24"/>
                <w:lang w:val="en-US" w:eastAsia="zh-CN"/>
              </w:rPr>
              <w:t>#</w:t>
            </w:r>
            <w:r>
              <w:rPr>
                <w:rFonts w:hint="eastAsia" w:ascii="Times New Roman" w:hAnsi="Times New Roman"/>
                <w:color w:val="auto"/>
                <w:sz w:val="24"/>
                <w:lang w:val="en-US" w:eastAsia="zh-CN"/>
              </w:rPr>
              <w:t>生产车间西</w:t>
            </w:r>
            <w:r>
              <w:rPr>
                <w:rFonts w:hint="eastAsia" w:ascii="Times New Roman" w:hAnsi="Times New Roman" w:eastAsia="宋体"/>
                <w:color w:val="auto"/>
                <w:sz w:val="24"/>
                <w:lang w:val="en-US" w:eastAsia="zh-CN"/>
              </w:rPr>
              <w:t>侧，用于统一堆存项目产生的一般固废，定期外售给废旧物资回收单位</w:t>
            </w:r>
            <w:r>
              <w:rPr>
                <w:rFonts w:hint="eastAsia" w:ascii="Times New Roman" w:hAnsi="Times New Roman" w:eastAsia="宋体" w:cs="宋体"/>
                <w:color w:val="auto"/>
                <w:sz w:val="24"/>
                <w:vertAlign w:val="baseline"/>
                <w:lang w:val="en-US" w:eastAsia="zh-CN"/>
              </w:rPr>
              <w:t>。</w:t>
            </w:r>
          </w:p>
          <w:p w14:paraId="0DC509D5">
            <w:pPr>
              <w:pStyle w:val="61"/>
              <w:ind w:firstLine="480"/>
              <w:rPr>
                <w:rFonts w:hint="default" w:ascii="Times New Roman" w:hAnsi="Times New Roman" w:eastAsia="宋体" w:cs="宋体"/>
                <w:color w:val="auto"/>
                <w:sz w:val="24"/>
                <w:vertAlign w:val="baseline"/>
                <w:lang w:val="en-US" w:eastAsia="zh-CN"/>
              </w:rPr>
            </w:pPr>
            <w:r>
              <w:rPr>
                <w:rFonts w:hint="eastAsia" w:ascii="Times New Roman" w:hAnsi="Times New Roman" w:eastAsia="宋体" w:cs="Times New Roman"/>
                <w:color w:val="auto"/>
                <w:lang w:val="en-US" w:eastAsia="zh-CN"/>
              </w:rPr>
              <w:t>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p>
          <w:p w14:paraId="73ED724A">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en-US" w:eastAsia="zh-CN"/>
              </w:rPr>
              <w:t>2</w:t>
            </w:r>
            <w:r>
              <w:rPr>
                <w:rFonts w:hint="eastAsia" w:ascii="Times New Roman" w:hAnsi="Times New Roman" w:eastAsia="宋体" w:cs="Times New Roman"/>
                <w:b/>
                <w:bCs/>
                <w:color w:val="auto"/>
                <w:kern w:val="0"/>
                <w:sz w:val="24"/>
                <w:lang w:val="zh-CN"/>
              </w:rPr>
              <w:t>）生活垃圾</w:t>
            </w:r>
          </w:p>
          <w:p w14:paraId="42A831C4">
            <w:pPr>
              <w:pStyle w:val="61"/>
              <w:ind w:firstLine="480"/>
              <w:rPr>
                <w:rFonts w:hint="default" w:ascii="Times New Roman" w:hAnsi="Times New Roman" w:eastAsia="宋体"/>
                <w:color w:val="auto"/>
                <w:kern w:val="0"/>
                <w:sz w:val="24"/>
                <w:szCs w:val="24"/>
                <w:lang w:val="en-US" w:eastAsia="zh-CN"/>
              </w:rPr>
            </w:pPr>
            <w:r>
              <w:rPr>
                <w:rFonts w:hint="eastAsia" w:ascii="Times New Roman" w:hAnsi="Times New Roman" w:eastAsia="宋体" w:cs="宋体"/>
                <w:color w:val="auto"/>
                <w:sz w:val="24"/>
              </w:rPr>
              <w:t>项目</w:t>
            </w:r>
            <w:r>
              <w:rPr>
                <w:rFonts w:hint="eastAsia" w:ascii="Times New Roman" w:hAnsi="Times New Roman" w:eastAsia="宋体" w:cs="宋体"/>
                <w:color w:val="auto"/>
                <w:sz w:val="24"/>
                <w:lang w:val="en-US" w:eastAsia="zh-CN"/>
              </w:rPr>
              <w:t>生活垃圾</w:t>
            </w:r>
            <w:r>
              <w:rPr>
                <w:rFonts w:hint="eastAsia" w:ascii="Times New Roman" w:hAnsi="Times New Roman" w:eastAsia="宋体" w:cs="宋体"/>
                <w:color w:val="auto"/>
                <w:kern w:val="52"/>
                <w:position w:val="-2"/>
                <w:sz w:val="24"/>
              </w:rPr>
              <w:t>采用垃圾收集桶集中收集后，</w:t>
            </w:r>
            <w:r>
              <w:rPr>
                <w:rFonts w:hint="eastAsia" w:ascii="Times New Roman" w:hAnsi="Times New Roman" w:eastAsia="宋体"/>
                <w:color w:val="auto"/>
                <w:kern w:val="2"/>
                <w:sz w:val="24"/>
                <w:szCs w:val="24"/>
                <w:lang w:val="en-US" w:eastAsia="zh-CN"/>
              </w:rPr>
              <w:t>定期由当地环卫部门清运处理。</w:t>
            </w:r>
            <w:r>
              <w:rPr>
                <w:rFonts w:hint="eastAsia" w:ascii="Times New Roman" w:hAnsi="Times New Roman" w:eastAsia="宋体"/>
                <w:color w:val="auto"/>
                <w:kern w:val="0"/>
                <w:sz w:val="24"/>
                <w:szCs w:val="24"/>
                <w:lang w:val="en-US" w:eastAsia="zh-CN"/>
              </w:rPr>
              <w:t>化粪池污泥定期</w:t>
            </w:r>
            <w:r>
              <w:rPr>
                <w:rFonts w:hint="eastAsia" w:ascii="Times New Roman" w:hAnsi="Times New Roman" w:eastAsia="宋体"/>
                <w:color w:val="auto"/>
                <w:kern w:val="0"/>
                <w:sz w:val="24"/>
                <w:szCs w:val="24"/>
              </w:rPr>
              <w:t>委托</w:t>
            </w:r>
            <w:r>
              <w:rPr>
                <w:rFonts w:hint="eastAsia" w:ascii="Times New Roman" w:hAnsi="Times New Roman"/>
                <w:color w:val="auto"/>
                <w:sz w:val="24"/>
                <w:lang w:eastAsia="zh-CN"/>
              </w:rPr>
              <w:t>环卫部门进行</w:t>
            </w:r>
            <w:r>
              <w:rPr>
                <w:rFonts w:hint="eastAsia" w:ascii="Times New Roman" w:hAnsi="Times New Roman" w:eastAsia="宋体"/>
                <w:color w:val="auto"/>
                <w:kern w:val="0"/>
                <w:sz w:val="24"/>
                <w:szCs w:val="24"/>
              </w:rPr>
              <w:t>清掏</w:t>
            </w:r>
            <w:r>
              <w:rPr>
                <w:rFonts w:hint="eastAsia" w:ascii="Times New Roman" w:hAnsi="Times New Roman"/>
                <w:color w:val="auto"/>
                <w:kern w:val="0"/>
                <w:sz w:val="24"/>
                <w:szCs w:val="24"/>
                <w:lang w:eastAsia="zh-CN"/>
              </w:rPr>
              <w:t>、处置</w:t>
            </w:r>
            <w:r>
              <w:rPr>
                <w:rFonts w:hint="eastAsia" w:ascii="Times New Roman" w:hAnsi="Times New Roman" w:eastAsia="宋体"/>
                <w:color w:val="auto"/>
                <w:kern w:val="0"/>
                <w:sz w:val="24"/>
                <w:szCs w:val="24"/>
                <w:lang w:eastAsia="zh-CN"/>
              </w:rPr>
              <w:t>。</w:t>
            </w:r>
          </w:p>
          <w:p w14:paraId="3D982155">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宋体" w:cs="Times New Roman"/>
                <w:b/>
                <w:bCs/>
                <w:color w:val="auto"/>
                <w:kern w:val="0"/>
                <w:sz w:val="24"/>
                <w:lang w:val="zh-CN"/>
              </w:rPr>
            </w:pPr>
            <w:r>
              <w:rPr>
                <w:rFonts w:hint="eastAsia" w:ascii="Times New Roman" w:hAnsi="Times New Roman" w:eastAsia="宋体" w:cs="Times New Roman"/>
                <w:b/>
                <w:bCs/>
                <w:color w:val="auto"/>
                <w:kern w:val="0"/>
                <w:sz w:val="24"/>
                <w:lang w:val="en-US" w:eastAsia="zh-CN"/>
              </w:rPr>
              <w:t>3</w:t>
            </w:r>
            <w:r>
              <w:rPr>
                <w:rFonts w:hint="eastAsia" w:ascii="Times New Roman" w:hAnsi="Times New Roman" w:eastAsia="宋体" w:cs="Times New Roman"/>
                <w:b/>
                <w:bCs/>
                <w:color w:val="auto"/>
                <w:kern w:val="0"/>
                <w:sz w:val="24"/>
                <w:lang w:val="zh-CN"/>
              </w:rPr>
              <w:t>）危险废物</w:t>
            </w:r>
          </w:p>
          <w:p w14:paraId="3EABFF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s="宋体"/>
                <w:color w:val="auto"/>
                <w:sz w:val="24"/>
              </w:rPr>
              <w:t>通过</w:t>
            </w:r>
            <w:r>
              <w:rPr>
                <w:rFonts w:ascii="Times New Roman" w:hAnsi="Times New Roman" w:eastAsia="宋体" w:cs="宋体"/>
                <w:color w:val="auto"/>
                <w:sz w:val="24"/>
              </w:rPr>
              <w:t>工程分析，项目</w:t>
            </w:r>
            <w:r>
              <w:rPr>
                <w:rFonts w:hint="eastAsia" w:ascii="Times New Roman" w:hAnsi="Times New Roman" w:eastAsia="宋体" w:cs="宋体"/>
                <w:color w:val="auto"/>
                <w:sz w:val="24"/>
                <w:lang w:val="en-US" w:eastAsia="zh-CN"/>
              </w:rPr>
              <w:t>产生的危险废物主要为废液压油、废机油</w:t>
            </w:r>
            <w:r>
              <w:rPr>
                <w:rFonts w:hint="eastAsia" w:cs="宋体"/>
                <w:color w:val="auto"/>
                <w:sz w:val="24"/>
                <w:lang w:val="en-US" w:eastAsia="zh-CN" w:bidi="ar"/>
              </w:rPr>
              <w:t>、含油废抹布</w:t>
            </w:r>
            <w:r>
              <w:rPr>
                <w:rFonts w:hint="eastAsia" w:ascii="Times New Roman" w:hAnsi="Times New Roman" w:eastAsia="宋体" w:cs="宋体"/>
                <w:color w:val="auto"/>
                <w:sz w:val="24"/>
                <w:lang w:bidi="ar"/>
              </w:rPr>
              <w:t>。</w:t>
            </w:r>
            <w:r>
              <w:rPr>
                <w:rFonts w:hint="eastAsia" w:ascii="Times New Roman" w:hAnsi="Times New Roman" w:eastAsia="宋体" w:cs="宋体"/>
                <w:color w:val="auto"/>
                <w:sz w:val="24"/>
                <w:lang w:val="en-US" w:eastAsia="zh-CN" w:bidi="ar"/>
              </w:rPr>
              <w:t>废液压油量为0.</w:t>
            </w:r>
            <w:r>
              <w:rPr>
                <w:rFonts w:hint="eastAsia" w:cs="宋体"/>
                <w:color w:val="auto"/>
                <w:sz w:val="24"/>
                <w:lang w:val="en-US" w:eastAsia="zh-CN" w:bidi="ar"/>
              </w:rPr>
              <w:t>36</w:t>
            </w:r>
            <w:r>
              <w:rPr>
                <w:rFonts w:hint="eastAsia" w:ascii="Times New Roman" w:hAnsi="Times New Roman" w:eastAsia="宋体" w:cs="宋体"/>
                <w:color w:val="auto"/>
                <w:sz w:val="24"/>
                <w:lang w:val="en-US" w:eastAsia="zh-CN" w:bidi="ar"/>
              </w:rPr>
              <w:t>t/a，废机油的量为</w:t>
            </w:r>
            <w:r>
              <w:rPr>
                <w:rFonts w:hint="eastAsia" w:cs="宋体"/>
                <w:color w:val="auto"/>
                <w:sz w:val="24"/>
                <w:lang w:val="en-US" w:eastAsia="zh-CN" w:bidi="ar"/>
              </w:rPr>
              <w:t>0.2</w:t>
            </w:r>
            <w:r>
              <w:rPr>
                <w:rFonts w:hint="eastAsia" w:ascii="Times New Roman" w:hAnsi="Times New Roman" w:eastAsia="宋体" w:cs="宋体"/>
                <w:color w:val="auto"/>
                <w:sz w:val="24"/>
                <w:lang w:val="en-US" w:eastAsia="zh-CN" w:bidi="ar"/>
              </w:rPr>
              <w:t>t/a</w:t>
            </w:r>
            <w:r>
              <w:rPr>
                <w:rFonts w:hint="eastAsia" w:cs="宋体"/>
                <w:color w:val="auto"/>
                <w:sz w:val="24"/>
                <w:lang w:val="en-US" w:eastAsia="zh-CN" w:bidi="ar"/>
              </w:rPr>
              <w:t>，含油废抹布0.005t/a</w:t>
            </w:r>
            <w:r>
              <w:rPr>
                <w:rFonts w:hint="eastAsia" w:ascii="Times New Roman" w:hAnsi="Times New Roman" w:eastAsia="宋体" w:cs="宋体"/>
                <w:color w:val="auto"/>
                <w:sz w:val="24"/>
                <w:lang w:bidi="ar"/>
              </w:rPr>
              <w:t>。</w:t>
            </w:r>
            <w:r>
              <w:rPr>
                <w:rFonts w:ascii="Times New Roman" w:hAnsi="Times New Roman" w:eastAsia="宋体" w:cs="宋体"/>
                <w:color w:val="auto"/>
                <w:sz w:val="24"/>
                <w:lang w:bidi="ar"/>
              </w:rPr>
              <w:t>根据《国家危险废物名录（202</w:t>
            </w:r>
            <w:r>
              <w:rPr>
                <w:rFonts w:hint="eastAsia" w:ascii="Times New Roman" w:hAnsi="Times New Roman" w:eastAsia="宋体" w:cs="宋体"/>
                <w:color w:val="auto"/>
                <w:sz w:val="24"/>
                <w:lang w:val="en-US" w:eastAsia="zh-CN" w:bidi="ar"/>
              </w:rPr>
              <w:t>5年版</w:t>
            </w:r>
            <w:r>
              <w:rPr>
                <w:rFonts w:ascii="Times New Roman" w:hAnsi="Times New Roman" w:eastAsia="宋体" w:cs="宋体"/>
                <w:color w:val="auto"/>
                <w:sz w:val="24"/>
                <w:lang w:bidi="ar"/>
              </w:rPr>
              <w:t>）》</w:t>
            </w:r>
            <w:r>
              <w:rPr>
                <w:rFonts w:hint="eastAsia" w:ascii="Times New Roman" w:hAnsi="Times New Roman" w:eastAsia="宋体" w:cs="宋体"/>
                <w:color w:val="auto"/>
                <w:sz w:val="24"/>
                <w:lang w:eastAsia="zh-CN" w:bidi="ar"/>
              </w:rPr>
              <w:t>，</w:t>
            </w:r>
            <w:r>
              <w:rPr>
                <w:rFonts w:hint="eastAsia" w:ascii="Times New Roman" w:hAnsi="Times New Roman" w:eastAsia="宋体" w:cs="宋体"/>
                <w:color w:val="auto"/>
                <w:sz w:val="24"/>
                <w:lang w:val="en-US" w:eastAsia="zh-CN" w:bidi="ar"/>
              </w:rPr>
              <w:t>废液压油属于HW08类危险废物，废物代码：</w:t>
            </w:r>
            <w:r>
              <w:rPr>
                <w:rFonts w:hint="default" w:ascii="Times New Roman" w:hAnsi="Times New Roman" w:eastAsia="宋体" w:cs="Times New Roman"/>
                <w:color w:val="auto"/>
                <w:sz w:val="24"/>
              </w:rPr>
              <w:t>900-21</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-08</w:t>
            </w:r>
            <w:r>
              <w:rPr>
                <w:rFonts w:hint="eastAsia" w:ascii="Times New Roman" w:hAnsi="Times New Roman" w:eastAsia="宋体" w:cs="Times New Roman"/>
                <w:color w:val="auto"/>
                <w:sz w:val="24"/>
                <w:lang w:eastAsia="zh-CN"/>
              </w:rPr>
              <w:t>（液压设备维护、更换和拆解过程中产生的废液压油）</w:t>
            </w:r>
            <w:r>
              <w:rPr>
                <w:rFonts w:hint="eastAsia" w:ascii="Times New Roman" w:hAnsi="Times New Roman" w:eastAsia="宋体" w:cs="Times New Roman"/>
                <w:color w:val="auto"/>
                <w:sz w:val="24"/>
                <w:lang w:val="en-US" w:eastAsia="zh-CN"/>
              </w:rPr>
              <w:t>；</w:t>
            </w:r>
            <w:r>
              <w:rPr>
                <w:rFonts w:hint="eastAsia" w:ascii="Times New Roman" w:hAnsi="Times New Roman" w:eastAsia="宋体" w:cs="宋体"/>
                <w:color w:val="auto"/>
                <w:sz w:val="24"/>
                <w:lang w:val="en-US" w:eastAsia="zh-CN" w:bidi="ar"/>
              </w:rPr>
              <w:t>废机油</w:t>
            </w:r>
            <w:r>
              <w:rPr>
                <w:rFonts w:hint="eastAsia" w:ascii="Times New Roman" w:hAnsi="Times New Roman" w:eastAsia="宋体" w:cs="宋体"/>
                <w:color w:val="auto"/>
                <w:sz w:val="24"/>
                <w:lang w:bidi="ar"/>
              </w:rPr>
              <w:t>属于</w:t>
            </w:r>
            <w:r>
              <w:rPr>
                <w:rFonts w:ascii="Times New Roman" w:hAnsi="Times New Roman" w:eastAsia="宋体"/>
                <w:color w:val="auto"/>
                <w:sz w:val="24"/>
                <w:lang w:bidi="ar"/>
              </w:rPr>
              <w:t>HW08</w:t>
            </w:r>
            <w:r>
              <w:rPr>
                <w:rFonts w:hint="eastAsia" w:ascii="Times New Roman" w:hAnsi="Times New Roman" w:eastAsia="宋体" w:cs="宋体"/>
                <w:color w:val="auto"/>
                <w:sz w:val="24"/>
                <w:lang w:bidi="ar"/>
              </w:rPr>
              <w:t>类危险废物，废物代码</w:t>
            </w:r>
            <w:r>
              <w:rPr>
                <w:rFonts w:ascii="Times New Roman" w:hAnsi="Times New Roman" w:eastAsia="宋体" w:cs="宋体"/>
                <w:color w:val="auto"/>
                <w:sz w:val="24"/>
                <w:lang w:bidi="ar"/>
              </w:rPr>
              <w:t>HW08</w:t>
            </w:r>
            <w:r>
              <w:rPr>
                <w:rFonts w:hint="eastAsia" w:ascii="Times New Roman" w:hAnsi="Times New Roman" w:eastAsia="宋体" w:cs="宋体"/>
                <w:color w:val="auto"/>
                <w:sz w:val="24"/>
                <w:lang w:eastAsia="zh-CN" w:bidi="ar"/>
              </w:rPr>
              <w:t>：</w:t>
            </w:r>
            <w:r>
              <w:rPr>
                <w:rFonts w:ascii="Times New Roman" w:hAnsi="Times New Roman" w:eastAsia="宋体" w:cs="宋体"/>
                <w:color w:val="auto"/>
                <w:sz w:val="24"/>
                <w:lang w:bidi="ar"/>
              </w:rPr>
              <w:t>900-214-08</w:t>
            </w:r>
            <w:r>
              <w:rPr>
                <w:rFonts w:hint="eastAsia" w:ascii="Times New Roman" w:hAnsi="Times New Roman" w:eastAsia="宋体" w:cs="宋体"/>
                <w:color w:val="auto"/>
                <w:sz w:val="24"/>
                <w:lang w:bidi="ar"/>
              </w:rPr>
              <w:t>（</w:t>
            </w:r>
            <w:r>
              <w:rPr>
                <w:rFonts w:ascii="Times New Roman" w:hAnsi="Times New Roman" w:eastAsia="宋体" w:cs="宋体"/>
                <w:color w:val="auto"/>
                <w:sz w:val="24"/>
                <w:lang w:bidi="ar"/>
              </w:rPr>
              <w:t>车辆、机械维修和拆解过程中产生的废发动机油、制动器油、自动变速器油、齿轮油等废润滑油</w:t>
            </w:r>
            <w:r>
              <w:rPr>
                <w:rFonts w:hint="eastAsia" w:ascii="Times New Roman" w:hAnsi="Times New Roman" w:eastAsia="宋体" w:cs="宋体"/>
                <w:color w:val="auto"/>
                <w:sz w:val="24"/>
                <w:lang w:bidi="ar"/>
              </w:rPr>
              <w:t>）</w:t>
            </w:r>
            <w:r>
              <w:rPr>
                <w:rFonts w:hint="eastAsia" w:cs="宋体"/>
                <w:color w:val="auto"/>
                <w:sz w:val="24"/>
                <w:lang w:eastAsia="zh-CN" w:bidi="ar"/>
              </w:rPr>
              <w:t>；</w:t>
            </w:r>
            <w:r>
              <w:rPr>
                <w:rFonts w:hint="eastAsia" w:cs="宋体"/>
                <w:color w:val="auto"/>
                <w:sz w:val="24"/>
                <w:lang w:val="en-US" w:eastAsia="zh-CN" w:bidi="ar"/>
              </w:rPr>
              <w:t>含油废抹布属于</w:t>
            </w:r>
            <w:r>
              <w:rPr>
                <w:rFonts w:hint="eastAsia" w:ascii="Times New Roman" w:hAnsi="Times New Roman" w:eastAsia="宋体" w:cs="Times New Roman"/>
                <w:color w:val="auto"/>
                <w:sz w:val="24"/>
              </w:rPr>
              <w:t>危废种类为HW49，分类代码为900-041-49</w:t>
            </w:r>
            <w:r>
              <w:rPr>
                <w:rFonts w:hint="eastAsia" w:cs="Times New Roman"/>
                <w:color w:val="auto"/>
                <w:sz w:val="24"/>
                <w:lang w:eastAsia="zh-CN"/>
              </w:rPr>
              <w:t>（含有或者沾染毒性、感染性危险废物的废弃的包装物、容器、过滤吸附介质）</w:t>
            </w:r>
            <w:r>
              <w:rPr>
                <w:rFonts w:hint="eastAsia" w:ascii="Times New Roman" w:hAnsi="Times New Roman" w:eastAsia="宋体" w:cs="宋体"/>
                <w:color w:val="auto"/>
                <w:sz w:val="24"/>
                <w:lang w:bidi="ar"/>
              </w:rPr>
              <w:t>，危险废物需</w:t>
            </w:r>
            <w:r>
              <w:rPr>
                <w:rFonts w:hint="eastAsia" w:ascii="Times New Roman" w:hAnsi="Times New Roman" w:eastAsia="宋体" w:cs="宋体"/>
                <w:bCs/>
                <w:color w:val="auto"/>
                <w:sz w:val="24"/>
                <w:lang w:bidi="ar"/>
              </w:rPr>
              <w:t>按照危废管理有关规定</w:t>
            </w:r>
            <w:r>
              <w:rPr>
                <w:rFonts w:hint="eastAsia" w:ascii="Times New Roman" w:hAnsi="Times New Roman" w:eastAsia="宋体" w:cs="宋体"/>
                <w:color w:val="auto"/>
                <w:sz w:val="24"/>
                <w:lang w:bidi="ar"/>
              </w:rPr>
              <w:t>委托有资质单位进行处置。</w:t>
            </w:r>
          </w:p>
          <w:p w14:paraId="7FA89A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color w:val="auto"/>
                <w:sz w:val="24"/>
              </w:rPr>
            </w:pPr>
            <w:r>
              <w:rPr>
                <w:rFonts w:hint="eastAsia" w:ascii="Times New Roman" w:hAnsi="Times New Roman" w:eastAsia="宋体" w:cs="宋体"/>
                <w:color w:val="auto"/>
                <w:sz w:val="24"/>
                <w:szCs w:val="20"/>
                <w:lang w:bidi="ar"/>
              </w:rPr>
              <w:t>危险废物暂存、管理应按照</w:t>
            </w:r>
            <w:r>
              <w:rPr>
                <w:rFonts w:hint="eastAsia" w:ascii="Times New Roman" w:hAnsi="Times New Roman" w:eastAsia="宋体"/>
                <w:color w:val="auto"/>
                <w:sz w:val="24"/>
              </w:rPr>
              <w:t>《危险废物贮存污染控制标准》（GB18597-2023）</w:t>
            </w:r>
            <w:r>
              <w:rPr>
                <w:rFonts w:hint="eastAsia" w:ascii="Times New Roman" w:hAnsi="Times New Roman" w:eastAsia="宋体" w:cs="宋体"/>
                <w:color w:val="auto"/>
                <w:sz w:val="24"/>
                <w:szCs w:val="20"/>
                <w:lang w:bidi="ar"/>
              </w:rPr>
              <w:t>的要求，危险废物应使用符合标准的专用容器盛装，且危废暂存间应单独隔开，危废暂存间采取必要的防风、防晒、防雨、防漏、防渗、防腐以及其他环境污染防治措施，确保危险废物不造成二次污染。</w:t>
            </w:r>
          </w:p>
          <w:p w14:paraId="6A0EE6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rPr>
            </w:pPr>
            <w:r>
              <w:rPr>
                <w:rFonts w:hint="eastAsia" w:ascii="Times New Roman" w:hAnsi="Times New Roman" w:eastAsia="宋体" w:cs="宋体"/>
                <w:bCs/>
                <w:color w:val="auto"/>
                <w:sz w:val="24"/>
              </w:rPr>
              <w:t>本环评提出项目单位设置专用存储容器对</w:t>
            </w:r>
            <w:r>
              <w:rPr>
                <w:rFonts w:hint="eastAsia" w:ascii="Times New Roman" w:hAnsi="Times New Roman" w:eastAsia="宋体" w:cs="宋体"/>
                <w:bCs/>
                <w:color w:val="auto"/>
                <w:sz w:val="24"/>
                <w:lang w:val="en-US" w:eastAsia="zh-CN"/>
              </w:rPr>
              <w:t>废液压油、</w:t>
            </w:r>
            <w:r>
              <w:rPr>
                <w:rFonts w:hint="eastAsia" w:ascii="Times New Roman" w:hAnsi="Times New Roman" w:eastAsia="宋体" w:cs="宋体"/>
                <w:bCs/>
                <w:color w:val="auto"/>
                <w:sz w:val="24"/>
              </w:rPr>
              <w:t>废机油</w:t>
            </w:r>
            <w:r>
              <w:rPr>
                <w:rFonts w:hint="eastAsia" w:cs="宋体"/>
                <w:color w:val="auto"/>
                <w:sz w:val="24"/>
                <w:lang w:val="en-US" w:eastAsia="zh-CN" w:bidi="ar"/>
              </w:rPr>
              <w:t>、含油废抹布</w:t>
            </w:r>
            <w:r>
              <w:rPr>
                <w:rFonts w:hint="eastAsia" w:ascii="Times New Roman" w:hAnsi="Times New Roman" w:eastAsia="宋体" w:cs="宋体"/>
                <w:bCs/>
                <w:color w:val="auto"/>
                <w:sz w:val="24"/>
              </w:rPr>
              <w:t>进行收集。储存容器为可密闭式的塑胶桶，</w:t>
            </w:r>
            <w:r>
              <w:rPr>
                <w:rFonts w:ascii="Times New Roman" w:hAnsi="Times New Roman" w:eastAsia="宋体" w:cs="宋体"/>
                <w:bCs/>
                <w:color w:val="auto"/>
                <w:sz w:val="24"/>
              </w:rPr>
              <w:t>危险废物暂存间</w:t>
            </w:r>
            <w:r>
              <w:rPr>
                <w:rFonts w:hint="eastAsia" w:ascii="Times New Roman" w:hAnsi="Times New Roman" w:eastAsia="宋体" w:cs="宋体"/>
                <w:bCs/>
                <w:color w:val="auto"/>
                <w:sz w:val="24"/>
              </w:rPr>
              <w:t>设置为</w:t>
            </w:r>
            <w:r>
              <w:rPr>
                <w:rFonts w:ascii="Times New Roman" w:hAnsi="Times New Roman" w:eastAsia="宋体" w:cs="宋体"/>
                <w:bCs/>
                <w:color w:val="auto"/>
                <w:sz w:val="24"/>
              </w:rPr>
              <w:t>占地</w:t>
            </w:r>
            <w:r>
              <w:rPr>
                <w:rFonts w:hint="eastAsia" w:ascii="Times New Roman" w:hAnsi="Times New Roman" w:eastAsia="宋体" w:cs="宋体"/>
                <w:bCs/>
                <w:color w:val="auto"/>
                <w:sz w:val="24"/>
                <w:lang w:val="en-US" w:eastAsia="zh-CN"/>
              </w:rPr>
              <w:t>10</w:t>
            </w:r>
            <w:r>
              <w:rPr>
                <w:rFonts w:ascii="Times New Roman" w:hAnsi="Times New Roman" w:eastAsia="宋体" w:cs="宋体"/>
                <w:bCs/>
                <w:color w:val="auto"/>
                <w:sz w:val="24"/>
              </w:rPr>
              <w:t>m</w:t>
            </w:r>
            <w:r>
              <w:rPr>
                <w:rFonts w:hint="eastAsia" w:ascii="Times New Roman" w:hAnsi="Times New Roman" w:eastAsia="宋体" w:cs="宋体"/>
                <w:bCs/>
                <w:color w:val="auto"/>
                <w:sz w:val="24"/>
                <w:vertAlign w:val="superscript"/>
              </w:rPr>
              <w:t>2</w:t>
            </w:r>
            <w:r>
              <w:rPr>
                <w:rFonts w:hint="eastAsia" w:ascii="Times New Roman" w:hAnsi="Times New Roman" w:eastAsia="宋体" w:cs="宋体"/>
                <w:bCs/>
                <w:color w:val="auto"/>
                <w:sz w:val="24"/>
              </w:rPr>
              <w:t>的</w:t>
            </w:r>
            <w:r>
              <w:rPr>
                <w:rFonts w:ascii="Times New Roman" w:hAnsi="Times New Roman" w:eastAsia="宋体" w:cs="宋体"/>
                <w:bCs/>
                <w:color w:val="auto"/>
                <w:sz w:val="24"/>
              </w:rPr>
              <w:t>封闭建筑</w:t>
            </w:r>
            <w:r>
              <w:rPr>
                <w:rFonts w:hint="eastAsia" w:ascii="Times New Roman" w:hAnsi="Times New Roman" w:eastAsia="宋体" w:cs="宋体"/>
                <w:bCs/>
                <w:color w:val="auto"/>
                <w:sz w:val="24"/>
              </w:rPr>
              <w:t>，</w:t>
            </w:r>
            <w:r>
              <w:rPr>
                <w:rFonts w:ascii="Times New Roman" w:hAnsi="Times New Roman" w:eastAsia="宋体" w:cs="宋体"/>
                <w:bCs/>
                <w:color w:val="auto"/>
                <w:sz w:val="24"/>
              </w:rPr>
              <w:t>其建设</w:t>
            </w:r>
            <w:r>
              <w:rPr>
                <w:rFonts w:hint="eastAsia" w:ascii="Times New Roman" w:hAnsi="Times New Roman" w:eastAsia="宋体" w:cs="宋体"/>
                <w:bCs/>
                <w:color w:val="auto"/>
                <w:sz w:val="24"/>
              </w:rPr>
              <w:t>和</w:t>
            </w:r>
            <w:r>
              <w:rPr>
                <w:rFonts w:ascii="Times New Roman" w:hAnsi="Times New Roman" w:eastAsia="宋体" w:cs="宋体"/>
                <w:bCs/>
                <w:color w:val="auto"/>
                <w:sz w:val="24"/>
              </w:rPr>
              <w:t>暂存要求需满足</w:t>
            </w:r>
            <w:r>
              <w:rPr>
                <w:rFonts w:hint="eastAsia" w:ascii="Times New Roman" w:hAnsi="Times New Roman" w:eastAsia="宋体" w:cs="宋体"/>
                <w:bCs/>
                <w:color w:val="auto"/>
                <w:sz w:val="24"/>
              </w:rPr>
              <w:t>以下几点：</w:t>
            </w:r>
          </w:p>
          <w:p w14:paraId="426DD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cs="宋体"/>
                <w:bCs/>
                <w:color w:val="auto"/>
                <w:sz w:val="24"/>
                <w:lang w:val="en-US" w:eastAsia="zh-CN"/>
              </w:rPr>
              <w:t>①</w:t>
            </w:r>
            <w:r>
              <w:rPr>
                <w:rFonts w:hint="eastAsia" w:ascii="Times New Roman" w:hAnsi="Times New Roman" w:eastAsia="宋体" w:cs="宋体"/>
                <w:bCs/>
                <w:color w:val="auto"/>
                <w:sz w:val="24"/>
                <w:lang w:val="en-US" w:eastAsia="zh-CN"/>
              </w:rPr>
              <w:t>一般规定</w:t>
            </w:r>
          </w:p>
          <w:p w14:paraId="2B3684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a：</w:t>
            </w:r>
            <w:r>
              <w:rPr>
                <w:rFonts w:hint="eastAsia" w:ascii="Times New Roman" w:hAnsi="Times New Roman" w:eastAsia="宋体" w:cs="宋体"/>
                <w:bCs/>
                <w:color w:val="auto"/>
                <w:sz w:val="24"/>
                <w:lang w:val="en-US" w:eastAsia="zh-CN"/>
              </w:rPr>
              <w:t>贮存设施应根据危险废物的形态、物理化学性质、包装形式和污染物迁移途径，采取必要的防风、防晒、防雨、防漏、防渗、防腐以及其他环境污染防治措施，不应露天堆放危险废物。</w:t>
            </w:r>
          </w:p>
          <w:p w14:paraId="3CCCA8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b：</w:t>
            </w:r>
            <w:r>
              <w:rPr>
                <w:rFonts w:hint="eastAsia" w:ascii="Times New Roman" w:hAnsi="Times New Roman" w:eastAsia="宋体" w:cs="宋体"/>
                <w:bCs/>
                <w:color w:val="auto"/>
                <w:sz w:val="24"/>
                <w:lang w:val="en-US" w:eastAsia="zh-CN"/>
              </w:rPr>
              <w:t>贮存设施应根据危险废物的类别、数量、形态、物理化学性质和污染防治等要求设置必要的贮存分区，避免不相容的危险废物接触、混合。</w:t>
            </w:r>
          </w:p>
          <w:p w14:paraId="132415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c：</w:t>
            </w:r>
            <w:r>
              <w:rPr>
                <w:rFonts w:hint="eastAsia" w:ascii="Times New Roman" w:hAnsi="Times New Roman" w:eastAsia="宋体" w:cs="宋体"/>
                <w:bCs/>
                <w:color w:val="auto"/>
                <w:sz w:val="24"/>
                <w:lang w:val="en-US" w:eastAsia="zh-CN"/>
              </w:rPr>
              <w:t>贮存设施或贮存分区内地面、墙面裙脚、堵截泄漏的围堰、接触危险废物的隔板和墙体等应采用坚固的材料建造，表面无裂缝。</w:t>
            </w:r>
          </w:p>
          <w:p w14:paraId="53854F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d：</w:t>
            </w:r>
            <w:r>
              <w:rPr>
                <w:rFonts w:hint="eastAsia" w:ascii="Times New Roman" w:hAnsi="Times New Roman" w:eastAsia="宋体" w:cs="宋体"/>
                <w:bCs/>
                <w:color w:val="auto"/>
                <w:sz w:val="24"/>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bCs/>
                <w:color w:val="auto"/>
                <w:sz w:val="24"/>
                <w:vertAlign w:val="superscript"/>
                <w:lang w:val="en-US" w:eastAsia="zh-CN"/>
              </w:rPr>
              <w:t>-7</w:t>
            </w:r>
            <w:r>
              <w:rPr>
                <w:rFonts w:hint="eastAsia" w:ascii="Times New Roman" w:hAnsi="Times New Roman" w:eastAsia="宋体" w:cs="宋体"/>
                <w:bCs/>
                <w:color w:val="auto"/>
                <w:sz w:val="24"/>
                <w:lang w:val="en-US" w:eastAsia="zh-CN"/>
              </w:rPr>
              <w:t>cm/s），或至少2mm厚高密度聚乙烯膜等人工防渗材料（渗透系数不大于10</w:t>
            </w:r>
            <w:r>
              <w:rPr>
                <w:rFonts w:hint="eastAsia" w:ascii="Times New Roman" w:hAnsi="Times New Roman" w:eastAsia="宋体" w:cs="宋体"/>
                <w:bCs/>
                <w:color w:val="auto"/>
                <w:sz w:val="24"/>
                <w:vertAlign w:val="superscript"/>
                <w:lang w:val="en-US" w:eastAsia="zh-CN"/>
              </w:rPr>
              <w:t>-10</w:t>
            </w:r>
            <w:r>
              <w:rPr>
                <w:rFonts w:hint="eastAsia" w:ascii="Times New Roman" w:hAnsi="Times New Roman" w:eastAsia="宋体" w:cs="宋体"/>
                <w:bCs/>
                <w:color w:val="auto"/>
                <w:sz w:val="24"/>
                <w:lang w:val="en-US" w:eastAsia="zh-CN"/>
              </w:rPr>
              <w:t>cm/s），或其他防渗性能等效的材料。</w:t>
            </w:r>
          </w:p>
          <w:p w14:paraId="605D9E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e：</w:t>
            </w:r>
            <w:r>
              <w:rPr>
                <w:rFonts w:hint="eastAsia" w:ascii="Times New Roman" w:hAnsi="Times New Roman" w:eastAsia="宋体" w:cs="宋体"/>
                <w:bCs/>
                <w:color w:val="auto"/>
                <w:sz w:val="24"/>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p w14:paraId="733C43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f：</w:t>
            </w:r>
            <w:r>
              <w:rPr>
                <w:rFonts w:hint="eastAsia" w:ascii="Times New Roman" w:hAnsi="Times New Roman" w:eastAsia="宋体" w:cs="宋体"/>
                <w:bCs/>
                <w:color w:val="auto"/>
                <w:sz w:val="24"/>
                <w:lang w:val="en-US" w:eastAsia="zh-CN"/>
              </w:rPr>
              <w:t>贮存设施应采取技术和管理措施防止无关人员进入。</w:t>
            </w:r>
          </w:p>
          <w:p w14:paraId="6BDD1D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cs="宋体"/>
                <w:bCs/>
                <w:color w:val="auto"/>
                <w:sz w:val="24"/>
                <w:lang w:val="en-US" w:eastAsia="zh-CN"/>
              </w:rPr>
              <w:t>②</w:t>
            </w:r>
            <w:r>
              <w:rPr>
                <w:rFonts w:hint="eastAsia" w:ascii="Times New Roman" w:hAnsi="Times New Roman" w:eastAsia="宋体" w:cs="宋体"/>
                <w:bCs/>
                <w:color w:val="auto"/>
                <w:sz w:val="24"/>
                <w:lang w:val="en-US" w:eastAsia="zh-CN"/>
              </w:rPr>
              <w:t>存储库</w:t>
            </w:r>
          </w:p>
          <w:p w14:paraId="3714B0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a：</w:t>
            </w:r>
            <w:r>
              <w:rPr>
                <w:rFonts w:hint="eastAsia" w:ascii="Times New Roman" w:hAnsi="Times New Roman" w:eastAsia="宋体" w:cs="宋体"/>
                <w:bCs/>
                <w:color w:val="auto"/>
                <w:sz w:val="24"/>
                <w:lang w:val="en-US" w:eastAsia="zh-CN"/>
              </w:rPr>
              <w:t>贮存库内不同贮存分区之间应采取隔离措施。隔离措施可根据危险废物特性采用过道、隔板或隔墙等方式。</w:t>
            </w:r>
          </w:p>
          <w:p w14:paraId="7F7446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b：</w:t>
            </w:r>
            <w:r>
              <w:rPr>
                <w:rFonts w:hint="eastAsia" w:ascii="Times New Roman" w:hAnsi="Times New Roman" w:eastAsia="宋体" w:cs="宋体"/>
                <w:bCs/>
                <w:color w:val="auto"/>
                <w:sz w:val="24"/>
                <w:lang w:val="en-US" w:eastAsia="zh-CN"/>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52B2B0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cs="宋体"/>
                <w:bCs/>
                <w:color w:val="auto"/>
                <w:sz w:val="24"/>
                <w:lang w:val="en-US" w:eastAsia="zh-CN"/>
              </w:rPr>
              <w:t>③</w:t>
            </w:r>
            <w:r>
              <w:rPr>
                <w:rFonts w:hint="eastAsia" w:ascii="Times New Roman" w:hAnsi="Times New Roman" w:eastAsia="宋体" w:cs="宋体"/>
                <w:bCs/>
                <w:color w:val="auto"/>
                <w:sz w:val="24"/>
                <w:lang w:val="en-US" w:eastAsia="zh-CN"/>
              </w:rPr>
              <w:t>容器和包装物污染控制要求</w:t>
            </w:r>
          </w:p>
          <w:p w14:paraId="320184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a：</w:t>
            </w:r>
            <w:r>
              <w:rPr>
                <w:rFonts w:hint="eastAsia" w:ascii="Times New Roman" w:hAnsi="Times New Roman" w:eastAsia="宋体" w:cs="宋体"/>
                <w:bCs/>
                <w:color w:val="auto"/>
                <w:sz w:val="24"/>
                <w:lang w:val="en-US" w:eastAsia="zh-CN"/>
              </w:rPr>
              <w:t>容器和包装物材质、内衬应与盛装的危险废物相容。</w:t>
            </w:r>
          </w:p>
          <w:p w14:paraId="59926B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b：</w:t>
            </w:r>
            <w:r>
              <w:rPr>
                <w:rFonts w:hint="eastAsia" w:ascii="Times New Roman" w:hAnsi="Times New Roman" w:eastAsia="宋体" w:cs="宋体"/>
                <w:bCs/>
                <w:color w:val="auto"/>
                <w:sz w:val="24"/>
                <w:lang w:val="en-US" w:eastAsia="zh-CN"/>
              </w:rPr>
              <w:t>针对不同类别、形态、物理化学性质的危险废物，其容器和包装物应满足相应的防渗、防漏、防腐和强度等要求。</w:t>
            </w:r>
          </w:p>
          <w:p w14:paraId="1344AA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c：</w:t>
            </w:r>
            <w:r>
              <w:rPr>
                <w:rFonts w:hint="eastAsia" w:ascii="Times New Roman" w:hAnsi="Times New Roman" w:eastAsia="宋体" w:cs="宋体"/>
                <w:bCs/>
                <w:color w:val="auto"/>
                <w:sz w:val="24"/>
                <w:lang w:val="en-US" w:eastAsia="zh-CN"/>
              </w:rPr>
              <w:t>硬质容器和包装物及其支护结构堆叠码放时不应有明显变形，无破损泄漏。</w:t>
            </w:r>
          </w:p>
          <w:p w14:paraId="6E71D8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d：</w:t>
            </w:r>
            <w:r>
              <w:rPr>
                <w:rFonts w:hint="eastAsia" w:ascii="Times New Roman" w:hAnsi="Times New Roman" w:eastAsia="宋体" w:cs="宋体"/>
                <w:bCs/>
                <w:color w:val="auto"/>
                <w:sz w:val="24"/>
                <w:lang w:val="en-US" w:eastAsia="zh-CN"/>
              </w:rPr>
              <w:t>柔性容器和包装物堆叠码放时应封口严密，无破损泄漏。</w:t>
            </w:r>
          </w:p>
          <w:p w14:paraId="481EDC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e：</w:t>
            </w:r>
            <w:r>
              <w:rPr>
                <w:rFonts w:hint="eastAsia" w:ascii="Times New Roman" w:hAnsi="Times New Roman" w:eastAsia="宋体" w:cs="宋体"/>
                <w:bCs/>
                <w:color w:val="auto"/>
                <w:sz w:val="24"/>
                <w:lang w:val="en-US" w:eastAsia="zh-CN"/>
              </w:rPr>
              <w:t>使用容器盛装液态、半固态危险废物时，容器内部应留有适当的空间，以适应因温度变化等可能引发的收缩和膨胀，防止其导致容器渗漏或永久变形。</w:t>
            </w:r>
          </w:p>
          <w:p w14:paraId="4C3C5C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bCs/>
                <w:color w:val="auto"/>
                <w:sz w:val="24"/>
                <w:lang w:val="en-US" w:eastAsia="zh-CN"/>
              </w:rPr>
            </w:pPr>
            <w:r>
              <w:rPr>
                <w:rFonts w:hint="eastAsia" w:cs="宋体"/>
                <w:bCs/>
                <w:color w:val="auto"/>
                <w:sz w:val="24"/>
                <w:lang w:val="en-US" w:eastAsia="zh-CN"/>
              </w:rPr>
              <w:t>f：</w:t>
            </w:r>
            <w:r>
              <w:rPr>
                <w:rFonts w:hint="eastAsia" w:ascii="Times New Roman" w:hAnsi="Times New Roman" w:eastAsia="宋体" w:cs="宋体"/>
                <w:bCs/>
                <w:color w:val="auto"/>
                <w:sz w:val="24"/>
                <w:lang w:val="en-US" w:eastAsia="zh-CN"/>
              </w:rPr>
              <w:t>容器和包装物外表面应保持清洁。</w:t>
            </w:r>
          </w:p>
          <w:p w14:paraId="3961CE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bCs/>
                <w:color w:val="auto"/>
                <w:sz w:val="24"/>
                <w:lang w:val="en-US" w:eastAsia="zh-CN"/>
              </w:rPr>
            </w:pPr>
            <w:r>
              <w:rPr>
                <w:rFonts w:hint="eastAsia" w:cs="宋体"/>
                <w:bCs/>
                <w:color w:val="auto"/>
                <w:sz w:val="24"/>
                <w:lang w:val="en-US" w:eastAsia="zh-CN"/>
              </w:rPr>
              <w:t>④</w:t>
            </w:r>
            <w:r>
              <w:rPr>
                <w:rFonts w:hint="eastAsia" w:ascii="Times New Roman" w:hAnsi="Times New Roman" w:eastAsia="宋体" w:cs="宋体"/>
                <w:bCs/>
                <w:color w:val="auto"/>
                <w:sz w:val="24"/>
                <w:lang w:val="en-US" w:eastAsia="zh-CN"/>
              </w:rPr>
              <w:t>转运和处置</w:t>
            </w:r>
          </w:p>
          <w:p w14:paraId="4BAA8E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s="宋体"/>
                <w:bCs/>
                <w:color w:val="auto"/>
                <w:sz w:val="24"/>
                <w:lang w:val="en-US" w:eastAsia="zh-CN"/>
              </w:rPr>
              <w:t>项目危险废物转运和处置须严格遵循《中华人民共和国固体废物污染环境防治法》《危险废物转移联单管理办法》等法规要求。危险废物应按类别分类存放于专用防渗、防漏、防雨的贮存设施，配备明显警示标识；转运前需规范包装，选用符合标准的专用容器，委托具备相应资质的运输单位，使用密闭防泄漏专用车辆，全程落实转移联单制度，确保转运轨迹可追溯。处置环节需委托持有危险废物经营许可证的单位，根据废物特性采用焚烧、安全填埋或资源化利用等合规方式处理，严禁非法倾倒、处置。同时建立完整台账，详细记录危险废物产生、转运、处置的种类、数量、去向等信息，定期开展设施检查与风险排查，保障全流程合规安全。</w:t>
            </w:r>
          </w:p>
          <w:p w14:paraId="2EC1E504">
            <w:pPr>
              <w:pStyle w:val="35"/>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（3）</w:t>
            </w:r>
            <w:r>
              <w:rPr>
                <w:rFonts w:hint="eastAsia" w:ascii="Times New Roman" w:hAnsi="Times New Roman" w:eastAsia="宋体" w:cs="Times New Roman"/>
                <w:b/>
                <w:bCs/>
                <w:color w:val="auto"/>
                <w:sz w:val="24"/>
                <w:szCs w:val="24"/>
                <w:vertAlign w:val="baseline"/>
                <w:lang w:val="en-US" w:eastAsia="zh-CN"/>
              </w:rPr>
              <w:t>运营期固体废弃物环境影响评价结论</w:t>
            </w:r>
          </w:p>
          <w:p w14:paraId="1CDEE09E">
            <w:pPr>
              <w:pStyle w:val="61"/>
              <w:keepNext w:val="0"/>
              <w:pageBreakBefore w:val="0"/>
              <w:kinsoku/>
              <w:wordWrap/>
              <w:overflowPunct/>
              <w:topLinePunct w:val="0"/>
              <w:autoSpaceDE/>
              <w:autoSpaceDN/>
              <w:bidi w:val="0"/>
              <w:adjustRightInd w:val="0"/>
              <w:snapToGrid w:val="0"/>
              <w:ind w:firstLine="480"/>
              <w:textAlignment w:val="auto"/>
              <w:rPr>
                <w:rFonts w:ascii="Times New Roman" w:hAnsi="Times New Roman" w:eastAsia="宋体"/>
                <w:color w:val="auto"/>
              </w:rPr>
            </w:pPr>
            <w:r>
              <w:rPr>
                <w:rFonts w:ascii="Times New Roman" w:hAnsi="Times New Roman" w:eastAsia="宋体"/>
                <w:color w:val="auto"/>
              </w:rPr>
              <w:t>根据项目提出的固废处置措施，本项目运营期产生的</w:t>
            </w:r>
            <w:r>
              <w:rPr>
                <w:rFonts w:hint="eastAsia" w:ascii="Times New Roman" w:hAnsi="Times New Roman" w:eastAsia="宋体"/>
                <w:color w:val="auto"/>
                <w:lang w:val="en-US" w:eastAsia="zh-CN"/>
              </w:rPr>
              <w:t>废液压油、废机油</w:t>
            </w:r>
            <w:r>
              <w:rPr>
                <w:rFonts w:hint="eastAsia" w:cs="宋体"/>
                <w:color w:val="auto"/>
                <w:sz w:val="24"/>
                <w:lang w:val="en-US" w:eastAsia="zh-CN" w:bidi="ar"/>
              </w:rPr>
              <w:t>、含油废抹布</w:t>
            </w:r>
            <w:r>
              <w:rPr>
                <w:rFonts w:ascii="Times New Roman" w:hAnsi="Times New Roman" w:eastAsia="宋体"/>
                <w:color w:val="auto"/>
              </w:rPr>
              <w:t>按照相关规定收集、包装、贮存，委托</w:t>
            </w:r>
            <w:r>
              <w:rPr>
                <w:rFonts w:hint="eastAsia" w:ascii="Times New Roman" w:hAnsi="Times New Roman" w:eastAsia="宋体"/>
                <w:color w:val="auto"/>
              </w:rPr>
              <w:t>有资质单位</w:t>
            </w:r>
            <w:r>
              <w:rPr>
                <w:rFonts w:ascii="Times New Roman" w:hAnsi="Times New Roman" w:eastAsia="宋体"/>
                <w:color w:val="auto"/>
              </w:rPr>
              <w:t>进行清运和处置；</w:t>
            </w:r>
            <w:r>
              <w:rPr>
                <w:rFonts w:hint="eastAsia" w:ascii="Times New Roman" w:hAnsi="Times New Roman" w:eastAsia="宋体"/>
                <w:color w:val="auto"/>
                <w:sz w:val="24"/>
                <w:lang w:val="en-US" w:eastAsia="zh-CN"/>
              </w:rPr>
              <w:t>焊渣、</w:t>
            </w:r>
            <w:r>
              <w:rPr>
                <w:rFonts w:hint="eastAsia" w:ascii="Times New Roman" w:hAnsi="Times New Roman" w:eastAsia="宋体" w:cs="宋体"/>
                <w:color w:val="auto"/>
                <w:sz w:val="24"/>
                <w:lang w:val="en-US" w:eastAsia="zh-CN"/>
              </w:rPr>
              <w:t>边角废料及切割碎屑、除尘灰和不合格品</w:t>
            </w:r>
            <w:r>
              <w:rPr>
                <w:rFonts w:hint="eastAsia" w:ascii="Times New Roman" w:hAnsi="Times New Roman" w:eastAsia="宋体"/>
                <w:color w:val="auto"/>
                <w:sz w:val="24"/>
                <w:lang w:val="en-US" w:eastAsia="zh-CN"/>
              </w:rPr>
              <w:t>，统一收集后外售给废旧物资回收单位</w:t>
            </w:r>
            <w:r>
              <w:rPr>
                <w:rFonts w:hint="eastAsia" w:ascii="Times New Roman" w:hAnsi="Times New Roman"/>
                <w:color w:val="auto"/>
                <w:sz w:val="24"/>
                <w:lang w:val="en-US" w:eastAsia="zh-CN"/>
              </w:rPr>
              <w:t>，不合格品回用于产品打包带，</w:t>
            </w:r>
            <w:r>
              <w:rPr>
                <w:rFonts w:hint="eastAsia" w:ascii="Times New Roman" w:hAnsi="Times New Roman" w:eastAsia="宋体" w:cs="Times New Roman"/>
                <w:color w:val="auto"/>
                <w:lang w:val="en-US" w:eastAsia="zh-CN"/>
              </w:rPr>
              <w:t>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r>
              <w:rPr>
                <w:rFonts w:hint="eastAsia" w:ascii="Times New Roman" w:hAnsi="Times New Roman" w:eastAsia="宋体"/>
                <w:color w:val="auto"/>
                <w:sz w:val="24"/>
                <w:lang w:val="en-US" w:eastAsia="zh-CN"/>
              </w:rPr>
              <w:t>。</w:t>
            </w:r>
            <w:r>
              <w:rPr>
                <w:rFonts w:ascii="Times New Roman" w:hAnsi="Times New Roman" w:eastAsia="宋体"/>
                <w:color w:val="auto"/>
              </w:rPr>
              <w:t>生活垃圾</w:t>
            </w:r>
            <w:r>
              <w:rPr>
                <w:rFonts w:hint="eastAsia" w:ascii="Times New Roman" w:hAnsi="Times New Roman" w:eastAsia="宋体"/>
                <w:color w:val="auto"/>
              </w:rPr>
              <w:t>统一收集后</w:t>
            </w:r>
            <w:r>
              <w:rPr>
                <w:rFonts w:ascii="Times New Roman" w:hAnsi="Times New Roman" w:eastAsia="宋体"/>
                <w:color w:val="auto"/>
              </w:rPr>
              <w:t>，由当地环卫部门负责定期清运。各种固体废弃物均得到了妥善处置，不外排，对环境影响不大。</w:t>
            </w:r>
          </w:p>
          <w:p w14:paraId="67689337">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地下水和土壤影响分析</w:t>
            </w:r>
          </w:p>
          <w:p w14:paraId="2DB7A3AC">
            <w:pPr>
              <w:pStyle w:val="35"/>
              <w:keepNext w:val="0"/>
              <w:keepLines w:val="0"/>
              <w:pageBreakBefore w:val="0"/>
              <w:widowControl w:val="0"/>
              <w:kinsoku/>
              <w:wordWrap/>
              <w:overflowPunct/>
              <w:topLinePunct/>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（1）</w:t>
            </w:r>
            <w:r>
              <w:rPr>
                <w:rFonts w:hint="default" w:ascii="Times New Roman" w:hAnsi="Times New Roman" w:eastAsia="宋体" w:cs="Times New Roman"/>
                <w:b/>
                <w:bCs/>
                <w:color w:val="auto"/>
                <w:sz w:val="24"/>
                <w:szCs w:val="24"/>
                <w:vertAlign w:val="baseline"/>
                <w:lang w:val="en-US" w:eastAsia="zh-CN"/>
              </w:rPr>
              <w:t>地下水环境影响分析</w:t>
            </w:r>
          </w:p>
          <w:p w14:paraId="05CC4681">
            <w:pPr>
              <w:adjustRightInd w:val="0"/>
              <w:snapToGrid w:val="0"/>
              <w:spacing w:line="360" w:lineRule="auto"/>
              <w:ind w:firstLine="482" w:firstLineChars="200"/>
              <w:rPr>
                <w:rFonts w:hint="default" w:eastAsia="宋体"/>
                <w:b/>
                <w:bCs w:val="0"/>
                <w:color w:val="auto"/>
                <w:sz w:val="24"/>
                <w:lang w:val="en-US" w:eastAsia="zh-CN"/>
              </w:rPr>
            </w:pPr>
            <w:r>
              <w:rPr>
                <w:rFonts w:hint="eastAsia"/>
                <w:b/>
                <w:bCs w:val="0"/>
                <w:color w:val="auto"/>
                <w:sz w:val="24"/>
                <w:lang w:val="en-US" w:eastAsia="zh-CN"/>
              </w:rPr>
              <w:t>1</w:t>
            </w:r>
            <w:r>
              <w:rPr>
                <w:rFonts w:hint="eastAsia"/>
                <w:b/>
                <w:bCs w:val="0"/>
                <w:color w:val="auto"/>
                <w:sz w:val="24"/>
                <w:lang w:eastAsia="zh-CN"/>
              </w:rPr>
              <w:t>）</w:t>
            </w:r>
            <w:r>
              <w:rPr>
                <w:rFonts w:hint="eastAsia"/>
                <w:b/>
                <w:bCs w:val="0"/>
                <w:color w:val="auto"/>
                <w:sz w:val="24"/>
                <w:lang w:val="en-US" w:eastAsia="zh-CN"/>
              </w:rPr>
              <w:t>地下水污染途径</w:t>
            </w:r>
          </w:p>
          <w:p w14:paraId="07BF2D80">
            <w:pPr>
              <w:adjustRightInd w:val="0"/>
              <w:snapToGrid w:val="0"/>
              <w:spacing w:line="360" w:lineRule="auto"/>
              <w:ind w:firstLine="480" w:firstLineChars="200"/>
              <w:rPr>
                <w:bCs/>
                <w:color w:val="auto"/>
                <w:sz w:val="24"/>
              </w:rPr>
            </w:pPr>
            <w:r>
              <w:rPr>
                <w:rFonts w:hint="eastAsia"/>
                <w:bCs/>
                <w:color w:val="auto"/>
                <w:sz w:val="24"/>
              </w:rPr>
              <w:t>本项目正常情况下，无地下水污染途径。但若发生防渗层破损等非正常状况下，危废暂存间液体废物</w:t>
            </w:r>
            <w:r>
              <w:rPr>
                <w:rFonts w:hint="eastAsia"/>
                <w:bCs/>
                <w:color w:val="auto"/>
                <w:sz w:val="24"/>
                <w:lang w:val="en-US" w:eastAsia="zh-CN"/>
              </w:rPr>
              <w:t>泄漏</w:t>
            </w:r>
            <w:r>
              <w:rPr>
                <w:rFonts w:hint="eastAsia"/>
                <w:bCs/>
                <w:color w:val="auto"/>
                <w:sz w:val="24"/>
              </w:rPr>
              <w:t>、循环水池冷却水、生活污水垂直入渗，可能对区域地下水造成影响。</w:t>
            </w:r>
          </w:p>
          <w:p w14:paraId="5CCEAD46">
            <w:pPr>
              <w:pStyle w:val="23"/>
              <w:adjustRightInd w:val="0"/>
              <w:snapToGrid w:val="0"/>
              <w:spacing w:after="0" w:line="360" w:lineRule="auto"/>
              <w:ind w:left="0" w:leftChars="0" w:firstLine="480"/>
              <w:rPr>
                <w:color w:val="auto"/>
                <w:sz w:val="24"/>
              </w:rPr>
            </w:pPr>
            <w:r>
              <w:rPr>
                <w:rFonts w:hint="eastAsia"/>
                <w:color w:val="auto"/>
                <w:sz w:val="24"/>
              </w:rPr>
              <w:t>本项目地下水污染分析见下表。</w:t>
            </w:r>
          </w:p>
          <w:p w14:paraId="7FDA447F">
            <w:pPr>
              <w:adjustRightInd w:val="0"/>
              <w:snapToGrid w:val="0"/>
              <w:spacing w:after="158" w:afterLines="50"/>
              <w:jc w:val="center"/>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表4-1</w:t>
            </w:r>
            <w:r>
              <w:rPr>
                <w:rFonts w:hint="eastAsia"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t xml:space="preserve">  地下水、土壤污染分析一览表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902"/>
              <w:gridCol w:w="1543"/>
              <w:gridCol w:w="3535"/>
              <w:gridCol w:w="1230"/>
            </w:tblGrid>
            <w:tr w14:paraId="13D7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79" w:hRule="atLeast"/>
              </w:trPr>
              <w:tc>
                <w:tcPr>
                  <w:tcW w:w="1864" w:type="dxa"/>
                  <w:shd w:val="clear" w:color="auto" w:fill="D7D7D7" w:themeFill="background1" w:themeFillShade="D8"/>
                  <w:vAlign w:val="center"/>
                </w:tcPr>
                <w:p w14:paraId="7382B5D1">
                  <w:pPr>
                    <w:adjustRightInd w:val="0"/>
                    <w:snapToGrid w:val="0"/>
                    <w:jc w:val="center"/>
                    <w:rPr>
                      <w:color w:val="auto"/>
                      <w:kern w:val="24"/>
                      <w:szCs w:val="21"/>
                    </w:rPr>
                  </w:pPr>
                  <w:r>
                    <w:rPr>
                      <w:rFonts w:hint="eastAsia"/>
                      <w:color w:val="auto"/>
                      <w:kern w:val="24"/>
                      <w:szCs w:val="21"/>
                    </w:rPr>
                    <w:t>地下水、土壤污染源</w:t>
                  </w:r>
                </w:p>
              </w:tc>
              <w:tc>
                <w:tcPr>
                  <w:tcW w:w="1512" w:type="dxa"/>
                  <w:shd w:val="clear" w:color="auto" w:fill="D7D7D7" w:themeFill="background1" w:themeFillShade="D8"/>
                  <w:vAlign w:val="center"/>
                </w:tcPr>
                <w:p w14:paraId="78861287">
                  <w:pPr>
                    <w:adjustRightInd w:val="0"/>
                    <w:snapToGrid w:val="0"/>
                    <w:jc w:val="center"/>
                    <w:rPr>
                      <w:color w:val="auto"/>
                      <w:kern w:val="24"/>
                      <w:szCs w:val="21"/>
                    </w:rPr>
                  </w:pPr>
                  <w:r>
                    <w:rPr>
                      <w:rFonts w:hint="eastAsia"/>
                      <w:color w:val="auto"/>
                      <w:kern w:val="24"/>
                      <w:szCs w:val="21"/>
                    </w:rPr>
                    <w:t>污染物类型</w:t>
                  </w:r>
                </w:p>
              </w:tc>
              <w:tc>
                <w:tcPr>
                  <w:tcW w:w="3465" w:type="dxa"/>
                  <w:shd w:val="clear" w:color="auto" w:fill="D7D7D7" w:themeFill="background1" w:themeFillShade="D8"/>
                  <w:vAlign w:val="center"/>
                </w:tcPr>
                <w:p w14:paraId="4A81ABC5">
                  <w:pPr>
                    <w:adjustRightInd w:val="0"/>
                    <w:snapToGrid w:val="0"/>
                    <w:jc w:val="center"/>
                    <w:rPr>
                      <w:color w:val="auto"/>
                      <w:kern w:val="24"/>
                      <w:szCs w:val="21"/>
                    </w:rPr>
                  </w:pPr>
                  <w:r>
                    <w:rPr>
                      <w:rFonts w:hint="eastAsia"/>
                      <w:color w:val="auto"/>
                      <w:kern w:val="24"/>
                      <w:szCs w:val="21"/>
                    </w:rPr>
                    <w:t>污染途径</w:t>
                  </w:r>
                </w:p>
              </w:tc>
              <w:tc>
                <w:tcPr>
                  <w:tcW w:w="1206" w:type="dxa"/>
                  <w:shd w:val="clear" w:color="auto" w:fill="D7D7D7" w:themeFill="background1" w:themeFillShade="D8"/>
                  <w:vAlign w:val="center"/>
                </w:tcPr>
                <w:p w14:paraId="6BA77F9A">
                  <w:pPr>
                    <w:adjustRightInd w:val="0"/>
                    <w:snapToGrid w:val="0"/>
                    <w:jc w:val="center"/>
                    <w:rPr>
                      <w:color w:val="auto"/>
                      <w:kern w:val="24"/>
                      <w:szCs w:val="21"/>
                    </w:rPr>
                  </w:pPr>
                  <w:r>
                    <w:rPr>
                      <w:rFonts w:hint="eastAsia"/>
                      <w:color w:val="auto"/>
                      <w:kern w:val="24"/>
                      <w:szCs w:val="21"/>
                    </w:rPr>
                    <w:t>分区防控</w:t>
                  </w:r>
                </w:p>
              </w:tc>
            </w:tr>
            <w:tr w14:paraId="5F8E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69" w:hRule="atLeast"/>
              </w:trPr>
              <w:tc>
                <w:tcPr>
                  <w:tcW w:w="1864" w:type="dxa"/>
                  <w:vAlign w:val="center"/>
                </w:tcPr>
                <w:p w14:paraId="2BBE8B24">
                  <w:pPr>
                    <w:adjustRightInd w:val="0"/>
                    <w:snapToGrid w:val="0"/>
                    <w:jc w:val="center"/>
                    <w:rPr>
                      <w:color w:val="auto"/>
                      <w:kern w:val="24"/>
                      <w:szCs w:val="21"/>
                    </w:rPr>
                  </w:pPr>
                  <w:r>
                    <w:rPr>
                      <w:rFonts w:hint="eastAsia"/>
                      <w:color w:val="auto"/>
                      <w:kern w:val="24"/>
                      <w:szCs w:val="21"/>
                    </w:rPr>
                    <w:t>项目危废暂存间</w:t>
                  </w:r>
                </w:p>
              </w:tc>
              <w:tc>
                <w:tcPr>
                  <w:tcW w:w="1512" w:type="dxa"/>
                  <w:vAlign w:val="center"/>
                </w:tcPr>
                <w:p w14:paraId="47EC9EAC">
                  <w:pPr>
                    <w:adjustRightInd w:val="0"/>
                    <w:snapToGrid w:val="0"/>
                    <w:jc w:val="center"/>
                    <w:rPr>
                      <w:color w:val="auto"/>
                      <w:kern w:val="24"/>
                      <w:szCs w:val="21"/>
                    </w:rPr>
                  </w:pPr>
                  <w:r>
                    <w:rPr>
                      <w:rFonts w:hint="eastAsia"/>
                      <w:color w:val="auto"/>
                      <w:kern w:val="24"/>
                      <w:szCs w:val="21"/>
                    </w:rPr>
                    <w:t>废机油、废机油桶</w:t>
                  </w:r>
                </w:p>
              </w:tc>
              <w:tc>
                <w:tcPr>
                  <w:tcW w:w="3465" w:type="dxa"/>
                  <w:vAlign w:val="center"/>
                </w:tcPr>
                <w:p w14:paraId="5B9007F8">
                  <w:pPr>
                    <w:adjustRightInd w:val="0"/>
                    <w:snapToGrid w:val="0"/>
                    <w:jc w:val="center"/>
                    <w:rPr>
                      <w:color w:val="auto"/>
                      <w:kern w:val="24"/>
                      <w:szCs w:val="21"/>
                    </w:rPr>
                  </w:pPr>
                  <w:r>
                    <w:rPr>
                      <w:rFonts w:hint="eastAsia"/>
                      <w:color w:val="auto"/>
                      <w:kern w:val="24"/>
                      <w:szCs w:val="21"/>
                    </w:rPr>
                    <w:t>防渗层破裂、围堰破损、危险废物容器破损导致液体废物</w:t>
                  </w:r>
                  <w:r>
                    <w:rPr>
                      <w:rFonts w:hint="eastAsia"/>
                      <w:color w:val="auto"/>
                      <w:kern w:val="24"/>
                      <w:szCs w:val="21"/>
                      <w:lang w:eastAsia="zh-CN"/>
                    </w:rPr>
                    <w:t>泄漏</w:t>
                  </w:r>
                  <w:r>
                    <w:rPr>
                      <w:rFonts w:hint="eastAsia"/>
                      <w:color w:val="auto"/>
                      <w:kern w:val="24"/>
                      <w:szCs w:val="21"/>
                    </w:rPr>
                    <w:t>（垂直入渗）</w:t>
                  </w:r>
                </w:p>
              </w:tc>
              <w:tc>
                <w:tcPr>
                  <w:tcW w:w="1206" w:type="dxa"/>
                  <w:vAlign w:val="center"/>
                </w:tcPr>
                <w:p w14:paraId="3F8EACFB">
                  <w:pPr>
                    <w:adjustRightInd w:val="0"/>
                    <w:snapToGrid w:val="0"/>
                    <w:jc w:val="center"/>
                    <w:rPr>
                      <w:color w:val="auto"/>
                      <w:kern w:val="24"/>
                      <w:szCs w:val="21"/>
                    </w:rPr>
                  </w:pPr>
                  <w:r>
                    <w:rPr>
                      <w:rFonts w:hint="eastAsia"/>
                      <w:color w:val="auto"/>
                      <w:kern w:val="24"/>
                      <w:szCs w:val="21"/>
                    </w:rPr>
                    <w:t>重点防渗区</w:t>
                  </w:r>
                </w:p>
              </w:tc>
            </w:tr>
            <w:tr w14:paraId="368D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86" w:hRule="atLeast"/>
              </w:trPr>
              <w:tc>
                <w:tcPr>
                  <w:tcW w:w="1864" w:type="dxa"/>
                  <w:vAlign w:val="center"/>
                </w:tcPr>
                <w:p w14:paraId="07E617B0">
                  <w:pPr>
                    <w:adjustRightInd w:val="0"/>
                    <w:snapToGrid w:val="0"/>
                    <w:jc w:val="center"/>
                    <w:rPr>
                      <w:rFonts w:hint="default" w:eastAsia="宋体"/>
                      <w:color w:val="auto"/>
                      <w:kern w:val="24"/>
                      <w:szCs w:val="21"/>
                      <w:lang w:val="en-US" w:eastAsia="zh-CN"/>
                    </w:rPr>
                  </w:pPr>
                  <w:r>
                    <w:rPr>
                      <w:rFonts w:hint="eastAsia"/>
                      <w:color w:val="auto"/>
                      <w:szCs w:val="21"/>
                    </w:rPr>
                    <w:t>现有项目化粪池</w:t>
                  </w:r>
                </w:p>
              </w:tc>
              <w:tc>
                <w:tcPr>
                  <w:tcW w:w="1512" w:type="dxa"/>
                  <w:vAlign w:val="center"/>
                </w:tcPr>
                <w:p w14:paraId="21275F94">
                  <w:pPr>
                    <w:adjustRightInd w:val="0"/>
                    <w:snapToGrid w:val="0"/>
                    <w:jc w:val="center"/>
                    <w:rPr>
                      <w:rFonts w:hint="eastAsia" w:eastAsia="宋体"/>
                      <w:color w:val="auto"/>
                      <w:kern w:val="24"/>
                      <w:szCs w:val="21"/>
                      <w:lang w:eastAsia="zh-CN"/>
                    </w:rPr>
                  </w:pPr>
                  <w:r>
                    <w:rPr>
                      <w:rFonts w:hint="eastAsia"/>
                      <w:color w:val="auto"/>
                      <w:kern w:val="24"/>
                      <w:szCs w:val="21"/>
                    </w:rPr>
                    <w:t>CODcr、NH</w:t>
                  </w:r>
                  <w:r>
                    <w:rPr>
                      <w:rFonts w:hint="eastAsia"/>
                      <w:color w:val="auto"/>
                      <w:kern w:val="24"/>
                      <w:szCs w:val="21"/>
                      <w:vertAlign w:val="subscript"/>
                    </w:rPr>
                    <w:t>3</w:t>
                  </w:r>
                  <w:r>
                    <w:rPr>
                      <w:rFonts w:hint="eastAsia"/>
                      <w:color w:val="auto"/>
                      <w:kern w:val="24"/>
                      <w:szCs w:val="21"/>
                    </w:rPr>
                    <w:t>-N、TP</w:t>
                  </w:r>
                </w:p>
              </w:tc>
              <w:tc>
                <w:tcPr>
                  <w:tcW w:w="3465" w:type="dxa"/>
                  <w:vAlign w:val="center"/>
                </w:tcPr>
                <w:p w14:paraId="7E8A83C8">
                  <w:pPr>
                    <w:adjustRightInd w:val="0"/>
                    <w:snapToGrid w:val="0"/>
                    <w:jc w:val="center"/>
                    <w:rPr>
                      <w:color w:val="auto"/>
                      <w:kern w:val="24"/>
                      <w:szCs w:val="21"/>
                    </w:rPr>
                  </w:pPr>
                  <w:r>
                    <w:rPr>
                      <w:rFonts w:hint="eastAsia"/>
                      <w:color w:val="auto"/>
                      <w:kern w:val="24"/>
                      <w:szCs w:val="21"/>
                    </w:rPr>
                    <w:t>化粪池池体、池壁破裂导致生活污水渗漏；污水管道破损导致生活污水渗漏，池体防渗层破裂导致生活污水</w:t>
                  </w:r>
                  <w:r>
                    <w:rPr>
                      <w:rFonts w:hint="eastAsia"/>
                      <w:color w:val="auto"/>
                      <w:kern w:val="24"/>
                      <w:szCs w:val="21"/>
                      <w:lang w:eastAsia="zh-CN"/>
                    </w:rPr>
                    <w:t>泄漏</w:t>
                  </w:r>
                  <w:r>
                    <w:rPr>
                      <w:rFonts w:hint="eastAsia"/>
                      <w:color w:val="auto"/>
                      <w:kern w:val="24"/>
                      <w:szCs w:val="21"/>
                    </w:rPr>
                    <w:t>（垂直入渗）</w:t>
                  </w:r>
                </w:p>
              </w:tc>
              <w:tc>
                <w:tcPr>
                  <w:tcW w:w="1206" w:type="dxa"/>
                  <w:vAlign w:val="center"/>
                </w:tcPr>
                <w:p w14:paraId="22EE99C0">
                  <w:pPr>
                    <w:adjustRightInd w:val="0"/>
                    <w:snapToGrid w:val="0"/>
                    <w:jc w:val="center"/>
                    <w:rPr>
                      <w:color w:val="auto"/>
                      <w:kern w:val="24"/>
                      <w:szCs w:val="21"/>
                    </w:rPr>
                  </w:pPr>
                  <w:r>
                    <w:rPr>
                      <w:rFonts w:hint="eastAsia"/>
                      <w:color w:val="auto"/>
                      <w:kern w:val="24"/>
                      <w:szCs w:val="21"/>
                    </w:rPr>
                    <w:t>一般防渗区</w:t>
                  </w:r>
                </w:p>
              </w:tc>
            </w:tr>
            <w:tr w14:paraId="1B53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864" w:type="dxa"/>
                  <w:vAlign w:val="center"/>
                </w:tcPr>
                <w:p w14:paraId="109D224C">
                  <w:pPr>
                    <w:adjustRightInd w:val="0"/>
                    <w:snapToGrid w:val="0"/>
                    <w:jc w:val="center"/>
                    <w:rPr>
                      <w:rFonts w:hint="eastAsia" w:eastAsia="宋体"/>
                      <w:color w:val="auto"/>
                      <w:szCs w:val="21"/>
                      <w:lang w:eastAsia="zh-CN"/>
                    </w:rPr>
                  </w:pPr>
                  <w:r>
                    <w:rPr>
                      <w:rFonts w:hint="eastAsia"/>
                      <w:color w:val="auto"/>
                      <w:kern w:val="0"/>
                      <w:szCs w:val="21"/>
                      <w:lang w:bidi="ar"/>
                    </w:rPr>
                    <w:t>各循环水池</w:t>
                  </w:r>
                  <w:r>
                    <w:rPr>
                      <w:rFonts w:hint="eastAsia"/>
                      <w:color w:val="auto"/>
                      <w:szCs w:val="21"/>
                    </w:rPr>
                    <w:t>、</w:t>
                  </w:r>
                  <w:r>
                    <w:rPr>
                      <w:rFonts w:hint="eastAsia"/>
                      <w:color w:val="auto"/>
                      <w:szCs w:val="21"/>
                      <w:lang w:val="en-US" w:eastAsia="zh-CN"/>
                    </w:rPr>
                    <w:t>拟建冷却水事故水池</w:t>
                  </w:r>
                </w:p>
              </w:tc>
              <w:tc>
                <w:tcPr>
                  <w:tcW w:w="1512" w:type="dxa"/>
                  <w:vAlign w:val="center"/>
                </w:tcPr>
                <w:p w14:paraId="77398756">
                  <w:pPr>
                    <w:adjustRightInd w:val="0"/>
                    <w:snapToGrid w:val="0"/>
                    <w:jc w:val="center"/>
                    <w:rPr>
                      <w:rFonts w:hint="default" w:eastAsia="宋体"/>
                      <w:color w:val="auto"/>
                      <w:kern w:val="24"/>
                      <w:szCs w:val="21"/>
                      <w:lang w:val="en-US" w:eastAsia="zh-CN"/>
                    </w:rPr>
                  </w:pPr>
                  <w:r>
                    <w:rPr>
                      <w:rFonts w:hint="eastAsia"/>
                      <w:color w:val="auto"/>
                      <w:kern w:val="24"/>
                      <w:szCs w:val="21"/>
                    </w:rPr>
                    <w:t>CODcr、S</w:t>
                  </w:r>
                  <w:r>
                    <w:rPr>
                      <w:color w:val="auto"/>
                      <w:kern w:val="24"/>
                      <w:szCs w:val="21"/>
                    </w:rPr>
                    <w:t>S</w:t>
                  </w:r>
                  <w:r>
                    <w:rPr>
                      <w:rFonts w:hint="eastAsia"/>
                      <w:color w:val="auto"/>
                      <w:kern w:val="24"/>
                      <w:szCs w:val="21"/>
                      <w:lang w:eastAsia="zh-CN"/>
                    </w:rPr>
                    <w:t>、</w:t>
                  </w:r>
                  <w:r>
                    <w:rPr>
                      <w:rFonts w:hint="eastAsia"/>
                      <w:color w:val="auto"/>
                      <w:kern w:val="24"/>
                      <w:szCs w:val="21"/>
                      <w:lang w:val="en-US" w:eastAsia="zh-CN"/>
                    </w:rPr>
                    <w:t>石油类</w:t>
                  </w:r>
                </w:p>
              </w:tc>
              <w:tc>
                <w:tcPr>
                  <w:tcW w:w="3465" w:type="dxa"/>
                  <w:vAlign w:val="center"/>
                </w:tcPr>
                <w:p w14:paraId="7509E440">
                  <w:pPr>
                    <w:adjustRightInd w:val="0"/>
                    <w:snapToGrid w:val="0"/>
                    <w:jc w:val="center"/>
                    <w:rPr>
                      <w:color w:val="auto"/>
                      <w:kern w:val="24"/>
                      <w:szCs w:val="21"/>
                    </w:rPr>
                  </w:pPr>
                  <w:r>
                    <w:rPr>
                      <w:rFonts w:hint="eastAsia"/>
                      <w:color w:val="auto"/>
                      <w:kern w:val="0"/>
                      <w:szCs w:val="21"/>
                      <w:lang w:bidi="ar"/>
                    </w:rPr>
                    <w:t>循环水池池底、池壁防渗层破裂或管道老化腐蚀等</w:t>
                  </w:r>
                  <w:r>
                    <w:rPr>
                      <w:rFonts w:hint="eastAsia"/>
                      <w:color w:val="auto"/>
                      <w:kern w:val="24"/>
                      <w:szCs w:val="21"/>
                    </w:rPr>
                    <w:t>导致冷却水</w:t>
                  </w:r>
                  <w:r>
                    <w:rPr>
                      <w:rFonts w:hint="eastAsia"/>
                      <w:color w:val="auto"/>
                      <w:kern w:val="24"/>
                      <w:szCs w:val="21"/>
                      <w:lang w:val="en-US" w:eastAsia="zh-CN"/>
                    </w:rPr>
                    <w:t>泄露</w:t>
                  </w:r>
                  <w:r>
                    <w:rPr>
                      <w:rFonts w:hint="eastAsia"/>
                      <w:color w:val="auto"/>
                      <w:kern w:val="24"/>
                      <w:szCs w:val="21"/>
                    </w:rPr>
                    <w:t>（垂直入渗）</w:t>
                  </w:r>
                </w:p>
              </w:tc>
              <w:tc>
                <w:tcPr>
                  <w:tcW w:w="1206" w:type="dxa"/>
                  <w:vAlign w:val="center"/>
                </w:tcPr>
                <w:p w14:paraId="17866EC0">
                  <w:pPr>
                    <w:adjustRightInd w:val="0"/>
                    <w:snapToGrid w:val="0"/>
                    <w:jc w:val="center"/>
                    <w:rPr>
                      <w:color w:val="auto"/>
                      <w:kern w:val="24"/>
                      <w:szCs w:val="21"/>
                    </w:rPr>
                  </w:pPr>
                  <w:r>
                    <w:rPr>
                      <w:rFonts w:hint="eastAsia"/>
                      <w:color w:val="auto"/>
                      <w:kern w:val="24"/>
                      <w:szCs w:val="21"/>
                    </w:rPr>
                    <w:t>一般防渗区</w:t>
                  </w:r>
                </w:p>
              </w:tc>
            </w:tr>
          </w:tbl>
          <w:p w14:paraId="4D2044E6">
            <w:pPr>
              <w:pStyle w:val="61"/>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hint="default" w:ascii="Times New Roman" w:hAnsi="Times New Roman" w:eastAsia="宋体" w:cs="宋体"/>
                <w:b/>
                <w:bCs/>
                <w:color w:val="auto"/>
                <w:sz w:val="24"/>
                <w:lang w:val="en-US" w:eastAsia="zh-CN"/>
              </w:rPr>
            </w:pPr>
            <w:r>
              <w:rPr>
                <w:rFonts w:hint="eastAsia" w:ascii="Times New Roman" w:hAnsi="Times New Roman" w:cs="宋体"/>
                <w:b/>
                <w:bCs/>
                <w:color w:val="auto"/>
                <w:sz w:val="24"/>
                <w:lang w:val="en-US" w:eastAsia="zh-CN"/>
              </w:rPr>
              <w:t>2</w:t>
            </w:r>
            <w:r>
              <w:rPr>
                <w:rFonts w:hint="eastAsia" w:ascii="Times New Roman" w:hAnsi="Times New Roman" w:cs="宋体"/>
                <w:b/>
                <w:bCs/>
                <w:color w:val="auto"/>
                <w:sz w:val="24"/>
                <w:lang w:eastAsia="zh-CN"/>
              </w:rPr>
              <w:t>）</w:t>
            </w:r>
            <w:r>
              <w:rPr>
                <w:rFonts w:hint="eastAsia" w:ascii="Times New Roman" w:hAnsi="Times New Roman" w:cs="宋体"/>
                <w:b/>
                <w:bCs/>
                <w:color w:val="auto"/>
                <w:sz w:val="24"/>
                <w:lang w:val="en-US" w:eastAsia="zh-CN"/>
              </w:rPr>
              <w:t>地下水污染防控措施</w:t>
            </w:r>
          </w:p>
          <w:p w14:paraId="7E58A38A">
            <w:pPr>
              <w:pStyle w:val="61"/>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本项目地下水污染防治措施按照“源头控制、分区防治、应急响应”相结合的原则，从污染物的产生、入渗、扩散、应急响应进行控制。</w:t>
            </w:r>
          </w:p>
          <w:p w14:paraId="3082F7C6">
            <w:pPr>
              <w:pStyle w:val="61"/>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①源头控制措施</w:t>
            </w:r>
          </w:p>
          <w:p w14:paraId="04801B36">
            <w:pPr>
              <w:pStyle w:val="61"/>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污水管严格按照国家相关规范要求，使用合格的管材尽可能从源头上减少污染物的产生；防止和降低可能污染物的跑、冒、滴、漏，将废水泄漏的环境风险事故降低到最低程度。</w:t>
            </w:r>
          </w:p>
          <w:p w14:paraId="5982FF32">
            <w:pPr>
              <w:pStyle w:val="61"/>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②分区防控措施</w:t>
            </w:r>
          </w:p>
          <w:p w14:paraId="68B924FC">
            <w:pPr>
              <w:pStyle w:val="61"/>
              <w:ind w:firstLine="480"/>
              <w:rPr>
                <w:rFonts w:hint="default" w:ascii="Times New Roman" w:hAnsi="Times New Roman" w:eastAsia="宋体" w:cs="宋体"/>
                <w:color w:val="auto"/>
                <w:sz w:val="24"/>
              </w:rPr>
            </w:pPr>
            <w:r>
              <w:rPr>
                <w:rFonts w:hint="default" w:ascii="Times New Roman" w:hAnsi="Times New Roman" w:eastAsia="宋体" w:cs="宋体"/>
                <w:color w:val="auto"/>
                <w:sz w:val="24"/>
              </w:rPr>
              <w:t>根据项目地下水污染分析，本项目按照</w:t>
            </w:r>
            <w:r>
              <w:rPr>
                <w:rFonts w:hint="default" w:ascii="Times New Roman" w:hAnsi="Times New Roman" w:cs="Times New Roman"/>
                <w:color w:val="auto"/>
              </w:rPr>
              <w:t>《地下水环境影响评价导则》（HJ610-2016）表7</w:t>
            </w:r>
            <w:r>
              <w:rPr>
                <w:color w:val="auto"/>
              </w:rPr>
              <w:t>规定要求实施</w:t>
            </w:r>
            <w:r>
              <w:rPr>
                <w:rFonts w:hint="default" w:ascii="Times New Roman" w:hAnsi="Times New Roman" w:eastAsia="宋体" w:cs="宋体"/>
                <w:color w:val="auto"/>
                <w:sz w:val="24"/>
              </w:rPr>
              <w:t>分区</w:t>
            </w:r>
            <w:r>
              <w:rPr>
                <w:rFonts w:hint="eastAsia" w:ascii="Times New Roman" w:hAnsi="Times New Roman" w:cs="宋体"/>
                <w:color w:val="auto"/>
                <w:sz w:val="24"/>
                <w:lang w:eastAsia="zh-CN"/>
              </w:rPr>
              <w:t>防渗</w:t>
            </w:r>
            <w:r>
              <w:rPr>
                <w:rFonts w:hint="default" w:ascii="Times New Roman" w:hAnsi="Times New Roman" w:eastAsia="宋体" w:cs="宋体"/>
                <w:color w:val="auto"/>
                <w:sz w:val="24"/>
              </w:rPr>
              <w:t>，将厂区分为重点防渗区、一般防渗区和简单防渗区，不同的分区采取相应的防渗措施。</w:t>
            </w:r>
          </w:p>
          <w:p w14:paraId="6BFDA4AF">
            <w:pPr>
              <w:pStyle w:val="61"/>
              <w:ind w:firstLine="480"/>
              <w:rPr>
                <w:rFonts w:ascii="Times New Roman" w:hAnsi="Times New Roman" w:eastAsia="宋体" w:cs="宋体"/>
                <w:color w:val="auto"/>
                <w:sz w:val="24"/>
              </w:rPr>
            </w:pPr>
            <w:r>
              <w:rPr>
                <w:rFonts w:hint="default" w:ascii="Times New Roman" w:hAnsi="Times New Roman" w:eastAsia="宋体" w:cs="宋体"/>
                <w:color w:val="auto"/>
                <w:sz w:val="24"/>
              </w:rPr>
              <w:t>本项目运行期地下水防控措施见下表</w:t>
            </w:r>
            <w:r>
              <w:rPr>
                <w:rFonts w:hint="eastAsia" w:ascii="Times New Roman" w:hAnsi="Times New Roman" w:eastAsia="宋体" w:cs="宋体"/>
                <w:color w:val="auto"/>
                <w:sz w:val="24"/>
                <w:lang w:val="en-US" w:eastAsia="zh-CN"/>
              </w:rPr>
              <w:t>。</w:t>
            </w:r>
          </w:p>
          <w:p w14:paraId="541F54DA">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表4-1</w:t>
            </w:r>
            <w:r>
              <w:rPr>
                <w:rFonts w:hint="eastAsia"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t xml:space="preserve">  地下水分区防渗表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1284"/>
              <w:gridCol w:w="5150"/>
            </w:tblGrid>
            <w:tr w14:paraId="152D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pct"/>
                  <w:shd w:val="clear" w:color="auto" w:fill="D7D7D7" w:themeFill="background1" w:themeFillShade="D8"/>
                  <w:vAlign w:val="center"/>
                </w:tcPr>
                <w:p w14:paraId="57FB5DDB">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污染防渗区类别</w:t>
                  </w:r>
                </w:p>
              </w:tc>
              <w:tc>
                <w:tcPr>
                  <w:tcW w:w="782" w:type="pct"/>
                  <w:shd w:val="clear" w:color="auto" w:fill="D7D7D7" w:themeFill="background1" w:themeFillShade="D8"/>
                  <w:vAlign w:val="center"/>
                </w:tcPr>
                <w:p w14:paraId="55310CA3">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防渗区名称</w:t>
                  </w:r>
                </w:p>
              </w:tc>
              <w:tc>
                <w:tcPr>
                  <w:tcW w:w="3136" w:type="pct"/>
                  <w:shd w:val="clear" w:color="auto" w:fill="D7D7D7" w:themeFill="background1" w:themeFillShade="D8"/>
                  <w:vAlign w:val="center"/>
                </w:tcPr>
                <w:p w14:paraId="6917761C">
                  <w:pPr>
                    <w:pStyle w:val="13"/>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防渗技术要求</w:t>
                  </w:r>
                </w:p>
              </w:tc>
            </w:tr>
            <w:tr w14:paraId="6A31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0" w:type="pct"/>
                  <w:vAlign w:val="center"/>
                </w:tcPr>
                <w:p w14:paraId="706DB6CE">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重点防渗区</w:t>
                  </w:r>
                </w:p>
              </w:tc>
              <w:tc>
                <w:tcPr>
                  <w:tcW w:w="782" w:type="pct"/>
                  <w:vAlign w:val="center"/>
                </w:tcPr>
                <w:p w14:paraId="6B37102A">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危废暂存间</w:t>
                  </w:r>
                </w:p>
              </w:tc>
              <w:tc>
                <w:tcPr>
                  <w:tcW w:w="3136" w:type="pct"/>
                  <w:vAlign w:val="center"/>
                </w:tcPr>
                <w:p w14:paraId="34CFD711">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防渗层为至少1m厚黏土层</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，或至少2mm厚高密度聚乙烯膜等人工防渗材料</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eastAsia"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参照执行《危险废物贮存污染控制标准》（</w:t>
                  </w:r>
                  <w:r>
                    <w:rPr>
                      <w:rFonts w:hint="default" w:ascii="Times New Roman" w:hAnsi="Times New Roman" w:eastAsia="宋体" w:cs="Times New Roman"/>
                      <w:b w:val="0"/>
                      <w:bCs w:val="0"/>
                      <w:color w:val="auto"/>
                      <w:sz w:val="21"/>
                      <w:szCs w:val="21"/>
                      <w:lang w:val="en-US" w:eastAsia="zh-CN"/>
                    </w:rPr>
                    <w:t>GB18597-20</w:t>
                  </w:r>
                  <w:r>
                    <w:rPr>
                      <w:rFonts w:hint="eastAsia" w:ascii="Times New Roman" w:hAnsi="Times New Roman" w:eastAsia="宋体" w:cs="Times New Roman"/>
                      <w:b w:val="0"/>
                      <w:bCs w:val="0"/>
                      <w:color w:val="auto"/>
                      <w:sz w:val="21"/>
                      <w:szCs w:val="21"/>
                      <w:lang w:val="en-US" w:eastAsia="zh-CN"/>
                    </w:rPr>
                    <w:t>23）相关要求</w:t>
                  </w:r>
                </w:p>
              </w:tc>
            </w:tr>
            <w:tr w14:paraId="5B4E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80" w:type="pct"/>
                  <w:vAlign w:val="center"/>
                </w:tcPr>
                <w:p w14:paraId="376CA624">
                  <w:pPr>
                    <w:adjustRightInd w:val="0"/>
                    <w:snapToGrid w:val="0"/>
                    <w:jc w:val="center"/>
                    <w:rPr>
                      <w:rFonts w:hint="eastAsia" w:ascii="Times New Roman" w:hAnsi="Times New Roman" w:eastAsia="宋体" w:cs="Times New Roman"/>
                      <w:b w:val="0"/>
                      <w:bCs w:val="0"/>
                      <w:color w:val="auto"/>
                      <w:sz w:val="21"/>
                      <w:szCs w:val="21"/>
                      <w:lang w:val="en-US" w:eastAsia="zh-CN"/>
                    </w:rPr>
                  </w:pPr>
                  <w:r>
                    <w:rPr>
                      <w:rFonts w:ascii="Times New Roman" w:hAnsi="Times New Roman" w:eastAsia="宋体"/>
                      <w:color w:val="auto"/>
                      <w:szCs w:val="21"/>
                    </w:rPr>
                    <w:t>一般</w:t>
                  </w:r>
                  <w:r>
                    <w:rPr>
                      <w:rFonts w:hint="eastAsia" w:ascii="Times New Roman" w:hAnsi="Times New Roman" w:eastAsia="宋体"/>
                      <w:color w:val="auto"/>
                      <w:szCs w:val="21"/>
                    </w:rPr>
                    <w:t>防渗区</w:t>
                  </w:r>
                </w:p>
              </w:tc>
              <w:tc>
                <w:tcPr>
                  <w:tcW w:w="782" w:type="pct"/>
                  <w:vAlign w:val="center"/>
                </w:tcPr>
                <w:p w14:paraId="522F4AC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val="en-US" w:eastAsia="zh-CN"/>
                    </w:rPr>
                    <w:t>事故水池、</w:t>
                  </w:r>
                  <w:r>
                    <w:rPr>
                      <w:rFonts w:hint="eastAsia" w:ascii="Times New Roman" w:hAnsi="Times New Roman" w:eastAsia="宋体"/>
                      <w:color w:val="auto"/>
                      <w:szCs w:val="21"/>
                      <w:lang w:val="en-US" w:eastAsia="zh-CN"/>
                    </w:rPr>
                    <w:t>化粪池</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冷却水池</w:t>
                  </w:r>
                </w:p>
              </w:tc>
              <w:tc>
                <w:tcPr>
                  <w:tcW w:w="3136" w:type="pct"/>
                  <w:vAlign w:val="center"/>
                </w:tcPr>
                <w:p w14:paraId="43B9273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olor w:val="auto"/>
                      <w:szCs w:val="21"/>
                    </w:rPr>
                    <w:t>等效黏土防渗层厚度Mb≥1</w:t>
                  </w:r>
                  <w:r>
                    <w:rPr>
                      <w:rFonts w:ascii="Times New Roman" w:hAnsi="Times New Roman" w:eastAsia="宋体"/>
                      <w:color w:val="auto"/>
                      <w:szCs w:val="21"/>
                    </w:rPr>
                    <w:t>.</w:t>
                  </w:r>
                  <w:r>
                    <w:rPr>
                      <w:rFonts w:hint="eastAsia" w:ascii="Times New Roman" w:hAnsi="Times New Roman" w:eastAsia="宋体"/>
                      <w:color w:val="auto"/>
                      <w:szCs w:val="21"/>
                    </w:rPr>
                    <w:t>5m，渗透系数K≤1.0×10</w:t>
                  </w:r>
                  <w:r>
                    <w:rPr>
                      <w:rFonts w:hint="eastAsia" w:ascii="Times New Roman" w:hAnsi="Times New Roman" w:eastAsia="宋体"/>
                      <w:color w:val="auto"/>
                      <w:szCs w:val="21"/>
                      <w:vertAlign w:val="superscript"/>
                      <w:lang w:val="en-US" w:eastAsia="zh-CN"/>
                    </w:rPr>
                    <w:t>-</w:t>
                  </w:r>
                  <w:r>
                    <w:rPr>
                      <w:rFonts w:hint="eastAsia" w:ascii="Times New Roman" w:hAnsi="Times New Roman" w:eastAsia="宋体"/>
                      <w:color w:val="auto"/>
                      <w:szCs w:val="21"/>
                      <w:vertAlign w:val="superscript"/>
                    </w:rPr>
                    <w:t>7</w:t>
                  </w:r>
                  <w:r>
                    <w:rPr>
                      <w:rFonts w:hint="eastAsia" w:ascii="Times New Roman" w:hAnsi="Times New Roman" w:eastAsia="宋体"/>
                      <w:color w:val="auto"/>
                      <w:szCs w:val="21"/>
                    </w:rPr>
                    <w:t>cm/s</w:t>
                  </w:r>
                </w:p>
              </w:tc>
            </w:tr>
            <w:tr w14:paraId="3509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80" w:type="pct"/>
                  <w:vAlign w:val="center"/>
                </w:tcPr>
                <w:p w14:paraId="19020A7D">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简单防渗区</w:t>
                  </w:r>
                </w:p>
              </w:tc>
              <w:tc>
                <w:tcPr>
                  <w:tcW w:w="782" w:type="pct"/>
                  <w:vAlign w:val="center"/>
                </w:tcPr>
                <w:p w14:paraId="5234E319">
                  <w:pPr>
                    <w:pStyle w:val="13"/>
                    <w:keepNext w:val="0"/>
                    <w:keepLines/>
                    <w:pageBreakBefore w:val="0"/>
                    <w:kinsoku/>
                    <w:overflowPunct/>
                    <w:bidi w:val="0"/>
                    <w:adjustRightInd/>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其他区域</w:t>
                  </w:r>
                </w:p>
              </w:tc>
              <w:tc>
                <w:tcPr>
                  <w:tcW w:w="3136" w:type="pct"/>
                  <w:vAlign w:val="center"/>
                </w:tcPr>
                <w:p w14:paraId="037C4EB1">
                  <w:pPr>
                    <w:pStyle w:val="13"/>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水泥地面硬化</w:t>
                  </w:r>
                </w:p>
              </w:tc>
            </w:tr>
          </w:tbl>
          <w:p w14:paraId="28F62916">
            <w:pPr>
              <w:keepNext w:val="0"/>
              <w:keepLines/>
              <w:pageBreakBefore w:val="0"/>
              <w:widowControl w:val="0"/>
              <w:kinsoku/>
              <w:wordWrap/>
              <w:overflowPunct/>
              <w:topLinePunct w:val="0"/>
              <w:autoSpaceDE/>
              <w:autoSpaceDN/>
              <w:bidi w:val="0"/>
              <w:adjustRightInd w:val="0"/>
              <w:snapToGrid w:val="0"/>
              <w:spacing w:before="160" w:beforeLines="50" w:line="360" w:lineRule="auto"/>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rPr>
              <w:t>土壤环境影响分析</w:t>
            </w:r>
          </w:p>
          <w:p w14:paraId="2B80520F">
            <w:pPr>
              <w:keepNext w:val="0"/>
              <w:keepLines/>
              <w:pageBreakBefore w:val="0"/>
              <w:widowControl/>
              <w:kinsoku/>
              <w:overflowPunct/>
              <w:bidi w:val="0"/>
              <w:adjustRightInd/>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项目为钢压延加工项目，根据项目建设内容及其对土壤环境可能产生的影响，判定本项目土壤影响类型为污染影响型。根据项目类别、占地规模与敏感程度划分评价等级（表4污染影响型评价工作等级划分表），参照《环境影响评价技术导则土壤环境》（HJ964-2018）附录A</w:t>
            </w:r>
            <w:r>
              <w:rPr>
                <w:rFonts w:hint="eastAsia"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土壤环境影响评价项目类别</w:t>
            </w:r>
            <w:r>
              <w:rPr>
                <w:rFonts w:hint="eastAsia"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val="en-US" w:eastAsia="zh-CN" w:bidi="ar"/>
              </w:rPr>
              <w:t>项目</w:t>
            </w:r>
            <w:r>
              <w:rPr>
                <w:rFonts w:hint="default" w:ascii="Times New Roman" w:hAnsi="Times New Roman" w:eastAsia="宋体" w:cs="Times New Roman"/>
                <w:color w:val="auto"/>
                <w:kern w:val="0"/>
                <w:sz w:val="24"/>
                <w:lang w:bidi="ar"/>
              </w:rPr>
              <w:t>可不开展环境影响评价工作。因此本项目不设土壤环境评价等级，不开展土壤环境影响评价工作。</w:t>
            </w:r>
          </w:p>
          <w:p w14:paraId="2BF9F08F">
            <w:pPr>
              <w:keepNext w:val="0"/>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rPr>
              <w:t>土壤、地下水保护措施</w:t>
            </w:r>
          </w:p>
          <w:p w14:paraId="031D1810">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本项目运营期会产生</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，若发生泄漏会对土壤、地下水造成一定的影响。</w:t>
            </w:r>
          </w:p>
          <w:p w14:paraId="09258D89">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项目建设过程中采取防渗措施可有效防止风险物质下渗进入地下水，通过加强定期检查消除污染隐患；发现有污染物泄漏或渗漏，及时修补。</w:t>
            </w:r>
          </w:p>
          <w:p w14:paraId="2A91CDE6">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产生的危险废物经收集后暂存于危废暂存间，危废暂存间地面防渗，设置围堰并铺设防水漆；本项目危险废物分类分区收集于收集桶中，且产生量不大，若发生泄漏事故，经危废暂存间围堰收集后，可将风险控制在危废暂存间内，对周边环境影响较小。</w:t>
            </w:r>
          </w:p>
          <w:p w14:paraId="4CDF0852">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若发生泄漏事件危险废物泄漏至外环境事件时，以事故地点为中心，按一定间隔的圆形布点采样，并采集事故发生地附近的样品做对照，主要监测因子为pH、石油烃，监测频次为事件第一时间监测1次，之后根据第一次监测浓度确定监测频次。</w:t>
            </w:r>
          </w:p>
          <w:p w14:paraId="15EFBE4C">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因此本项目的建设运行对土壤、地下水影响可控。</w:t>
            </w:r>
          </w:p>
          <w:p w14:paraId="177D8670">
            <w:pPr>
              <w:pStyle w:val="61"/>
              <w:keepNext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宋体"/>
                <w:b/>
                <w:bCs/>
                <w:color w:val="auto"/>
                <w:kern w:val="0"/>
                <w:lang w:val="zh-CN"/>
              </w:rPr>
            </w:pPr>
            <w:r>
              <w:rPr>
                <w:rFonts w:hint="eastAsia" w:ascii="Times New Roman" w:hAnsi="Times New Roman" w:cs="宋体"/>
                <w:b/>
                <w:bCs/>
                <w:color w:val="auto"/>
                <w:kern w:val="0"/>
                <w:lang w:val="en-US" w:eastAsia="zh-CN"/>
              </w:rPr>
              <w:t>6、</w:t>
            </w:r>
            <w:r>
              <w:rPr>
                <w:rFonts w:hint="eastAsia" w:ascii="Times New Roman" w:hAnsi="Times New Roman" w:eastAsia="宋体" w:cs="宋体"/>
                <w:b/>
                <w:bCs/>
                <w:color w:val="auto"/>
                <w:kern w:val="0"/>
                <w:lang w:val="zh-CN"/>
              </w:rPr>
              <w:t>生态环境影响分析</w:t>
            </w:r>
          </w:p>
          <w:p w14:paraId="5E843B8D">
            <w:pPr>
              <w:pStyle w:val="61"/>
              <w:keepNext w:val="0"/>
              <w:pageBreakBefore w:val="0"/>
              <w:widowControl w:val="0"/>
              <w:kinsoku/>
              <w:wordWrap/>
              <w:overflowPunct/>
              <w:topLinePunct w:val="0"/>
              <w:autoSpaceDE/>
              <w:autoSpaceDN/>
              <w:bidi w:val="0"/>
              <w:adjustRightInd w:val="0"/>
              <w:snapToGrid w:val="0"/>
              <w:ind w:firstLine="480"/>
              <w:textAlignment w:val="auto"/>
              <w:rPr>
                <w:rFonts w:ascii="Times New Roman" w:hAnsi="Times New Roman" w:eastAsia="宋体"/>
                <w:color w:val="auto"/>
              </w:rPr>
            </w:pPr>
            <w:r>
              <w:rPr>
                <w:rFonts w:hint="eastAsia" w:ascii="Times New Roman" w:hAnsi="Times New Roman" w:eastAsia="宋体"/>
                <w:color w:val="auto"/>
              </w:rPr>
              <w:t>项目所在区域为</w:t>
            </w:r>
            <w:r>
              <w:rPr>
                <w:rFonts w:hint="eastAsia" w:ascii="Times New Roman" w:hAnsi="Times New Roman" w:eastAsia="宋体" w:cs="Times New Roman"/>
                <w:color w:val="auto"/>
                <w:kern w:val="0"/>
                <w:sz w:val="24"/>
                <w:lang w:val="en-US" w:eastAsia="zh-CN"/>
              </w:rPr>
              <w:t>玉溪市通海县</w:t>
            </w:r>
            <w:r>
              <w:rPr>
                <w:rFonts w:hint="eastAsia" w:ascii="Times New Roman" w:hAnsi="Times New Roman" w:cs="Times New Roman"/>
                <w:color w:val="auto"/>
                <w:kern w:val="0"/>
                <w:sz w:val="24"/>
                <w:lang w:val="en-US" w:eastAsia="zh-CN"/>
              </w:rPr>
              <w:t>纳古</w:t>
            </w:r>
            <w:r>
              <w:rPr>
                <w:rFonts w:hint="eastAsia" w:ascii="Times New Roman" w:hAnsi="Times New Roman" w:eastAsia="宋体" w:cs="Times New Roman"/>
                <w:color w:val="auto"/>
                <w:kern w:val="0"/>
                <w:sz w:val="24"/>
                <w:lang w:val="en-US" w:eastAsia="zh-CN"/>
              </w:rPr>
              <w:t>镇</w:t>
            </w:r>
            <w:r>
              <w:rPr>
                <w:rFonts w:hint="eastAsia" w:ascii="Times New Roman" w:hAnsi="Times New Roman" w:cs="Times New Roman"/>
                <w:color w:val="auto"/>
                <w:kern w:val="0"/>
                <w:sz w:val="24"/>
                <w:lang w:val="en-US" w:eastAsia="zh-CN"/>
              </w:rPr>
              <w:t>大白龙</w:t>
            </w:r>
            <w:r>
              <w:rPr>
                <w:rFonts w:hint="eastAsia" w:ascii="Times New Roman" w:hAnsi="Times New Roman" w:eastAsia="宋体"/>
                <w:color w:val="auto"/>
              </w:rPr>
              <w:t>，受人为活动影响，项目内生物多样性低下，生态环境一般。调查范围内无自然保护区、风景名胜区、森林公园、历史文化遗迹等需要特殊保护的生态敏感目标，无国家</w:t>
            </w:r>
            <w:r>
              <w:rPr>
                <w:rFonts w:hint="eastAsia" w:ascii="Times New Roman" w:hAnsi="Times New Roman"/>
                <w:color w:val="auto"/>
                <w:lang w:eastAsia="zh-CN"/>
              </w:rPr>
              <w:t>珍稀</w:t>
            </w:r>
            <w:r>
              <w:rPr>
                <w:rFonts w:hint="eastAsia" w:ascii="Times New Roman" w:hAnsi="Times New Roman" w:eastAsia="宋体"/>
                <w:color w:val="auto"/>
              </w:rPr>
              <w:t>濒危保护物种、国家重点保护野生植物和云南省级重点野生保护动物，也没有特有种类存在。</w:t>
            </w:r>
            <w:r>
              <w:rPr>
                <w:rFonts w:ascii="Times New Roman" w:hAnsi="Times New Roman" w:eastAsia="宋体"/>
                <w:color w:val="auto"/>
              </w:rPr>
              <w:t>项目运营期生产过程产生的废气</w:t>
            </w:r>
            <w:r>
              <w:rPr>
                <w:rFonts w:hint="eastAsia" w:ascii="Times New Roman" w:hAnsi="Times New Roman" w:eastAsia="宋体"/>
                <w:color w:val="auto"/>
              </w:rPr>
              <w:t>、废水</w:t>
            </w:r>
            <w:r>
              <w:rPr>
                <w:rFonts w:ascii="Times New Roman" w:hAnsi="Times New Roman" w:eastAsia="宋体"/>
                <w:color w:val="auto"/>
              </w:rPr>
              <w:t>、噪声、固废等均采取有效合理的防治措施，对周围环境影响较小。项目</w:t>
            </w:r>
            <w:r>
              <w:rPr>
                <w:rFonts w:hint="eastAsia" w:ascii="Times New Roman" w:hAnsi="Times New Roman" w:eastAsia="宋体"/>
                <w:color w:val="auto"/>
              </w:rPr>
              <w:t>生产运营</w:t>
            </w:r>
            <w:r>
              <w:rPr>
                <w:rFonts w:ascii="Times New Roman" w:hAnsi="Times New Roman" w:eastAsia="宋体"/>
                <w:color w:val="auto"/>
              </w:rPr>
              <w:t>对生态环境造成的影响不大，是可以接受的。</w:t>
            </w:r>
          </w:p>
          <w:p w14:paraId="1EDE57D7">
            <w:pPr>
              <w:pStyle w:val="61"/>
              <w:ind w:left="0" w:leftChars="0" w:firstLine="0" w:firstLineChars="0"/>
              <w:rPr>
                <w:rFonts w:hint="eastAsia" w:ascii="Times New Roman" w:hAnsi="Times New Roman" w:eastAsia="宋体" w:cs="宋体"/>
                <w:b/>
                <w:bCs/>
                <w:color w:val="auto"/>
                <w:kern w:val="0"/>
                <w:lang w:val="zh-CN"/>
              </w:rPr>
            </w:pPr>
            <w:r>
              <w:rPr>
                <w:rFonts w:hint="eastAsia" w:ascii="Times New Roman" w:hAnsi="Times New Roman" w:cs="宋体"/>
                <w:b/>
                <w:bCs/>
                <w:color w:val="auto"/>
                <w:kern w:val="0"/>
                <w:lang w:val="en-US" w:eastAsia="zh-CN"/>
              </w:rPr>
              <w:t>7、</w:t>
            </w:r>
            <w:r>
              <w:rPr>
                <w:rFonts w:hint="eastAsia" w:ascii="Times New Roman" w:hAnsi="Times New Roman" w:eastAsia="宋体" w:cs="宋体"/>
                <w:b/>
                <w:bCs/>
                <w:color w:val="auto"/>
                <w:kern w:val="0"/>
                <w:lang w:val="zh-CN"/>
              </w:rPr>
              <w:t>运营期环境风险分析</w:t>
            </w:r>
          </w:p>
          <w:p w14:paraId="5EF4188E">
            <w:pPr>
              <w:keepNext w:val="0"/>
              <w:keepLines/>
              <w:pageBreakBefore w:val="0"/>
              <w:kinsoku/>
              <w:overflowPunct/>
              <w:bidi w:val="0"/>
              <w:adjustRightInd/>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343986EA">
            <w:pPr>
              <w:keepNext w:val="0"/>
              <w:keepLines/>
              <w:pageBreakBefore w:val="0"/>
              <w:kinsoku/>
              <w:overflowPunct/>
              <w:bidi w:val="0"/>
              <w:adjustRightInd/>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物质环境急性损害防控为目标，对建设项目的环境风险进行分析、预测和评估，提出环境风险预防、控制、减缓措施，明确环境风险监控及应急要求，为建设项目环境风险防控提供科学依据。</w:t>
            </w:r>
          </w:p>
          <w:p w14:paraId="5D8CC29A">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待本项目建设完成后，本环评建议建设单位及时进行突发环境事件应急预案</w:t>
            </w:r>
            <w:r>
              <w:rPr>
                <w:rFonts w:hint="default" w:ascii="Times New Roman" w:hAnsi="Times New Roman" w:eastAsia="宋体" w:cs="Times New Roman"/>
                <w:color w:val="auto"/>
                <w:sz w:val="24"/>
                <w:lang w:eastAsia="zh-CN"/>
              </w:rPr>
              <w:t>编制</w:t>
            </w:r>
            <w:r>
              <w:rPr>
                <w:rFonts w:hint="default" w:ascii="Times New Roman" w:hAnsi="Times New Roman" w:eastAsia="宋体" w:cs="Times New Roman"/>
                <w:color w:val="auto"/>
                <w:sz w:val="24"/>
              </w:rPr>
              <w:t>工作。</w:t>
            </w:r>
          </w:p>
          <w:p w14:paraId="28F20837">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（1）环境风险识别</w:t>
            </w:r>
          </w:p>
          <w:p w14:paraId="50FBF442">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color w:val="auto"/>
                <w:sz w:val="24"/>
                <w:lang w:eastAsia="zh-CN" w:bidi="ar"/>
              </w:rPr>
            </w:pPr>
            <w:r>
              <w:rPr>
                <w:rFonts w:hint="default" w:ascii="Times New Roman" w:hAnsi="Times New Roman" w:eastAsia="宋体" w:cs="Times New Roman"/>
                <w:color w:val="auto"/>
                <w:kern w:val="24"/>
                <w:sz w:val="24"/>
              </w:rPr>
              <w:t>项目生产中使用的原辅料、生产中产污及产品对照《建设项目环境风险评价技术导则》（HJ169-2018）附录B核查。</w:t>
            </w:r>
            <w:r>
              <w:rPr>
                <w:rFonts w:hint="eastAsia" w:ascii="Times New Roman" w:hAnsi="Times New Roman" w:eastAsia="宋体" w:cs="Times New Roman"/>
                <w:color w:val="auto"/>
                <w:kern w:val="24"/>
                <w:sz w:val="24"/>
                <w:lang w:val="en-US" w:eastAsia="zh-CN"/>
              </w:rPr>
              <w:t>项目不涉及危险化学品的使用，</w:t>
            </w:r>
            <w:r>
              <w:rPr>
                <w:rFonts w:hint="default" w:ascii="Times New Roman" w:hAnsi="Times New Roman" w:eastAsia="宋体" w:cs="Times New Roman"/>
                <w:color w:val="auto"/>
                <w:kern w:val="24"/>
                <w:sz w:val="24"/>
              </w:rPr>
              <w:t>项目</w:t>
            </w:r>
            <w:r>
              <w:rPr>
                <w:rFonts w:hint="eastAsia" w:cs="Times New Roman"/>
                <w:color w:val="auto"/>
                <w:kern w:val="24"/>
                <w:sz w:val="24"/>
                <w:lang w:eastAsia="zh-CN"/>
              </w:rPr>
              <w:t>涉及的</w:t>
            </w:r>
            <w:r>
              <w:rPr>
                <w:rFonts w:hint="default" w:ascii="Times New Roman" w:hAnsi="Times New Roman" w:eastAsia="宋体" w:cs="Times New Roman"/>
                <w:color w:val="auto"/>
                <w:kern w:val="24"/>
                <w:sz w:val="24"/>
              </w:rPr>
              <w:t>风险物质</w:t>
            </w:r>
            <w:r>
              <w:rPr>
                <w:rFonts w:hint="eastAsia" w:cs="Times New Roman"/>
                <w:color w:val="auto"/>
                <w:kern w:val="24"/>
                <w:sz w:val="24"/>
                <w:lang w:eastAsia="zh-CN"/>
              </w:rPr>
              <w:t>为</w:t>
            </w:r>
            <w:r>
              <w:rPr>
                <w:rFonts w:hint="default" w:ascii="Times New Roman" w:hAnsi="Times New Roman" w:eastAsia="宋体" w:cs="Times New Roman"/>
                <w:color w:val="auto"/>
                <w:kern w:val="24"/>
                <w:sz w:val="24"/>
              </w:rPr>
              <w:t>废</w:t>
            </w:r>
            <w:r>
              <w:rPr>
                <w:rFonts w:hint="eastAsia" w:ascii="Times New Roman" w:hAnsi="Times New Roman" w:eastAsia="宋体" w:cs="Times New Roman"/>
                <w:color w:val="auto"/>
                <w:kern w:val="24"/>
                <w:sz w:val="24"/>
                <w:lang w:eastAsia="zh-CN"/>
              </w:rPr>
              <w:t>机</w:t>
            </w:r>
            <w:r>
              <w:rPr>
                <w:rFonts w:hint="default" w:ascii="Times New Roman" w:hAnsi="Times New Roman" w:eastAsia="宋体" w:cs="Times New Roman"/>
                <w:color w:val="auto"/>
                <w:kern w:val="24"/>
                <w:sz w:val="24"/>
              </w:rPr>
              <w:t>油</w:t>
            </w:r>
            <w:r>
              <w:rPr>
                <w:rFonts w:hint="eastAsia" w:ascii="Times New Roman" w:hAnsi="Times New Roman" w:eastAsia="宋体" w:cs="Times New Roman"/>
                <w:color w:val="auto"/>
                <w:kern w:val="24"/>
                <w:sz w:val="24"/>
                <w:lang w:eastAsia="zh-CN"/>
              </w:rPr>
              <w:t>、废液压油</w:t>
            </w:r>
            <w:r>
              <w:rPr>
                <w:rFonts w:hint="default" w:ascii="Times New Roman" w:hAnsi="Times New Roman" w:eastAsia="宋体" w:cs="Times New Roman"/>
                <w:color w:val="auto"/>
                <w:kern w:val="24"/>
                <w:sz w:val="24"/>
              </w:rPr>
              <w:t>。</w:t>
            </w:r>
            <w:r>
              <w:rPr>
                <w:rFonts w:hint="eastAsia" w:ascii="Times New Roman" w:hAnsi="Times New Roman" w:eastAsia="宋体" w:cs="Times New Roman"/>
                <w:color w:val="auto"/>
                <w:sz w:val="24"/>
                <w:lang w:eastAsia="zh-CN" w:bidi="ar"/>
              </w:rPr>
              <w:t>废机油</w:t>
            </w:r>
            <w:r>
              <w:rPr>
                <w:rFonts w:hint="default" w:ascii="Times New Roman" w:hAnsi="Times New Roman" w:eastAsia="宋体" w:cs="Times New Roman"/>
                <w:color w:val="auto"/>
                <w:sz w:val="24"/>
                <w:lang w:bidi="ar"/>
              </w:rPr>
              <w:t>产生量为</w:t>
            </w:r>
            <w:r>
              <w:rPr>
                <w:rFonts w:hint="eastAsia" w:cs="Times New Roman"/>
                <w:color w:val="auto"/>
                <w:sz w:val="24"/>
                <w:lang w:val="en-US" w:eastAsia="zh-CN" w:bidi="ar"/>
              </w:rPr>
              <w:t>0.2</w:t>
            </w:r>
            <w:r>
              <w:rPr>
                <w:rFonts w:hint="default" w:ascii="Times New Roman" w:hAnsi="Times New Roman" w:eastAsia="宋体" w:cs="Times New Roman"/>
                <w:color w:val="auto"/>
                <w:sz w:val="24"/>
                <w:lang w:bidi="ar"/>
              </w:rPr>
              <w:t>t/a</w:t>
            </w:r>
            <w:r>
              <w:rPr>
                <w:rFonts w:hint="eastAsia" w:ascii="Times New Roman" w:hAnsi="Times New Roman" w:eastAsia="宋体" w:cs="Times New Roman"/>
                <w:color w:val="auto"/>
                <w:sz w:val="24"/>
                <w:lang w:eastAsia="zh-CN" w:bidi="ar"/>
              </w:rPr>
              <w:t>，废液压油</w:t>
            </w:r>
            <w:r>
              <w:rPr>
                <w:rFonts w:hint="default" w:ascii="Times New Roman" w:hAnsi="Times New Roman" w:eastAsia="宋体" w:cs="Times New Roman"/>
                <w:color w:val="auto"/>
                <w:sz w:val="24"/>
                <w:lang w:bidi="ar"/>
              </w:rPr>
              <w:t>产生量为0.</w:t>
            </w:r>
            <w:r>
              <w:rPr>
                <w:rFonts w:hint="eastAsia" w:cs="Times New Roman"/>
                <w:color w:val="auto"/>
                <w:sz w:val="24"/>
                <w:lang w:val="en-US" w:eastAsia="zh-CN" w:bidi="ar"/>
              </w:rPr>
              <w:t>36</w:t>
            </w:r>
            <w:r>
              <w:rPr>
                <w:rFonts w:hint="default" w:ascii="Times New Roman" w:hAnsi="Times New Roman" w:eastAsia="宋体" w:cs="Times New Roman"/>
                <w:color w:val="auto"/>
                <w:sz w:val="24"/>
                <w:lang w:bidi="ar"/>
              </w:rPr>
              <w:t>t/a</w:t>
            </w:r>
            <w:r>
              <w:rPr>
                <w:rFonts w:hint="eastAsia" w:ascii="Times New Roman" w:hAnsi="Times New Roman" w:eastAsia="宋体" w:cs="Times New Roman"/>
                <w:color w:val="auto"/>
                <w:sz w:val="24"/>
                <w:lang w:eastAsia="zh-CN" w:bidi="ar"/>
              </w:rPr>
              <w:t>。</w:t>
            </w:r>
          </w:p>
          <w:p w14:paraId="48DB9885">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eastAsia="zh-CN" w:bidi="ar"/>
              </w:rPr>
              <w:t>本项目设置</w:t>
            </w:r>
            <w:r>
              <w:rPr>
                <w:rFonts w:hint="eastAsia" w:ascii="Times New Roman" w:hAnsi="Times New Roman" w:eastAsia="宋体" w:cs="Times New Roman"/>
                <w:color w:val="auto"/>
                <w:sz w:val="24"/>
                <w:lang w:val="en-US" w:eastAsia="zh-CN" w:bidi="ar"/>
              </w:rPr>
              <w:t>10m</w:t>
            </w:r>
            <w:r>
              <w:rPr>
                <w:rFonts w:hint="eastAsia" w:ascii="Times New Roman" w:hAnsi="Times New Roman" w:eastAsia="宋体" w:cs="Times New Roman"/>
                <w:color w:val="auto"/>
                <w:sz w:val="24"/>
                <w:vertAlign w:val="superscript"/>
                <w:lang w:val="en-US" w:eastAsia="zh-CN" w:bidi="ar"/>
              </w:rPr>
              <w:t>2</w:t>
            </w:r>
            <w:r>
              <w:rPr>
                <w:rFonts w:hint="eastAsia" w:ascii="Times New Roman" w:hAnsi="Times New Roman" w:eastAsia="宋体" w:cs="Times New Roman"/>
                <w:color w:val="auto"/>
                <w:sz w:val="24"/>
                <w:lang w:val="en-US" w:eastAsia="zh-CN" w:bidi="ar"/>
              </w:rPr>
              <w:t>危废暂存间，</w:t>
            </w:r>
            <w:r>
              <w:rPr>
                <w:rFonts w:hint="default" w:ascii="Times New Roman" w:hAnsi="Times New Roman" w:eastAsia="宋体" w:cs="Times New Roman"/>
                <w:color w:val="auto"/>
                <w:sz w:val="24"/>
                <w:lang w:bidi="ar"/>
              </w:rPr>
              <w:t>危废暂存间内设</w:t>
            </w:r>
            <w:r>
              <w:rPr>
                <w:rFonts w:hint="eastAsia" w:cs="Times New Roman"/>
                <w:color w:val="auto"/>
                <w:sz w:val="24"/>
                <w:lang w:val="en-US" w:eastAsia="zh-CN" w:bidi="ar"/>
              </w:rPr>
              <w:t>4</w:t>
            </w:r>
            <w:r>
              <w:rPr>
                <w:rFonts w:hint="eastAsia" w:ascii="Times New Roman" w:hAnsi="Times New Roman" w:eastAsia="宋体" w:cs="Times New Roman"/>
                <w:color w:val="auto"/>
                <w:sz w:val="24"/>
                <w:lang w:val="en-US" w:eastAsia="zh-CN" w:bidi="ar"/>
              </w:rPr>
              <w:t>个收集桶（废机油收集桶</w:t>
            </w:r>
            <w:r>
              <w:rPr>
                <w:rFonts w:hint="eastAsia" w:cs="Times New Roman"/>
                <w:color w:val="auto"/>
                <w:sz w:val="24"/>
                <w:lang w:val="en-US" w:eastAsia="zh-CN" w:bidi="ar"/>
              </w:rPr>
              <w:t>2</w:t>
            </w:r>
            <w:r>
              <w:rPr>
                <w:rFonts w:hint="eastAsia" w:ascii="Times New Roman" w:hAnsi="Times New Roman" w:eastAsia="宋体" w:cs="Times New Roman"/>
                <w:color w:val="auto"/>
                <w:sz w:val="24"/>
                <w:lang w:val="en-US" w:eastAsia="zh-CN" w:bidi="ar"/>
              </w:rPr>
              <w:t>个、废液压油收集桶</w:t>
            </w:r>
            <w:r>
              <w:rPr>
                <w:rFonts w:hint="eastAsia" w:cs="Times New Roman"/>
                <w:color w:val="auto"/>
                <w:sz w:val="24"/>
                <w:lang w:val="en-US" w:eastAsia="zh-CN" w:bidi="ar"/>
              </w:rPr>
              <w:t>2</w:t>
            </w:r>
            <w:r>
              <w:rPr>
                <w:rFonts w:hint="eastAsia" w:ascii="Times New Roman" w:hAnsi="Times New Roman" w:eastAsia="宋体" w:cs="Times New Roman"/>
                <w:color w:val="auto"/>
                <w:sz w:val="24"/>
                <w:lang w:val="en-US" w:eastAsia="zh-CN" w:bidi="ar"/>
              </w:rPr>
              <w:t>个）收集废机油、废液压油</w:t>
            </w:r>
            <w:r>
              <w:rPr>
                <w:rFonts w:hint="eastAsia" w:ascii="Times New Roman" w:hAnsi="Times New Roman" w:eastAsia="宋体" w:cs="Times New Roman"/>
                <w:color w:val="auto"/>
                <w:sz w:val="24"/>
                <w:lang w:eastAsia="zh-CN" w:bidi="ar"/>
              </w:rPr>
              <w:t>，收集桶每个为200L，直径80</w:t>
            </w:r>
            <w:r>
              <w:rPr>
                <w:rFonts w:hint="eastAsia" w:ascii="Times New Roman" w:hAnsi="Times New Roman" w:eastAsia="宋体" w:cs="Times New Roman"/>
                <w:color w:val="auto"/>
                <w:sz w:val="24"/>
                <w:lang w:val="en-US" w:eastAsia="zh-CN" w:bidi="ar"/>
              </w:rPr>
              <w:t>cm</w:t>
            </w:r>
            <w:r>
              <w:rPr>
                <w:rFonts w:hint="eastAsia" w:ascii="Times New Roman" w:hAnsi="Times New Roman" w:eastAsia="宋体" w:cs="Times New Roman"/>
                <w:color w:val="auto"/>
                <w:sz w:val="24"/>
                <w:lang w:eastAsia="zh-CN" w:bidi="ar"/>
              </w:rPr>
              <w:t>，高120</w:t>
            </w:r>
            <w:r>
              <w:rPr>
                <w:rFonts w:hint="eastAsia" w:ascii="Times New Roman" w:hAnsi="Times New Roman" w:eastAsia="宋体" w:cs="Times New Roman"/>
                <w:color w:val="auto"/>
                <w:sz w:val="24"/>
                <w:lang w:val="en-US" w:eastAsia="zh-CN" w:bidi="ar"/>
              </w:rPr>
              <w:t>cm，废机油、废液压油密度约0.9g/ml，即单个收集桶能够收集约0.18t废油。</w:t>
            </w:r>
          </w:p>
          <w:p w14:paraId="4D6DA5E1">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对照《危险化学品重大危险源辨识》（GB18218-2018）规定，上述物质未列入表中，不属于构成重大危险源的基本物质。</w:t>
            </w:r>
          </w:p>
          <w:p w14:paraId="56AFF93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kern w:val="24"/>
                <w:sz w:val="24"/>
              </w:rPr>
            </w:pPr>
            <w:r>
              <w:rPr>
                <w:rFonts w:hint="default" w:ascii="Times New Roman" w:hAnsi="Times New Roman" w:eastAsia="宋体" w:cs="Times New Roman"/>
                <w:color w:val="auto"/>
                <w:kern w:val="24"/>
                <w:sz w:val="24"/>
              </w:rPr>
              <w:t>根据此原则，对项目区内各环节涉及的主要物质进行识别，识别过程及结果见下表。</w:t>
            </w:r>
          </w:p>
          <w:p w14:paraId="251FDFE9">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w:t>
            </w:r>
            <w:r>
              <w:rPr>
                <w:rFonts w:hint="eastAsia" w:ascii="Times New Roman" w:hAnsi="Times New Roman" w:eastAsia="宋体" w:cs="Times New Roman"/>
                <w:b/>
                <w:color w:val="auto"/>
                <w:kern w:val="2"/>
                <w:sz w:val="21"/>
                <w:szCs w:val="24"/>
                <w:lang w:val="en-US" w:eastAsia="zh-CN" w:bidi="ar-SA"/>
              </w:rPr>
              <w:t>4-1</w:t>
            </w:r>
            <w:r>
              <w:rPr>
                <w:rFonts w:hint="eastAsia" w:cs="Times New Roman"/>
                <w:b/>
                <w:color w:val="auto"/>
                <w:kern w:val="2"/>
                <w:sz w:val="21"/>
                <w:szCs w:val="24"/>
                <w:lang w:val="en-US" w:eastAsia="zh-CN" w:bidi="ar-SA"/>
              </w:rPr>
              <w:t>3</w:t>
            </w:r>
            <w:r>
              <w:rPr>
                <w:rFonts w:hint="default" w:ascii="Times New Roman" w:hAnsi="Times New Roman" w:eastAsia="宋体" w:cs="Times New Roman"/>
                <w:b/>
                <w:color w:val="auto"/>
                <w:kern w:val="2"/>
                <w:sz w:val="21"/>
                <w:szCs w:val="24"/>
                <w:lang w:val="en-US" w:eastAsia="zh-CN" w:bidi="ar-SA"/>
              </w:rPr>
              <w:t>环境风险物质识别表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2"/>
              <w:gridCol w:w="2460"/>
              <w:gridCol w:w="1352"/>
              <w:gridCol w:w="1299"/>
              <w:gridCol w:w="874"/>
            </w:tblGrid>
            <w:tr w14:paraId="2C1B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5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647D6BE">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物质名称</w:t>
                  </w:r>
                </w:p>
              </w:tc>
              <w:tc>
                <w:tcPr>
                  <w:tcW w:w="149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9A88470">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是否为（HJ169-2018）附录B中风险物质</w:t>
                  </w:r>
                </w:p>
              </w:tc>
              <w:tc>
                <w:tcPr>
                  <w:tcW w:w="8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D947E07">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存放位置</w:t>
                  </w:r>
                </w:p>
              </w:tc>
              <w:tc>
                <w:tcPr>
                  <w:tcW w:w="79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430201">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CAS号</w:t>
                  </w:r>
                </w:p>
              </w:tc>
              <w:tc>
                <w:tcPr>
                  <w:tcW w:w="53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D39B8B2">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可燃性</w:t>
                  </w:r>
                </w:p>
              </w:tc>
            </w:tr>
            <w:tr w14:paraId="5F5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353" w:type="pct"/>
                  <w:tcBorders>
                    <w:top w:val="single" w:color="auto" w:sz="4" w:space="0"/>
                    <w:left w:val="single" w:color="auto" w:sz="4" w:space="0"/>
                    <w:bottom w:val="single" w:color="auto" w:sz="4" w:space="0"/>
                    <w:right w:val="single" w:color="auto" w:sz="4" w:space="0"/>
                  </w:tcBorders>
                  <w:vAlign w:val="center"/>
                </w:tcPr>
                <w:p w14:paraId="52019D50">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废机油</w:t>
                  </w:r>
                </w:p>
              </w:tc>
              <w:tc>
                <w:tcPr>
                  <w:tcW w:w="1498" w:type="pct"/>
                  <w:tcBorders>
                    <w:top w:val="single" w:color="auto" w:sz="4" w:space="0"/>
                    <w:left w:val="single" w:color="auto" w:sz="4" w:space="0"/>
                    <w:bottom w:val="single" w:color="auto" w:sz="4" w:space="0"/>
                    <w:right w:val="single" w:color="auto" w:sz="4" w:space="0"/>
                  </w:tcBorders>
                  <w:vAlign w:val="center"/>
                </w:tcPr>
                <w:p w14:paraId="0334BD5D">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823" w:type="pct"/>
                  <w:tcBorders>
                    <w:top w:val="single" w:color="auto" w:sz="4" w:space="0"/>
                    <w:left w:val="single" w:color="auto" w:sz="4" w:space="0"/>
                    <w:bottom w:val="single" w:color="auto" w:sz="4" w:space="0"/>
                    <w:right w:val="single" w:color="auto" w:sz="4" w:space="0"/>
                  </w:tcBorders>
                  <w:vAlign w:val="center"/>
                </w:tcPr>
                <w:p w14:paraId="09DC0E67">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危废暂存间</w:t>
                  </w:r>
                </w:p>
              </w:tc>
              <w:tc>
                <w:tcPr>
                  <w:tcW w:w="791" w:type="pct"/>
                  <w:tcBorders>
                    <w:top w:val="single" w:color="auto" w:sz="4" w:space="0"/>
                    <w:left w:val="single" w:color="auto" w:sz="4" w:space="0"/>
                    <w:bottom w:val="single" w:color="auto" w:sz="4" w:space="0"/>
                    <w:right w:val="single" w:color="auto" w:sz="4" w:space="0"/>
                  </w:tcBorders>
                  <w:vAlign w:val="center"/>
                </w:tcPr>
                <w:p w14:paraId="100DE77C">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532" w:type="pct"/>
                  <w:tcBorders>
                    <w:top w:val="single" w:color="auto" w:sz="4" w:space="0"/>
                    <w:left w:val="single" w:color="auto" w:sz="4" w:space="0"/>
                    <w:bottom w:val="single" w:color="auto" w:sz="4" w:space="0"/>
                    <w:right w:val="single" w:color="auto" w:sz="4" w:space="0"/>
                  </w:tcBorders>
                  <w:vAlign w:val="center"/>
                </w:tcPr>
                <w:p w14:paraId="43DABD4B">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易燃</w:t>
                  </w:r>
                </w:p>
              </w:tc>
            </w:tr>
            <w:tr w14:paraId="3068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3" w:type="pct"/>
                  <w:tcBorders>
                    <w:top w:val="single" w:color="auto" w:sz="4" w:space="0"/>
                    <w:left w:val="single" w:color="auto" w:sz="4" w:space="0"/>
                    <w:bottom w:val="single" w:color="auto" w:sz="4" w:space="0"/>
                    <w:right w:val="single" w:color="auto" w:sz="4" w:space="0"/>
                  </w:tcBorders>
                  <w:vAlign w:val="center"/>
                </w:tcPr>
                <w:p w14:paraId="3EA07254">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废液压油</w:t>
                  </w:r>
                </w:p>
              </w:tc>
              <w:tc>
                <w:tcPr>
                  <w:tcW w:w="1498" w:type="pct"/>
                  <w:tcBorders>
                    <w:top w:val="single" w:color="auto" w:sz="4" w:space="0"/>
                    <w:left w:val="single" w:color="auto" w:sz="4" w:space="0"/>
                    <w:bottom w:val="single" w:color="auto" w:sz="4" w:space="0"/>
                    <w:right w:val="single" w:color="auto" w:sz="4" w:space="0"/>
                  </w:tcBorders>
                  <w:vAlign w:val="center"/>
                </w:tcPr>
                <w:p w14:paraId="4F9BD289">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w:t>
                  </w:r>
                </w:p>
              </w:tc>
              <w:tc>
                <w:tcPr>
                  <w:tcW w:w="823" w:type="pct"/>
                  <w:tcBorders>
                    <w:top w:val="single" w:color="auto" w:sz="4" w:space="0"/>
                    <w:left w:val="single" w:color="auto" w:sz="4" w:space="0"/>
                    <w:bottom w:val="single" w:color="auto" w:sz="4" w:space="0"/>
                    <w:right w:val="single" w:color="auto" w:sz="4" w:space="0"/>
                  </w:tcBorders>
                  <w:vAlign w:val="center"/>
                </w:tcPr>
                <w:p w14:paraId="63ECB30E">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危废暂存间</w:t>
                  </w:r>
                </w:p>
              </w:tc>
              <w:tc>
                <w:tcPr>
                  <w:tcW w:w="791" w:type="pct"/>
                  <w:tcBorders>
                    <w:top w:val="single" w:color="auto" w:sz="4" w:space="0"/>
                    <w:left w:val="single" w:color="auto" w:sz="4" w:space="0"/>
                    <w:bottom w:val="single" w:color="auto" w:sz="4" w:space="0"/>
                    <w:right w:val="single" w:color="auto" w:sz="4" w:space="0"/>
                  </w:tcBorders>
                  <w:vAlign w:val="center"/>
                </w:tcPr>
                <w:p w14:paraId="3FA1BCED">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532" w:type="pct"/>
                  <w:tcBorders>
                    <w:top w:val="single" w:color="auto" w:sz="4" w:space="0"/>
                    <w:left w:val="single" w:color="auto" w:sz="4" w:space="0"/>
                    <w:bottom w:val="single" w:color="auto" w:sz="4" w:space="0"/>
                    <w:right w:val="single" w:color="auto" w:sz="4" w:space="0"/>
                  </w:tcBorders>
                  <w:vAlign w:val="center"/>
                </w:tcPr>
                <w:p w14:paraId="63D7CB3A">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易燃</w:t>
                  </w:r>
                </w:p>
              </w:tc>
            </w:tr>
          </w:tbl>
          <w:p w14:paraId="287F867D">
            <w:pPr>
              <w:pStyle w:val="61"/>
              <w:keepNext w:val="0"/>
              <w:keepLines w:val="0"/>
              <w:pageBreakBefore w:val="0"/>
              <w:widowControl w:val="0"/>
              <w:kinsoku/>
              <w:wordWrap/>
              <w:overflowPunct/>
              <w:topLinePunct w:val="0"/>
              <w:autoSpaceDE/>
              <w:autoSpaceDN/>
              <w:bidi w:val="0"/>
              <w:adjustRightInd w:val="0"/>
              <w:snapToGrid w:val="0"/>
              <w:spacing w:before="160" w:beforeLines="50"/>
              <w:ind w:firstLine="480"/>
              <w:textAlignment w:val="auto"/>
              <w:rPr>
                <w:rFonts w:ascii="Times New Roman" w:hAnsi="Times New Roman" w:eastAsia="宋体"/>
                <w:color w:val="auto"/>
              </w:rPr>
            </w:pPr>
            <w:r>
              <w:rPr>
                <w:rFonts w:hint="default" w:ascii="Times New Roman" w:hAnsi="Times New Roman" w:eastAsia="宋体" w:cs="Times New Roman"/>
                <w:color w:val="auto"/>
                <w:sz w:val="24"/>
              </w:rPr>
              <w:t>由上表可知，本项目主要风险源为</w:t>
            </w:r>
            <w:r>
              <w:rPr>
                <w:rFonts w:hint="eastAsia" w:ascii="Times New Roman" w:hAnsi="Times New Roman" w:eastAsia="宋体" w:cs="Times New Roman"/>
                <w:color w:val="auto"/>
                <w:sz w:val="24"/>
                <w:lang w:eastAsia="zh-CN"/>
              </w:rPr>
              <w:t>废机油</w:t>
            </w:r>
            <w:r>
              <w:rPr>
                <w:rFonts w:hint="default" w:ascii="Times New Roman" w:hAnsi="Times New Roman" w:eastAsia="宋体" w:cs="Times New Roman"/>
                <w:color w:val="auto"/>
                <w:sz w:val="24"/>
              </w:rPr>
              <w:t>及火灾产生的伴生及火灾产生的伴生污染物CO。</w:t>
            </w:r>
            <w:r>
              <w:rPr>
                <w:rFonts w:hint="eastAsia" w:ascii="Times New Roman" w:hAnsi="Times New Roman" w:eastAsia="宋体" w:cs="Times New Roman"/>
                <w:color w:val="auto"/>
                <w:sz w:val="24"/>
                <w:lang w:eastAsia="zh-CN"/>
              </w:rPr>
              <w:t>废机油</w:t>
            </w:r>
            <w:r>
              <w:rPr>
                <w:rFonts w:hint="default" w:ascii="Times New Roman" w:hAnsi="Times New Roman" w:eastAsia="宋体" w:cs="Times New Roman"/>
                <w:color w:val="auto"/>
                <w:sz w:val="24"/>
              </w:rPr>
              <w:t>及火灾伴生污染物CO主要理化性质见下表：</w:t>
            </w:r>
          </w:p>
          <w:p w14:paraId="5D5D6B68">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w:t>
            </w:r>
            <w:r>
              <w:rPr>
                <w:rFonts w:hint="eastAsia" w:ascii="Times New Roman" w:hAnsi="Times New Roman" w:eastAsia="宋体" w:cs="Times New Roman"/>
                <w:b/>
                <w:color w:val="auto"/>
                <w:kern w:val="2"/>
                <w:sz w:val="21"/>
                <w:szCs w:val="24"/>
                <w:lang w:val="en-US" w:eastAsia="zh-CN" w:bidi="ar-SA"/>
              </w:rPr>
              <w:t>4-1</w:t>
            </w:r>
            <w:r>
              <w:rPr>
                <w:rFonts w:hint="eastAsia"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t>机</w:t>
            </w:r>
            <w:r>
              <w:rPr>
                <w:rFonts w:hint="default" w:ascii="Times New Roman" w:hAnsi="Times New Roman" w:eastAsia="宋体" w:cs="Times New Roman"/>
                <w:b/>
                <w:color w:val="auto"/>
                <w:kern w:val="2"/>
                <w:sz w:val="21"/>
                <w:szCs w:val="24"/>
                <w:lang w:val="en-US" w:eastAsia="zh-CN" w:bidi="ar-SA"/>
              </w:rPr>
              <w:t>油理化性质、危险特性一览表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350"/>
              <w:gridCol w:w="2244"/>
              <w:gridCol w:w="1607"/>
              <w:gridCol w:w="2001"/>
            </w:tblGrid>
            <w:tr w14:paraId="71A8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restart"/>
                  <w:shd w:val="clear" w:color="auto" w:fill="D7D7D7" w:themeFill="background1" w:themeFillShade="D8"/>
                  <w:vAlign w:val="center"/>
                </w:tcPr>
                <w:p w14:paraId="0129117C">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标识</w:t>
                  </w:r>
                </w:p>
              </w:tc>
              <w:tc>
                <w:tcPr>
                  <w:tcW w:w="853" w:type="pct"/>
                  <w:vAlign w:val="center"/>
                </w:tcPr>
                <w:p w14:paraId="2CA39BE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中文名称</w:t>
                  </w:r>
                </w:p>
              </w:tc>
              <w:tc>
                <w:tcPr>
                  <w:tcW w:w="1397" w:type="pct"/>
                  <w:vAlign w:val="center"/>
                </w:tcPr>
                <w:p w14:paraId="32ACBD6C">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机油；润滑油</w:t>
                  </w:r>
                </w:p>
              </w:tc>
              <w:tc>
                <w:tcPr>
                  <w:tcW w:w="1009" w:type="pct"/>
                  <w:vAlign w:val="center"/>
                </w:tcPr>
                <w:p w14:paraId="35190CE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英文名称</w:t>
                  </w:r>
                </w:p>
              </w:tc>
              <w:tc>
                <w:tcPr>
                  <w:tcW w:w="1096" w:type="pct"/>
                  <w:vAlign w:val="center"/>
                </w:tcPr>
                <w:p w14:paraId="3D7A989D">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lubricatingoilLubeoil</w:t>
                  </w:r>
                </w:p>
              </w:tc>
            </w:tr>
            <w:tr w14:paraId="1A87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25A7008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79096EA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CAS号</w:t>
                  </w:r>
                </w:p>
              </w:tc>
              <w:tc>
                <w:tcPr>
                  <w:tcW w:w="1397" w:type="pct"/>
                  <w:vAlign w:val="center"/>
                </w:tcPr>
                <w:p w14:paraId="1B2975AD">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无资料</w:t>
                  </w:r>
                </w:p>
              </w:tc>
              <w:tc>
                <w:tcPr>
                  <w:tcW w:w="1009" w:type="pct"/>
                  <w:vAlign w:val="center"/>
                </w:tcPr>
                <w:p w14:paraId="7D2D0B00">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UN编号</w:t>
                  </w:r>
                </w:p>
              </w:tc>
              <w:tc>
                <w:tcPr>
                  <w:tcW w:w="1096" w:type="pct"/>
                  <w:vAlign w:val="center"/>
                </w:tcPr>
                <w:p w14:paraId="3F601CA0">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无资料</w:t>
                  </w:r>
                </w:p>
              </w:tc>
            </w:tr>
            <w:tr w14:paraId="2B7E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5A8170E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1E3EE773">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分子量</w:t>
                  </w:r>
                </w:p>
              </w:tc>
              <w:tc>
                <w:tcPr>
                  <w:tcW w:w="1397" w:type="pct"/>
                  <w:vAlign w:val="center"/>
                </w:tcPr>
                <w:p w14:paraId="57C231F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230-500</w:t>
                  </w:r>
                </w:p>
              </w:tc>
              <w:tc>
                <w:tcPr>
                  <w:tcW w:w="1009" w:type="pct"/>
                  <w:vAlign w:val="center"/>
                </w:tcPr>
                <w:p w14:paraId="1D8C3FE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危险货物编号</w:t>
                  </w:r>
                </w:p>
              </w:tc>
              <w:tc>
                <w:tcPr>
                  <w:tcW w:w="1096" w:type="pct"/>
                  <w:vAlign w:val="center"/>
                </w:tcPr>
                <w:p w14:paraId="0AC8F695">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r>
            <w:tr w14:paraId="45E6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643" w:type="pct"/>
                  <w:vMerge w:val="restart"/>
                  <w:shd w:val="clear" w:color="auto" w:fill="D7D7D7" w:themeFill="background1" w:themeFillShade="D8"/>
                  <w:vAlign w:val="center"/>
                </w:tcPr>
                <w:p w14:paraId="05F3F0C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理化性质</w:t>
                  </w:r>
                </w:p>
              </w:tc>
              <w:tc>
                <w:tcPr>
                  <w:tcW w:w="853" w:type="pct"/>
                  <w:vAlign w:val="center"/>
                </w:tcPr>
                <w:p w14:paraId="0948B90C">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外观与性状</w:t>
                  </w:r>
                </w:p>
              </w:tc>
              <w:tc>
                <w:tcPr>
                  <w:tcW w:w="1397" w:type="pct"/>
                  <w:vAlign w:val="center"/>
                </w:tcPr>
                <w:p w14:paraId="1AB5F244">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油状液体，淡黄色至褐色，无气味或略带异味</w:t>
                  </w:r>
                </w:p>
              </w:tc>
              <w:tc>
                <w:tcPr>
                  <w:tcW w:w="1009" w:type="pct"/>
                  <w:vAlign w:val="center"/>
                </w:tcPr>
                <w:p w14:paraId="57DB70E3">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熔点（℃）</w:t>
                  </w:r>
                </w:p>
              </w:tc>
              <w:tc>
                <w:tcPr>
                  <w:tcW w:w="1096" w:type="pct"/>
                  <w:vAlign w:val="center"/>
                </w:tcPr>
                <w:p w14:paraId="46EC63FC">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0278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4E00F04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1966DCD0">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化学类别</w:t>
                  </w:r>
                </w:p>
              </w:tc>
              <w:tc>
                <w:tcPr>
                  <w:tcW w:w="1397" w:type="pct"/>
                  <w:vAlign w:val="center"/>
                </w:tcPr>
                <w:p w14:paraId="6FC2C61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烷烃</w:t>
                  </w:r>
                </w:p>
              </w:tc>
              <w:tc>
                <w:tcPr>
                  <w:tcW w:w="1009" w:type="pct"/>
                  <w:vAlign w:val="center"/>
                </w:tcPr>
                <w:p w14:paraId="182AC46A">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沸点（℃）</w:t>
                  </w:r>
                </w:p>
              </w:tc>
              <w:tc>
                <w:tcPr>
                  <w:tcW w:w="1096" w:type="pct"/>
                  <w:vAlign w:val="center"/>
                </w:tcPr>
                <w:p w14:paraId="3925DA5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590C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19565E8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3E89972D">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闪点（℃）</w:t>
                  </w:r>
                </w:p>
              </w:tc>
              <w:tc>
                <w:tcPr>
                  <w:tcW w:w="1397" w:type="pct"/>
                  <w:vAlign w:val="center"/>
                </w:tcPr>
                <w:p w14:paraId="7CDEC1D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76</w:t>
                  </w:r>
                </w:p>
              </w:tc>
              <w:tc>
                <w:tcPr>
                  <w:tcW w:w="1009" w:type="pct"/>
                  <w:vAlign w:val="center"/>
                </w:tcPr>
                <w:p w14:paraId="0834F8D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引燃温度（℃）</w:t>
                  </w:r>
                </w:p>
              </w:tc>
              <w:tc>
                <w:tcPr>
                  <w:tcW w:w="1096" w:type="pct"/>
                  <w:vAlign w:val="center"/>
                </w:tcPr>
                <w:p w14:paraId="15E2E5F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248</w:t>
                  </w:r>
                </w:p>
              </w:tc>
            </w:tr>
            <w:tr w14:paraId="7F72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6C51EEC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72E2337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相对密度</w:t>
                  </w:r>
                </w:p>
              </w:tc>
              <w:tc>
                <w:tcPr>
                  <w:tcW w:w="1397" w:type="pct"/>
                  <w:vAlign w:val="center"/>
                </w:tcPr>
                <w:p w14:paraId="50DBA6B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＜1（水=1）</w:t>
                  </w:r>
                </w:p>
              </w:tc>
              <w:tc>
                <w:tcPr>
                  <w:tcW w:w="1009" w:type="pct"/>
                  <w:vAlign w:val="center"/>
                </w:tcPr>
                <w:p w14:paraId="45FF870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溶解性</w:t>
                  </w:r>
                </w:p>
              </w:tc>
              <w:tc>
                <w:tcPr>
                  <w:tcW w:w="1096" w:type="pct"/>
                  <w:vAlign w:val="center"/>
                </w:tcPr>
                <w:p w14:paraId="68572B8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不溶于水</w:t>
                  </w:r>
                </w:p>
              </w:tc>
            </w:tr>
            <w:tr w14:paraId="193E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643" w:type="pct"/>
                  <w:vMerge w:val="restart"/>
                  <w:shd w:val="clear" w:color="auto" w:fill="D7D7D7" w:themeFill="background1" w:themeFillShade="D8"/>
                  <w:vAlign w:val="center"/>
                </w:tcPr>
                <w:p w14:paraId="0651353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毒性及健康危害</w:t>
                  </w:r>
                </w:p>
              </w:tc>
              <w:tc>
                <w:tcPr>
                  <w:tcW w:w="853" w:type="pct"/>
                  <w:vAlign w:val="center"/>
                </w:tcPr>
                <w:p w14:paraId="52B4992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急性毒性</w:t>
                  </w:r>
                </w:p>
              </w:tc>
              <w:tc>
                <w:tcPr>
                  <w:tcW w:w="1397" w:type="pct"/>
                  <w:vAlign w:val="center"/>
                </w:tcPr>
                <w:p w14:paraId="32DEC765">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LD</w:t>
                  </w:r>
                  <w:r>
                    <w:rPr>
                      <w:rFonts w:hint="default" w:ascii="Times New Roman" w:hAnsi="Times New Roman" w:eastAsia="宋体" w:cs="Times New Roman"/>
                      <w:bCs/>
                      <w:color w:val="auto"/>
                      <w:sz w:val="21"/>
                      <w:szCs w:val="21"/>
                      <w:vertAlign w:val="subscript"/>
                    </w:rPr>
                    <w:t>50（</w:t>
                  </w:r>
                  <w:r>
                    <w:rPr>
                      <w:rFonts w:hint="default" w:ascii="Times New Roman" w:hAnsi="Times New Roman" w:eastAsia="宋体" w:cs="Times New Roman"/>
                      <w:bCs/>
                      <w:color w:val="auto"/>
                      <w:sz w:val="21"/>
                      <w:szCs w:val="21"/>
                    </w:rPr>
                    <w:t>mg/kg大鼠径口）</w:t>
                  </w:r>
                </w:p>
              </w:tc>
              <w:tc>
                <w:tcPr>
                  <w:tcW w:w="1009" w:type="pct"/>
                  <w:vAlign w:val="center"/>
                </w:tcPr>
                <w:p w14:paraId="1F29F063">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无资料</w:t>
                  </w:r>
                </w:p>
              </w:tc>
              <w:tc>
                <w:tcPr>
                  <w:tcW w:w="1096" w:type="pct"/>
                  <w:vAlign w:val="center"/>
                </w:tcPr>
                <w:p w14:paraId="4823F18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r>
            <w:tr w14:paraId="2C1F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43" w:type="pct"/>
                  <w:vMerge w:val="continue"/>
                  <w:shd w:val="clear" w:color="auto" w:fill="D7D7D7" w:themeFill="background1" w:themeFillShade="D8"/>
                  <w:vAlign w:val="center"/>
                </w:tcPr>
                <w:p w14:paraId="06E07849">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41C4F83C">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侵入途径</w:t>
                  </w:r>
                </w:p>
              </w:tc>
              <w:tc>
                <w:tcPr>
                  <w:tcW w:w="3503" w:type="pct"/>
                  <w:gridSpan w:val="3"/>
                  <w:vAlign w:val="center"/>
                </w:tcPr>
                <w:p w14:paraId="47B95D25">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吸入、食入</w:t>
                  </w:r>
                </w:p>
              </w:tc>
            </w:tr>
            <w:tr w14:paraId="7923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45979F9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3" w:type="pct"/>
                  <w:vAlign w:val="center"/>
                </w:tcPr>
                <w:p w14:paraId="4400A3DD">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健康危害</w:t>
                  </w:r>
                </w:p>
              </w:tc>
              <w:tc>
                <w:tcPr>
                  <w:tcW w:w="3503" w:type="pct"/>
                  <w:gridSpan w:val="3"/>
                  <w:vAlign w:val="center"/>
                </w:tcPr>
                <w:p w14:paraId="2F03307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pacing w:val="-6"/>
                      <w:sz w:val="21"/>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0FD1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restart"/>
                  <w:shd w:val="clear" w:color="auto" w:fill="D7D7D7" w:themeFill="background1" w:themeFillShade="D8"/>
                  <w:vAlign w:val="center"/>
                </w:tcPr>
                <w:p w14:paraId="2C7D123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燃烧爆炸危险性</w:t>
                  </w:r>
                </w:p>
              </w:tc>
              <w:tc>
                <w:tcPr>
                  <w:tcW w:w="853" w:type="pct"/>
                  <w:vAlign w:val="center"/>
                </w:tcPr>
                <w:p w14:paraId="6F512584">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危险特性</w:t>
                  </w:r>
                </w:p>
              </w:tc>
              <w:tc>
                <w:tcPr>
                  <w:tcW w:w="3503" w:type="pct"/>
                  <w:gridSpan w:val="3"/>
                  <w:vAlign w:val="center"/>
                </w:tcPr>
                <w:p w14:paraId="5FF9207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遇明火、高热可燃。</w:t>
                  </w:r>
                </w:p>
              </w:tc>
            </w:tr>
            <w:tr w14:paraId="54FF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1A99D65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3" w:type="pct"/>
                  <w:vAlign w:val="center"/>
                </w:tcPr>
                <w:p w14:paraId="6D880603">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燃烧（分解）产物</w:t>
                  </w:r>
                </w:p>
              </w:tc>
              <w:tc>
                <w:tcPr>
                  <w:tcW w:w="3503" w:type="pct"/>
                  <w:gridSpan w:val="3"/>
                  <w:vAlign w:val="center"/>
                </w:tcPr>
                <w:p w14:paraId="6ADF18F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一氧化碳、二氧化碳</w:t>
                  </w:r>
                </w:p>
              </w:tc>
            </w:tr>
            <w:tr w14:paraId="7A79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535F1133">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3" w:type="pct"/>
                  <w:vAlign w:val="center"/>
                </w:tcPr>
                <w:p w14:paraId="0AE58AD2">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灭火剂</w:t>
                  </w:r>
                </w:p>
              </w:tc>
              <w:tc>
                <w:tcPr>
                  <w:tcW w:w="3503" w:type="pct"/>
                  <w:gridSpan w:val="3"/>
                  <w:vAlign w:val="center"/>
                </w:tcPr>
                <w:p w14:paraId="0108758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雾状水、泡沫、干粉、二氧化碳、砂土</w:t>
                  </w:r>
                </w:p>
              </w:tc>
            </w:tr>
            <w:tr w14:paraId="3E47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3" w:type="pct"/>
                  <w:vMerge w:val="continue"/>
                  <w:shd w:val="clear" w:color="auto" w:fill="D7D7D7" w:themeFill="background1" w:themeFillShade="D8"/>
                  <w:vAlign w:val="center"/>
                </w:tcPr>
                <w:p w14:paraId="31E28D4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3" w:type="pct"/>
                  <w:vAlign w:val="center"/>
                </w:tcPr>
                <w:p w14:paraId="3640A289">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灭火方法</w:t>
                  </w:r>
                </w:p>
              </w:tc>
              <w:tc>
                <w:tcPr>
                  <w:tcW w:w="3503" w:type="pct"/>
                  <w:gridSpan w:val="3"/>
                  <w:vAlign w:val="center"/>
                </w:tcPr>
                <w:p w14:paraId="036148C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消防人员必须佩戴防毒面具，穿全身消防服，在上风向灭火，尽可能</w:t>
                  </w:r>
                  <w:r>
                    <w:rPr>
                      <w:rFonts w:hint="eastAsia" w:ascii="Times New Roman" w:hAnsi="Times New Roman" w:cs="Times New Roman"/>
                      <w:bCs/>
                      <w:color w:val="auto"/>
                      <w:sz w:val="21"/>
                      <w:szCs w:val="21"/>
                      <w:lang w:eastAsia="zh-CN"/>
                    </w:rPr>
                    <w:t>地</w:t>
                  </w:r>
                  <w:r>
                    <w:rPr>
                      <w:rFonts w:hint="default" w:ascii="Times New Roman" w:hAnsi="Times New Roman" w:eastAsia="宋体" w:cs="Times New Roman"/>
                      <w:bCs/>
                      <w:color w:val="auto"/>
                      <w:sz w:val="21"/>
                      <w:szCs w:val="21"/>
                    </w:rPr>
                    <w:t>将容器从火场移至空旷处。喷水保持火场容器冷却，直至灭火结束。</w:t>
                  </w:r>
                </w:p>
              </w:tc>
            </w:tr>
          </w:tbl>
          <w:p w14:paraId="458A5FF1">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47FE3561">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742F2D85">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w:t>
            </w:r>
            <w:r>
              <w:rPr>
                <w:rFonts w:hint="eastAsia" w:ascii="Times New Roman" w:hAnsi="Times New Roman" w:eastAsia="宋体" w:cs="Times New Roman"/>
                <w:b/>
                <w:color w:val="auto"/>
                <w:kern w:val="2"/>
                <w:sz w:val="21"/>
                <w:szCs w:val="24"/>
                <w:lang w:val="en-US" w:eastAsia="zh-CN" w:bidi="ar-SA"/>
              </w:rPr>
              <w:t>4-1</w:t>
            </w:r>
            <w:r>
              <w:rPr>
                <w:rFonts w:hint="eastAsia"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t>液压</w:t>
            </w:r>
            <w:r>
              <w:rPr>
                <w:rFonts w:hint="default" w:ascii="Times New Roman" w:hAnsi="Times New Roman" w:eastAsia="宋体" w:cs="Times New Roman"/>
                <w:b/>
                <w:color w:val="auto"/>
                <w:kern w:val="2"/>
                <w:sz w:val="21"/>
                <w:szCs w:val="24"/>
                <w:lang w:val="en-US" w:eastAsia="zh-CN" w:bidi="ar-SA"/>
              </w:rPr>
              <w:t>油理化性质、危险特性一览表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399"/>
              <w:gridCol w:w="2294"/>
              <w:gridCol w:w="1657"/>
              <w:gridCol w:w="1804"/>
            </w:tblGrid>
            <w:tr w14:paraId="5108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shd w:val="clear" w:color="auto" w:fill="D7D7D7" w:themeFill="background1" w:themeFillShade="D8"/>
                  <w:vAlign w:val="center"/>
                </w:tcPr>
                <w:p w14:paraId="7D45D67D">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标识</w:t>
                  </w:r>
                </w:p>
              </w:tc>
              <w:tc>
                <w:tcPr>
                  <w:tcW w:w="852" w:type="pct"/>
                  <w:vAlign w:val="center"/>
                </w:tcPr>
                <w:p w14:paraId="7438F389">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中文名称</w:t>
                  </w:r>
                </w:p>
              </w:tc>
              <w:tc>
                <w:tcPr>
                  <w:tcW w:w="1397" w:type="pct"/>
                  <w:vAlign w:val="center"/>
                </w:tcPr>
                <w:p w14:paraId="242A8DD4">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液压油</w:t>
                  </w:r>
                </w:p>
              </w:tc>
              <w:tc>
                <w:tcPr>
                  <w:tcW w:w="1009" w:type="pct"/>
                  <w:vAlign w:val="center"/>
                </w:tcPr>
                <w:p w14:paraId="7D6F3D3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英文名称</w:t>
                  </w:r>
                </w:p>
              </w:tc>
              <w:tc>
                <w:tcPr>
                  <w:tcW w:w="1097" w:type="pct"/>
                  <w:vAlign w:val="center"/>
                </w:tcPr>
                <w:p w14:paraId="03FFD6A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Hydraulicoil</w:t>
                  </w:r>
                </w:p>
              </w:tc>
            </w:tr>
            <w:tr w14:paraId="60A5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shd w:val="clear" w:color="auto" w:fill="D7D7D7" w:themeFill="background1" w:themeFillShade="D8"/>
                  <w:vAlign w:val="center"/>
                </w:tcPr>
                <w:p w14:paraId="233AB5F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28C8B9D9">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CAS号</w:t>
                  </w:r>
                </w:p>
              </w:tc>
              <w:tc>
                <w:tcPr>
                  <w:tcW w:w="1397" w:type="pct"/>
                  <w:vAlign w:val="center"/>
                </w:tcPr>
                <w:p w14:paraId="754DDBF3">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c>
                <w:tcPr>
                  <w:tcW w:w="1009" w:type="pct"/>
                  <w:vAlign w:val="center"/>
                </w:tcPr>
                <w:p w14:paraId="613F7215">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UN编号</w:t>
                  </w:r>
                </w:p>
              </w:tc>
              <w:tc>
                <w:tcPr>
                  <w:tcW w:w="1097" w:type="pct"/>
                  <w:vAlign w:val="center"/>
                </w:tcPr>
                <w:p w14:paraId="0736719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r>
            <w:tr w14:paraId="36D0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shd w:val="clear" w:color="auto" w:fill="D7D7D7" w:themeFill="background1" w:themeFillShade="D8"/>
                  <w:vAlign w:val="center"/>
                </w:tcPr>
                <w:p w14:paraId="6FA25A6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501E723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分子量</w:t>
                  </w:r>
                </w:p>
              </w:tc>
              <w:tc>
                <w:tcPr>
                  <w:tcW w:w="1397" w:type="pct"/>
                  <w:vAlign w:val="center"/>
                </w:tcPr>
                <w:p w14:paraId="16D0FC3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c>
                <w:tcPr>
                  <w:tcW w:w="1009" w:type="pct"/>
                  <w:vAlign w:val="center"/>
                </w:tcPr>
                <w:p w14:paraId="49D25A3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危险货物编号</w:t>
                  </w:r>
                </w:p>
              </w:tc>
              <w:tc>
                <w:tcPr>
                  <w:tcW w:w="1097" w:type="pct"/>
                  <w:vAlign w:val="center"/>
                </w:tcPr>
                <w:p w14:paraId="099B0C5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r>
            <w:tr w14:paraId="2EED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shd w:val="clear" w:color="auto" w:fill="D7D7D7" w:themeFill="background1" w:themeFillShade="D8"/>
                  <w:vAlign w:val="center"/>
                </w:tcPr>
                <w:p w14:paraId="28E9FC9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理化性质</w:t>
                  </w:r>
                </w:p>
              </w:tc>
              <w:tc>
                <w:tcPr>
                  <w:tcW w:w="852" w:type="pct"/>
                  <w:vAlign w:val="center"/>
                </w:tcPr>
                <w:p w14:paraId="7BF03BA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外观与性状</w:t>
                  </w:r>
                </w:p>
              </w:tc>
              <w:tc>
                <w:tcPr>
                  <w:tcW w:w="1397" w:type="pct"/>
                  <w:vAlign w:val="center"/>
                </w:tcPr>
                <w:p w14:paraId="50F455E5">
                  <w:pPr>
                    <w:keepNext w:val="0"/>
                    <w:keepLines/>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eastAsia" w:ascii="Times New Roman" w:hAnsi="Times New Roman" w:eastAsia="宋体" w:cs="宋体"/>
                      <w:color w:val="auto"/>
                      <w:kern w:val="0"/>
                      <w:sz w:val="20"/>
                      <w:szCs w:val="20"/>
                      <w:lang w:val="en-US" w:eastAsia="zh-CN" w:bidi="ar"/>
                    </w:rPr>
                    <w:t>琥珀色温室下液体</w:t>
                  </w:r>
                </w:p>
              </w:tc>
              <w:tc>
                <w:tcPr>
                  <w:tcW w:w="1009" w:type="pct"/>
                  <w:vAlign w:val="center"/>
                </w:tcPr>
                <w:p w14:paraId="53E80F48">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熔点（℃）</w:t>
                  </w:r>
                </w:p>
              </w:tc>
              <w:tc>
                <w:tcPr>
                  <w:tcW w:w="1097" w:type="pct"/>
                  <w:vAlign w:val="center"/>
                </w:tcPr>
                <w:p w14:paraId="6CFE0A7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2C3E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shd w:val="clear" w:color="auto" w:fill="D7D7D7" w:themeFill="background1" w:themeFillShade="D8"/>
                  <w:vAlign w:val="center"/>
                </w:tcPr>
                <w:p w14:paraId="49C6EEB0">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44D019E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化学类别</w:t>
                  </w:r>
                </w:p>
              </w:tc>
              <w:tc>
                <w:tcPr>
                  <w:tcW w:w="1397" w:type="pct"/>
                  <w:vAlign w:val="center"/>
                </w:tcPr>
                <w:p w14:paraId="2CCCAC8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烷烃</w:t>
                  </w:r>
                </w:p>
              </w:tc>
              <w:tc>
                <w:tcPr>
                  <w:tcW w:w="1009" w:type="pct"/>
                  <w:vAlign w:val="center"/>
                </w:tcPr>
                <w:p w14:paraId="74F66484">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沸点（℃）</w:t>
                  </w:r>
                </w:p>
              </w:tc>
              <w:tc>
                <w:tcPr>
                  <w:tcW w:w="1097" w:type="pct"/>
                  <w:vAlign w:val="center"/>
                </w:tcPr>
                <w:p w14:paraId="71D7645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7293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shd w:val="clear" w:color="auto" w:fill="D7D7D7" w:themeFill="background1" w:themeFillShade="D8"/>
                  <w:vAlign w:val="center"/>
                </w:tcPr>
                <w:p w14:paraId="2585158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46525EE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闪点（℃）</w:t>
                  </w:r>
                </w:p>
              </w:tc>
              <w:tc>
                <w:tcPr>
                  <w:tcW w:w="1397" w:type="pct"/>
                  <w:vAlign w:val="center"/>
                </w:tcPr>
                <w:p w14:paraId="70A4BDF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009" w:type="pct"/>
                  <w:vAlign w:val="center"/>
                </w:tcPr>
                <w:p w14:paraId="1578CB8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引燃温度（℃）</w:t>
                  </w:r>
                </w:p>
              </w:tc>
              <w:tc>
                <w:tcPr>
                  <w:tcW w:w="1097" w:type="pct"/>
                  <w:vAlign w:val="center"/>
                </w:tcPr>
                <w:p w14:paraId="4DC9C33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w:t>
                  </w:r>
                </w:p>
              </w:tc>
            </w:tr>
            <w:tr w14:paraId="28FB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42" w:type="pct"/>
                  <w:vMerge w:val="continue"/>
                  <w:shd w:val="clear" w:color="auto" w:fill="D7D7D7" w:themeFill="background1" w:themeFillShade="D8"/>
                  <w:vAlign w:val="center"/>
                </w:tcPr>
                <w:p w14:paraId="0AA5502D">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4C8BD9F2">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相对密度</w:t>
                  </w:r>
                </w:p>
              </w:tc>
              <w:tc>
                <w:tcPr>
                  <w:tcW w:w="1397" w:type="pct"/>
                  <w:vAlign w:val="center"/>
                </w:tcPr>
                <w:p w14:paraId="1499603C">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相对密度（水＝</w:t>
                  </w:r>
                  <w:r>
                    <w:rPr>
                      <w:rFonts w:hint="default" w:ascii="Times New Roman" w:hAnsi="Times New Roman" w:eastAsia="宋体" w:cs="Times New Roman"/>
                      <w:bCs/>
                      <w:color w:val="auto"/>
                      <w:sz w:val="21"/>
                      <w:szCs w:val="21"/>
                      <w:lang w:val="en-US" w:eastAsia="zh-CN"/>
                    </w:rPr>
                    <w:t>1</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0.896kg/m3(15</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w:t>
                  </w:r>
                </w:p>
              </w:tc>
              <w:tc>
                <w:tcPr>
                  <w:tcW w:w="1009" w:type="pct"/>
                  <w:vAlign w:val="center"/>
                </w:tcPr>
                <w:p w14:paraId="59479D90">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溶解性</w:t>
                  </w:r>
                </w:p>
              </w:tc>
              <w:tc>
                <w:tcPr>
                  <w:tcW w:w="1097" w:type="pct"/>
                  <w:vAlign w:val="center"/>
                </w:tcPr>
                <w:p w14:paraId="0F2FB5F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不溶于水</w:t>
                  </w:r>
                </w:p>
              </w:tc>
            </w:tr>
            <w:tr w14:paraId="608C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restart"/>
                  <w:shd w:val="clear" w:color="auto" w:fill="D7D7D7" w:themeFill="background1" w:themeFillShade="D8"/>
                  <w:vAlign w:val="center"/>
                </w:tcPr>
                <w:p w14:paraId="015CEDF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毒性及健康危害</w:t>
                  </w:r>
                </w:p>
              </w:tc>
              <w:tc>
                <w:tcPr>
                  <w:tcW w:w="852" w:type="pct"/>
                  <w:vAlign w:val="center"/>
                </w:tcPr>
                <w:p w14:paraId="3CE8A80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侵入途径</w:t>
                  </w:r>
                </w:p>
              </w:tc>
              <w:tc>
                <w:tcPr>
                  <w:tcW w:w="3504" w:type="pct"/>
                  <w:gridSpan w:val="3"/>
                  <w:vAlign w:val="center"/>
                </w:tcPr>
                <w:p w14:paraId="290BBD24">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吸入、食入</w:t>
                  </w:r>
                </w:p>
              </w:tc>
            </w:tr>
            <w:tr w14:paraId="526A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shd w:val="clear" w:color="auto" w:fill="D7D7D7" w:themeFill="background1" w:themeFillShade="D8"/>
                  <w:vAlign w:val="center"/>
                </w:tcPr>
                <w:p w14:paraId="19D55649">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p>
              </w:tc>
              <w:tc>
                <w:tcPr>
                  <w:tcW w:w="852" w:type="pct"/>
                  <w:vAlign w:val="center"/>
                </w:tcPr>
                <w:p w14:paraId="22390C8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健康危害</w:t>
                  </w:r>
                </w:p>
              </w:tc>
              <w:tc>
                <w:tcPr>
                  <w:tcW w:w="3504" w:type="pct"/>
                  <w:gridSpan w:val="3"/>
                  <w:vAlign w:val="center"/>
                </w:tcPr>
                <w:p w14:paraId="7FE59DF3">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在正常条件下使用不应会成为健康危险源。长时间接触可造成晕眩或反胃，如果发生了，将患者移到有新鲜空气的地方，若症状持续则要求助医生</w:t>
                  </w:r>
                </w:p>
              </w:tc>
            </w:tr>
            <w:tr w14:paraId="6FC5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restart"/>
                  <w:shd w:val="clear" w:color="auto" w:fill="D7D7D7" w:themeFill="background1" w:themeFillShade="D8"/>
                  <w:vAlign w:val="center"/>
                </w:tcPr>
                <w:p w14:paraId="5A8AA9E3">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燃烧爆炸危险性</w:t>
                  </w:r>
                </w:p>
              </w:tc>
              <w:tc>
                <w:tcPr>
                  <w:tcW w:w="852" w:type="pct"/>
                  <w:vAlign w:val="center"/>
                </w:tcPr>
                <w:p w14:paraId="16073DDA">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危险特性</w:t>
                  </w:r>
                </w:p>
              </w:tc>
              <w:tc>
                <w:tcPr>
                  <w:tcW w:w="3504" w:type="pct"/>
                  <w:gridSpan w:val="3"/>
                  <w:vAlign w:val="center"/>
                </w:tcPr>
                <w:p w14:paraId="69D708B1">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遇明火、高热可燃。</w:t>
                  </w:r>
                </w:p>
              </w:tc>
            </w:tr>
            <w:tr w14:paraId="5E1E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shd w:val="clear" w:color="auto" w:fill="D7D7D7" w:themeFill="background1" w:themeFillShade="D8"/>
                  <w:vAlign w:val="center"/>
                </w:tcPr>
                <w:p w14:paraId="397AFE88">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2" w:type="pct"/>
                  <w:vAlign w:val="center"/>
                </w:tcPr>
                <w:p w14:paraId="02A8D475">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燃烧（分解）产物</w:t>
                  </w:r>
                </w:p>
              </w:tc>
              <w:tc>
                <w:tcPr>
                  <w:tcW w:w="3504" w:type="pct"/>
                  <w:gridSpan w:val="3"/>
                  <w:vAlign w:val="center"/>
                </w:tcPr>
                <w:p w14:paraId="1A27347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一氧化碳、二氧化碳</w:t>
                  </w:r>
                </w:p>
              </w:tc>
            </w:tr>
            <w:tr w14:paraId="4A66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pct"/>
                  <w:vMerge w:val="continue"/>
                  <w:shd w:val="clear" w:color="auto" w:fill="D7D7D7" w:themeFill="background1" w:themeFillShade="D8"/>
                  <w:vAlign w:val="center"/>
                </w:tcPr>
                <w:p w14:paraId="0807EAC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2" w:type="pct"/>
                  <w:vAlign w:val="center"/>
                </w:tcPr>
                <w:p w14:paraId="11897851">
                  <w:pPr>
                    <w:keepNext w:val="0"/>
                    <w:keepLines/>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灭火剂</w:t>
                  </w:r>
                </w:p>
              </w:tc>
              <w:tc>
                <w:tcPr>
                  <w:tcW w:w="3504" w:type="pct"/>
                  <w:gridSpan w:val="3"/>
                  <w:vAlign w:val="center"/>
                </w:tcPr>
                <w:p w14:paraId="1711448A">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雾状水、泡沫、干粉、二氧化碳、砂土</w:t>
                  </w:r>
                </w:p>
              </w:tc>
            </w:tr>
            <w:tr w14:paraId="565F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shd w:val="clear" w:color="auto" w:fill="D7D7D7" w:themeFill="background1" w:themeFillShade="D8"/>
                  <w:vAlign w:val="center"/>
                </w:tcPr>
                <w:p w14:paraId="51F18066">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852" w:type="pct"/>
                  <w:vAlign w:val="center"/>
                </w:tcPr>
                <w:p w14:paraId="3023F22E">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灭火方法</w:t>
                  </w:r>
                </w:p>
              </w:tc>
              <w:tc>
                <w:tcPr>
                  <w:tcW w:w="3504" w:type="pct"/>
                  <w:gridSpan w:val="3"/>
                  <w:vAlign w:val="center"/>
                </w:tcPr>
                <w:p w14:paraId="44082C1F">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消防人员须佩戴空气呼吸器、穿全身消防服，在上风向灭火。尽可能将容器从火场移至空旷处。喷水保持火场容器冷却，直至灭火结束。灭火剂：泡沫、干粉、二氧化碳。</w:t>
                  </w:r>
                </w:p>
              </w:tc>
            </w:tr>
            <w:tr w14:paraId="0AF1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shd w:val="clear" w:color="auto" w:fill="D7D7D7" w:themeFill="background1" w:themeFillShade="D8"/>
                  <w:vAlign w:val="center"/>
                </w:tcPr>
                <w:p w14:paraId="4AF8C2C7">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存储注意</w:t>
                  </w:r>
                </w:p>
                <w:p w14:paraId="0ADBEE4B">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事项</w:t>
                  </w:r>
                </w:p>
              </w:tc>
              <w:tc>
                <w:tcPr>
                  <w:tcW w:w="4357" w:type="pct"/>
                  <w:gridSpan w:val="4"/>
                  <w:vAlign w:val="center"/>
                </w:tcPr>
                <w:p w14:paraId="1CD7B3C0">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密闭容器，放在凉处、通风良好的地方使用适当加注标签及可封闭的容器。</w:t>
                  </w:r>
                </w:p>
                <w:p w14:paraId="67A23B04">
                  <w:pPr>
                    <w:pStyle w:val="13"/>
                    <w:keepNext w:val="0"/>
                    <w:keepLines/>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储存温度：长期储存（</w:t>
                  </w:r>
                  <w:r>
                    <w:rPr>
                      <w:rFonts w:hint="default" w:ascii="Times New Roman" w:hAnsi="Times New Roman" w:eastAsia="宋体"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个月以上）</w:t>
                  </w:r>
                  <w:r>
                    <w:rPr>
                      <w:rFonts w:hint="default" w:ascii="Times New Roman" w:hAnsi="Times New Roman" w:eastAsia="宋体" w:cs="Times New Roman"/>
                      <w:bCs/>
                      <w:color w:val="auto"/>
                      <w:sz w:val="21"/>
                      <w:szCs w:val="21"/>
                      <w:lang w:val="en-US" w:eastAsia="zh-CN"/>
                    </w:rPr>
                    <w:t>-15~50</w:t>
                  </w:r>
                  <w:r>
                    <w:rPr>
                      <w:rFonts w:hint="eastAsia" w:ascii="Times New Roman" w:hAnsi="Times New Roman" w:eastAsia="宋体" w:cs="Times New Roman"/>
                      <w:bCs/>
                      <w:color w:val="auto"/>
                      <w:sz w:val="21"/>
                      <w:szCs w:val="21"/>
                      <w:lang w:val="en-US" w:eastAsia="zh-CN"/>
                    </w:rPr>
                    <w:t>℃；短期储存：</w:t>
                  </w:r>
                  <w:r>
                    <w:rPr>
                      <w:rFonts w:hint="default" w:ascii="Times New Roman" w:hAnsi="Times New Roman" w:eastAsia="宋体" w:cs="Times New Roman"/>
                      <w:bCs/>
                      <w:color w:val="auto"/>
                      <w:sz w:val="21"/>
                      <w:szCs w:val="21"/>
                      <w:lang w:val="en-US" w:eastAsia="zh-CN"/>
                    </w:rPr>
                    <w:t>-20</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60</w:t>
                  </w:r>
                  <w:r>
                    <w:rPr>
                      <w:rFonts w:hint="eastAsia" w:ascii="Times New Roman" w:hAnsi="Times New Roman" w:eastAsia="宋体" w:cs="Times New Roman"/>
                      <w:bCs/>
                      <w:color w:val="auto"/>
                      <w:sz w:val="21"/>
                      <w:szCs w:val="21"/>
                      <w:lang w:val="en-US" w:eastAsia="zh-CN"/>
                    </w:rPr>
                    <w:t>℃。</w:t>
                  </w:r>
                </w:p>
              </w:tc>
            </w:tr>
          </w:tbl>
          <w:p w14:paraId="308DDA6F">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（2）环境风险设施</w:t>
            </w:r>
          </w:p>
          <w:p w14:paraId="403A3BAA">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kern w:val="24"/>
                <w:sz w:val="24"/>
              </w:rPr>
            </w:pPr>
            <w:r>
              <w:rPr>
                <w:rFonts w:hint="default" w:ascii="Times New Roman" w:hAnsi="Times New Roman" w:eastAsia="宋体" w:cs="Times New Roman"/>
                <w:color w:val="auto"/>
                <w:kern w:val="24"/>
                <w:sz w:val="24"/>
              </w:rPr>
              <w:t>根据本项目工艺特点和主要存在的环境风险物质，识别出本项目主要环境风险设施主要为危废暂存间。</w:t>
            </w:r>
          </w:p>
          <w:p w14:paraId="51D5C686">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临界量计算</w:t>
            </w:r>
          </w:p>
          <w:p w14:paraId="4DB14DB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项目所涉及的每种危险物质在厂界内的最大存在总量与对应临界量的比值为Q，当只涉及一种危险物质时，计算该物质的总量与其临界量比值，当存在多种危险物质时，按下列公式计算Q值：</w:t>
            </w:r>
          </w:p>
          <w:p w14:paraId="746DAB5D">
            <w:pPr>
              <w:keepNext w:val="0"/>
              <w:keepLines/>
              <w:pageBreakBefore w:val="0"/>
              <w:kinsoku/>
              <w:overflowPunct/>
              <w:bidi w:val="0"/>
              <w:adjustRightInd/>
              <w:ind w:firstLine="56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6"/>
                <w:sz w:val="28"/>
              </w:rPr>
              <w:object>
                <v:shape id="_x0000_i1026" o:spt="75" type="#_x0000_t75" style="height:34.65pt;width:104.75pt;" o:ole="t" filled="f" o:preferrelative="t" stroked="f" coordsize="21600,21600">
                  <v:path/>
                  <v:fill on="f" focussize="0,0"/>
                  <v:stroke on="f" joinstyle="miter"/>
                  <v:imagedata r:id="rId16" o:title=""/>
                  <o:lock v:ext="edit" aspectratio="t"/>
                  <w10:wrap type="none"/>
                  <w10:anchorlock/>
                </v:shape>
                <o:OLEObject Type="Embed" ProgID="Equation.KSEE3" ShapeID="_x0000_i1026" DrawAspect="Content" ObjectID="_1468075726" r:id="rId15">
                  <o:LockedField>false</o:LockedField>
                </o:OLEObject>
              </w:object>
            </w:r>
          </w:p>
          <w:p w14:paraId="6F5E5F30">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式中：q1，q2，…qn—每种危险物质的最大存在总量，t；</w:t>
            </w:r>
          </w:p>
          <w:p w14:paraId="1109F985">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Q1，Q2，…Qn—每种物质的临界量，t。可在HJ169-2018中附录B中查询。</w:t>
            </w:r>
          </w:p>
          <w:p w14:paraId="6B6F56F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当Q＜1时，该项目环境风险潜势为Ⅰ。</w:t>
            </w:r>
          </w:p>
          <w:p w14:paraId="0DAAF57B">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当Q≥1时，将Q值划分为：（1）1≤Q＜10；（2）10≤Q＜100；（3）Q≥100。</w:t>
            </w:r>
          </w:p>
          <w:p w14:paraId="1D1BD084">
            <w:pPr>
              <w:keepNext w:val="0"/>
              <w:keepLines/>
              <w:pageBreakBefore w:val="0"/>
              <w:kinsoku/>
              <w:overflowPunct/>
              <w:bidi w:val="0"/>
              <w:adjustRightInd/>
              <w:spacing w:line="360" w:lineRule="auto"/>
              <w:ind w:firstLine="512" w:firstLineChars="200"/>
              <w:rPr>
                <w:rFonts w:hint="default" w:ascii="Times New Roman" w:hAnsi="Times New Roman" w:eastAsia="宋体" w:cs="Times New Roman"/>
                <w:color w:val="auto"/>
                <w:spacing w:val="8"/>
                <w:sz w:val="24"/>
              </w:rPr>
            </w:pPr>
            <w:r>
              <w:rPr>
                <w:rFonts w:hint="default" w:ascii="Times New Roman" w:hAnsi="Times New Roman" w:eastAsia="宋体" w:cs="Times New Roman"/>
                <w:color w:val="auto"/>
                <w:spacing w:val="8"/>
                <w:sz w:val="24"/>
              </w:rPr>
              <w:t>经向建设单位核实，项目涉及危险物质最大存放量与临界量比值结果见下表。</w:t>
            </w:r>
          </w:p>
          <w:p w14:paraId="22669550">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表4</w:t>
            </w:r>
            <w:r>
              <w:rPr>
                <w:rFonts w:hint="eastAsia" w:ascii="Times New Roman" w:hAnsi="Times New Roman" w:eastAsia="宋体" w:cs="Times New Roman"/>
                <w:b/>
                <w:color w:val="auto"/>
                <w:kern w:val="2"/>
                <w:sz w:val="21"/>
                <w:szCs w:val="24"/>
                <w:lang w:val="en-US" w:eastAsia="zh-CN" w:bidi="ar-SA"/>
              </w:rPr>
              <w:t>-</w:t>
            </w:r>
            <w:r>
              <w:rPr>
                <w:rFonts w:hint="eastAsia" w:cs="Times New Roman"/>
                <w:b/>
                <w:color w:val="auto"/>
                <w:kern w:val="2"/>
                <w:sz w:val="21"/>
                <w:szCs w:val="24"/>
                <w:lang w:val="en-US" w:eastAsia="zh-CN" w:bidi="ar-SA"/>
              </w:rPr>
              <w:t>16</w:t>
            </w:r>
            <w:r>
              <w:rPr>
                <w:rFonts w:hint="default" w:ascii="Times New Roman" w:hAnsi="Times New Roman" w:eastAsia="宋体" w:cs="Times New Roman"/>
                <w:b/>
                <w:color w:val="auto"/>
                <w:kern w:val="2"/>
                <w:sz w:val="21"/>
                <w:szCs w:val="24"/>
                <w:lang w:val="en-US" w:eastAsia="zh-CN" w:bidi="ar-SA"/>
              </w:rPr>
              <w:t>项目危险物质总量与临界量比值（Q）结果</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74"/>
              <w:gridCol w:w="2484"/>
              <w:gridCol w:w="1460"/>
              <w:gridCol w:w="1394"/>
            </w:tblGrid>
            <w:tr w14:paraId="468B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7E0F31A">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物质名称</w:t>
                  </w:r>
                </w:p>
              </w:tc>
              <w:tc>
                <w:tcPr>
                  <w:tcW w:w="71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98F9618">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CAS号</w:t>
                  </w:r>
                </w:p>
              </w:tc>
              <w:tc>
                <w:tcPr>
                  <w:tcW w:w="1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4D1A7D1">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项目内最大存放量（t）</w:t>
                  </w:r>
                </w:p>
              </w:tc>
              <w:tc>
                <w:tcPr>
                  <w:tcW w:w="88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AB3E51D">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临界量（t）</w:t>
                  </w:r>
                </w:p>
              </w:tc>
              <w:tc>
                <w:tcPr>
                  <w:tcW w:w="84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DE55763">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Q</w:t>
                  </w:r>
                </w:p>
              </w:tc>
            </w:tr>
            <w:tr w14:paraId="75EE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vAlign w:val="center"/>
                </w:tcPr>
                <w:p w14:paraId="3F9BA172">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废</w:t>
                  </w:r>
                  <w:r>
                    <w:rPr>
                      <w:rFonts w:hint="eastAsia" w:ascii="Times New Roman" w:hAnsi="Times New Roman" w:eastAsia="宋体" w:cs="Times New Roman"/>
                      <w:b w:val="0"/>
                      <w:bCs w:val="0"/>
                      <w:color w:val="auto"/>
                      <w:sz w:val="21"/>
                      <w:szCs w:val="21"/>
                      <w:lang w:eastAsia="zh-CN"/>
                    </w:rPr>
                    <w:t>机油</w:t>
                  </w:r>
                </w:p>
              </w:tc>
              <w:tc>
                <w:tcPr>
                  <w:tcW w:w="715" w:type="pct"/>
                  <w:tcBorders>
                    <w:top w:val="single" w:color="auto" w:sz="4" w:space="0"/>
                    <w:left w:val="single" w:color="auto" w:sz="4" w:space="0"/>
                    <w:bottom w:val="single" w:color="auto" w:sz="4" w:space="0"/>
                    <w:right w:val="single" w:color="auto" w:sz="4" w:space="0"/>
                  </w:tcBorders>
                  <w:vAlign w:val="center"/>
                </w:tcPr>
                <w:p w14:paraId="1A7F6095">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1513" w:type="pct"/>
                  <w:tcBorders>
                    <w:top w:val="single" w:color="auto" w:sz="4" w:space="0"/>
                    <w:left w:val="single" w:color="auto" w:sz="4" w:space="0"/>
                    <w:bottom w:val="single" w:color="auto" w:sz="4" w:space="0"/>
                    <w:right w:val="single" w:color="auto" w:sz="4" w:space="0"/>
                  </w:tcBorders>
                  <w:vAlign w:val="center"/>
                </w:tcPr>
                <w:p w14:paraId="12CB7F5A">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rPr>
                    <w:t>0.</w:t>
                  </w:r>
                  <w:r>
                    <w:rPr>
                      <w:rFonts w:hint="eastAsia" w:ascii="Times New Roman" w:hAnsi="Times New Roman" w:cs="Times New Roman"/>
                      <w:b w:val="0"/>
                      <w:bCs w:val="0"/>
                      <w:color w:val="auto"/>
                      <w:sz w:val="21"/>
                      <w:szCs w:val="21"/>
                      <w:highlight w:val="none"/>
                      <w:lang w:val="en-US" w:eastAsia="zh-CN"/>
                    </w:rPr>
                    <w:t>2</w:t>
                  </w:r>
                </w:p>
              </w:tc>
              <w:tc>
                <w:tcPr>
                  <w:tcW w:w="889" w:type="pct"/>
                  <w:tcBorders>
                    <w:top w:val="single" w:color="auto" w:sz="4" w:space="0"/>
                    <w:left w:val="single" w:color="auto" w:sz="4" w:space="0"/>
                    <w:bottom w:val="single" w:color="auto" w:sz="4" w:space="0"/>
                    <w:right w:val="single" w:color="auto" w:sz="4" w:space="0"/>
                  </w:tcBorders>
                  <w:vAlign w:val="center"/>
                </w:tcPr>
                <w:p w14:paraId="14BF6BC9">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2500</w:t>
                  </w:r>
                </w:p>
              </w:tc>
              <w:tc>
                <w:tcPr>
                  <w:tcW w:w="849" w:type="pct"/>
                  <w:tcBorders>
                    <w:top w:val="single" w:color="auto" w:sz="4" w:space="0"/>
                    <w:left w:val="single" w:color="auto" w:sz="4" w:space="0"/>
                    <w:bottom w:val="single" w:color="auto" w:sz="4" w:space="0"/>
                    <w:right w:val="single" w:color="auto" w:sz="4" w:space="0"/>
                  </w:tcBorders>
                  <w:vAlign w:val="center"/>
                </w:tcPr>
                <w:p w14:paraId="3B21F601">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0.0000</w:t>
                  </w:r>
                  <w:r>
                    <w:rPr>
                      <w:rFonts w:hint="eastAsia" w:ascii="Times New Roman" w:hAnsi="Times New Roman" w:cs="Times New Roman"/>
                      <w:b w:val="0"/>
                      <w:bCs w:val="0"/>
                      <w:color w:val="auto"/>
                      <w:sz w:val="21"/>
                      <w:szCs w:val="21"/>
                      <w:lang w:val="en-US" w:eastAsia="zh-CN"/>
                    </w:rPr>
                    <w:t>8</w:t>
                  </w:r>
                </w:p>
              </w:tc>
            </w:tr>
            <w:tr w14:paraId="448E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vAlign w:val="center"/>
                </w:tcPr>
                <w:p w14:paraId="155C9DF8">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废液压油</w:t>
                  </w:r>
                </w:p>
              </w:tc>
              <w:tc>
                <w:tcPr>
                  <w:tcW w:w="715" w:type="pct"/>
                  <w:tcBorders>
                    <w:top w:val="single" w:color="auto" w:sz="4" w:space="0"/>
                    <w:left w:val="single" w:color="auto" w:sz="4" w:space="0"/>
                    <w:bottom w:val="single" w:color="auto" w:sz="4" w:space="0"/>
                    <w:right w:val="single" w:color="auto" w:sz="4" w:space="0"/>
                  </w:tcBorders>
                  <w:vAlign w:val="center"/>
                </w:tcPr>
                <w:p w14:paraId="72D9A5C7">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1513" w:type="pct"/>
                  <w:tcBorders>
                    <w:top w:val="single" w:color="auto" w:sz="4" w:space="0"/>
                    <w:left w:val="single" w:color="auto" w:sz="4" w:space="0"/>
                    <w:bottom w:val="single" w:color="auto" w:sz="4" w:space="0"/>
                    <w:right w:val="single" w:color="auto" w:sz="4" w:space="0"/>
                  </w:tcBorders>
                  <w:vAlign w:val="center"/>
                </w:tcPr>
                <w:p w14:paraId="359301BE">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0.</w:t>
                  </w:r>
                  <w:r>
                    <w:rPr>
                      <w:rFonts w:hint="eastAsia" w:ascii="Times New Roman" w:hAnsi="Times New Roman" w:cs="Times New Roman"/>
                      <w:b w:val="0"/>
                      <w:bCs w:val="0"/>
                      <w:color w:val="auto"/>
                      <w:sz w:val="21"/>
                      <w:szCs w:val="21"/>
                      <w:highlight w:val="none"/>
                      <w:lang w:val="en-US" w:eastAsia="zh-CN"/>
                    </w:rPr>
                    <w:t>36</w:t>
                  </w:r>
                </w:p>
              </w:tc>
              <w:tc>
                <w:tcPr>
                  <w:tcW w:w="889" w:type="pct"/>
                  <w:tcBorders>
                    <w:top w:val="single" w:color="auto" w:sz="4" w:space="0"/>
                    <w:left w:val="single" w:color="auto" w:sz="4" w:space="0"/>
                    <w:bottom w:val="single" w:color="auto" w:sz="4" w:space="0"/>
                    <w:right w:val="single" w:color="auto" w:sz="4" w:space="0"/>
                  </w:tcBorders>
                  <w:vAlign w:val="center"/>
                </w:tcPr>
                <w:p w14:paraId="340A7EBC">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2500</w:t>
                  </w:r>
                </w:p>
              </w:tc>
              <w:tc>
                <w:tcPr>
                  <w:tcW w:w="849" w:type="pct"/>
                  <w:tcBorders>
                    <w:top w:val="single" w:color="auto" w:sz="4" w:space="0"/>
                    <w:left w:val="single" w:color="auto" w:sz="4" w:space="0"/>
                    <w:bottom w:val="single" w:color="auto" w:sz="4" w:space="0"/>
                    <w:right w:val="single" w:color="auto" w:sz="4" w:space="0"/>
                  </w:tcBorders>
                  <w:vAlign w:val="center"/>
                </w:tcPr>
                <w:p w14:paraId="7EB672AD">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0.000</w:t>
                  </w:r>
                  <w:r>
                    <w:rPr>
                      <w:rFonts w:hint="eastAsia" w:ascii="Times New Roman" w:hAnsi="Times New Roman" w:cs="Times New Roman"/>
                      <w:b w:val="0"/>
                      <w:bCs w:val="0"/>
                      <w:color w:val="auto"/>
                      <w:sz w:val="21"/>
                      <w:szCs w:val="21"/>
                      <w:lang w:val="en-US" w:eastAsia="zh-CN"/>
                    </w:rPr>
                    <w:t>144</w:t>
                  </w:r>
                </w:p>
              </w:tc>
            </w:tr>
            <w:tr w14:paraId="4F79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tcBorders>
                    <w:top w:val="single" w:color="auto" w:sz="4" w:space="0"/>
                    <w:left w:val="single" w:color="auto" w:sz="4" w:space="0"/>
                    <w:bottom w:val="single" w:color="auto" w:sz="4" w:space="0"/>
                    <w:right w:val="single" w:color="auto" w:sz="4" w:space="0"/>
                  </w:tcBorders>
                  <w:vAlign w:val="center"/>
                </w:tcPr>
                <w:p w14:paraId="0BCDD610">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合计</w:t>
                  </w:r>
                </w:p>
              </w:tc>
              <w:tc>
                <w:tcPr>
                  <w:tcW w:w="715" w:type="pct"/>
                  <w:tcBorders>
                    <w:top w:val="single" w:color="auto" w:sz="4" w:space="0"/>
                    <w:left w:val="single" w:color="auto" w:sz="4" w:space="0"/>
                    <w:bottom w:val="single" w:color="auto" w:sz="4" w:space="0"/>
                    <w:right w:val="single" w:color="auto" w:sz="4" w:space="0"/>
                  </w:tcBorders>
                  <w:vAlign w:val="center"/>
                </w:tcPr>
                <w:p w14:paraId="640B2D49">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1513" w:type="pct"/>
                  <w:tcBorders>
                    <w:top w:val="single" w:color="auto" w:sz="4" w:space="0"/>
                    <w:left w:val="single" w:color="auto" w:sz="4" w:space="0"/>
                    <w:bottom w:val="single" w:color="auto" w:sz="4" w:space="0"/>
                    <w:right w:val="single" w:color="auto" w:sz="4" w:space="0"/>
                  </w:tcBorders>
                  <w:vAlign w:val="center"/>
                </w:tcPr>
                <w:p w14:paraId="4D7C11CD">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89" w:type="pct"/>
                  <w:tcBorders>
                    <w:top w:val="single" w:color="auto" w:sz="4" w:space="0"/>
                    <w:left w:val="single" w:color="auto" w:sz="4" w:space="0"/>
                    <w:bottom w:val="single" w:color="auto" w:sz="4" w:space="0"/>
                    <w:right w:val="single" w:color="auto" w:sz="4" w:space="0"/>
                  </w:tcBorders>
                  <w:vAlign w:val="center"/>
                </w:tcPr>
                <w:p w14:paraId="6A615ECF">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49" w:type="pct"/>
                  <w:tcBorders>
                    <w:top w:val="single" w:color="auto" w:sz="4" w:space="0"/>
                    <w:left w:val="single" w:color="auto" w:sz="4" w:space="0"/>
                    <w:bottom w:val="single" w:color="auto" w:sz="4" w:space="0"/>
                    <w:right w:val="single" w:color="auto" w:sz="4" w:space="0"/>
                  </w:tcBorders>
                  <w:vAlign w:val="center"/>
                </w:tcPr>
                <w:p w14:paraId="66B37E9A">
                  <w:pPr>
                    <w:pStyle w:val="13"/>
                    <w:keepNext w:val="0"/>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eastAsia="zh-CN"/>
                    </w:rPr>
                    <w:t>0.000</w:t>
                  </w:r>
                  <w:r>
                    <w:rPr>
                      <w:rFonts w:hint="eastAsia" w:ascii="Times New Roman" w:hAnsi="Times New Roman" w:cs="Times New Roman"/>
                      <w:b w:val="0"/>
                      <w:bCs w:val="0"/>
                      <w:color w:val="auto"/>
                      <w:sz w:val="21"/>
                      <w:szCs w:val="21"/>
                      <w:lang w:val="en-US" w:eastAsia="zh-CN"/>
                    </w:rPr>
                    <w:t>224</w:t>
                  </w:r>
                </w:p>
              </w:tc>
            </w:tr>
          </w:tbl>
          <w:p w14:paraId="0807FFCA">
            <w:pPr>
              <w:keepNext w:val="0"/>
              <w:keepLines/>
              <w:pageBreakBefore w:val="0"/>
              <w:kinsoku/>
              <w:overflowPunct/>
              <w:bidi w:val="0"/>
              <w:adjustRightInd/>
              <w:spacing w:line="360" w:lineRule="auto"/>
              <w:ind w:firstLine="512" w:firstLineChars="200"/>
              <w:rPr>
                <w:rFonts w:hint="default" w:ascii="Times New Roman" w:hAnsi="Times New Roman" w:eastAsia="宋体" w:cs="Times New Roman"/>
                <w:color w:val="auto"/>
                <w:spacing w:val="8"/>
                <w:sz w:val="24"/>
              </w:rPr>
            </w:pPr>
            <w:r>
              <w:rPr>
                <w:rFonts w:hint="default" w:ascii="Times New Roman" w:hAnsi="Times New Roman" w:eastAsia="宋体" w:cs="Times New Roman"/>
                <w:color w:val="auto"/>
                <w:spacing w:val="8"/>
                <w:sz w:val="24"/>
              </w:rPr>
              <w:t>根据以上分析可知，Q=</w:t>
            </w:r>
            <w:r>
              <w:rPr>
                <w:rFonts w:hint="eastAsia" w:ascii="Times New Roman" w:hAnsi="Times New Roman" w:eastAsia="宋体" w:cs="Times New Roman"/>
                <w:color w:val="auto"/>
                <w:spacing w:val="8"/>
                <w:sz w:val="24"/>
                <w:lang w:eastAsia="zh-CN"/>
              </w:rPr>
              <w:t>0.000</w:t>
            </w:r>
            <w:r>
              <w:rPr>
                <w:rFonts w:hint="eastAsia" w:cs="Times New Roman"/>
                <w:color w:val="auto"/>
                <w:spacing w:val="8"/>
                <w:sz w:val="24"/>
                <w:lang w:val="en-US" w:eastAsia="zh-CN"/>
              </w:rPr>
              <w:t>224</w:t>
            </w:r>
            <w:r>
              <w:rPr>
                <w:rFonts w:hint="default" w:ascii="Times New Roman" w:hAnsi="Times New Roman" w:eastAsia="宋体" w:cs="Times New Roman"/>
                <w:color w:val="auto"/>
                <w:spacing w:val="8"/>
                <w:sz w:val="24"/>
              </w:rPr>
              <w:t>＜1，根据《建设项目环境影响报告表编制技术指南》（污染影响类），不需设置专题评价。</w:t>
            </w:r>
          </w:p>
          <w:p w14:paraId="7737A503">
            <w:pPr>
              <w:keepNext w:val="0"/>
              <w:keepLines/>
              <w:pageBreakBefore w:val="0"/>
              <w:kinsoku/>
              <w:overflowPunct/>
              <w:bidi w:val="0"/>
              <w:adjustRightInd/>
              <w:spacing w:line="360" w:lineRule="auto"/>
              <w:ind w:firstLine="514" w:firstLineChars="200"/>
              <w:rPr>
                <w:rFonts w:hint="eastAsia" w:ascii="Times New Roman" w:hAnsi="Times New Roman" w:eastAsia="宋体" w:cs="Times New Roman"/>
                <w:b/>
                <w:bCs/>
                <w:color w:val="auto"/>
                <w:spacing w:val="8"/>
                <w:sz w:val="24"/>
                <w:lang w:eastAsia="zh-CN"/>
              </w:rPr>
            </w:pPr>
            <w:r>
              <w:rPr>
                <w:rFonts w:hint="eastAsia" w:ascii="Times New Roman" w:hAnsi="Times New Roman" w:eastAsia="宋体" w:cs="Times New Roman"/>
                <w:b/>
                <w:bCs/>
                <w:color w:val="auto"/>
                <w:spacing w:val="8"/>
                <w:sz w:val="24"/>
                <w:lang w:eastAsia="zh-CN"/>
              </w:rPr>
              <w:t>（</w:t>
            </w:r>
            <w:r>
              <w:rPr>
                <w:rFonts w:hint="eastAsia" w:ascii="Times New Roman" w:hAnsi="Times New Roman" w:eastAsia="宋体" w:cs="Times New Roman"/>
                <w:b/>
                <w:bCs/>
                <w:color w:val="auto"/>
                <w:spacing w:val="8"/>
                <w:sz w:val="24"/>
                <w:lang w:val="en-US" w:eastAsia="zh-CN"/>
              </w:rPr>
              <w:t>4</w:t>
            </w:r>
            <w:r>
              <w:rPr>
                <w:rFonts w:hint="eastAsia" w:ascii="Times New Roman" w:hAnsi="Times New Roman" w:eastAsia="宋体" w:cs="Times New Roman"/>
                <w:b/>
                <w:bCs/>
                <w:color w:val="auto"/>
                <w:spacing w:val="8"/>
                <w:sz w:val="24"/>
                <w:lang w:eastAsia="zh-CN"/>
              </w:rPr>
              <w:t>）环境风险影响途径</w:t>
            </w:r>
          </w:p>
          <w:p w14:paraId="16513588">
            <w:pPr>
              <w:keepNext w:val="0"/>
              <w:keepLines/>
              <w:pageBreakBefore w:val="0"/>
              <w:kinsoku/>
              <w:overflowPunct/>
              <w:bidi w:val="0"/>
              <w:adjustRightInd/>
              <w:spacing w:line="360" w:lineRule="auto"/>
              <w:ind w:firstLine="512" w:firstLineChars="200"/>
              <w:rPr>
                <w:rFonts w:hint="eastAsia" w:ascii="Times New Roman" w:hAnsi="Times New Roman" w:eastAsia="宋体" w:cs="Times New Roman"/>
                <w:color w:val="auto"/>
                <w:spacing w:val="8"/>
                <w:sz w:val="24"/>
                <w:lang w:val="en-US" w:eastAsia="zh-CN"/>
              </w:rPr>
            </w:pPr>
            <w:r>
              <w:rPr>
                <w:rFonts w:hint="eastAsia" w:ascii="Times New Roman" w:hAnsi="Times New Roman" w:eastAsia="宋体" w:cs="Times New Roman"/>
                <w:color w:val="auto"/>
                <w:spacing w:val="8"/>
                <w:sz w:val="24"/>
                <w:lang w:val="en-US" w:eastAsia="zh-CN"/>
              </w:rPr>
              <w:t>项目</w:t>
            </w:r>
            <w:r>
              <w:rPr>
                <w:rFonts w:hint="default" w:ascii="Times New Roman" w:hAnsi="Times New Roman" w:eastAsia="宋体" w:cs="Times New Roman"/>
                <w:color w:val="auto"/>
                <w:spacing w:val="8"/>
                <w:sz w:val="24"/>
              </w:rPr>
              <w:t>环境风险影响途径</w:t>
            </w:r>
            <w:r>
              <w:rPr>
                <w:rFonts w:hint="eastAsia" w:ascii="Times New Roman" w:hAnsi="Times New Roman" w:eastAsia="宋体" w:cs="Times New Roman"/>
                <w:color w:val="auto"/>
                <w:spacing w:val="8"/>
                <w:sz w:val="24"/>
                <w:lang w:val="en-US" w:eastAsia="zh-CN"/>
              </w:rPr>
              <w:t>如下表所示。</w:t>
            </w:r>
          </w:p>
          <w:p w14:paraId="40E3D483">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w:t>
            </w:r>
            <w:r>
              <w:rPr>
                <w:rFonts w:hint="eastAsia" w:ascii="Times New Roman" w:hAnsi="Times New Roman" w:eastAsia="宋体" w:cs="Times New Roman"/>
                <w:b/>
                <w:color w:val="auto"/>
                <w:kern w:val="2"/>
                <w:sz w:val="21"/>
                <w:szCs w:val="24"/>
                <w:lang w:val="en-US" w:eastAsia="zh-CN" w:bidi="ar-SA"/>
              </w:rPr>
              <w:t>4-</w:t>
            </w:r>
            <w:r>
              <w:rPr>
                <w:rFonts w:hint="eastAsia" w:cs="Times New Roman"/>
                <w:b/>
                <w:color w:val="auto"/>
                <w:kern w:val="2"/>
                <w:sz w:val="21"/>
                <w:szCs w:val="24"/>
                <w:lang w:val="en-US" w:eastAsia="zh-CN" w:bidi="ar-SA"/>
              </w:rPr>
              <w:t>17</w:t>
            </w:r>
            <w:r>
              <w:rPr>
                <w:rFonts w:hint="default" w:ascii="Times New Roman" w:hAnsi="Times New Roman" w:eastAsia="宋体" w:cs="Times New Roman"/>
                <w:b/>
                <w:color w:val="auto"/>
                <w:kern w:val="2"/>
                <w:sz w:val="21"/>
                <w:szCs w:val="24"/>
                <w:lang w:val="en-US" w:eastAsia="zh-CN" w:bidi="ar-SA"/>
              </w:rPr>
              <w:t>项目风险影响途径类型一览表</w:t>
            </w:r>
          </w:p>
          <w:tbl>
            <w:tblPr>
              <w:tblStyle w:val="25"/>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230"/>
              <w:gridCol w:w="1515"/>
              <w:gridCol w:w="4536"/>
            </w:tblGrid>
            <w:tr w14:paraId="6497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shd w:val="clear" w:color="auto" w:fill="D7D7D7" w:themeFill="background1" w:themeFillShade="D8"/>
                  <w:vAlign w:val="center"/>
                </w:tcPr>
                <w:p w14:paraId="51C604D8">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工序</w:t>
                  </w:r>
                </w:p>
              </w:tc>
              <w:tc>
                <w:tcPr>
                  <w:tcW w:w="1230" w:type="dxa"/>
                  <w:shd w:val="clear" w:color="auto" w:fill="D7D7D7" w:themeFill="background1" w:themeFillShade="D8"/>
                  <w:vAlign w:val="center"/>
                </w:tcPr>
                <w:p w14:paraId="7E8806D5">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风险类型</w:t>
                  </w:r>
                </w:p>
              </w:tc>
              <w:tc>
                <w:tcPr>
                  <w:tcW w:w="1515" w:type="dxa"/>
                  <w:shd w:val="clear" w:color="auto" w:fill="D7D7D7" w:themeFill="background1" w:themeFillShade="D8"/>
                  <w:vAlign w:val="center"/>
                </w:tcPr>
                <w:p w14:paraId="3794C077">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危害</w:t>
                  </w:r>
                </w:p>
              </w:tc>
              <w:tc>
                <w:tcPr>
                  <w:tcW w:w="4536" w:type="dxa"/>
                  <w:shd w:val="clear" w:color="auto" w:fill="D7D7D7" w:themeFill="background1" w:themeFillShade="D8"/>
                  <w:vAlign w:val="center"/>
                </w:tcPr>
                <w:p w14:paraId="79B45298">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原因简析</w:t>
                  </w:r>
                </w:p>
              </w:tc>
            </w:tr>
            <w:tr w14:paraId="046A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14:paraId="3D17514B">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废矿物油暂存</w:t>
                  </w:r>
                </w:p>
              </w:tc>
              <w:tc>
                <w:tcPr>
                  <w:tcW w:w="1230" w:type="dxa"/>
                  <w:vAlign w:val="center"/>
                </w:tcPr>
                <w:p w14:paraId="55ED5A42">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废矿物油</w:t>
                  </w:r>
                  <w:r>
                    <w:rPr>
                      <w:rFonts w:hint="eastAsia" w:cs="Times New Roman"/>
                      <w:color w:val="auto"/>
                      <w:spacing w:val="6"/>
                      <w:sz w:val="21"/>
                      <w:vertAlign w:val="baseline"/>
                      <w:lang w:val="en-US" w:eastAsia="zh-CN"/>
                    </w:rPr>
                    <w:t>泄漏</w:t>
                  </w:r>
                </w:p>
              </w:tc>
              <w:tc>
                <w:tcPr>
                  <w:tcW w:w="1515" w:type="dxa"/>
                  <w:vAlign w:val="center"/>
                </w:tcPr>
                <w:p w14:paraId="203F6935">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lang w:val="en-US" w:eastAsia="zh-CN"/>
                    </w:rPr>
                  </w:pPr>
                  <w:r>
                    <w:rPr>
                      <w:rFonts w:hint="eastAsia" w:ascii="Times New Roman" w:hAnsi="Times New Roman" w:eastAsia="宋体" w:cs="Times New Roman"/>
                      <w:color w:val="auto"/>
                      <w:spacing w:val="6"/>
                      <w:sz w:val="21"/>
                      <w:vertAlign w:val="baseline"/>
                      <w:lang w:val="en-US" w:eastAsia="zh-CN"/>
                    </w:rPr>
                    <w:t>污染地下水、地表水、土壤</w:t>
                  </w:r>
                </w:p>
              </w:tc>
              <w:tc>
                <w:tcPr>
                  <w:tcW w:w="4536" w:type="dxa"/>
                  <w:vAlign w:val="center"/>
                </w:tcPr>
                <w:p w14:paraId="74A367BD">
                  <w:pPr>
                    <w:keepNext w:val="0"/>
                    <w:keepLines/>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sz w:val="21"/>
                      <w:vertAlign w:val="baseline"/>
                    </w:rPr>
                  </w:pPr>
                  <w:r>
                    <w:rPr>
                      <w:rFonts w:hint="default" w:ascii="Times New Roman" w:hAnsi="Times New Roman" w:eastAsia="宋体" w:cs="Times New Roman"/>
                      <w:color w:val="auto"/>
                      <w:spacing w:val="6"/>
                      <w:sz w:val="21"/>
                      <w:vertAlign w:val="baseline"/>
                    </w:rPr>
                    <w:t>临时储存的废矿物油泄漏，导致废矿物油下渗进入土壤、地下水，污染环境；或废矿物油泄漏遇明火/热源引发火灾，产生次生或伴生环境污染</w:t>
                  </w:r>
                </w:p>
              </w:tc>
            </w:tr>
          </w:tbl>
          <w:p w14:paraId="59892150">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）风险事故影响分析</w:t>
            </w:r>
          </w:p>
          <w:p w14:paraId="48949E0B">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风险事故主要为</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泄漏、火灾、爆炸及导致的次生环境污染事故。</w:t>
            </w:r>
          </w:p>
          <w:p w14:paraId="5339C153">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本项目产生的</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为可燃物质，遇火后造成火灾甚至爆炸，首先会对周围人群、建筑物及财产造成一定影响；其次，一旦发生火灾爆炸事故，完全燃烧的产物是CO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和H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O，不完全燃烧的产物有一氧化碳等气体，CO有毒性，将对环境空气造成伴生污染；堵漏过程中可能使用的大量拦截、堵漏材料，掺杂一定的物料，若事故排放后随意丢弃、排放，将对环境产生二次污染。</w:t>
            </w:r>
          </w:p>
          <w:p w14:paraId="238FD3A8">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储存量较小，厂内设有规范的收集设施，均可做到安全运行，泄漏的可能性较小。</w:t>
            </w:r>
          </w:p>
          <w:p w14:paraId="6D4ABDF5">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）风险防范措施</w:t>
            </w:r>
          </w:p>
          <w:p w14:paraId="21B053C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把风险事故的发生和影响降到最低限度，针对项目的生产特点，特别应注意以下几点：加强职工安全环保教育，增强操作工人的责任心，防止和减少因人为因素造成的事故，同时也要加强防火安全教育；应配备必需的消防设施，落实安全管理责任。</w:t>
            </w:r>
          </w:p>
          <w:p w14:paraId="1BA54DD0">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kern w:val="0"/>
                <w:sz w:val="24"/>
              </w:rPr>
              <w:t>危险废物泄漏事故风险防范措施</w:t>
            </w:r>
          </w:p>
          <w:p w14:paraId="3EC51718">
            <w:pPr>
              <w:pStyle w:val="9"/>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1间面积为</w:t>
            </w:r>
            <w:r>
              <w:rPr>
                <w:rFonts w:hint="eastAsia" w:ascii="Times New Roman" w:hAnsi="Times New Roman" w:eastAsia="宋体" w:cs="Times New Roman"/>
                <w:color w:val="auto"/>
                <w:kern w:val="0"/>
                <w:sz w:val="24"/>
                <w:lang w:val="en-US" w:eastAsia="zh-CN" w:bidi="ar"/>
              </w:rPr>
              <w:t>10</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2</w:t>
            </w:r>
            <w:r>
              <w:rPr>
                <w:rFonts w:hint="default" w:ascii="Times New Roman" w:hAnsi="Times New Roman" w:eastAsia="宋体" w:cs="Times New Roman"/>
                <w:color w:val="auto"/>
                <w:kern w:val="0"/>
                <w:sz w:val="24"/>
                <w:lang w:bidi="ar"/>
              </w:rPr>
              <w:t>危废暂存间，该危废暂存间设置密闭收集容器，</w:t>
            </w:r>
            <w:r>
              <w:rPr>
                <w:rFonts w:hint="default" w:ascii="Times New Roman" w:hAnsi="Times New Roman" w:eastAsia="宋体" w:cs="Times New Roman"/>
                <w:color w:val="auto"/>
                <w:sz w:val="24"/>
              </w:rPr>
              <w:t>并采取了必要的</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三防</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等措施，并按《危险废物贮存污染控制标准》（GB18597-2023）的相关要求建设，危险废物经分类收集后统一暂存于危废暂存间，</w:t>
            </w:r>
            <w:r>
              <w:rPr>
                <w:rFonts w:hint="default" w:ascii="Times New Roman" w:hAnsi="Times New Roman" w:eastAsia="宋体" w:cs="Times New Roman"/>
                <w:bCs/>
                <w:color w:val="auto"/>
                <w:sz w:val="24"/>
              </w:rPr>
              <w:t>严禁随意堆放、处置。</w:t>
            </w:r>
          </w:p>
          <w:p w14:paraId="3709F67C">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装载液体、半固体危险废物的容器内须留足够空间，容器顶部与液体表面之间保留100mm以上的空间；盛装危险废物的容器上必须粘贴危险废物标签；液体危险废物可注入开孔直径不超过70mm并有放气孔的桶中。</w:t>
            </w:r>
          </w:p>
          <w:p w14:paraId="71308E3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危险废物及时交由有资质的公司进行回收处置，禁止在项目内大量堆存。</w:t>
            </w:r>
          </w:p>
          <w:p w14:paraId="2166DE4E">
            <w:pPr>
              <w:keepNext w:val="0"/>
              <w:keepLines/>
              <w:pageBreakBefore w:val="0"/>
              <w:tabs>
                <w:tab w:val="left" w:pos="900"/>
              </w:tabs>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五年。</w:t>
            </w:r>
          </w:p>
          <w:p w14:paraId="1367BB1B">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必须定期对所贮存的危险废物包装容器及贮存设施进行检查，发现破损，应及时采取措施清理更换。同时</w:t>
            </w:r>
            <w:r>
              <w:rPr>
                <w:rFonts w:hint="default" w:ascii="Times New Roman" w:hAnsi="Times New Roman" w:eastAsia="宋体" w:cs="Times New Roman"/>
                <w:bCs/>
                <w:color w:val="auto"/>
                <w:sz w:val="24"/>
              </w:rPr>
              <w:t>检查场内暂存场所有无泄漏、雨水浸泡等问题，及时处理。</w:t>
            </w:r>
          </w:p>
          <w:p w14:paraId="1D30099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
                <w:bCs/>
                <w:color w:val="auto"/>
                <w:kern w:val="0"/>
                <w:sz w:val="24"/>
                <w:szCs w:val="24"/>
              </w:rPr>
            </w:pPr>
            <w:r>
              <w:rPr>
                <w:rFonts w:hint="eastAsia" w:ascii="Times New Roman" w:hAnsi="Times New Roman" w:eastAsia="宋体" w:cs="Times New Roman"/>
                <w:b w:val="0"/>
                <w:bCs w:val="0"/>
                <w:color w:val="auto"/>
                <w:sz w:val="24"/>
                <w:szCs w:val="24"/>
                <w:lang w:val="en-US" w:eastAsia="zh-CN"/>
              </w:rPr>
              <w:t>⑥为进一步加强地下水、土壤防治措施，本次环评建议生产区地面涂刷环氧树脂防水漆，降低渗漏造成土壤、地下水污染的风险。</w:t>
            </w:r>
          </w:p>
          <w:p w14:paraId="6420B7B1">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rPr>
              <w:t>2）</w:t>
            </w:r>
            <w:r>
              <w:rPr>
                <w:rFonts w:hint="default" w:ascii="Times New Roman" w:hAnsi="Times New Roman" w:eastAsia="宋体" w:cs="Times New Roman"/>
                <w:b/>
                <w:bCs/>
                <w:color w:val="auto"/>
                <w:sz w:val="24"/>
              </w:rPr>
              <w:t>火灾、爆炸事故风险防范措施</w:t>
            </w:r>
          </w:p>
          <w:p w14:paraId="740DBEF2">
            <w:pPr>
              <w:pStyle w:val="84"/>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①项目加强危废间的贮存管理，加强相关隔离措施，厂区应设置</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严禁烟火</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的警示牌。</w:t>
            </w:r>
          </w:p>
          <w:p w14:paraId="1CE1F432">
            <w:pPr>
              <w:pStyle w:val="84"/>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②制定和落实防火安全责任制及消防安全规章制度，除加强对员工的消防知识培训，对消防安全责任人及员工也定期进行消防知识培训，消防安全管理人员持证上岗。</w:t>
            </w:r>
          </w:p>
          <w:p w14:paraId="230EE267">
            <w:pPr>
              <w:pStyle w:val="84"/>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③制定灭火和应急疏散预案，同时设置安全疏散通道。灭火器应布置在明显便于取用的地方，并定期维护检查，确保能正常使用。</w:t>
            </w:r>
          </w:p>
          <w:p w14:paraId="6EDE711F">
            <w:pPr>
              <w:keepNext w:val="0"/>
              <w:keepLines/>
              <w:pageBreakBefore w:val="0"/>
              <w:kinsoku/>
              <w:overflowPunct/>
              <w:bidi w:val="0"/>
              <w:adjustRightInd/>
              <w:spacing w:line="360" w:lineRule="auto"/>
              <w:ind w:firstLine="480" w:firstLineChars="200"/>
              <w:rPr>
                <w:rFonts w:hint="eastAsia" w:ascii="Times New Roman" w:hAnsi="Times New Roman" w:eastAsia="宋体" w:cs="Times New Roman"/>
                <w:b w:val="0"/>
                <w:bCs w:val="0"/>
                <w:color w:val="auto"/>
                <w:kern w:val="0"/>
                <w:sz w:val="24"/>
                <w:lang w:eastAsia="zh-CN"/>
              </w:rPr>
            </w:pPr>
            <w:r>
              <w:rPr>
                <w:rFonts w:hint="eastAsia" w:ascii="Times New Roman" w:hAnsi="Times New Roman" w:eastAsia="宋体" w:cs="Times New Roman"/>
                <w:b w:val="0"/>
                <w:bCs w:val="0"/>
                <w:color w:val="auto"/>
                <w:kern w:val="0"/>
                <w:sz w:val="24"/>
                <w:lang w:eastAsia="zh-CN"/>
              </w:rPr>
              <w:t>④要求雨水排口设置闸阀，事故状态下切断闸阀，防止事故废水、消防废水外流。</w:t>
            </w:r>
          </w:p>
          <w:p w14:paraId="0DB9D0BA">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7</w:t>
            </w:r>
            <w:r>
              <w:rPr>
                <w:rFonts w:hint="default" w:ascii="Times New Roman" w:hAnsi="Times New Roman" w:eastAsia="宋体" w:cs="Times New Roman"/>
                <w:b/>
                <w:bCs/>
                <w:color w:val="auto"/>
                <w:kern w:val="0"/>
                <w:sz w:val="24"/>
              </w:rPr>
              <w:t>）应急处理措施</w:t>
            </w:r>
          </w:p>
          <w:p w14:paraId="13E6EDDD">
            <w:pPr>
              <w:pStyle w:val="84"/>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严格落实环境风险防范措施，根据《关于印发〈突发环境事件应急预案管理暂行办法〉的通知》（环发〔2015〕4号）要求，待项目建设完成后，及时进行《突发环境事件应急预案》</w:t>
            </w:r>
            <w:r>
              <w:rPr>
                <w:rFonts w:hint="default" w:ascii="Times New Roman" w:hAnsi="Times New Roman" w:eastAsia="宋体" w:cs="Times New Roman"/>
                <w:color w:val="auto"/>
                <w:sz w:val="24"/>
                <w:lang w:eastAsia="zh-CN"/>
              </w:rPr>
              <w:t>编制</w:t>
            </w:r>
            <w:r>
              <w:rPr>
                <w:rFonts w:hint="default" w:ascii="Times New Roman" w:hAnsi="Times New Roman" w:eastAsia="宋体" w:cs="Times New Roman"/>
                <w:color w:val="auto"/>
                <w:sz w:val="24"/>
              </w:rPr>
              <w:t>工作并于玉溪市生态环境局</w:t>
            </w:r>
            <w:r>
              <w:rPr>
                <w:rFonts w:hint="eastAsia" w:ascii="Times New Roman" w:hAnsi="Times New Roman" w:eastAsia="宋体" w:cs="Times New Roman"/>
                <w:color w:val="auto"/>
                <w:sz w:val="24"/>
                <w:lang w:val="en-US" w:eastAsia="zh-CN"/>
              </w:rPr>
              <w:t>通海</w:t>
            </w:r>
            <w:r>
              <w:rPr>
                <w:rFonts w:hint="default" w:ascii="Times New Roman" w:hAnsi="Times New Roman" w:eastAsia="宋体" w:cs="Times New Roman"/>
                <w:color w:val="auto"/>
                <w:sz w:val="24"/>
              </w:rPr>
              <w:t>分局备案；加强应急演练，建立完善应急报告制度，落实应急物资和经费。切实做好环保设施的日常维护和管理，落实环境风险防范措施，杜绝事故性排放。</w:t>
            </w:r>
          </w:p>
          <w:p w14:paraId="4E4372AB">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1）油品泄漏应急处理</w:t>
            </w:r>
          </w:p>
          <w:p w14:paraId="67933D3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①</w:t>
            </w:r>
            <w:r>
              <w:rPr>
                <w:rFonts w:hint="default" w:ascii="Times New Roman" w:hAnsi="Times New Roman" w:eastAsia="宋体" w:cs="Times New Roman"/>
                <w:bCs/>
                <w:color w:val="auto"/>
                <w:sz w:val="24"/>
              </w:rPr>
              <w:t>发现泄漏后生产人员立即将泄漏的油品用妥善收集到专门的容器内，放置于危废暂存间内，及时交由</w:t>
            </w:r>
            <w:r>
              <w:rPr>
                <w:rFonts w:hint="default" w:ascii="Times New Roman" w:hAnsi="Times New Roman" w:eastAsia="宋体" w:cs="Times New Roman"/>
                <w:color w:val="auto"/>
                <w:sz w:val="24"/>
              </w:rPr>
              <w:t>有资质的单位</w:t>
            </w:r>
            <w:r>
              <w:rPr>
                <w:rFonts w:hint="default" w:ascii="Times New Roman" w:hAnsi="Times New Roman" w:eastAsia="宋体" w:cs="Times New Roman"/>
                <w:bCs/>
                <w:color w:val="auto"/>
                <w:sz w:val="24"/>
              </w:rPr>
              <w:t>处置，防止造成新的污染。</w:t>
            </w:r>
          </w:p>
          <w:p w14:paraId="3E85870C">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bCs/>
                <w:color w:val="auto"/>
                <w:sz w:val="24"/>
              </w:rPr>
              <w:t>收集完毕之后将受影响的土壤清理干净。</w:t>
            </w:r>
          </w:p>
          <w:p w14:paraId="7EF9D73B">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2）火灾、爆炸应急处理</w:t>
            </w:r>
          </w:p>
          <w:p w14:paraId="48DF990F">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①迅速撤离火灾污染区人员至上风处，并立即进行隔离。应急处理人员戴自给正压式呼吸器，穿防毒服。尽可能切断泄漏源。</w:t>
            </w:r>
          </w:p>
          <w:p w14:paraId="0D866108">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应急处理人员戴自给正压式呼吸器，穿防毒服，用灭火器紧急处理，及时报告，根据情况向厂内应急中心求救或拨打119。</w:t>
            </w:r>
          </w:p>
          <w:p w14:paraId="3C075219">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切断火势蔓延的途径，冷却和疏散受火势威胁的密闭容器和可燃物，控制燃烧范围，并积极抢救受伤和被困人员。合理通风，加速扩散。</w:t>
            </w:r>
          </w:p>
          <w:p w14:paraId="397AD17D">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④当人体吸入有毒气体引起中毒，须迅速脱离现场至空气新鲜处；情节严重的要立即就医。</w:t>
            </w:r>
          </w:p>
          <w:p w14:paraId="24FA5B77">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eastAsia" w:ascii="Times New Roman" w:hAnsi="Times New Roman" w:eastAsia="宋体" w:cs="Times New Roman"/>
                <w:b w:val="0"/>
                <w:bCs w:val="0"/>
                <w:color w:val="auto"/>
                <w:kern w:val="0"/>
                <w:sz w:val="24"/>
                <w:lang w:val="en-US" w:eastAsia="zh-CN"/>
              </w:rPr>
              <w:t>⑤</w:t>
            </w:r>
            <w:r>
              <w:rPr>
                <w:rFonts w:hint="eastAsia" w:ascii="Times New Roman" w:hAnsi="Times New Roman" w:eastAsia="宋体" w:cs="Times New Roman"/>
                <w:b w:val="0"/>
                <w:bCs w:val="0"/>
                <w:color w:val="auto"/>
                <w:kern w:val="0"/>
                <w:sz w:val="24"/>
                <w:lang w:eastAsia="zh-CN"/>
              </w:rPr>
              <w:t>要求雨水排口设置闸阀，事故状态下切断闸阀，防止事故废水、消防废水外流，</w:t>
            </w:r>
            <w:r>
              <w:rPr>
                <w:rFonts w:hint="eastAsia" w:ascii="Times New Roman" w:hAnsi="Times New Roman" w:eastAsia="宋体" w:cs="Times New Roman"/>
                <w:b w:val="0"/>
                <w:bCs w:val="0"/>
                <w:color w:val="auto"/>
                <w:kern w:val="0"/>
                <w:sz w:val="24"/>
                <w:lang w:val="en-US" w:eastAsia="zh-CN"/>
              </w:rPr>
              <w:t>待事故结束后，事故废水委托有处理能力的单位进行清运处置。</w:t>
            </w:r>
          </w:p>
          <w:p w14:paraId="2ADD7139">
            <w:pPr>
              <w:keepNext w:val="0"/>
              <w:keepLines/>
              <w:pageBreakBefore w:val="0"/>
              <w:kinsoku/>
              <w:overflowPunct/>
              <w:bidi w:val="0"/>
              <w:adjustRightInd/>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8</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sz w:val="24"/>
              </w:rPr>
              <w:t>环境风险分析结论</w:t>
            </w:r>
          </w:p>
          <w:p w14:paraId="7F96916E">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综上所述，本项目环境风险潜势为Ⅰ级，风险评价等级为简单分析，不存在重大风险源，主要风险事故为</w:t>
            </w:r>
            <w:r>
              <w:rPr>
                <w:rFonts w:hint="eastAsia" w:ascii="Times New Roman" w:hAnsi="Times New Roman" w:eastAsia="宋体" w:cs="Times New Roman"/>
                <w:color w:val="auto"/>
                <w:sz w:val="24"/>
                <w:lang w:eastAsia="zh-CN"/>
              </w:rPr>
              <w:t>废机油、废液压油</w:t>
            </w:r>
            <w:r>
              <w:rPr>
                <w:rFonts w:hint="default" w:ascii="Times New Roman" w:hAnsi="Times New Roman" w:eastAsia="宋体" w:cs="Times New Roman"/>
                <w:color w:val="auto"/>
                <w:sz w:val="24"/>
              </w:rPr>
              <w:t>泄漏、火灾、爆炸事故，对在厂、邻近人员造成伤害。结合项目实际情况，本评价提出了相关防范措施，在加强管理及积极落实有关防范措施后，本项目环境事故发生的可能性很低，且项目环境风险在可防控范围内，项目环境风险影响较小。</w:t>
            </w:r>
          </w:p>
          <w:p w14:paraId="4199017A">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表4</w:t>
            </w:r>
            <w:r>
              <w:rPr>
                <w:rFonts w:hint="eastAsia" w:ascii="Times New Roman" w:hAnsi="Times New Roman" w:eastAsia="宋体" w:cs="Times New Roman"/>
                <w:b/>
                <w:color w:val="auto"/>
                <w:kern w:val="2"/>
                <w:sz w:val="21"/>
                <w:szCs w:val="24"/>
                <w:lang w:val="en-US" w:eastAsia="zh-CN" w:bidi="ar-SA"/>
              </w:rPr>
              <w:t>-</w:t>
            </w:r>
            <w:r>
              <w:rPr>
                <w:rFonts w:hint="eastAsia" w:cs="Times New Roman"/>
                <w:b/>
                <w:color w:val="auto"/>
                <w:kern w:val="2"/>
                <w:sz w:val="21"/>
                <w:szCs w:val="24"/>
                <w:lang w:val="en-US" w:eastAsia="zh-CN" w:bidi="ar-SA"/>
              </w:rPr>
              <w:t>18</w:t>
            </w:r>
            <w:r>
              <w:rPr>
                <w:rFonts w:hint="default" w:ascii="Times New Roman" w:hAnsi="Times New Roman" w:eastAsia="宋体" w:cs="Times New Roman"/>
                <w:b/>
                <w:color w:val="auto"/>
                <w:kern w:val="2"/>
                <w:sz w:val="21"/>
                <w:szCs w:val="24"/>
                <w:lang w:val="en-US" w:eastAsia="zh-CN" w:bidi="ar-SA"/>
              </w:rPr>
              <w:t>建设项目环境风险简单分析内容表</w:t>
            </w:r>
          </w:p>
          <w:tbl>
            <w:tblPr>
              <w:tblStyle w:val="2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282"/>
              <w:gridCol w:w="2364"/>
              <w:gridCol w:w="745"/>
              <w:gridCol w:w="2139"/>
            </w:tblGrid>
            <w:tr w14:paraId="735F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2" w:type="pct"/>
                  <w:tcBorders>
                    <w:tl2br w:val="nil"/>
                    <w:tr2bl w:val="nil"/>
                  </w:tcBorders>
                  <w:vAlign w:val="center"/>
                </w:tcPr>
                <w:p w14:paraId="3220C24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建设项目名称</w:t>
                  </w:r>
                </w:p>
              </w:tc>
              <w:tc>
                <w:tcPr>
                  <w:tcW w:w="3977" w:type="pct"/>
                  <w:gridSpan w:val="4"/>
                  <w:tcBorders>
                    <w:tl2br w:val="nil"/>
                    <w:tr2bl w:val="nil"/>
                  </w:tcBorders>
                  <w:vAlign w:val="center"/>
                </w:tcPr>
                <w:p w14:paraId="082E3EB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val="en-US" w:eastAsia="zh-CN"/>
                    </w:rPr>
                    <w:t>年产</w:t>
                  </w:r>
                  <w:r>
                    <w:rPr>
                      <w:rFonts w:hint="eastAsia" w:cs="Times New Roman"/>
                      <w:bCs/>
                      <w:color w:val="auto"/>
                      <w:sz w:val="21"/>
                      <w:szCs w:val="21"/>
                      <w:lang w:val="en-US" w:eastAsia="zh-CN"/>
                    </w:rPr>
                    <w:t>20</w:t>
                  </w:r>
                  <w:r>
                    <w:rPr>
                      <w:rFonts w:hint="eastAsia" w:ascii="Times New Roman" w:hAnsi="Times New Roman" w:eastAsia="宋体" w:cs="Times New Roman"/>
                      <w:bCs/>
                      <w:color w:val="auto"/>
                      <w:sz w:val="21"/>
                      <w:szCs w:val="21"/>
                      <w:lang w:val="en-US" w:eastAsia="zh-CN"/>
                    </w:rPr>
                    <w:t>万吨焊管生产线建设项目</w:t>
                  </w:r>
                </w:p>
              </w:tc>
            </w:tr>
            <w:tr w14:paraId="5E71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2" w:type="pct"/>
                  <w:tcBorders>
                    <w:tl2br w:val="nil"/>
                    <w:tr2bl w:val="nil"/>
                  </w:tcBorders>
                  <w:vAlign w:val="center"/>
                </w:tcPr>
                <w:p w14:paraId="5450F65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建设地点</w:t>
                  </w:r>
                </w:p>
              </w:tc>
              <w:tc>
                <w:tcPr>
                  <w:tcW w:w="3977" w:type="pct"/>
                  <w:gridSpan w:val="4"/>
                  <w:tcBorders>
                    <w:tl2br w:val="nil"/>
                    <w:tr2bl w:val="nil"/>
                  </w:tcBorders>
                  <w:vAlign w:val="center"/>
                </w:tcPr>
                <w:p w14:paraId="309E33B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zh-CN" w:eastAsia="zh-CN"/>
                    </w:rPr>
                  </w:pPr>
                  <w:r>
                    <w:rPr>
                      <w:rFonts w:hint="eastAsia" w:ascii="Times New Roman" w:hAnsi="Times New Roman" w:eastAsia="宋体" w:cs="Times New Roman"/>
                      <w:bCs/>
                      <w:color w:val="auto"/>
                      <w:sz w:val="21"/>
                      <w:szCs w:val="21"/>
                      <w:lang w:eastAsia="zh-CN"/>
                    </w:rPr>
                    <w:t>玉溪市通海县</w:t>
                  </w:r>
                  <w:r>
                    <w:rPr>
                      <w:rFonts w:hint="eastAsia" w:cs="Times New Roman"/>
                      <w:bCs/>
                      <w:color w:val="auto"/>
                      <w:sz w:val="21"/>
                      <w:szCs w:val="21"/>
                      <w:lang w:eastAsia="zh-CN"/>
                    </w:rPr>
                    <w:t>纳古</w:t>
                  </w:r>
                  <w:r>
                    <w:rPr>
                      <w:rFonts w:hint="eastAsia" w:ascii="Times New Roman" w:hAnsi="Times New Roman" w:eastAsia="宋体" w:cs="Times New Roman"/>
                      <w:bCs/>
                      <w:color w:val="auto"/>
                      <w:sz w:val="21"/>
                      <w:szCs w:val="21"/>
                      <w:lang w:eastAsia="zh-CN"/>
                    </w:rPr>
                    <w:t>镇</w:t>
                  </w:r>
                  <w:r>
                    <w:rPr>
                      <w:rFonts w:hint="eastAsia" w:cs="Times New Roman"/>
                      <w:bCs/>
                      <w:color w:val="auto"/>
                      <w:sz w:val="21"/>
                      <w:szCs w:val="21"/>
                      <w:lang w:eastAsia="zh-CN"/>
                    </w:rPr>
                    <w:t>大白龙</w:t>
                  </w:r>
                </w:p>
              </w:tc>
            </w:tr>
            <w:tr w14:paraId="2A96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2" w:type="pct"/>
                  <w:tcBorders>
                    <w:tl2br w:val="nil"/>
                    <w:tr2bl w:val="nil"/>
                  </w:tcBorders>
                  <w:vAlign w:val="center"/>
                </w:tcPr>
                <w:p w14:paraId="0ACF655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781" w:type="pct"/>
                  <w:tcBorders>
                    <w:tl2br w:val="nil"/>
                    <w:tr2bl w:val="nil"/>
                  </w:tcBorders>
                  <w:vAlign w:val="center"/>
                </w:tcPr>
                <w:p w14:paraId="42C0BAD3">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东经</w:t>
                  </w:r>
                </w:p>
              </w:tc>
              <w:tc>
                <w:tcPr>
                  <w:tcW w:w="1440" w:type="pct"/>
                  <w:tcBorders>
                    <w:tl2br w:val="nil"/>
                    <w:tr2bl w:val="nil"/>
                  </w:tcBorders>
                  <w:vAlign w:val="center"/>
                </w:tcPr>
                <w:p w14:paraId="7BE24060">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度</w:t>
                  </w:r>
                  <w:r>
                    <w:rPr>
                      <w:rFonts w:hint="eastAsia" w:ascii="Times New Roman" w:hAnsi="Times New Roman" w:eastAsia="宋体" w:cs="Times New Roman"/>
                      <w:bCs/>
                      <w:color w:val="auto"/>
                      <w:sz w:val="21"/>
                      <w:szCs w:val="21"/>
                      <w:lang w:val="en-US" w:eastAsia="zh-CN"/>
                    </w:rPr>
                    <w:t>74</w:t>
                  </w:r>
                  <w:r>
                    <w:rPr>
                      <w:rFonts w:hint="default" w:ascii="Times New Roman" w:hAnsi="Times New Roman" w:eastAsia="宋体" w:cs="Times New Roman"/>
                      <w:bCs/>
                      <w:color w:val="auto"/>
                      <w:sz w:val="21"/>
                      <w:szCs w:val="21"/>
                    </w:rPr>
                    <w:t>分</w:t>
                  </w:r>
                  <w:r>
                    <w:rPr>
                      <w:rFonts w:hint="eastAsia" w:ascii="Times New Roman" w:hAnsi="Times New Roman" w:eastAsia="宋体" w:cs="Times New Roman"/>
                      <w:bCs/>
                      <w:color w:val="auto"/>
                      <w:sz w:val="21"/>
                      <w:szCs w:val="21"/>
                      <w:lang w:val="en-US" w:eastAsia="zh-CN"/>
                    </w:rPr>
                    <w:t>55.800</w:t>
                  </w:r>
                  <w:r>
                    <w:rPr>
                      <w:rFonts w:hint="default" w:ascii="Times New Roman" w:hAnsi="Times New Roman" w:eastAsia="宋体" w:cs="Times New Roman"/>
                      <w:bCs/>
                      <w:color w:val="auto"/>
                      <w:sz w:val="21"/>
                      <w:szCs w:val="21"/>
                    </w:rPr>
                    <w:t>秒</w:t>
                  </w:r>
                </w:p>
              </w:tc>
              <w:tc>
                <w:tcPr>
                  <w:tcW w:w="454" w:type="pct"/>
                  <w:tcBorders>
                    <w:tl2br w:val="nil"/>
                    <w:tr2bl w:val="nil"/>
                  </w:tcBorders>
                  <w:vAlign w:val="center"/>
                </w:tcPr>
                <w:p w14:paraId="2BF2D3D9">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北纬</w:t>
                  </w:r>
                </w:p>
              </w:tc>
              <w:tc>
                <w:tcPr>
                  <w:tcW w:w="1300" w:type="pct"/>
                  <w:tcBorders>
                    <w:tl2br w:val="nil"/>
                    <w:tr2bl w:val="nil"/>
                  </w:tcBorders>
                  <w:vAlign w:val="center"/>
                </w:tcPr>
                <w:p w14:paraId="756EBA66">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r>
                    <w:rPr>
                      <w:rFonts w:hint="eastAsia"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rPr>
                    <w:t>度</w:t>
                  </w:r>
                  <w:r>
                    <w:rPr>
                      <w:rFonts w:hint="eastAsia" w:ascii="Times New Roman" w:hAnsi="Times New Roman" w:eastAsia="宋体" w:cs="Times New Roman"/>
                      <w:bCs/>
                      <w:color w:val="auto"/>
                      <w:sz w:val="21"/>
                      <w:szCs w:val="21"/>
                      <w:lang w:val="en-US" w:eastAsia="zh-CN"/>
                    </w:rPr>
                    <w:t>21</w:t>
                  </w:r>
                  <w:r>
                    <w:rPr>
                      <w:rFonts w:hint="default" w:ascii="Times New Roman" w:hAnsi="Times New Roman" w:eastAsia="宋体" w:cs="Times New Roman"/>
                      <w:bCs/>
                      <w:color w:val="auto"/>
                      <w:sz w:val="21"/>
                      <w:szCs w:val="21"/>
                    </w:rPr>
                    <w:t>分</w:t>
                  </w:r>
                  <w:r>
                    <w:rPr>
                      <w:rFonts w:hint="eastAsia" w:ascii="Times New Roman" w:hAnsi="Times New Roman" w:eastAsia="宋体" w:cs="Times New Roman"/>
                      <w:bCs/>
                      <w:color w:val="auto"/>
                      <w:sz w:val="21"/>
                      <w:szCs w:val="21"/>
                      <w:lang w:val="en-US" w:eastAsia="zh-CN"/>
                    </w:rPr>
                    <w:t>40.985</w:t>
                  </w:r>
                  <w:r>
                    <w:rPr>
                      <w:rFonts w:hint="default" w:ascii="Times New Roman" w:hAnsi="Times New Roman" w:eastAsia="宋体" w:cs="Times New Roman"/>
                      <w:bCs/>
                      <w:color w:val="auto"/>
                      <w:sz w:val="21"/>
                      <w:szCs w:val="21"/>
                    </w:rPr>
                    <w:t>秒</w:t>
                  </w:r>
                </w:p>
              </w:tc>
            </w:tr>
            <w:tr w14:paraId="4C2B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1022" w:type="pct"/>
                  <w:tcBorders>
                    <w:tl2br w:val="nil"/>
                    <w:tr2bl w:val="nil"/>
                  </w:tcBorders>
                  <w:vAlign w:val="center"/>
                </w:tcPr>
                <w:p w14:paraId="7FD8AA8C">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主要危险物质及分布</w:t>
                  </w:r>
                </w:p>
              </w:tc>
              <w:tc>
                <w:tcPr>
                  <w:tcW w:w="3977" w:type="pct"/>
                  <w:gridSpan w:val="4"/>
                  <w:tcBorders>
                    <w:tl2br w:val="nil"/>
                    <w:tr2bl w:val="nil"/>
                  </w:tcBorders>
                  <w:vAlign w:val="center"/>
                </w:tcPr>
                <w:p w14:paraId="4C2347A4">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zh-CN"/>
                    </w:rPr>
                    <w:t>根据《建设项目环境风险评价技术导则》（HJ169-2018）相关要求，本项目主要风险物质为</w:t>
                  </w:r>
                  <w:r>
                    <w:rPr>
                      <w:rFonts w:hint="eastAsia" w:ascii="Times New Roman" w:hAnsi="Times New Roman" w:eastAsia="宋体" w:cs="Times New Roman"/>
                      <w:color w:val="auto"/>
                      <w:sz w:val="21"/>
                      <w:szCs w:val="21"/>
                      <w:lang w:eastAsia="zh-CN"/>
                    </w:rPr>
                    <w:t>废机油、废液压油</w:t>
                  </w:r>
                  <w:r>
                    <w:rPr>
                      <w:rFonts w:hint="default" w:ascii="Times New Roman" w:hAnsi="Times New Roman" w:eastAsia="宋体" w:cs="Times New Roman"/>
                      <w:color w:val="auto"/>
                      <w:sz w:val="21"/>
                      <w:szCs w:val="21"/>
                    </w:rPr>
                    <w:t>，危废暂存间的废油专用收集容器</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个</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每个容器</w:t>
                  </w:r>
                  <w:r>
                    <w:rPr>
                      <w:rFonts w:hint="default" w:ascii="Times New Roman" w:hAnsi="Times New Roman" w:eastAsia="宋体" w:cs="Times New Roman"/>
                      <w:color w:val="auto"/>
                      <w:sz w:val="21"/>
                      <w:szCs w:val="21"/>
                      <w:highlight w:val="none"/>
                    </w:rPr>
                    <w:t>最大贮存量为</w:t>
                  </w:r>
                  <w:r>
                    <w:rPr>
                      <w:rFonts w:hint="default" w:ascii="Times New Roman" w:hAnsi="Times New Roman" w:eastAsia="宋体" w:cs="Times New Roman"/>
                      <w:color w:val="auto"/>
                      <w:sz w:val="21"/>
                      <w:szCs w:val="21"/>
                      <w:highlight w:val="none"/>
                      <w:lang w:bidi="ar"/>
                    </w:rPr>
                    <w:t>0.1</w:t>
                  </w:r>
                  <w:r>
                    <w:rPr>
                      <w:rFonts w:hint="eastAsia" w:ascii="Times New Roman" w:hAnsi="Times New Roman" w:eastAsia="宋体" w:cs="Times New Roman"/>
                      <w:color w:val="auto"/>
                      <w:sz w:val="21"/>
                      <w:szCs w:val="21"/>
                      <w:highlight w:val="none"/>
                      <w:lang w:val="en-US" w:eastAsia="zh-CN" w:bidi="ar"/>
                    </w:rPr>
                    <w:t>8</w:t>
                  </w:r>
                  <w:r>
                    <w:rPr>
                      <w:rFonts w:hint="default" w:ascii="Times New Roman" w:hAnsi="Times New Roman" w:eastAsia="宋体" w:cs="Times New Roman"/>
                      <w:color w:val="auto"/>
                      <w:sz w:val="21"/>
                      <w:szCs w:val="21"/>
                      <w:highlight w:val="none"/>
                      <w:lang w:bidi="ar"/>
                    </w:rPr>
                    <w:t>t</w:t>
                  </w:r>
                  <w:r>
                    <w:rPr>
                      <w:rFonts w:hint="default" w:ascii="Times New Roman" w:hAnsi="Times New Roman" w:eastAsia="宋体" w:cs="Times New Roman"/>
                      <w:bCs/>
                      <w:color w:val="auto"/>
                      <w:sz w:val="21"/>
                      <w:szCs w:val="21"/>
                      <w:highlight w:val="none"/>
                    </w:rPr>
                    <w:t>。</w:t>
                  </w:r>
                </w:p>
              </w:tc>
            </w:tr>
            <w:tr w14:paraId="3846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22" w:type="pct"/>
                  <w:tcBorders>
                    <w:tl2br w:val="nil"/>
                    <w:tr2bl w:val="nil"/>
                  </w:tcBorders>
                  <w:vAlign w:val="center"/>
                </w:tcPr>
                <w:p w14:paraId="39CFCA7D">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环境影响途径及危害后果</w:t>
                  </w:r>
                </w:p>
              </w:tc>
              <w:tc>
                <w:tcPr>
                  <w:tcW w:w="3977" w:type="pct"/>
                  <w:gridSpan w:val="4"/>
                  <w:tcBorders>
                    <w:tl2br w:val="nil"/>
                    <w:tr2bl w:val="nil"/>
                  </w:tcBorders>
                  <w:vAlign w:val="center"/>
                </w:tcPr>
                <w:p w14:paraId="15A544C1">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zh-CN"/>
                    </w:rPr>
                    <w:t>废机油、废液压油</w:t>
                  </w:r>
                  <w:r>
                    <w:rPr>
                      <w:rFonts w:hint="default" w:ascii="Times New Roman" w:hAnsi="Times New Roman" w:eastAsia="宋体" w:cs="Times New Roman"/>
                      <w:bCs/>
                      <w:color w:val="auto"/>
                      <w:sz w:val="21"/>
                      <w:szCs w:val="21"/>
                      <w:lang w:val="zh-CN"/>
                    </w:rPr>
                    <w:t>泄漏遇明火发生火灾、爆炸事故，造成人员伤亡及经济损失；火灾爆炸事故救援过程中产生的清消废水若没有及时收集，泄漏至厂区外会对周边地表水、土壤及沿途生态环境造成影响。</w:t>
                  </w:r>
                </w:p>
              </w:tc>
            </w:tr>
            <w:tr w14:paraId="2143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1022" w:type="pct"/>
                  <w:tcBorders>
                    <w:tl2br w:val="nil"/>
                    <w:tr2bl w:val="nil"/>
                  </w:tcBorders>
                  <w:vAlign w:val="center"/>
                </w:tcPr>
                <w:p w14:paraId="041A54A7">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风险防范措施要求</w:t>
                  </w:r>
                </w:p>
              </w:tc>
              <w:tc>
                <w:tcPr>
                  <w:tcW w:w="3977" w:type="pct"/>
                  <w:gridSpan w:val="4"/>
                  <w:tcBorders>
                    <w:tl2br w:val="nil"/>
                    <w:tr2bl w:val="nil"/>
                  </w:tcBorders>
                  <w:vAlign w:val="center"/>
                </w:tcPr>
                <w:p w14:paraId="35311383">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lang w:bidi="ar"/>
                    </w:rPr>
                    <w:t>设有1间危废暂存间，并设有废油专用收集容器，用于贮存</w:t>
                  </w:r>
                  <w:r>
                    <w:rPr>
                      <w:rFonts w:hint="eastAsia" w:ascii="Times New Roman" w:hAnsi="Times New Roman" w:eastAsia="宋体" w:cs="Times New Roman"/>
                      <w:color w:val="auto"/>
                      <w:kern w:val="0"/>
                      <w:sz w:val="21"/>
                      <w:szCs w:val="21"/>
                      <w:lang w:eastAsia="zh-CN" w:bidi="ar"/>
                    </w:rPr>
                    <w:t>废机油、废液压油</w:t>
                  </w:r>
                  <w:r>
                    <w:rPr>
                      <w:rFonts w:hint="default" w:ascii="Times New Roman" w:hAnsi="Times New Roman" w:eastAsia="宋体" w:cs="Times New Roman"/>
                      <w:color w:val="auto"/>
                      <w:kern w:val="0"/>
                      <w:sz w:val="21"/>
                      <w:szCs w:val="21"/>
                      <w:lang w:bidi="ar"/>
                    </w:rPr>
                    <w:t>，收集后委托</w:t>
                  </w:r>
                  <w:r>
                    <w:rPr>
                      <w:rFonts w:hint="eastAsia"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kern w:val="0"/>
                      <w:sz w:val="21"/>
                      <w:szCs w:val="21"/>
                      <w:lang w:bidi="ar"/>
                    </w:rPr>
                    <w:t>处置</w:t>
                  </w:r>
                  <w:r>
                    <w:rPr>
                      <w:rFonts w:hint="default" w:ascii="Times New Roman" w:hAnsi="Times New Roman" w:eastAsia="宋体" w:cs="Times New Roman"/>
                      <w:bCs/>
                      <w:color w:val="auto"/>
                      <w:sz w:val="21"/>
                      <w:szCs w:val="21"/>
                    </w:rPr>
                    <w:t>。为减少事故发生，必须增加管理力度，提高员工技术水平和安全意识，严格按规范操作，认真落实应急预案。并加强设备检查和维修，减少故障发生，提高企业的应急能力，从而确保生产安全。</w:t>
                  </w:r>
                </w:p>
              </w:tc>
            </w:tr>
            <w:tr w14:paraId="20BB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5000" w:type="pct"/>
                  <w:gridSpan w:val="5"/>
                  <w:tcBorders>
                    <w:tl2br w:val="nil"/>
                    <w:tr2bl w:val="nil"/>
                  </w:tcBorders>
                  <w:vAlign w:val="center"/>
                </w:tcPr>
                <w:p w14:paraId="5EC0EE01">
                  <w:pPr>
                    <w:keepNext w:val="0"/>
                    <w:keepLines/>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填表说明（列出项目相关信息及评价说明）：本项目环境风险评价等级为简单分析，项目可能发生的事故为火灾、爆炸事故，建设单位在严格执行上述预防措施后，并加强管理，严格操作，避免人为因素造成事故，可将环境风险控制在可接受的水平之内。</w:t>
                  </w:r>
                </w:p>
              </w:tc>
            </w:tr>
          </w:tbl>
          <w:p w14:paraId="6DF022B7">
            <w:pPr>
              <w:pStyle w:val="61"/>
              <w:keepNext w:val="0"/>
              <w:keepLines w:val="0"/>
              <w:pageBreakBefore w:val="0"/>
              <w:widowControl w:val="0"/>
              <w:kinsoku/>
              <w:wordWrap/>
              <w:overflowPunct/>
              <w:topLinePunct w:val="0"/>
              <w:autoSpaceDE/>
              <w:autoSpaceDN/>
              <w:bidi w:val="0"/>
              <w:adjustRightInd w:val="0"/>
              <w:snapToGrid w:val="0"/>
              <w:spacing w:before="160" w:beforeLines="50"/>
              <w:ind w:left="0" w:leftChars="0" w:firstLine="0" w:firstLineChars="0"/>
              <w:textAlignment w:val="auto"/>
              <w:rPr>
                <w:rFonts w:hint="eastAsia" w:ascii="Times New Roman" w:hAnsi="Times New Roman" w:eastAsia="宋体" w:cs="宋体"/>
                <w:b/>
                <w:bCs/>
                <w:color w:val="auto"/>
                <w:kern w:val="0"/>
                <w:lang w:val="zh-CN"/>
              </w:rPr>
            </w:pPr>
            <w:r>
              <w:rPr>
                <w:rFonts w:hint="eastAsia" w:ascii="Times New Roman" w:hAnsi="Times New Roman" w:cs="宋体"/>
                <w:b/>
                <w:bCs/>
                <w:color w:val="auto"/>
                <w:kern w:val="0"/>
                <w:lang w:val="en-US" w:eastAsia="zh-CN"/>
              </w:rPr>
              <w:t>8、</w:t>
            </w:r>
            <w:r>
              <w:rPr>
                <w:rFonts w:hint="eastAsia" w:ascii="Times New Roman" w:hAnsi="Times New Roman" w:eastAsia="宋体" w:cs="宋体"/>
                <w:b/>
                <w:bCs/>
                <w:color w:val="auto"/>
                <w:kern w:val="0"/>
                <w:lang w:val="zh-CN"/>
              </w:rPr>
              <w:t>竣工环境保护验收</w:t>
            </w:r>
          </w:p>
          <w:p w14:paraId="4578AFFF">
            <w:pPr>
              <w:pStyle w:val="61"/>
              <w:ind w:firstLine="480"/>
              <w:rPr>
                <w:rFonts w:hint="eastAsia" w:ascii="Times New Roman" w:hAnsi="Times New Roman" w:eastAsia="宋体"/>
                <w:color w:val="auto"/>
                <w:lang w:val="en-US" w:eastAsia="zh-CN"/>
              </w:rPr>
            </w:pPr>
            <w:r>
              <w:rPr>
                <w:rFonts w:hint="eastAsia" w:ascii="Times New Roman" w:hAnsi="Times New Roman" w:eastAsia="宋体"/>
                <w:color w:val="auto"/>
              </w:rPr>
              <w:t>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w:t>
            </w:r>
            <w:r>
              <w:rPr>
                <w:rFonts w:hint="eastAsia" w:ascii="Times New Roman" w:hAnsi="Times New Roman" w:eastAsia="宋体"/>
                <w:color w:val="auto"/>
                <w:lang w:eastAsia="zh-CN"/>
              </w:rPr>
              <w:t>。</w:t>
            </w:r>
          </w:p>
          <w:p w14:paraId="14E25B34">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w:t>
            </w:r>
            <w:r>
              <w:rPr>
                <w:rFonts w:hint="eastAsia" w:ascii="Times New Roman" w:hAnsi="Times New Roman" w:eastAsia="宋体" w:cs="Times New Roman"/>
                <w:b/>
                <w:color w:val="auto"/>
                <w:kern w:val="2"/>
                <w:sz w:val="21"/>
                <w:szCs w:val="24"/>
                <w:lang w:val="en-US" w:eastAsia="zh-CN" w:bidi="ar-SA"/>
              </w:rPr>
              <w:t>4-</w:t>
            </w:r>
            <w:r>
              <w:rPr>
                <w:rFonts w:hint="eastAsia" w:cs="Times New Roman"/>
                <w:b/>
                <w:color w:val="auto"/>
                <w:kern w:val="2"/>
                <w:sz w:val="21"/>
                <w:szCs w:val="24"/>
                <w:lang w:val="en-US" w:eastAsia="zh-CN" w:bidi="ar-SA"/>
              </w:rPr>
              <w:t>19</w:t>
            </w:r>
            <w:r>
              <w:rPr>
                <w:rFonts w:hint="default" w:ascii="Times New Roman" w:hAnsi="Times New Roman" w:eastAsia="宋体" w:cs="Times New Roman"/>
                <w:b/>
                <w:color w:val="auto"/>
                <w:kern w:val="2"/>
                <w:sz w:val="21"/>
                <w:szCs w:val="24"/>
                <w:lang w:val="en-US" w:eastAsia="zh-CN" w:bidi="ar-SA"/>
              </w:rPr>
              <w:t>项目环保设施竣工验收一览表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261"/>
              <w:gridCol w:w="4292"/>
              <w:gridCol w:w="1964"/>
            </w:tblGrid>
            <w:tr w14:paraId="2D7A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shd w:val="clear" w:color="auto" w:fill="D7D7D7" w:themeFill="background1" w:themeFillShade="D8"/>
                  <w:vAlign w:val="center"/>
                </w:tcPr>
                <w:p w14:paraId="04765A1B">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768" w:type="pct"/>
                  <w:shd w:val="clear" w:color="auto" w:fill="D7D7D7" w:themeFill="background1" w:themeFillShade="D8"/>
                  <w:vAlign w:val="center"/>
                </w:tcPr>
                <w:p w14:paraId="517D6F67">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验收对象</w:t>
                  </w:r>
                </w:p>
              </w:tc>
              <w:tc>
                <w:tcPr>
                  <w:tcW w:w="2614" w:type="pct"/>
                  <w:shd w:val="clear" w:color="auto" w:fill="D7D7D7" w:themeFill="background1" w:themeFillShade="D8"/>
                  <w:vAlign w:val="center"/>
                </w:tcPr>
                <w:p w14:paraId="3A7D86F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195" w:type="pct"/>
                  <w:shd w:val="clear" w:color="auto" w:fill="D7D7D7" w:themeFill="background1" w:themeFillShade="D8"/>
                  <w:vAlign w:val="center"/>
                </w:tcPr>
                <w:p w14:paraId="5AEC031E">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验收标准</w:t>
                  </w:r>
                </w:p>
              </w:tc>
            </w:tr>
            <w:tr w14:paraId="299A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421" w:type="pct"/>
                  <w:vAlign w:val="center"/>
                </w:tcPr>
                <w:p w14:paraId="0BCCC467">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大气污染防治措施</w:t>
                  </w:r>
                </w:p>
              </w:tc>
              <w:tc>
                <w:tcPr>
                  <w:tcW w:w="768" w:type="pct"/>
                  <w:tcBorders>
                    <w:top w:val="single" w:color="000000" w:sz="4" w:space="0"/>
                  </w:tcBorders>
                  <w:vAlign w:val="center"/>
                </w:tcPr>
                <w:p w14:paraId="0285D6E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焊接废气、切割废气</w:t>
                  </w:r>
                </w:p>
              </w:tc>
              <w:tc>
                <w:tcPr>
                  <w:tcW w:w="2614" w:type="pct"/>
                  <w:tcBorders>
                    <w:top w:val="single" w:color="000000" w:sz="4" w:space="0"/>
                  </w:tcBorders>
                  <w:vAlign w:val="center"/>
                </w:tcPr>
                <w:p w14:paraId="214DB414">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1CC7A13E">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1#、2#、3#、4#生产车间8条生产线</w:t>
                  </w:r>
                  <w:r>
                    <w:rPr>
                      <w:rFonts w:hint="eastAsia" w:ascii="Times New Roman" w:hAnsi="Times New Roman" w:eastAsia="宋体"/>
                      <w:color w:val="auto"/>
                      <w:lang w:val="en-US" w:eastAsia="zh-CN"/>
                    </w:rPr>
                    <w:t>各设置1个集气罩对产生的焊接切割废气进行收集，</w:t>
                  </w:r>
                  <w:r>
                    <w:rPr>
                      <w:rFonts w:hint="eastAsia"/>
                      <w:color w:val="auto"/>
                      <w:lang w:val="en-US" w:eastAsia="zh-CN"/>
                    </w:rPr>
                    <w:t>1#、2#、3#、4#生产车间</w:t>
                  </w:r>
                  <w:r>
                    <w:rPr>
                      <w:rFonts w:hint="eastAsia" w:ascii="Times New Roman" w:hAnsi="Times New Roman" w:eastAsia="宋体"/>
                      <w:color w:val="auto"/>
                      <w:lang w:val="en-US" w:eastAsia="zh-CN"/>
                    </w:rPr>
                    <w:t>共计</w:t>
                  </w:r>
                  <w:r>
                    <w:rPr>
                      <w:rFonts w:hint="eastAsia"/>
                      <w:color w:val="auto"/>
                      <w:lang w:val="en-US" w:eastAsia="zh-CN"/>
                    </w:rPr>
                    <w:t>8</w:t>
                  </w:r>
                  <w:r>
                    <w:rPr>
                      <w:rFonts w:hint="eastAsia" w:ascii="Times New Roman" w:hAnsi="Times New Roman" w:eastAsia="宋体"/>
                      <w:color w:val="auto"/>
                      <w:lang w:val="en-US" w:eastAsia="zh-CN"/>
                    </w:rPr>
                    <w:t>套集气罩</w:t>
                  </w:r>
                  <w:r>
                    <w:rPr>
                      <w:rFonts w:hint="eastAsia"/>
                      <w:color w:val="auto"/>
                      <w:lang w:val="en-US" w:eastAsia="zh-CN"/>
                    </w:rPr>
                    <w:t>；</w:t>
                  </w:r>
                </w:p>
                <w:p w14:paraId="628E6C7D">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1#、2#、3#、4#生产车间8条生产线各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w:t>
                  </w:r>
                  <w:r>
                    <w:rPr>
                      <w:rFonts w:hint="eastAsia"/>
                      <w:color w:val="auto"/>
                      <w:lang w:val="en-US" w:eastAsia="zh-CN"/>
                    </w:rPr>
                    <w:t>烟尘净化</w:t>
                  </w:r>
                  <w:r>
                    <w:rPr>
                      <w:rFonts w:hint="eastAsia" w:ascii="Times New Roman" w:hAnsi="Times New Roman" w:eastAsia="宋体"/>
                      <w:color w:val="auto"/>
                      <w:lang w:val="en-US" w:eastAsia="zh-CN"/>
                    </w:rPr>
                    <w:t>除尘”装置处理，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3</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w:t>
                  </w:r>
                  <w:r>
                    <w:rPr>
                      <w:rFonts w:hint="eastAsia"/>
                      <w:color w:val="auto"/>
                      <w:vertAlign w:val="baseline"/>
                      <w:lang w:val="en-US" w:eastAsia="zh-CN"/>
                    </w:rPr>
                    <w:t>5</w:t>
                  </w:r>
                  <w:r>
                    <w:rPr>
                      <w:rFonts w:hint="eastAsia" w:ascii="Times New Roman" w:hAnsi="Times New Roman" w:eastAsia="宋体"/>
                      <w:color w:val="auto"/>
                      <w:vertAlign w:val="baseline"/>
                      <w:lang w:val="en-US" w:eastAsia="zh-CN"/>
                    </w:rPr>
                    <w:t>%；</w:t>
                  </w:r>
                </w:p>
                <w:p w14:paraId="4CC004CB">
                  <w:pPr>
                    <w:keepNext w:val="0"/>
                    <w:keepLines/>
                    <w:pageBreakBefore w:val="0"/>
                    <w:kinsoku/>
                    <w:wordWrap/>
                    <w:overflowPunct/>
                    <w:topLinePunct w:val="0"/>
                    <w:bidi w:val="0"/>
                    <w:adjustRightInd/>
                    <w:snapToGrid/>
                    <w:spacing w:line="240" w:lineRule="auto"/>
                    <w:ind w:firstLine="0" w:firstLineChars="0"/>
                    <w:jc w:val="both"/>
                    <w:textAlignment w:val="auto"/>
                    <w:rPr>
                      <w:rFonts w:hint="eastAsia" w:ascii="Times New Roman" w:hAnsi="Times New Roman" w:eastAsia="宋体"/>
                      <w:color w:val="auto"/>
                      <w:vertAlign w:val="baseline"/>
                      <w:lang w:val="en-US" w:eastAsia="zh-CN"/>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w:t>
                  </w:r>
                  <w:r>
                    <w:rPr>
                      <w:rFonts w:hint="eastAsia"/>
                      <w:color w:val="auto"/>
                      <w:vertAlign w:val="baseline"/>
                      <w:lang w:val="en-US" w:eastAsia="zh-CN"/>
                    </w:rPr>
                    <w:t>无组织排放到厂房内</w:t>
                  </w:r>
                  <w:r>
                    <w:rPr>
                      <w:rFonts w:hint="eastAsia" w:ascii="Times New Roman" w:hAnsi="Times New Roman" w:eastAsia="宋体"/>
                      <w:color w:val="auto"/>
                      <w:vertAlign w:val="baseline"/>
                      <w:lang w:val="en-US" w:eastAsia="zh-CN"/>
                    </w:rPr>
                    <w:t>。</w:t>
                  </w:r>
                </w:p>
              </w:tc>
              <w:tc>
                <w:tcPr>
                  <w:tcW w:w="1195" w:type="pct"/>
                  <w:tcBorders>
                    <w:top w:val="single" w:color="000000" w:sz="4" w:space="0"/>
                  </w:tcBorders>
                  <w:vAlign w:val="center"/>
                </w:tcPr>
                <w:p w14:paraId="19FA223A">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b w:val="0"/>
                      <w:bCs/>
                      <w:color w:val="auto"/>
                      <w:kern w:val="24"/>
                      <w:sz w:val="21"/>
                      <w:szCs w:val="24"/>
                      <w:vertAlign w:val="baseline"/>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52C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421" w:type="pct"/>
                  <w:vAlign w:val="center"/>
                </w:tcPr>
                <w:p w14:paraId="5F03CE14">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噪声防治措施</w:t>
                  </w:r>
                </w:p>
              </w:tc>
              <w:tc>
                <w:tcPr>
                  <w:tcW w:w="768" w:type="pct"/>
                  <w:vAlign w:val="center"/>
                </w:tcPr>
                <w:p w14:paraId="562F8B15">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2614" w:type="pct"/>
                  <w:vAlign w:val="center"/>
                </w:tcPr>
                <w:p w14:paraId="67929B74">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bCs/>
                      <w:color w:val="auto"/>
                    </w:rPr>
                    <w:t>低噪声设备、合理布局、基础减震，厂房隔声，安装消声器等</w:t>
                  </w:r>
                  <w:r>
                    <w:rPr>
                      <w:rFonts w:hint="eastAsia" w:cs="Times New Roman"/>
                      <w:color w:val="auto"/>
                      <w:sz w:val="21"/>
                      <w:szCs w:val="21"/>
                      <w:lang w:eastAsia="zh-CN"/>
                    </w:rPr>
                    <w:t>。</w:t>
                  </w:r>
                </w:p>
              </w:tc>
              <w:tc>
                <w:tcPr>
                  <w:tcW w:w="1195" w:type="pct"/>
                  <w:vAlign w:val="center"/>
                </w:tcPr>
                <w:p w14:paraId="1C01621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《工业企业厂界环境噪声排放标准》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r>
            <w:tr w14:paraId="2689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421" w:type="pct"/>
                  <w:vMerge w:val="restart"/>
                  <w:vAlign w:val="center"/>
                </w:tcPr>
                <w:p w14:paraId="36D59279">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废水防治措施</w:t>
                  </w:r>
                </w:p>
              </w:tc>
              <w:tc>
                <w:tcPr>
                  <w:tcW w:w="768" w:type="pct"/>
                  <w:vAlign w:val="center"/>
                </w:tcPr>
                <w:p w14:paraId="12CF8B1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2614" w:type="pct"/>
                  <w:vAlign w:val="center"/>
                </w:tcPr>
                <w:p w14:paraId="7D45B37E">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olor w:val="auto"/>
                      <w:szCs w:val="21"/>
                      <w:lang w:val="en-US" w:eastAsia="zh-CN"/>
                    </w:rPr>
                    <w:t>生产车间</w:t>
                  </w:r>
                  <w:r>
                    <w:rPr>
                      <w:rFonts w:hint="eastAsia"/>
                      <w:color w:val="auto"/>
                      <w:szCs w:val="21"/>
                      <w:lang w:val="en-US" w:eastAsia="zh-CN"/>
                    </w:rPr>
                    <w:t>西侧</w:t>
                  </w:r>
                  <w:r>
                    <w:rPr>
                      <w:rFonts w:hint="eastAsia" w:ascii="Times New Roman" w:hAnsi="Times New Roman" w:eastAsia="宋体"/>
                      <w:color w:val="auto"/>
                      <w:szCs w:val="21"/>
                      <w:lang w:val="en-US" w:eastAsia="zh-CN"/>
                    </w:rPr>
                    <w:t>设置</w:t>
                  </w:r>
                  <w:r>
                    <w:rPr>
                      <w:rFonts w:hint="eastAsia"/>
                      <w:color w:val="auto"/>
                      <w:szCs w:val="21"/>
                      <w:lang w:val="en-US" w:eastAsia="zh-CN"/>
                    </w:rPr>
                    <w:t>两</w:t>
                  </w:r>
                  <w:r>
                    <w:rPr>
                      <w:rFonts w:hint="eastAsia" w:ascii="Times New Roman" w:hAnsi="Times New Roman" w:eastAsia="宋体"/>
                      <w:color w:val="auto"/>
                      <w:szCs w:val="21"/>
                      <w:lang w:val="en-US" w:eastAsia="zh-CN"/>
                    </w:rPr>
                    <w:t>个沉淀池，容积</w:t>
                  </w:r>
                  <w:r>
                    <w:rPr>
                      <w:rFonts w:hint="eastAsia"/>
                      <w:color w:val="auto"/>
                      <w:szCs w:val="21"/>
                      <w:lang w:val="en-US" w:eastAsia="zh-CN"/>
                    </w:rPr>
                    <w:t>各</w:t>
                  </w:r>
                  <w:r>
                    <w:rPr>
                      <w:rFonts w:hint="eastAsia" w:ascii="Times New Roman" w:hAnsi="Times New Roman" w:eastAsia="宋体"/>
                      <w:color w:val="auto"/>
                      <w:szCs w:val="21"/>
                      <w:lang w:val="en-US" w:eastAsia="zh-CN"/>
                    </w:rPr>
                    <w:t>为</w:t>
                  </w:r>
                  <w:r>
                    <w:rPr>
                      <w:rFonts w:hint="eastAsia"/>
                      <w:color w:val="auto"/>
                      <w:szCs w:val="21"/>
                      <w:lang w:val="en-US" w:eastAsia="zh-CN"/>
                    </w:rPr>
                    <w:t>300</w:t>
                  </w:r>
                  <w:r>
                    <w:rPr>
                      <w:rFonts w:hint="eastAsia" w:ascii="Times New Roman" w:hAnsi="Times New Roman" w:eastAsia="宋体"/>
                      <w:color w:val="auto"/>
                      <w:szCs w:val="21"/>
                      <w:lang w:val="en-US" w:eastAsia="zh-CN"/>
                    </w:rPr>
                    <w:t>m</w:t>
                  </w:r>
                  <w:r>
                    <w:rPr>
                      <w:rFonts w:hint="eastAsia" w:ascii="Times New Roman" w:hAnsi="Times New Roman" w:eastAsia="宋体"/>
                      <w:color w:val="auto"/>
                      <w:szCs w:val="21"/>
                      <w:vertAlign w:val="superscript"/>
                      <w:lang w:val="en-US" w:eastAsia="zh-CN"/>
                    </w:rPr>
                    <w:t>3</w:t>
                  </w:r>
                  <w:r>
                    <w:rPr>
                      <w:rFonts w:hint="eastAsia"/>
                      <w:color w:val="auto"/>
                      <w:szCs w:val="21"/>
                      <w:vertAlign w:val="baseline"/>
                      <w:lang w:val="en-US" w:eastAsia="zh-CN"/>
                    </w:rPr>
                    <w:t>。</w:t>
                  </w:r>
                </w:p>
              </w:tc>
              <w:tc>
                <w:tcPr>
                  <w:tcW w:w="1195" w:type="pct"/>
                  <w:vAlign w:val="center"/>
                </w:tcPr>
                <w:p w14:paraId="6EA37DB7">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14:paraId="6033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vMerge w:val="continue"/>
                  <w:vAlign w:val="center"/>
                </w:tcPr>
                <w:p w14:paraId="67F70972">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68" w:type="pct"/>
                  <w:vAlign w:val="center"/>
                </w:tcPr>
                <w:p w14:paraId="43054224">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614" w:type="pct"/>
                  <w:vAlign w:val="center"/>
                </w:tcPr>
                <w:p w14:paraId="2749A53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eastAsia="zh-CN"/>
                    </w:rPr>
                    <w:t>依托</w:t>
                  </w:r>
                  <w:r>
                    <w:rPr>
                      <w:rFonts w:hint="eastAsia" w:ascii="Times New Roman" w:hAnsi="Times New Roman" w:eastAsia="宋体" w:cs="Times New Roman"/>
                      <w:color w:val="auto"/>
                      <w:sz w:val="21"/>
                      <w:szCs w:val="21"/>
                      <w:lang w:val="en-US" w:eastAsia="zh-CN"/>
                    </w:rPr>
                    <w:t>厂区现有化粪池（</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利用罐车拉运至纳古镇污水处理站处理</w:t>
                  </w:r>
                  <w:r>
                    <w:rPr>
                      <w:rFonts w:ascii="Times New Roman" w:hAnsi="Times New Roman" w:eastAsia="宋体"/>
                      <w:color w:val="auto"/>
                    </w:rPr>
                    <w:t>。</w:t>
                  </w:r>
                </w:p>
              </w:tc>
              <w:tc>
                <w:tcPr>
                  <w:tcW w:w="1195" w:type="pct"/>
                  <w:vAlign w:val="center"/>
                </w:tcPr>
                <w:p w14:paraId="654E168A">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olor w:val="auto"/>
                      <w:sz w:val="21"/>
                      <w:szCs w:val="21"/>
                      <w:lang w:eastAsia="zh-CN"/>
                    </w:rPr>
                    <w:t>《污水综合排放标准》（GB8978-1996）表4三级标准，并满足氨氮、总磷指标</w:t>
                  </w:r>
                  <w:r>
                    <w:rPr>
                      <w:rFonts w:hint="eastAsia"/>
                      <w:color w:val="auto"/>
                      <w:sz w:val="21"/>
                      <w:szCs w:val="21"/>
                      <w:lang w:val="en-US" w:eastAsia="zh-CN"/>
                    </w:rPr>
                    <w:t>符合</w:t>
                  </w:r>
                  <w:r>
                    <w:rPr>
                      <w:rFonts w:hint="eastAsia"/>
                      <w:color w:val="auto"/>
                      <w:sz w:val="21"/>
                      <w:szCs w:val="21"/>
                      <w:lang w:eastAsia="zh-CN"/>
                    </w:rPr>
                    <w:t>《污水排入城镇下水道水质标准》（GB/T 31962—2015）表1（B）级标准</w:t>
                  </w:r>
                </w:p>
              </w:tc>
            </w:tr>
            <w:tr w14:paraId="2212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21" w:type="pct"/>
                  <w:vMerge w:val="continue"/>
                  <w:vAlign w:val="center"/>
                </w:tcPr>
                <w:p w14:paraId="50C0D59F">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68" w:type="pct"/>
                  <w:shd w:val="clear" w:color="auto" w:fill="auto"/>
                  <w:vAlign w:val="center"/>
                </w:tcPr>
                <w:p w14:paraId="6759A541">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事故废水</w:t>
                  </w:r>
                </w:p>
              </w:tc>
              <w:tc>
                <w:tcPr>
                  <w:tcW w:w="2614" w:type="pct"/>
                  <w:shd w:val="clear" w:color="auto" w:fill="auto"/>
                  <w:vAlign w:val="center"/>
                </w:tcPr>
                <w:p w14:paraId="3D68DEE6">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事故水池1座，位于生产车间外西侧300m</w:t>
                  </w:r>
                  <w:r>
                    <w:rPr>
                      <w:rFonts w:hint="eastAsia"/>
                      <w:color w:val="auto"/>
                      <w:szCs w:val="21"/>
                      <w:vertAlign w:val="superscript"/>
                      <w:lang w:val="en-US" w:eastAsia="zh-CN"/>
                    </w:rPr>
                    <w:t>3</w:t>
                  </w:r>
                </w:p>
              </w:tc>
              <w:tc>
                <w:tcPr>
                  <w:tcW w:w="1195" w:type="pct"/>
                  <w:shd w:val="clear" w:color="auto" w:fill="auto"/>
                  <w:vAlign w:val="center"/>
                </w:tcPr>
                <w:p w14:paraId="381C32A6">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防止冷却废水事故外溢</w:t>
                  </w:r>
                </w:p>
              </w:tc>
            </w:tr>
            <w:tr w14:paraId="13DD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vMerge w:val="restart"/>
                  <w:vAlign w:val="center"/>
                </w:tcPr>
                <w:p w14:paraId="549E20D6">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固废防治措施</w:t>
                  </w:r>
                </w:p>
              </w:tc>
              <w:tc>
                <w:tcPr>
                  <w:tcW w:w="768" w:type="pct"/>
                  <w:vAlign w:val="center"/>
                </w:tcPr>
                <w:p w14:paraId="1F5B471A">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焊渣、循环水池沉渣、边角废料及切割碎屑和不合格品</w:t>
                  </w:r>
                </w:p>
              </w:tc>
              <w:tc>
                <w:tcPr>
                  <w:tcW w:w="2614" w:type="pct"/>
                  <w:vAlign w:val="center"/>
                </w:tcPr>
                <w:p w14:paraId="23898386">
                  <w:pPr>
                    <w:keepNext w:val="0"/>
                    <w:keepLines/>
                    <w:pageBreakBefore w:val="0"/>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项目设置一间一般固废暂存间（占地面积50m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生产车间西</w:t>
                  </w:r>
                  <w:r>
                    <w:rPr>
                      <w:rFonts w:hint="default" w:ascii="Times New Roman" w:hAnsi="Times New Roman" w:eastAsia="宋体" w:cs="Times New Roman"/>
                      <w:color w:val="auto"/>
                      <w:sz w:val="21"/>
                      <w:szCs w:val="21"/>
                    </w:rPr>
                    <w:t>侧，用于统一堆存项目产生的一般固废，定期外售给废旧物资回收单位</w:t>
                  </w:r>
                  <w:r>
                    <w:rPr>
                      <w:rFonts w:hint="eastAsia" w:cs="Times New Roman"/>
                      <w:color w:val="auto"/>
                      <w:sz w:val="21"/>
                      <w:szCs w:val="21"/>
                      <w:lang w:eastAsia="zh-CN"/>
                    </w:rPr>
                    <w:t>，</w:t>
                  </w:r>
                  <w:r>
                    <w:rPr>
                      <w:rFonts w:hint="eastAsia" w:cs="Times New Roman"/>
                      <w:color w:val="auto"/>
                      <w:sz w:val="21"/>
                      <w:szCs w:val="21"/>
                      <w:lang w:val="en-US" w:eastAsia="zh-CN"/>
                    </w:rPr>
                    <w:t>不合格品回用于产品打包带。</w:t>
                  </w:r>
                  <w:r>
                    <w:rPr>
                      <w:rFonts w:hint="eastAsia" w:ascii="Times New Roman" w:hAnsi="Times New Roman" w:eastAsia="宋体" w:cs="Times New Roman"/>
                      <w:color w:val="auto"/>
                      <w:lang w:val="en-US" w:eastAsia="zh-CN"/>
                    </w:rPr>
                    <w:t>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p>
              </w:tc>
              <w:tc>
                <w:tcPr>
                  <w:tcW w:w="1195" w:type="pct"/>
                  <w:vMerge w:val="restart"/>
                  <w:vAlign w:val="center"/>
                </w:tcPr>
                <w:p w14:paraId="1D4EF2CF">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处置率100%</w:t>
                  </w:r>
                </w:p>
              </w:tc>
            </w:tr>
            <w:tr w14:paraId="62CC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21" w:type="pct"/>
                  <w:vMerge w:val="continue"/>
                  <w:vAlign w:val="center"/>
                </w:tcPr>
                <w:p w14:paraId="2E65B02B">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68" w:type="pct"/>
                  <w:vAlign w:val="center"/>
                </w:tcPr>
                <w:p w14:paraId="20DE9AFC">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废机油、废液压油</w:t>
                  </w:r>
                  <w:r>
                    <w:rPr>
                      <w:rFonts w:hint="eastAsia" w:ascii="Times New Roman" w:hAnsi="Times New Roman" w:eastAsia="宋体" w:cs="Times New Roman"/>
                      <w:color w:val="auto"/>
                      <w:sz w:val="21"/>
                      <w:szCs w:val="21"/>
                      <w:lang w:val="en-US" w:eastAsia="zh-CN"/>
                    </w:rPr>
                    <w:t>、含油废抹布</w:t>
                  </w:r>
                </w:p>
              </w:tc>
              <w:tc>
                <w:tcPr>
                  <w:tcW w:w="2614" w:type="pct"/>
                  <w:vAlign w:val="center"/>
                </w:tcPr>
                <w:p w14:paraId="7A267ECC">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设置</w:t>
                  </w:r>
                  <w:r>
                    <w:rPr>
                      <w:rFonts w:hint="default" w:ascii="Times New Roman" w:hAnsi="Times New Roman" w:eastAsia="宋体" w:cs="Times New Roman"/>
                      <w:color w:val="auto"/>
                      <w:sz w:val="21"/>
                      <w:szCs w:val="21"/>
                    </w:rPr>
                    <w:t>1间</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危废暂存间，使用收集桶分区分类收集暂存于危废暂存间内，委托</w:t>
                  </w:r>
                  <w:r>
                    <w:rPr>
                      <w:rFonts w:hint="eastAsia"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sz w:val="21"/>
                      <w:szCs w:val="21"/>
                    </w:rPr>
                    <w:t>清运处置</w:t>
                  </w:r>
                  <w:r>
                    <w:rPr>
                      <w:rFonts w:hint="eastAsia" w:cs="Times New Roman"/>
                      <w:color w:val="auto"/>
                      <w:sz w:val="21"/>
                      <w:szCs w:val="21"/>
                      <w:lang w:eastAsia="zh-CN"/>
                    </w:rPr>
                    <w:t>。</w:t>
                  </w:r>
                </w:p>
              </w:tc>
              <w:tc>
                <w:tcPr>
                  <w:tcW w:w="1195" w:type="pct"/>
                  <w:vMerge w:val="continue"/>
                  <w:vAlign w:val="center"/>
                </w:tcPr>
                <w:p w14:paraId="20264CFD">
                  <w:pPr>
                    <w:keepNext w:val="0"/>
                    <w:keepLines/>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1E07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1" w:type="pct"/>
                  <w:vAlign w:val="center"/>
                </w:tcPr>
                <w:p w14:paraId="5B25AAD8">
                  <w:pPr>
                    <w:kinsoku/>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土壤及地下水污染防治措施</w:t>
                  </w:r>
                </w:p>
              </w:tc>
              <w:tc>
                <w:tcPr>
                  <w:tcW w:w="4578" w:type="pct"/>
                  <w:gridSpan w:val="3"/>
                  <w:vAlign w:val="center"/>
                </w:tcPr>
                <w:p w14:paraId="1FA8C511">
                  <w:pPr>
                    <w:kinsoku/>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w:t>
                  </w:r>
                  <w:r>
                    <w:rPr>
                      <w:rFonts w:hint="eastAsia" w:ascii="Times New Roman" w:hAnsi="Times New Roman" w:eastAsia="宋体" w:cs="Times New Roman"/>
                      <w:color w:val="auto"/>
                      <w:sz w:val="21"/>
                      <w:szCs w:val="21"/>
                      <w:lang w:eastAsia="zh-CN"/>
                    </w:rPr>
                    <w:t>作为</w:t>
                  </w:r>
                  <w:r>
                    <w:rPr>
                      <w:rFonts w:hint="default" w:ascii="Times New Roman" w:hAnsi="Times New Roman" w:eastAsia="宋体" w:cs="Times New Roman"/>
                      <w:color w:val="auto"/>
                      <w:sz w:val="21"/>
                      <w:szCs w:val="21"/>
                    </w:rPr>
                    <w:t>重点防渗</w:t>
                  </w:r>
                  <w:r>
                    <w:rPr>
                      <w:rFonts w:hint="eastAsia" w:ascii="Times New Roman" w:hAnsi="Times New Roman" w:eastAsia="宋体" w:cs="Times New Roman"/>
                      <w:color w:val="auto"/>
                      <w:sz w:val="21"/>
                      <w:szCs w:val="21"/>
                      <w:lang w:eastAsia="zh-CN"/>
                    </w:rPr>
                    <w:t>区，</w:t>
                  </w:r>
                  <w:r>
                    <w:rPr>
                      <w:rFonts w:hint="default" w:ascii="Times New Roman" w:hAnsi="Times New Roman" w:eastAsia="宋体" w:cs="Times New Roman"/>
                      <w:b w:val="0"/>
                      <w:bCs w:val="0"/>
                      <w:color w:val="auto"/>
                      <w:sz w:val="21"/>
                      <w:szCs w:val="21"/>
                      <w:lang w:val="en-US" w:eastAsia="zh-CN"/>
                    </w:rPr>
                    <w:t>防渗层为至少1m厚黏土层</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，或至少2mm厚高密度聚乙烯膜等人工防渗材料</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渗透系数不大于10</w:t>
                  </w:r>
                  <w:r>
                    <w:rPr>
                      <w:rFonts w:hint="eastAsia"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lang w:val="en-US" w:eastAsia="zh-CN"/>
                    </w:rPr>
                    <w:t>cm/s</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color w:val="auto"/>
                      <w:sz w:val="21"/>
                      <w:szCs w:val="21"/>
                      <w:lang w:val="en-US" w:eastAsia="zh-CN"/>
                    </w:rPr>
                    <w:t>参照执行《危险废物贮存污染控制标准》（</w:t>
                  </w:r>
                  <w:r>
                    <w:rPr>
                      <w:rFonts w:hint="default" w:ascii="Times New Roman" w:hAnsi="Times New Roman" w:eastAsia="宋体" w:cs="Times New Roman"/>
                      <w:b w:val="0"/>
                      <w:bCs w:val="0"/>
                      <w:color w:val="auto"/>
                      <w:sz w:val="21"/>
                      <w:szCs w:val="21"/>
                      <w:lang w:val="en-US" w:eastAsia="zh-CN"/>
                    </w:rPr>
                    <w:t>GB18597-20</w:t>
                  </w:r>
                  <w:r>
                    <w:rPr>
                      <w:rFonts w:hint="eastAsia" w:ascii="Times New Roman" w:hAnsi="Times New Roman" w:eastAsia="宋体" w:cs="Times New Roman"/>
                      <w:b w:val="0"/>
                      <w:bCs w:val="0"/>
                      <w:color w:val="auto"/>
                      <w:sz w:val="21"/>
                      <w:szCs w:val="21"/>
                      <w:lang w:val="en-US" w:eastAsia="zh-CN"/>
                    </w:rPr>
                    <w:t>23）相关要求；一般防渗区：</w:t>
                  </w:r>
                  <w:r>
                    <w:rPr>
                      <w:rFonts w:hint="eastAsia" w:cs="Times New Roman"/>
                      <w:b w:val="0"/>
                      <w:bCs w:val="0"/>
                      <w:color w:val="auto"/>
                      <w:sz w:val="21"/>
                      <w:szCs w:val="21"/>
                      <w:lang w:val="en-US" w:eastAsia="zh-CN"/>
                    </w:rPr>
                    <w:t>事故水池、</w:t>
                  </w:r>
                  <w:r>
                    <w:rPr>
                      <w:rFonts w:hint="eastAsia" w:ascii="Times New Roman" w:hAnsi="Times New Roman" w:eastAsia="宋体" w:cs="Times New Roman"/>
                      <w:b w:val="0"/>
                      <w:bCs w:val="0"/>
                      <w:color w:val="auto"/>
                      <w:sz w:val="21"/>
                      <w:szCs w:val="21"/>
                      <w:lang w:val="en-US" w:eastAsia="zh-CN"/>
                    </w:rPr>
                    <w:t>化粪池、冷却水池，等效黏土防渗层Mb≥1.5m，K≤1×10-7cm/s；或参照GB16889执行。其他区域为简单防渗区，水泥地面硬化。</w:t>
                  </w:r>
                </w:p>
              </w:tc>
            </w:tr>
          </w:tbl>
          <w:p w14:paraId="55752779">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3889822C">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5E2F7B5B">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7FBDE989">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58D224DC">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p>
          <w:p w14:paraId="7B736B78">
            <w:pPr>
              <w:adjustRightInd w:val="0"/>
              <w:snapToGrid w:val="0"/>
              <w:spacing w:after="158" w:afterLines="5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表4</w:t>
            </w:r>
            <w:r>
              <w:rPr>
                <w:rFonts w:hint="eastAsia" w:ascii="Times New Roman" w:hAnsi="Times New Roman" w:eastAsia="宋体" w:cs="Times New Roman"/>
                <w:b/>
                <w:color w:val="auto"/>
                <w:kern w:val="2"/>
                <w:sz w:val="21"/>
                <w:szCs w:val="24"/>
                <w:lang w:val="en-US" w:eastAsia="zh-CN" w:bidi="ar-SA"/>
              </w:rPr>
              <w:t>-2</w:t>
            </w:r>
            <w:r>
              <w:rPr>
                <w:rFonts w:hint="eastAsia" w:cs="Times New Roman"/>
                <w:b/>
                <w:color w:val="auto"/>
                <w:kern w:val="2"/>
                <w:sz w:val="21"/>
                <w:szCs w:val="24"/>
                <w:lang w:val="en-US" w:eastAsia="zh-CN" w:bidi="ar-SA"/>
              </w:rPr>
              <w:t>0</w:t>
            </w:r>
            <w:r>
              <w:rPr>
                <w:rFonts w:hint="default" w:ascii="Times New Roman" w:hAnsi="Times New Roman" w:eastAsia="宋体" w:cs="Times New Roman"/>
                <w:b/>
                <w:color w:val="auto"/>
                <w:kern w:val="2"/>
                <w:sz w:val="21"/>
                <w:szCs w:val="24"/>
                <w:lang w:val="en-US" w:eastAsia="zh-CN" w:bidi="ar-SA"/>
              </w:rPr>
              <w:t>竣工验收监测一览表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519"/>
              <w:gridCol w:w="1748"/>
              <w:gridCol w:w="1070"/>
              <w:gridCol w:w="1249"/>
              <w:gridCol w:w="2939"/>
            </w:tblGrid>
            <w:tr w14:paraId="52A5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3" w:type="pct"/>
                  <w:shd w:val="clear" w:color="auto" w:fill="D7D7D7" w:themeFill="background1" w:themeFillShade="D8"/>
                  <w:vAlign w:val="center"/>
                </w:tcPr>
                <w:p w14:paraId="2614602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监测项目</w:t>
                  </w:r>
                </w:p>
              </w:tc>
              <w:tc>
                <w:tcPr>
                  <w:tcW w:w="1381" w:type="pct"/>
                  <w:gridSpan w:val="2"/>
                  <w:shd w:val="clear" w:color="auto" w:fill="D7D7D7" w:themeFill="background1" w:themeFillShade="D8"/>
                  <w:vAlign w:val="center"/>
                </w:tcPr>
                <w:p w14:paraId="7AC134D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监测点位</w:t>
                  </w:r>
                </w:p>
              </w:tc>
              <w:tc>
                <w:tcPr>
                  <w:tcW w:w="652" w:type="pct"/>
                  <w:shd w:val="clear" w:color="auto" w:fill="D7D7D7" w:themeFill="background1" w:themeFillShade="D8"/>
                  <w:vAlign w:val="center"/>
                </w:tcPr>
                <w:p w14:paraId="644E3B4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监测指标</w:t>
                  </w:r>
                </w:p>
              </w:tc>
              <w:tc>
                <w:tcPr>
                  <w:tcW w:w="761" w:type="pct"/>
                  <w:shd w:val="clear" w:color="auto" w:fill="D7D7D7" w:themeFill="background1" w:themeFillShade="D8"/>
                  <w:vAlign w:val="center"/>
                </w:tcPr>
                <w:p w14:paraId="6FD7A27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监测频率</w:t>
                  </w:r>
                </w:p>
              </w:tc>
              <w:tc>
                <w:tcPr>
                  <w:tcW w:w="1791" w:type="pct"/>
                  <w:shd w:val="clear" w:color="auto" w:fill="D7D7D7" w:themeFill="background1" w:themeFillShade="D8"/>
                  <w:vAlign w:val="center"/>
                </w:tcPr>
                <w:p w14:paraId="4E9F02E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执行标准</w:t>
                  </w:r>
                </w:p>
              </w:tc>
            </w:tr>
            <w:tr w14:paraId="1E2D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413" w:type="pct"/>
                  <w:vAlign w:val="center"/>
                </w:tcPr>
                <w:p w14:paraId="245A8B5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w:t>
                  </w:r>
                </w:p>
              </w:tc>
              <w:tc>
                <w:tcPr>
                  <w:tcW w:w="316" w:type="pct"/>
                  <w:vAlign w:val="center"/>
                </w:tcPr>
                <w:p w14:paraId="06D0B4F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无组织</w:t>
                  </w:r>
                </w:p>
              </w:tc>
              <w:tc>
                <w:tcPr>
                  <w:tcW w:w="1064" w:type="pct"/>
                  <w:vAlign w:val="center"/>
                </w:tcPr>
                <w:p w14:paraId="63F656F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bCs/>
                      <w:color w:val="auto"/>
                      <w:lang w:val="en-US"/>
                    </w:rPr>
                  </w:pPr>
                  <w:r>
                    <w:rPr>
                      <w:rFonts w:ascii="Times New Roman" w:hAnsi="Times New Roman" w:eastAsia="宋体"/>
                      <w:b w:val="0"/>
                      <w:bCs/>
                      <w:color w:val="auto"/>
                    </w:rPr>
                    <w:t>4个，</w:t>
                  </w:r>
                  <w:r>
                    <w:rPr>
                      <w:rFonts w:ascii="Times New Roman"/>
                      <w:b w:val="0"/>
                      <w:bCs/>
                      <w:color w:val="auto"/>
                      <w:szCs w:val="21"/>
                    </w:rPr>
                    <w:t>厂界上风向</w:t>
                  </w:r>
                  <w:r>
                    <w:rPr>
                      <w:rFonts w:ascii="Times New Roman" w:hAnsi="Times New Roman"/>
                      <w:b w:val="0"/>
                      <w:bCs/>
                      <w:color w:val="auto"/>
                      <w:szCs w:val="21"/>
                    </w:rPr>
                    <w:t>2-50m</w:t>
                  </w:r>
                  <w:r>
                    <w:rPr>
                      <w:rFonts w:ascii="Times New Roman"/>
                      <w:b w:val="0"/>
                      <w:bCs/>
                      <w:color w:val="auto"/>
                      <w:szCs w:val="21"/>
                    </w:rPr>
                    <w:t>范围内</w:t>
                  </w:r>
                  <w:r>
                    <w:rPr>
                      <w:rFonts w:ascii="Times New Roman" w:hAnsi="Times New Roman"/>
                      <w:b w:val="0"/>
                      <w:bCs/>
                      <w:color w:val="auto"/>
                      <w:szCs w:val="21"/>
                    </w:rPr>
                    <w:t>1</w:t>
                  </w:r>
                  <w:r>
                    <w:rPr>
                      <w:rFonts w:ascii="Times New Roman"/>
                      <w:b w:val="0"/>
                      <w:bCs/>
                      <w:color w:val="auto"/>
                      <w:szCs w:val="21"/>
                    </w:rPr>
                    <w:t>个，下风向</w:t>
                  </w:r>
                  <w:r>
                    <w:rPr>
                      <w:rFonts w:ascii="Times New Roman" w:hAnsi="Times New Roman"/>
                      <w:b w:val="0"/>
                      <w:bCs/>
                      <w:color w:val="auto"/>
                      <w:szCs w:val="21"/>
                    </w:rPr>
                    <w:t>10m</w:t>
                  </w:r>
                  <w:r>
                    <w:rPr>
                      <w:rFonts w:ascii="Times New Roman"/>
                      <w:b w:val="0"/>
                      <w:bCs/>
                      <w:color w:val="auto"/>
                      <w:szCs w:val="21"/>
                    </w:rPr>
                    <w:t>范围内</w:t>
                  </w:r>
                  <w:r>
                    <w:rPr>
                      <w:rFonts w:ascii="Times New Roman" w:hAnsi="Times New Roman"/>
                      <w:b w:val="0"/>
                      <w:bCs/>
                      <w:color w:val="auto"/>
                      <w:szCs w:val="21"/>
                    </w:rPr>
                    <w:t>3</w:t>
                  </w:r>
                  <w:r>
                    <w:rPr>
                      <w:rFonts w:ascii="Times New Roman"/>
                      <w:b w:val="0"/>
                      <w:bCs/>
                      <w:color w:val="auto"/>
                      <w:szCs w:val="21"/>
                    </w:rPr>
                    <w:t>个</w:t>
                  </w:r>
                </w:p>
              </w:tc>
              <w:tc>
                <w:tcPr>
                  <w:tcW w:w="652" w:type="pct"/>
                  <w:vAlign w:val="center"/>
                </w:tcPr>
                <w:p w14:paraId="66378FE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761" w:type="pct"/>
                  <w:vAlign w:val="center"/>
                </w:tcPr>
                <w:p w14:paraId="1ED5DB8C">
                  <w:pPr>
                    <w:pStyle w:val="31"/>
                    <w:keepNext w:val="0"/>
                    <w:keepLines/>
                    <w:pageBreakBefore w:val="0"/>
                    <w:kinsoku/>
                    <w:overflowPunct/>
                    <w:bidi w:val="0"/>
                    <w:adjustRightInd/>
                    <w:ind w:firstLine="0" w:firstLine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rPr>
                    <w:t>竣工验收时，连续监测2天，每天采样3次</w:t>
                  </w:r>
                </w:p>
              </w:tc>
              <w:tc>
                <w:tcPr>
                  <w:tcW w:w="1791" w:type="pct"/>
                  <w:vAlign w:val="center"/>
                </w:tcPr>
                <w:p w14:paraId="18EF3242">
                  <w:pPr>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olor w:val="auto"/>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5133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vAlign w:val="center"/>
                </w:tcPr>
                <w:p w14:paraId="5520AC8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噪声</w:t>
                  </w:r>
                </w:p>
              </w:tc>
              <w:tc>
                <w:tcPr>
                  <w:tcW w:w="1381" w:type="pct"/>
                  <w:gridSpan w:val="2"/>
                  <w:vAlign w:val="center"/>
                </w:tcPr>
                <w:p w14:paraId="2607E79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项目厂界项目东、南、西、北外1m处</w:t>
                  </w:r>
                </w:p>
              </w:tc>
              <w:tc>
                <w:tcPr>
                  <w:tcW w:w="652" w:type="pct"/>
                  <w:vAlign w:val="center"/>
                </w:tcPr>
                <w:p w14:paraId="32C68418">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等效连续A声级</w:t>
                  </w:r>
                </w:p>
              </w:tc>
              <w:tc>
                <w:tcPr>
                  <w:tcW w:w="761" w:type="pct"/>
                  <w:vAlign w:val="center"/>
                </w:tcPr>
                <w:p w14:paraId="3CDF277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竣工验收时，监测2天，昼间、夜间各1次</w:t>
                  </w:r>
                </w:p>
              </w:tc>
              <w:tc>
                <w:tcPr>
                  <w:tcW w:w="1791" w:type="pct"/>
                  <w:vAlign w:val="center"/>
                </w:tcPr>
                <w:p w14:paraId="1BD1FD7B">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《工业企业厂界环境噪声排放标准》（GB12348—2008）</w:t>
                  </w:r>
                  <w:r>
                    <w:rPr>
                      <w:rFonts w:hint="eastAsia"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类标准</w:t>
                  </w:r>
                </w:p>
              </w:tc>
            </w:tr>
            <w:tr w14:paraId="4398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shd w:val="clear" w:color="auto" w:fill="auto"/>
                  <w:vAlign w:val="center"/>
                </w:tcPr>
                <w:p w14:paraId="64212F4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废水</w:t>
                  </w:r>
                </w:p>
              </w:tc>
              <w:tc>
                <w:tcPr>
                  <w:tcW w:w="1381" w:type="pct"/>
                  <w:gridSpan w:val="2"/>
                  <w:shd w:val="clear" w:color="auto" w:fill="auto"/>
                  <w:vAlign w:val="center"/>
                </w:tcPr>
                <w:p w14:paraId="0B7DDEF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化粪池</w:t>
                  </w:r>
                </w:p>
              </w:tc>
              <w:tc>
                <w:tcPr>
                  <w:tcW w:w="652" w:type="pct"/>
                  <w:shd w:val="clear" w:color="auto" w:fill="auto"/>
                  <w:vAlign w:val="center"/>
                </w:tcPr>
                <w:p w14:paraId="3B3A9C9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eastAsia="宋体"/>
                      <w:snapToGrid w:val="0"/>
                      <w:color w:val="auto"/>
                      <w:kern w:val="0"/>
                      <w:szCs w:val="21"/>
                    </w:rPr>
                    <w:t>COD、BOD</w:t>
                  </w:r>
                  <w:r>
                    <w:rPr>
                      <w:rFonts w:ascii="Times New Roman" w:hAnsi="Times New Roman" w:eastAsia="宋体"/>
                      <w:snapToGrid w:val="0"/>
                      <w:color w:val="auto"/>
                      <w:kern w:val="0"/>
                      <w:szCs w:val="21"/>
                      <w:vertAlign w:val="subscript"/>
                    </w:rPr>
                    <w:t>5</w:t>
                  </w:r>
                  <w:r>
                    <w:rPr>
                      <w:rFonts w:ascii="Times New Roman" w:hAnsi="Times New Roman" w:eastAsia="宋体"/>
                      <w:snapToGrid w:val="0"/>
                      <w:color w:val="auto"/>
                      <w:kern w:val="0"/>
                      <w:szCs w:val="21"/>
                    </w:rPr>
                    <w:t>、氨氮、SS、TP、粪大肠菌群</w:t>
                  </w:r>
                </w:p>
              </w:tc>
              <w:tc>
                <w:tcPr>
                  <w:tcW w:w="761" w:type="pct"/>
                  <w:shd w:val="clear" w:color="auto" w:fill="auto"/>
                  <w:vAlign w:val="center"/>
                </w:tcPr>
                <w:p w14:paraId="1BBB9F0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bCs/>
                      <w:color w:val="auto"/>
                      <w:szCs w:val="21"/>
                    </w:rPr>
                    <w:t>验收监测1次，每4h采样一次，监测2天</w:t>
                  </w:r>
                </w:p>
              </w:tc>
              <w:tc>
                <w:tcPr>
                  <w:tcW w:w="1791" w:type="pct"/>
                  <w:shd w:val="clear" w:color="auto" w:fill="auto"/>
                  <w:vAlign w:val="center"/>
                </w:tcPr>
                <w:p w14:paraId="7A40B6C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olor w:val="auto"/>
                      <w:sz w:val="21"/>
                      <w:szCs w:val="21"/>
                      <w:lang w:eastAsia="zh-CN"/>
                    </w:rPr>
                    <w:t>《污水综合排放标准》（GB8978-1996）表4三级标准，并满足氨氮、总磷指标</w:t>
                  </w:r>
                  <w:r>
                    <w:rPr>
                      <w:rFonts w:hint="eastAsia"/>
                      <w:color w:val="auto"/>
                      <w:sz w:val="21"/>
                      <w:szCs w:val="21"/>
                      <w:lang w:val="en-US" w:eastAsia="zh-CN"/>
                    </w:rPr>
                    <w:t>符合</w:t>
                  </w:r>
                  <w:r>
                    <w:rPr>
                      <w:rFonts w:hint="eastAsia"/>
                      <w:color w:val="auto"/>
                      <w:sz w:val="21"/>
                      <w:szCs w:val="21"/>
                      <w:lang w:eastAsia="zh-CN"/>
                    </w:rPr>
                    <w:t>《污水排入城镇下水道水质标准》（GB/T 31962—2015）表1（B）级标准</w:t>
                  </w:r>
                </w:p>
              </w:tc>
            </w:tr>
          </w:tbl>
          <w:p w14:paraId="78FB7534">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eastAsia="宋体"/>
                <w:color w:val="auto"/>
                <w:sz w:val="10"/>
                <w:szCs w:val="10"/>
              </w:rPr>
            </w:pPr>
          </w:p>
        </w:tc>
      </w:tr>
    </w:tbl>
    <w:p w14:paraId="70CB1E23">
      <w:pPr>
        <w:pStyle w:val="22"/>
        <w:ind w:left="0" w:leftChars="0" w:firstLine="0" w:firstLineChars="0"/>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p w14:paraId="499AB317">
      <w:pPr>
        <w:pStyle w:val="19"/>
        <w:spacing w:before="0" w:beforeAutospacing="0" w:after="0" w:afterAutospacing="0" w:line="360" w:lineRule="auto"/>
        <w:jc w:val="center"/>
        <w:outlineLvl w:val="0"/>
        <w:rPr>
          <w:rFonts w:ascii="Times New Roman" w:hAnsi="Times New Roman" w:eastAsia="宋体"/>
          <w:b/>
          <w:bCs/>
          <w:snapToGrid w:val="0"/>
          <w:color w:val="auto"/>
          <w:sz w:val="30"/>
          <w:szCs w:val="30"/>
        </w:rPr>
      </w:pPr>
      <w:bookmarkStart w:id="16" w:name="_Toc16667"/>
      <w:r>
        <w:rPr>
          <w:rFonts w:hint="eastAsia" w:ascii="Times New Roman" w:hAnsi="Times New Roman" w:eastAsia="宋体"/>
          <w:b/>
          <w:bCs/>
          <w:snapToGrid w:val="0"/>
          <w:color w:val="auto"/>
          <w:sz w:val="30"/>
          <w:szCs w:val="30"/>
        </w:rPr>
        <w:t>五、</w:t>
      </w:r>
      <w:bookmarkStart w:id="17" w:name="_Hlk54167917"/>
      <w:r>
        <w:rPr>
          <w:rFonts w:hint="eastAsia" w:ascii="Times New Roman" w:hAnsi="Times New Roman" w:eastAsia="宋体"/>
          <w:b/>
          <w:bCs/>
          <w:snapToGrid w:val="0"/>
          <w:color w:val="auto"/>
          <w:sz w:val="30"/>
          <w:szCs w:val="30"/>
        </w:rPr>
        <w:t>环境保护措施监督检查清单</w:t>
      </w:r>
      <w:bookmarkEnd w:id="16"/>
      <w:bookmarkEnd w:id="17"/>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750"/>
        <w:gridCol w:w="1125"/>
        <w:gridCol w:w="2443"/>
        <w:gridCol w:w="2164"/>
      </w:tblGrid>
      <w:tr w14:paraId="3A9EF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18" w:type="dxa"/>
            <w:tcBorders>
              <w:tl2br w:val="single" w:color="auto" w:sz="4" w:space="0"/>
            </w:tcBorders>
          </w:tcPr>
          <w:p w14:paraId="46602894">
            <w:pPr>
              <w:ind w:firstLine="632" w:firstLineChars="300"/>
              <w:rPr>
                <w:rFonts w:ascii="Times New Roman" w:hAnsi="Times New Roman" w:eastAsia="宋体"/>
                <w:b/>
                <w:bCs/>
                <w:color w:val="auto"/>
                <w:szCs w:val="21"/>
              </w:rPr>
            </w:pPr>
            <w:r>
              <w:rPr>
                <w:rFonts w:ascii="Times New Roman" w:hAnsi="Times New Roman" w:eastAsia="宋体"/>
                <w:b/>
                <w:bCs/>
                <w:color w:val="auto"/>
                <w:szCs w:val="21"/>
              </w:rPr>
              <w:t>内容</w:t>
            </w:r>
          </w:p>
          <w:p w14:paraId="1A7F75D0">
            <w:pPr>
              <w:rPr>
                <w:rFonts w:ascii="Times New Roman" w:hAnsi="Times New Roman" w:eastAsia="宋体"/>
                <w:b/>
                <w:bCs/>
                <w:color w:val="auto"/>
                <w:szCs w:val="21"/>
              </w:rPr>
            </w:pPr>
            <w:r>
              <w:rPr>
                <w:rFonts w:ascii="Times New Roman" w:hAnsi="Times New Roman" w:eastAsia="宋体"/>
                <w:b/>
                <w:bCs/>
                <w:color w:val="auto"/>
                <w:szCs w:val="21"/>
              </w:rPr>
              <w:t>要素</w:t>
            </w:r>
          </w:p>
        </w:tc>
        <w:tc>
          <w:tcPr>
            <w:tcW w:w="1750" w:type="dxa"/>
            <w:vAlign w:val="center"/>
          </w:tcPr>
          <w:p w14:paraId="174B8BBE">
            <w:pPr>
              <w:jc w:val="center"/>
              <w:rPr>
                <w:rFonts w:ascii="Times New Roman" w:hAnsi="Times New Roman" w:eastAsia="宋体"/>
                <w:b/>
                <w:bCs/>
                <w:color w:val="auto"/>
                <w:szCs w:val="21"/>
              </w:rPr>
            </w:pPr>
            <w:r>
              <w:rPr>
                <w:rFonts w:ascii="Times New Roman" w:hAnsi="Times New Roman" w:eastAsia="宋体"/>
                <w:b/>
                <w:bCs/>
                <w:color w:val="auto"/>
                <w:szCs w:val="21"/>
              </w:rPr>
              <w:t>排放口(编号、名称)/污染源</w:t>
            </w:r>
          </w:p>
        </w:tc>
        <w:tc>
          <w:tcPr>
            <w:tcW w:w="1125" w:type="dxa"/>
            <w:vAlign w:val="center"/>
          </w:tcPr>
          <w:p w14:paraId="01670A9D">
            <w:pPr>
              <w:jc w:val="center"/>
              <w:rPr>
                <w:rFonts w:ascii="Times New Roman" w:hAnsi="Times New Roman" w:eastAsia="宋体"/>
                <w:b/>
                <w:bCs/>
                <w:color w:val="auto"/>
                <w:szCs w:val="21"/>
              </w:rPr>
            </w:pPr>
            <w:r>
              <w:rPr>
                <w:rFonts w:ascii="Times New Roman" w:hAnsi="Times New Roman" w:eastAsia="宋体"/>
                <w:b/>
                <w:bCs/>
                <w:color w:val="auto"/>
                <w:szCs w:val="21"/>
              </w:rPr>
              <w:t>污染物项目</w:t>
            </w:r>
          </w:p>
        </w:tc>
        <w:tc>
          <w:tcPr>
            <w:tcW w:w="2443" w:type="dxa"/>
            <w:vAlign w:val="center"/>
          </w:tcPr>
          <w:p w14:paraId="1EA09929">
            <w:pPr>
              <w:jc w:val="center"/>
              <w:rPr>
                <w:rFonts w:ascii="Times New Roman" w:hAnsi="Times New Roman" w:eastAsia="宋体"/>
                <w:b/>
                <w:bCs/>
                <w:color w:val="auto"/>
                <w:szCs w:val="21"/>
              </w:rPr>
            </w:pPr>
            <w:r>
              <w:rPr>
                <w:rFonts w:ascii="Times New Roman" w:hAnsi="Times New Roman" w:eastAsia="宋体"/>
                <w:b/>
                <w:bCs/>
                <w:color w:val="auto"/>
                <w:szCs w:val="21"/>
              </w:rPr>
              <w:t>环境保护措施</w:t>
            </w:r>
          </w:p>
        </w:tc>
        <w:tc>
          <w:tcPr>
            <w:tcW w:w="2164" w:type="dxa"/>
            <w:vAlign w:val="center"/>
          </w:tcPr>
          <w:p w14:paraId="1B9B219E">
            <w:pPr>
              <w:jc w:val="center"/>
              <w:rPr>
                <w:rFonts w:ascii="Times New Roman" w:hAnsi="Times New Roman" w:eastAsia="宋体"/>
                <w:b/>
                <w:bCs/>
                <w:color w:val="auto"/>
                <w:szCs w:val="21"/>
              </w:rPr>
            </w:pPr>
            <w:r>
              <w:rPr>
                <w:rFonts w:ascii="Times New Roman" w:hAnsi="Times New Roman" w:eastAsia="宋体"/>
                <w:b/>
                <w:bCs/>
                <w:color w:val="auto"/>
                <w:szCs w:val="21"/>
              </w:rPr>
              <w:t>执行标准</w:t>
            </w:r>
          </w:p>
        </w:tc>
      </w:tr>
      <w:tr w14:paraId="22197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18" w:type="dxa"/>
            <w:vAlign w:val="center"/>
          </w:tcPr>
          <w:p w14:paraId="770A3CF6">
            <w:pPr>
              <w:jc w:val="center"/>
              <w:rPr>
                <w:rFonts w:hint="eastAsia" w:ascii="Times New Roman" w:hAnsi="Times New Roman" w:eastAsia="宋体"/>
                <w:b/>
                <w:bCs/>
                <w:color w:val="auto"/>
                <w:szCs w:val="21"/>
                <w:lang w:eastAsia="zh-CN"/>
              </w:rPr>
            </w:pPr>
            <w:r>
              <w:rPr>
                <w:rFonts w:hint="eastAsia"/>
                <w:b/>
                <w:bCs/>
                <w:color w:val="auto"/>
                <w:szCs w:val="21"/>
                <w:lang w:eastAsia="zh-CN"/>
              </w:rPr>
              <w:t>大气环境</w:t>
            </w:r>
          </w:p>
        </w:tc>
        <w:tc>
          <w:tcPr>
            <w:tcW w:w="1750" w:type="dxa"/>
            <w:tcBorders>
              <w:top w:val="single" w:color="000000" w:sz="4" w:space="0"/>
            </w:tcBorders>
            <w:shd w:val="clear" w:color="auto" w:fill="auto"/>
            <w:vAlign w:val="center"/>
          </w:tcPr>
          <w:p w14:paraId="155A380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lang w:val="en-US" w:eastAsia="zh-CN"/>
              </w:rPr>
              <w:t>焊接废气、切割废气</w:t>
            </w:r>
          </w:p>
        </w:tc>
        <w:tc>
          <w:tcPr>
            <w:tcW w:w="1125" w:type="dxa"/>
            <w:tcBorders>
              <w:top w:val="single" w:color="000000" w:sz="4" w:space="0"/>
            </w:tcBorders>
            <w:shd w:val="clear" w:color="auto" w:fill="auto"/>
            <w:vAlign w:val="center"/>
          </w:tcPr>
          <w:p w14:paraId="2AB1507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Cs w:val="21"/>
              </w:rPr>
              <w:t>颗粒物</w:t>
            </w:r>
          </w:p>
        </w:tc>
        <w:tc>
          <w:tcPr>
            <w:tcW w:w="2443" w:type="dxa"/>
            <w:tcBorders>
              <w:top w:val="single" w:color="000000" w:sz="4" w:space="0"/>
              <w:bottom w:val="single" w:color="auto" w:sz="4" w:space="0"/>
            </w:tcBorders>
            <w:shd w:val="clear" w:color="auto" w:fill="auto"/>
            <w:vAlign w:val="center"/>
          </w:tcPr>
          <w:p w14:paraId="15F948FC">
            <w:pPr>
              <w:adjustRightInd w:val="0"/>
              <w:snapToGrid w:val="0"/>
              <w:rPr>
                <w:rFonts w:ascii="Times New Roman" w:hAnsi="Times New Roman" w:eastAsia="宋体"/>
                <w:color w:val="auto"/>
                <w:szCs w:val="21"/>
              </w:rPr>
            </w:pPr>
            <w:r>
              <w:rPr>
                <w:rFonts w:hint="eastAsia" w:ascii="Times New Roman" w:hAnsi="Times New Roman" w:eastAsia="宋体"/>
                <w:color w:val="auto"/>
                <w:szCs w:val="21"/>
              </w:rPr>
              <w:t>①生产线内各加工单元</w:t>
            </w:r>
            <w:r>
              <w:rPr>
                <w:rFonts w:ascii="Times New Roman" w:hAnsi="Times New Roman" w:eastAsia="宋体"/>
                <w:color w:val="auto"/>
                <w:szCs w:val="21"/>
              </w:rPr>
              <w:t>均设置在封闭</w:t>
            </w:r>
            <w:r>
              <w:rPr>
                <w:rFonts w:hint="eastAsia" w:ascii="Times New Roman" w:hAnsi="Times New Roman" w:eastAsia="宋体"/>
                <w:color w:val="auto"/>
                <w:szCs w:val="21"/>
              </w:rPr>
              <w:t>车间内</w:t>
            </w:r>
            <w:r>
              <w:rPr>
                <w:rFonts w:hint="eastAsia" w:ascii="Times New Roman" w:hAnsi="Times New Roman" w:eastAsia="宋体"/>
                <w:color w:val="auto"/>
                <w:szCs w:val="21"/>
                <w:lang w:eastAsia="zh-CN"/>
              </w:rPr>
              <w:t>，</w:t>
            </w:r>
            <w:r>
              <w:rPr>
                <w:rFonts w:hint="eastAsia" w:ascii="Times New Roman" w:hAnsi="Times New Roman" w:eastAsia="宋体"/>
                <w:color w:val="auto"/>
                <w:szCs w:val="21"/>
                <w:lang w:val="en-US" w:eastAsia="zh-CN"/>
              </w:rPr>
              <w:t>并增加各个设备的密闭性</w:t>
            </w:r>
            <w:r>
              <w:rPr>
                <w:rFonts w:hint="eastAsia" w:ascii="Times New Roman" w:hAnsi="Times New Roman" w:eastAsia="宋体"/>
                <w:color w:val="auto"/>
                <w:szCs w:val="21"/>
              </w:rPr>
              <w:t>；</w:t>
            </w:r>
          </w:p>
          <w:p w14:paraId="3AE2446E">
            <w:pPr>
              <w:adjustRightInd w:val="0"/>
              <w:snapToGrid w:val="0"/>
              <w:rPr>
                <w:rFonts w:hint="default" w:ascii="Times New Roman" w:hAnsi="Times New Roman" w:eastAsia="宋体"/>
                <w:color w:val="auto"/>
                <w:vertAlign w:val="baseline"/>
                <w:lang w:val="en-US" w:eastAsia="zh-CN"/>
              </w:rPr>
            </w:pPr>
            <w:r>
              <w:rPr>
                <w:rFonts w:hint="eastAsia" w:ascii="Times New Roman" w:hAnsi="Times New Roman" w:eastAsia="宋体"/>
                <w:color w:val="auto"/>
                <w:lang w:val="en-US" w:eastAsia="zh-CN"/>
              </w:rPr>
              <w:t>②</w:t>
            </w:r>
            <w:r>
              <w:rPr>
                <w:rFonts w:hint="eastAsia"/>
                <w:color w:val="auto"/>
                <w:lang w:val="en-US" w:eastAsia="zh-CN"/>
              </w:rPr>
              <w:t>1#、2#、3#、4#生产车间8条生产线</w:t>
            </w:r>
            <w:r>
              <w:rPr>
                <w:rFonts w:hint="eastAsia" w:ascii="Times New Roman" w:hAnsi="Times New Roman" w:eastAsia="宋体"/>
                <w:color w:val="auto"/>
                <w:lang w:val="en-US" w:eastAsia="zh-CN"/>
              </w:rPr>
              <w:t>各设置1个集气罩对产生的焊接切割废气进行收集，</w:t>
            </w:r>
            <w:r>
              <w:rPr>
                <w:rFonts w:hint="eastAsia"/>
                <w:color w:val="auto"/>
                <w:lang w:val="en-US" w:eastAsia="zh-CN"/>
              </w:rPr>
              <w:t>1#、2#、3#、4#生产车间</w:t>
            </w:r>
            <w:r>
              <w:rPr>
                <w:rFonts w:hint="eastAsia" w:ascii="Times New Roman" w:hAnsi="Times New Roman" w:eastAsia="宋体"/>
                <w:color w:val="auto"/>
                <w:lang w:val="en-US" w:eastAsia="zh-CN"/>
              </w:rPr>
              <w:t>共计</w:t>
            </w:r>
            <w:r>
              <w:rPr>
                <w:rFonts w:hint="eastAsia"/>
                <w:color w:val="auto"/>
                <w:lang w:val="en-US" w:eastAsia="zh-CN"/>
              </w:rPr>
              <w:t>8</w:t>
            </w:r>
            <w:r>
              <w:rPr>
                <w:rFonts w:hint="eastAsia" w:ascii="Times New Roman" w:hAnsi="Times New Roman" w:eastAsia="宋体"/>
                <w:color w:val="auto"/>
                <w:lang w:val="en-US" w:eastAsia="zh-CN"/>
              </w:rPr>
              <w:t>套集气罩</w:t>
            </w:r>
            <w:r>
              <w:rPr>
                <w:rFonts w:hint="eastAsia"/>
                <w:color w:val="auto"/>
                <w:lang w:val="en-US" w:eastAsia="zh-CN"/>
              </w:rPr>
              <w:t>；</w:t>
            </w:r>
          </w:p>
          <w:p w14:paraId="602E74E9">
            <w:pPr>
              <w:adjustRightInd w:val="0"/>
              <w:snapToGrid w:val="0"/>
              <w:rPr>
                <w:rFonts w:hint="eastAsia" w:ascii="Times New Roman" w:hAnsi="Times New Roman" w:eastAsia="宋体"/>
                <w:color w:val="auto"/>
                <w:vertAlign w:val="baseline"/>
                <w:lang w:val="en-US" w:eastAsia="zh-CN"/>
              </w:rPr>
            </w:pPr>
            <w:r>
              <w:rPr>
                <w:rFonts w:hint="eastAsia" w:ascii="Times New Roman" w:hAnsi="Times New Roman" w:eastAsia="宋体"/>
                <w:color w:val="auto"/>
                <w:vertAlign w:val="baseline"/>
                <w:lang w:val="en-US" w:eastAsia="zh-CN"/>
              </w:rPr>
              <w:t>③</w:t>
            </w:r>
            <w:r>
              <w:rPr>
                <w:rFonts w:hint="eastAsia"/>
                <w:color w:val="auto"/>
                <w:lang w:val="en-US" w:eastAsia="zh-CN"/>
              </w:rPr>
              <w:t>1#、2#、3#、4#生产车间8条生产线各</w:t>
            </w:r>
            <w:r>
              <w:rPr>
                <w:rFonts w:hint="eastAsia" w:ascii="Times New Roman" w:hAnsi="Times New Roman" w:eastAsia="宋体"/>
                <w:color w:val="auto"/>
                <w:vertAlign w:val="baseline"/>
                <w:lang w:val="en-US" w:eastAsia="zh-CN"/>
              </w:rPr>
              <w:t>配置一套</w:t>
            </w:r>
            <w:r>
              <w:rPr>
                <w:rFonts w:hint="eastAsia" w:ascii="Times New Roman" w:hAnsi="Times New Roman" w:eastAsia="宋体"/>
                <w:color w:val="auto"/>
                <w:lang w:val="en-US" w:eastAsia="zh-CN"/>
              </w:rPr>
              <w:t>“</w:t>
            </w:r>
            <w:r>
              <w:rPr>
                <w:rFonts w:hint="eastAsia"/>
                <w:color w:val="auto"/>
                <w:lang w:val="en-US" w:eastAsia="zh-CN"/>
              </w:rPr>
              <w:t>烟尘净化</w:t>
            </w:r>
            <w:r>
              <w:rPr>
                <w:rFonts w:hint="eastAsia" w:ascii="Times New Roman" w:hAnsi="Times New Roman" w:eastAsia="宋体"/>
                <w:color w:val="auto"/>
                <w:lang w:val="en-US" w:eastAsia="zh-CN"/>
              </w:rPr>
              <w:t>除尘”装置处理，</w:t>
            </w:r>
            <w:r>
              <w:rPr>
                <w:rFonts w:hint="eastAsia"/>
                <w:color w:val="auto"/>
                <w:lang w:val="en-US" w:eastAsia="zh-CN"/>
              </w:rPr>
              <w:t>每套</w:t>
            </w:r>
            <w:r>
              <w:rPr>
                <w:rFonts w:hint="eastAsia" w:ascii="Times New Roman" w:hAnsi="Times New Roman" w:eastAsia="宋体"/>
                <w:color w:val="auto"/>
                <w:lang w:val="en-US" w:eastAsia="zh-CN"/>
              </w:rPr>
              <w:t>处理风量</w:t>
            </w:r>
            <w:r>
              <w:rPr>
                <w:rFonts w:hint="eastAsia"/>
                <w:color w:val="auto"/>
                <w:lang w:val="en-US" w:eastAsia="zh-CN"/>
              </w:rPr>
              <w:t>3</w:t>
            </w:r>
            <w:r>
              <w:rPr>
                <w:rFonts w:hint="eastAsia" w:ascii="Times New Roman" w:hAnsi="Times New Roman" w:eastAsia="宋体"/>
                <w:color w:val="auto"/>
                <w:lang w:val="en-US" w:eastAsia="zh-CN"/>
              </w:rPr>
              <w:t>000m</w:t>
            </w:r>
            <w:r>
              <w:rPr>
                <w:rFonts w:hint="eastAsia" w:ascii="Times New Roman" w:hAnsi="Times New Roman" w:eastAsia="宋体"/>
                <w:color w:val="auto"/>
                <w:vertAlign w:val="superscript"/>
                <w:lang w:val="en-US" w:eastAsia="zh-CN"/>
              </w:rPr>
              <w:t>3</w:t>
            </w:r>
            <w:r>
              <w:rPr>
                <w:rFonts w:hint="eastAsia" w:ascii="Times New Roman" w:hAnsi="Times New Roman" w:eastAsia="宋体"/>
                <w:color w:val="auto"/>
                <w:vertAlign w:val="baseline"/>
                <w:lang w:val="en-US" w:eastAsia="zh-CN"/>
              </w:rPr>
              <w:t>/h，颗粒物综合去除效率≥9</w:t>
            </w:r>
            <w:r>
              <w:rPr>
                <w:rFonts w:hint="eastAsia"/>
                <w:color w:val="auto"/>
                <w:vertAlign w:val="baseline"/>
                <w:lang w:val="en-US" w:eastAsia="zh-CN"/>
              </w:rPr>
              <w:t>5</w:t>
            </w:r>
            <w:r>
              <w:rPr>
                <w:rFonts w:hint="eastAsia" w:ascii="Times New Roman" w:hAnsi="Times New Roman" w:eastAsia="宋体"/>
                <w:color w:val="auto"/>
                <w:vertAlign w:val="baseline"/>
                <w:lang w:val="en-US" w:eastAsia="zh-CN"/>
              </w:rPr>
              <w:t>%；</w:t>
            </w:r>
          </w:p>
          <w:p w14:paraId="5B1F9864">
            <w:pPr>
              <w:keepNext w:val="0"/>
              <w:keepLines/>
              <w:pageBreakBefore w:val="0"/>
              <w:kinsoku/>
              <w:wordWrap/>
              <w:overflowPunct/>
              <w:topLinePunct w:val="0"/>
              <w:bidi w:val="0"/>
              <w:adjustRightInd/>
              <w:snapToGrid/>
              <w:spacing w:line="240" w:lineRule="auto"/>
              <w:ind w:firstLine="0" w:firstLineChars="0"/>
              <w:jc w:val="left"/>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④</w:t>
            </w:r>
            <w:r>
              <w:rPr>
                <w:rFonts w:hint="eastAsia" w:ascii="Times New Roman" w:hAnsi="Times New Roman" w:eastAsia="宋体"/>
                <w:color w:val="auto"/>
                <w:vertAlign w:val="baseline"/>
                <w:lang w:val="en-US" w:eastAsia="zh-CN"/>
              </w:rPr>
              <w:t>上述废气处理后</w:t>
            </w:r>
            <w:r>
              <w:rPr>
                <w:rFonts w:hint="eastAsia"/>
                <w:color w:val="auto"/>
                <w:vertAlign w:val="baseline"/>
                <w:lang w:val="en-US" w:eastAsia="zh-CN"/>
              </w:rPr>
              <w:t>无组织排放到厂房内</w:t>
            </w:r>
            <w:r>
              <w:rPr>
                <w:rFonts w:hint="eastAsia" w:ascii="Times New Roman" w:hAnsi="Times New Roman" w:eastAsia="宋体"/>
                <w:color w:val="auto"/>
                <w:vertAlign w:val="baseline"/>
                <w:lang w:val="en-US" w:eastAsia="zh-CN"/>
              </w:rPr>
              <w:t>。</w:t>
            </w:r>
          </w:p>
        </w:tc>
        <w:tc>
          <w:tcPr>
            <w:tcW w:w="2164" w:type="dxa"/>
            <w:tcBorders>
              <w:top w:val="single" w:color="000000" w:sz="4" w:space="0"/>
              <w:bottom w:val="single" w:color="auto" w:sz="4" w:space="0"/>
            </w:tcBorders>
            <w:shd w:val="clear" w:color="auto" w:fill="auto"/>
            <w:vAlign w:val="center"/>
          </w:tcPr>
          <w:p w14:paraId="0501E522">
            <w:pPr>
              <w:keepNext w:val="0"/>
              <w:keepLines/>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4"/>
                <w:sz w:val="21"/>
                <w:szCs w:val="24"/>
                <w:vertAlign w:val="baseline"/>
                <w:lang w:val="en-US" w:eastAsia="zh-CN" w:bidi="ar-SA"/>
              </w:rPr>
            </w:pPr>
            <w:r>
              <w:rPr>
                <w:rFonts w:hint="eastAsia" w:ascii="Times New Roman" w:hAnsi="Times New Roman" w:eastAsia="宋体"/>
                <w:color w:val="auto"/>
              </w:rPr>
              <w:t>《大气污染物综合排放标准》（</w:t>
            </w:r>
            <w:r>
              <w:rPr>
                <w:rFonts w:ascii="Times New Roman" w:hAnsi="Times New Roman" w:eastAsia="宋体"/>
                <w:color w:val="auto"/>
              </w:rPr>
              <w:t>GB16297-1996）表2标准</w:t>
            </w:r>
            <w:r>
              <w:rPr>
                <w:rFonts w:hint="eastAsia" w:ascii="Times New Roman" w:hAnsi="Times New Roman" w:eastAsia="宋体"/>
                <w:color w:val="auto"/>
              </w:rPr>
              <w:t>中无组织排放监控浓度限值（≤</w:t>
            </w:r>
            <w:r>
              <w:rPr>
                <w:rFonts w:ascii="Times New Roman" w:hAnsi="Times New Roman" w:eastAsia="宋体"/>
                <w:color w:val="auto"/>
              </w:rPr>
              <w:t>1.0</w:t>
            </w:r>
            <w:r>
              <w:rPr>
                <w:rFonts w:hint="eastAsia" w:ascii="Times New Roman" w:hAnsi="Times New Roman" w:eastAsia="宋体"/>
                <w:color w:val="auto"/>
              </w:rPr>
              <w:t>mg</w:t>
            </w:r>
            <w:r>
              <w:rPr>
                <w:rFonts w:ascii="Times New Roman" w:hAnsi="Times New Roman" w:eastAsia="宋体"/>
                <w:color w:val="auto"/>
              </w:rPr>
              <w:t>/</w:t>
            </w:r>
            <w:r>
              <w:rPr>
                <w:rFonts w:hint="eastAsia" w:ascii="Times New Roman" w:hAnsi="Times New Roman" w:eastAsia="宋体"/>
                <w:color w:val="auto"/>
              </w:rPr>
              <w:t>m</w:t>
            </w:r>
            <w:r>
              <w:rPr>
                <w:rFonts w:ascii="Times New Roman" w:hAnsi="Times New Roman" w:eastAsia="宋体"/>
                <w:color w:val="auto"/>
                <w:vertAlign w:val="superscript"/>
              </w:rPr>
              <w:t>3</w:t>
            </w:r>
            <w:r>
              <w:rPr>
                <w:rFonts w:hint="eastAsia" w:ascii="Times New Roman" w:hAnsi="Times New Roman" w:eastAsia="宋体"/>
                <w:color w:val="auto"/>
              </w:rPr>
              <w:t>）</w:t>
            </w:r>
          </w:p>
        </w:tc>
      </w:tr>
      <w:tr w14:paraId="2B74B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318" w:type="dxa"/>
            <w:vMerge w:val="restart"/>
            <w:vAlign w:val="center"/>
          </w:tcPr>
          <w:p w14:paraId="1A6CBE98">
            <w:pPr>
              <w:jc w:val="center"/>
              <w:rPr>
                <w:rFonts w:ascii="Times New Roman" w:hAnsi="Times New Roman" w:eastAsia="宋体"/>
                <w:b/>
                <w:bCs/>
                <w:color w:val="auto"/>
                <w:szCs w:val="21"/>
              </w:rPr>
            </w:pPr>
            <w:r>
              <w:rPr>
                <w:rFonts w:ascii="Times New Roman" w:hAnsi="Times New Roman" w:eastAsia="宋体"/>
                <w:b/>
                <w:bCs/>
                <w:color w:val="auto"/>
                <w:szCs w:val="21"/>
              </w:rPr>
              <w:t>地表水环境</w:t>
            </w:r>
          </w:p>
        </w:tc>
        <w:tc>
          <w:tcPr>
            <w:tcW w:w="1750" w:type="dxa"/>
            <w:vAlign w:val="center"/>
          </w:tcPr>
          <w:p w14:paraId="21ACB463">
            <w:pPr>
              <w:jc w:val="center"/>
              <w:rPr>
                <w:rFonts w:hint="default" w:ascii="Times New Roman" w:hAnsi="Times New Roman" w:eastAsia="宋体"/>
                <w:color w:val="auto"/>
                <w:sz w:val="21"/>
                <w:szCs w:val="21"/>
                <w:lang w:val="en-US" w:eastAsia="zh-CN"/>
              </w:rPr>
            </w:pPr>
            <w:r>
              <w:rPr>
                <w:rFonts w:hint="eastAsia" w:ascii="Times New Roman" w:hAnsi="Times New Roman" w:eastAsia="宋体"/>
                <w:snapToGrid w:val="0"/>
                <w:color w:val="auto"/>
                <w:kern w:val="0"/>
                <w:szCs w:val="21"/>
                <w:lang w:val="en-US" w:eastAsia="zh-CN"/>
              </w:rPr>
              <w:t>冷却废水</w:t>
            </w:r>
          </w:p>
        </w:tc>
        <w:tc>
          <w:tcPr>
            <w:tcW w:w="1125" w:type="dxa"/>
            <w:vAlign w:val="center"/>
          </w:tcPr>
          <w:p w14:paraId="012596A9">
            <w:pPr>
              <w:jc w:val="center"/>
              <w:rPr>
                <w:rFonts w:hint="default" w:ascii="Times New Roman" w:hAnsi="Times New Roman" w:eastAsia="宋体"/>
                <w:color w:val="auto"/>
                <w:sz w:val="21"/>
                <w:szCs w:val="21"/>
                <w:lang w:val="en-US"/>
              </w:rPr>
            </w:pPr>
            <w:r>
              <w:rPr>
                <w:rFonts w:hint="eastAsia" w:ascii="Times New Roman" w:hAnsi="Times New Roman" w:eastAsia="宋体"/>
                <w:snapToGrid w:val="0"/>
                <w:color w:val="auto"/>
                <w:kern w:val="0"/>
                <w:szCs w:val="21"/>
                <w:lang w:val="en-US" w:eastAsia="zh-CN"/>
              </w:rPr>
              <w:t>温度、SS、CODcr</w:t>
            </w:r>
          </w:p>
        </w:tc>
        <w:tc>
          <w:tcPr>
            <w:tcW w:w="2443" w:type="dxa"/>
            <w:vAlign w:val="center"/>
          </w:tcPr>
          <w:p w14:paraId="1D721BAE">
            <w:pPr>
              <w:jc w:val="center"/>
              <w:rPr>
                <w:rFonts w:hint="eastAsia" w:ascii="Times New Roman" w:hAnsi="Times New Roman" w:eastAsia="宋体"/>
                <w:color w:val="auto"/>
                <w:szCs w:val="21"/>
                <w:lang w:eastAsia="zh-CN"/>
              </w:rPr>
            </w:pPr>
            <w:r>
              <w:rPr>
                <w:rFonts w:hint="eastAsia" w:ascii="Times New Roman" w:hAnsi="Times New Roman" w:eastAsia="宋体" w:cs="Times New Roman"/>
                <w:color w:val="auto"/>
                <w:sz w:val="21"/>
                <w:szCs w:val="21"/>
                <w:lang w:eastAsia="zh-CN"/>
              </w:rPr>
              <w:t>本项目生产过程中冷却水循环使用，定期补充，无生产废水外排</w:t>
            </w:r>
          </w:p>
        </w:tc>
        <w:tc>
          <w:tcPr>
            <w:tcW w:w="2164" w:type="dxa"/>
            <w:vAlign w:val="center"/>
          </w:tcPr>
          <w:p w14:paraId="077AA1E4">
            <w:pPr>
              <w:jc w:val="center"/>
              <w:rPr>
                <w:rFonts w:hint="eastAsia" w:ascii="Times New Roman" w:hAnsi="Times New Roman" w:eastAsia="宋体"/>
                <w:color w:val="auto"/>
                <w:szCs w:val="21"/>
                <w:lang w:eastAsia="zh-CN"/>
              </w:rPr>
            </w:pPr>
            <w:r>
              <w:rPr>
                <w:rFonts w:hint="eastAsia" w:ascii="Times New Roman" w:hAnsi="Times New Roman" w:eastAsia="宋体" w:cs="Times New Roman"/>
                <w:color w:val="auto"/>
                <w:spacing w:val="0"/>
                <w:sz w:val="21"/>
                <w:lang w:val="en-US" w:eastAsia="zh-CN"/>
              </w:rPr>
              <w:t>——</w:t>
            </w:r>
          </w:p>
        </w:tc>
      </w:tr>
      <w:tr w14:paraId="360BC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4" w:hRule="atLeast"/>
          <w:jc w:val="center"/>
        </w:trPr>
        <w:tc>
          <w:tcPr>
            <w:tcW w:w="1318" w:type="dxa"/>
            <w:vMerge w:val="continue"/>
            <w:vAlign w:val="center"/>
          </w:tcPr>
          <w:p w14:paraId="78B3D6A6">
            <w:pPr>
              <w:jc w:val="center"/>
              <w:rPr>
                <w:rFonts w:ascii="Times New Roman" w:hAnsi="Times New Roman" w:eastAsia="宋体"/>
                <w:b/>
                <w:bCs/>
                <w:color w:val="auto"/>
                <w:szCs w:val="21"/>
              </w:rPr>
            </w:pPr>
          </w:p>
        </w:tc>
        <w:tc>
          <w:tcPr>
            <w:tcW w:w="1750" w:type="dxa"/>
            <w:vAlign w:val="center"/>
          </w:tcPr>
          <w:p w14:paraId="149E928F">
            <w:pPr>
              <w:jc w:val="center"/>
              <w:rPr>
                <w:rFonts w:hint="eastAsia" w:ascii="Times New Roman" w:hAnsi="Times New Roman" w:eastAsia="宋体"/>
                <w:snapToGrid w:val="0"/>
                <w:color w:val="auto"/>
                <w:kern w:val="0"/>
                <w:szCs w:val="21"/>
                <w:lang w:eastAsia="zh-CN"/>
              </w:rPr>
            </w:pPr>
            <w:r>
              <w:rPr>
                <w:rFonts w:hint="eastAsia" w:ascii="Times New Roman" w:hAnsi="Times New Roman" w:eastAsia="宋体"/>
                <w:snapToGrid w:val="0"/>
                <w:color w:val="auto"/>
                <w:kern w:val="0"/>
                <w:szCs w:val="21"/>
                <w:lang w:val="en-US" w:eastAsia="zh-CN"/>
              </w:rPr>
              <w:t>生活污水</w:t>
            </w:r>
          </w:p>
        </w:tc>
        <w:tc>
          <w:tcPr>
            <w:tcW w:w="1125" w:type="dxa"/>
            <w:vAlign w:val="center"/>
          </w:tcPr>
          <w:p w14:paraId="78E808F2">
            <w:pPr>
              <w:jc w:val="center"/>
              <w:rPr>
                <w:rFonts w:ascii="Times New Roman" w:hAnsi="Times New Roman" w:eastAsia="宋体"/>
                <w:snapToGrid w:val="0"/>
                <w:color w:val="auto"/>
                <w:kern w:val="0"/>
                <w:szCs w:val="21"/>
              </w:rPr>
            </w:pPr>
            <w:r>
              <w:rPr>
                <w:rFonts w:ascii="Times New Roman" w:hAnsi="Times New Roman" w:eastAsia="宋体"/>
                <w:snapToGrid w:val="0"/>
                <w:color w:val="auto"/>
                <w:kern w:val="0"/>
                <w:szCs w:val="21"/>
              </w:rPr>
              <w:t>COD、BOD</w:t>
            </w:r>
            <w:r>
              <w:rPr>
                <w:rFonts w:ascii="Times New Roman" w:hAnsi="Times New Roman" w:eastAsia="宋体"/>
                <w:snapToGrid w:val="0"/>
                <w:color w:val="auto"/>
                <w:kern w:val="0"/>
                <w:szCs w:val="21"/>
                <w:vertAlign w:val="subscript"/>
              </w:rPr>
              <w:t>5</w:t>
            </w:r>
            <w:r>
              <w:rPr>
                <w:rFonts w:ascii="Times New Roman" w:hAnsi="Times New Roman" w:eastAsia="宋体"/>
                <w:snapToGrid w:val="0"/>
                <w:color w:val="auto"/>
                <w:kern w:val="0"/>
                <w:szCs w:val="21"/>
              </w:rPr>
              <w:t>、氨氮、SS、TP、粪大肠菌群</w:t>
            </w:r>
          </w:p>
        </w:tc>
        <w:tc>
          <w:tcPr>
            <w:tcW w:w="2443" w:type="dxa"/>
            <w:vAlign w:val="center"/>
          </w:tcPr>
          <w:p w14:paraId="46973209">
            <w:pPr>
              <w:jc w:val="center"/>
              <w:rPr>
                <w:rFonts w:hint="eastAsia" w:ascii="Times New Roman" w:hAnsi="Times New Roman" w:eastAsia="宋体"/>
                <w:color w:val="auto"/>
                <w:szCs w:val="21"/>
                <w:lang w:eastAsia="zh-CN"/>
              </w:rPr>
            </w:pPr>
            <w:r>
              <w:rPr>
                <w:rFonts w:hint="eastAsia" w:ascii="Times New Roman" w:hAnsi="Times New Roman" w:eastAsia="宋体" w:cs="Times New Roman"/>
                <w:color w:val="auto"/>
                <w:sz w:val="21"/>
                <w:szCs w:val="21"/>
                <w:lang w:eastAsia="zh-CN"/>
              </w:rPr>
              <w:t>依托</w:t>
            </w:r>
            <w:r>
              <w:rPr>
                <w:rFonts w:hint="eastAsia" w:ascii="Times New Roman" w:hAnsi="Times New Roman" w:eastAsia="宋体" w:cs="Times New Roman"/>
                <w:color w:val="auto"/>
                <w:sz w:val="21"/>
                <w:szCs w:val="21"/>
                <w:lang w:val="en-US" w:eastAsia="zh-CN"/>
              </w:rPr>
              <w:t>厂区现有化粪池（</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利用罐车拉运至纳古镇污水处理站处理，属于间接排放</w:t>
            </w:r>
            <w:r>
              <w:rPr>
                <w:rFonts w:ascii="Times New Roman" w:hAnsi="Times New Roman" w:eastAsia="宋体"/>
                <w:color w:val="auto"/>
              </w:rPr>
              <w:t>。</w:t>
            </w:r>
          </w:p>
        </w:tc>
        <w:tc>
          <w:tcPr>
            <w:tcW w:w="2164" w:type="dxa"/>
            <w:vAlign w:val="center"/>
          </w:tcPr>
          <w:p w14:paraId="6522C495">
            <w:pPr>
              <w:jc w:val="center"/>
              <w:rPr>
                <w:rFonts w:hint="eastAsia" w:ascii="Times New Roman" w:hAnsi="Times New Roman" w:eastAsia="宋体"/>
                <w:color w:val="auto"/>
                <w:szCs w:val="21"/>
                <w:lang w:eastAsia="zh-CN"/>
              </w:rPr>
            </w:pPr>
            <w:r>
              <w:rPr>
                <w:rFonts w:hint="eastAsia"/>
                <w:color w:val="auto"/>
                <w:sz w:val="21"/>
                <w:szCs w:val="21"/>
                <w:lang w:eastAsia="zh-CN"/>
              </w:rPr>
              <w:t>《污水综合排放标准》（GB8978-1996）表4三级标准，并满足氨氮、总磷指标</w:t>
            </w:r>
            <w:r>
              <w:rPr>
                <w:rFonts w:hint="eastAsia"/>
                <w:color w:val="auto"/>
                <w:sz w:val="21"/>
                <w:szCs w:val="21"/>
                <w:lang w:val="en-US" w:eastAsia="zh-CN"/>
              </w:rPr>
              <w:t>符合</w:t>
            </w:r>
            <w:r>
              <w:rPr>
                <w:rFonts w:hint="eastAsia"/>
                <w:color w:val="auto"/>
                <w:sz w:val="21"/>
                <w:szCs w:val="21"/>
                <w:lang w:eastAsia="zh-CN"/>
              </w:rPr>
              <w:t>《污水排入城镇下水道水质标准》（GB/T 31962—2015）表1（B）级标准</w:t>
            </w:r>
          </w:p>
        </w:tc>
      </w:tr>
      <w:tr w14:paraId="79D6F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18" w:type="dxa"/>
            <w:vMerge w:val="continue"/>
            <w:vAlign w:val="center"/>
          </w:tcPr>
          <w:p w14:paraId="58668EC9">
            <w:pPr>
              <w:jc w:val="center"/>
              <w:rPr>
                <w:rFonts w:ascii="Times New Roman" w:hAnsi="Times New Roman" w:eastAsia="宋体"/>
                <w:b/>
                <w:bCs/>
                <w:color w:val="auto"/>
                <w:szCs w:val="21"/>
              </w:rPr>
            </w:pPr>
          </w:p>
        </w:tc>
        <w:tc>
          <w:tcPr>
            <w:tcW w:w="1750" w:type="dxa"/>
            <w:shd w:val="clear" w:color="auto" w:fill="auto"/>
            <w:vAlign w:val="center"/>
          </w:tcPr>
          <w:p w14:paraId="374A875E">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事故废水</w:t>
            </w:r>
          </w:p>
        </w:tc>
        <w:tc>
          <w:tcPr>
            <w:tcW w:w="1125" w:type="dxa"/>
            <w:shd w:val="clear" w:color="auto" w:fill="auto"/>
            <w:vAlign w:val="center"/>
          </w:tcPr>
          <w:p w14:paraId="0D452D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SS</w:t>
            </w:r>
          </w:p>
        </w:tc>
        <w:tc>
          <w:tcPr>
            <w:tcW w:w="2443" w:type="dxa"/>
            <w:shd w:val="clear" w:color="auto" w:fill="auto"/>
            <w:vAlign w:val="center"/>
          </w:tcPr>
          <w:p w14:paraId="24CD580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2"/>
                <w:sz w:val="21"/>
                <w:szCs w:val="24"/>
                <w:vertAlign w:val="baseline"/>
                <w:lang w:val="en-US" w:eastAsia="zh-CN" w:bidi="ar-SA"/>
              </w:rPr>
            </w:pPr>
            <w:r>
              <w:rPr>
                <w:rFonts w:hint="eastAsia"/>
                <w:color w:val="auto"/>
                <w:szCs w:val="21"/>
                <w:lang w:val="en-US" w:eastAsia="zh-CN"/>
              </w:rPr>
              <w:t>事故废水池1座，位于生产车间外西侧300m</w:t>
            </w:r>
            <w:r>
              <w:rPr>
                <w:rFonts w:hint="eastAsia"/>
                <w:color w:val="auto"/>
                <w:szCs w:val="21"/>
                <w:vertAlign w:val="superscript"/>
                <w:lang w:val="en-US" w:eastAsia="zh-CN"/>
              </w:rPr>
              <w:t>3</w:t>
            </w:r>
          </w:p>
        </w:tc>
        <w:tc>
          <w:tcPr>
            <w:tcW w:w="2164" w:type="dxa"/>
            <w:shd w:val="clear" w:color="auto" w:fill="auto"/>
            <w:vAlign w:val="center"/>
          </w:tcPr>
          <w:p w14:paraId="11EC2525">
            <w:pPr>
              <w:jc w:val="center"/>
              <w:rPr>
                <w:rFonts w:hint="eastAsia" w:ascii="Times New Roman" w:hAnsi="Times New Roman" w:eastAsia="宋体" w:cs="Times New Roman"/>
                <w:color w:val="auto"/>
                <w:kern w:val="0"/>
                <w:sz w:val="21"/>
                <w:szCs w:val="24"/>
                <w:lang w:val="en-US" w:eastAsia="zh-CN" w:bidi="ar-SA"/>
              </w:rPr>
            </w:pPr>
            <w:r>
              <w:rPr>
                <w:rFonts w:hint="eastAsia" w:cs="Times New Roman"/>
                <w:color w:val="auto"/>
                <w:kern w:val="0"/>
                <w:lang w:val="en-US" w:eastAsia="zh-CN"/>
              </w:rPr>
              <w:t>防止事故外溢</w:t>
            </w:r>
          </w:p>
        </w:tc>
      </w:tr>
      <w:tr w14:paraId="40C4D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vAlign w:val="center"/>
          </w:tcPr>
          <w:p w14:paraId="5FF51734">
            <w:pPr>
              <w:jc w:val="center"/>
              <w:rPr>
                <w:rFonts w:ascii="Times New Roman" w:hAnsi="Times New Roman" w:eastAsia="宋体"/>
                <w:b/>
                <w:bCs/>
                <w:color w:val="auto"/>
                <w:szCs w:val="21"/>
              </w:rPr>
            </w:pPr>
            <w:r>
              <w:rPr>
                <w:rFonts w:ascii="Times New Roman" w:hAnsi="Times New Roman" w:eastAsia="宋体"/>
                <w:b/>
                <w:bCs/>
                <w:color w:val="auto"/>
                <w:szCs w:val="21"/>
              </w:rPr>
              <w:t>声环境</w:t>
            </w:r>
          </w:p>
        </w:tc>
        <w:tc>
          <w:tcPr>
            <w:tcW w:w="1750" w:type="dxa"/>
            <w:vAlign w:val="center"/>
          </w:tcPr>
          <w:p w14:paraId="5FB0C8F1">
            <w:pPr>
              <w:jc w:val="center"/>
              <w:rPr>
                <w:rFonts w:ascii="Times New Roman" w:hAnsi="Times New Roman" w:eastAsia="宋体"/>
                <w:color w:val="auto"/>
                <w:szCs w:val="21"/>
              </w:rPr>
            </w:pPr>
            <w:r>
              <w:rPr>
                <w:rFonts w:hint="eastAsia" w:ascii="Times New Roman" w:hAnsi="Times New Roman" w:eastAsia="宋体"/>
                <w:color w:val="auto"/>
                <w:szCs w:val="21"/>
              </w:rPr>
              <w:t>厂界四周</w:t>
            </w:r>
          </w:p>
        </w:tc>
        <w:tc>
          <w:tcPr>
            <w:tcW w:w="1125" w:type="dxa"/>
            <w:vAlign w:val="center"/>
          </w:tcPr>
          <w:p w14:paraId="3F5E5E47">
            <w:pPr>
              <w:jc w:val="center"/>
              <w:rPr>
                <w:rFonts w:ascii="Times New Roman" w:hAnsi="Times New Roman" w:eastAsia="宋体"/>
                <w:color w:val="auto"/>
                <w:szCs w:val="21"/>
              </w:rPr>
            </w:pPr>
            <w:r>
              <w:rPr>
                <w:rFonts w:ascii="Times New Roman" w:hAnsi="Times New Roman" w:eastAsia="宋体"/>
                <w:color w:val="auto"/>
                <w:szCs w:val="21"/>
              </w:rPr>
              <w:t>等效A声级</w:t>
            </w:r>
          </w:p>
        </w:tc>
        <w:tc>
          <w:tcPr>
            <w:tcW w:w="2443" w:type="dxa"/>
            <w:vAlign w:val="center"/>
          </w:tcPr>
          <w:p w14:paraId="054F09D5">
            <w:pPr>
              <w:jc w:val="center"/>
              <w:rPr>
                <w:rFonts w:hint="eastAsia" w:ascii="Times New Roman" w:hAnsi="Times New Roman" w:eastAsia="宋体"/>
                <w:color w:val="auto"/>
                <w:szCs w:val="21"/>
                <w:lang w:eastAsia="zh-CN"/>
              </w:rPr>
            </w:pPr>
            <w:r>
              <w:rPr>
                <w:rFonts w:hint="eastAsia"/>
                <w:bCs/>
                <w:color w:val="auto"/>
              </w:rPr>
              <w:t>低噪声设备、合理布局、基础减震，厂房隔声，安装消声器等</w:t>
            </w:r>
            <w:r>
              <w:rPr>
                <w:rFonts w:hint="eastAsia"/>
                <w:bCs/>
                <w:color w:val="auto"/>
                <w:lang w:eastAsia="zh-CN"/>
              </w:rPr>
              <w:t>。</w:t>
            </w:r>
          </w:p>
        </w:tc>
        <w:tc>
          <w:tcPr>
            <w:tcW w:w="2164" w:type="dxa"/>
            <w:vAlign w:val="center"/>
          </w:tcPr>
          <w:p w14:paraId="3CB51DC1">
            <w:pPr>
              <w:jc w:val="center"/>
              <w:rPr>
                <w:rFonts w:hint="eastAsia" w:ascii="Times New Roman" w:hAnsi="Times New Roman" w:eastAsia="宋体"/>
                <w:color w:val="auto"/>
                <w:szCs w:val="21"/>
                <w:lang w:eastAsia="zh-CN"/>
              </w:rPr>
            </w:pPr>
            <w:r>
              <w:rPr>
                <w:rFonts w:hint="eastAsia" w:ascii="Times New Roman" w:hAnsi="Times New Roman" w:eastAsia="宋体"/>
                <w:color w:val="auto"/>
              </w:rPr>
              <w:t>达到《工业企业厂界环境噪声排放标准》（GB12348-2008）</w:t>
            </w:r>
            <w:r>
              <w:rPr>
                <w:rFonts w:hint="eastAsia" w:ascii="Times New Roman" w:hAnsi="Times New Roman" w:eastAsia="宋体"/>
                <w:color w:val="auto"/>
                <w:lang w:val="en-US" w:eastAsia="zh-CN"/>
              </w:rPr>
              <w:t>2</w:t>
            </w:r>
            <w:r>
              <w:rPr>
                <w:rFonts w:hint="eastAsia" w:ascii="Times New Roman" w:hAnsi="Times New Roman" w:eastAsia="宋体"/>
                <w:color w:val="auto"/>
              </w:rPr>
              <w:t>类标准</w:t>
            </w:r>
          </w:p>
        </w:tc>
      </w:tr>
      <w:tr w14:paraId="653FE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8" w:type="dxa"/>
            <w:vAlign w:val="center"/>
          </w:tcPr>
          <w:p w14:paraId="25F108FF">
            <w:pPr>
              <w:jc w:val="center"/>
              <w:rPr>
                <w:rFonts w:ascii="Times New Roman" w:hAnsi="Times New Roman" w:eastAsia="宋体"/>
                <w:b/>
                <w:bCs/>
                <w:color w:val="auto"/>
                <w:szCs w:val="21"/>
              </w:rPr>
            </w:pPr>
            <w:r>
              <w:rPr>
                <w:rFonts w:ascii="Times New Roman" w:hAnsi="Times New Roman" w:eastAsia="宋体"/>
                <w:b/>
                <w:bCs/>
                <w:color w:val="auto"/>
                <w:szCs w:val="21"/>
              </w:rPr>
              <w:t>电磁辐射</w:t>
            </w:r>
          </w:p>
        </w:tc>
        <w:tc>
          <w:tcPr>
            <w:tcW w:w="1750" w:type="dxa"/>
            <w:vAlign w:val="center"/>
          </w:tcPr>
          <w:p w14:paraId="6D6D1920">
            <w:pPr>
              <w:jc w:val="center"/>
              <w:rPr>
                <w:rFonts w:ascii="Times New Roman" w:hAnsi="Times New Roman" w:eastAsia="宋体"/>
                <w:color w:val="auto"/>
                <w:szCs w:val="21"/>
              </w:rPr>
            </w:pPr>
            <w:r>
              <w:rPr>
                <w:rFonts w:ascii="Times New Roman" w:hAnsi="Times New Roman" w:eastAsia="宋体"/>
                <w:color w:val="auto"/>
                <w:szCs w:val="21"/>
              </w:rPr>
              <w:t>/</w:t>
            </w:r>
          </w:p>
        </w:tc>
        <w:tc>
          <w:tcPr>
            <w:tcW w:w="1125" w:type="dxa"/>
            <w:vAlign w:val="center"/>
          </w:tcPr>
          <w:p w14:paraId="5B1C161C">
            <w:pPr>
              <w:jc w:val="center"/>
              <w:rPr>
                <w:rFonts w:ascii="Times New Roman" w:hAnsi="Times New Roman" w:eastAsia="宋体"/>
                <w:color w:val="auto"/>
                <w:szCs w:val="21"/>
              </w:rPr>
            </w:pPr>
            <w:r>
              <w:rPr>
                <w:rFonts w:ascii="Times New Roman" w:hAnsi="Times New Roman" w:eastAsia="宋体"/>
                <w:color w:val="auto"/>
                <w:szCs w:val="21"/>
              </w:rPr>
              <w:t>/</w:t>
            </w:r>
          </w:p>
        </w:tc>
        <w:tc>
          <w:tcPr>
            <w:tcW w:w="2443" w:type="dxa"/>
            <w:vAlign w:val="center"/>
          </w:tcPr>
          <w:p w14:paraId="5022D752">
            <w:pPr>
              <w:jc w:val="center"/>
              <w:rPr>
                <w:rFonts w:ascii="Times New Roman" w:hAnsi="Times New Roman" w:eastAsia="宋体"/>
                <w:color w:val="auto"/>
                <w:szCs w:val="21"/>
              </w:rPr>
            </w:pPr>
            <w:r>
              <w:rPr>
                <w:rFonts w:ascii="Times New Roman" w:hAnsi="Times New Roman" w:eastAsia="宋体"/>
                <w:color w:val="auto"/>
                <w:szCs w:val="21"/>
              </w:rPr>
              <w:t>/</w:t>
            </w:r>
          </w:p>
        </w:tc>
        <w:tc>
          <w:tcPr>
            <w:tcW w:w="2164" w:type="dxa"/>
            <w:vAlign w:val="center"/>
          </w:tcPr>
          <w:p w14:paraId="4497D785">
            <w:pPr>
              <w:jc w:val="center"/>
              <w:rPr>
                <w:rFonts w:ascii="Times New Roman" w:hAnsi="Times New Roman" w:eastAsia="宋体"/>
                <w:color w:val="auto"/>
                <w:szCs w:val="21"/>
              </w:rPr>
            </w:pPr>
            <w:r>
              <w:rPr>
                <w:rFonts w:ascii="Times New Roman" w:hAnsi="Times New Roman" w:eastAsia="宋体"/>
                <w:color w:val="auto"/>
                <w:szCs w:val="21"/>
              </w:rPr>
              <w:t>/</w:t>
            </w:r>
          </w:p>
        </w:tc>
      </w:tr>
      <w:tr w14:paraId="25F20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18" w:type="dxa"/>
            <w:vAlign w:val="center"/>
          </w:tcPr>
          <w:p w14:paraId="45549806">
            <w:pPr>
              <w:jc w:val="center"/>
              <w:rPr>
                <w:rFonts w:ascii="Times New Roman" w:hAnsi="Times New Roman" w:eastAsia="宋体"/>
                <w:b/>
                <w:bCs/>
                <w:color w:val="auto"/>
                <w:szCs w:val="21"/>
              </w:rPr>
            </w:pPr>
            <w:r>
              <w:rPr>
                <w:rFonts w:ascii="Times New Roman" w:hAnsi="Times New Roman" w:eastAsia="宋体"/>
                <w:b/>
                <w:bCs/>
                <w:color w:val="auto"/>
                <w:szCs w:val="21"/>
              </w:rPr>
              <w:t>固体废物</w:t>
            </w:r>
          </w:p>
        </w:tc>
        <w:tc>
          <w:tcPr>
            <w:tcW w:w="7482" w:type="dxa"/>
            <w:gridSpan w:val="4"/>
            <w:vAlign w:val="center"/>
          </w:tcPr>
          <w:p w14:paraId="365A27FC">
            <w:pPr>
              <w:pStyle w:val="23"/>
              <w:keepNext w:val="0"/>
              <w:keepLines w:val="0"/>
              <w:pageBreakBefore w:val="0"/>
              <w:kinsoku/>
              <w:wordWrap/>
              <w:overflowPunct/>
              <w:topLinePunct w:val="0"/>
              <w:autoSpaceDE/>
              <w:autoSpaceDN/>
              <w:bidi w:val="0"/>
              <w:adjustRightInd w:val="0"/>
              <w:snapToGrid w:val="0"/>
              <w:spacing w:after="0"/>
              <w:ind w:left="0" w:leftChars="0" w:firstLine="0" w:firstLineChars="0"/>
              <w:jc w:val="left"/>
              <w:textAlignment w:val="auto"/>
              <w:rPr>
                <w:rFonts w:ascii="Times New Roman" w:hAnsi="Times New Roman" w:eastAsia="宋体"/>
                <w:color w:val="auto"/>
                <w:szCs w:val="21"/>
              </w:rPr>
            </w:pPr>
            <w:r>
              <w:rPr>
                <w:rFonts w:hint="eastAsia" w:ascii="Times New Roman" w:hAnsi="Times New Roman" w:eastAsia="宋体"/>
                <w:color w:val="auto"/>
                <w:szCs w:val="21"/>
              </w:rPr>
              <w:t>①</w:t>
            </w:r>
            <w:r>
              <w:rPr>
                <w:rFonts w:ascii="Times New Roman" w:hAnsi="Times New Roman" w:eastAsia="宋体"/>
                <w:color w:val="auto"/>
                <w:szCs w:val="21"/>
              </w:rPr>
              <w:t>设置一个封闭式</w:t>
            </w:r>
            <w:r>
              <w:rPr>
                <w:rFonts w:hint="eastAsia" w:ascii="Times New Roman" w:hAnsi="Times New Roman" w:eastAsia="宋体"/>
                <w:color w:val="auto"/>
                <w:szCs w:val="21"/>
                <w:lang w:val="en-US" w:eastAsia="zh-CN"/>
              </w:rPr>
              <w:t>一般固废暂存间</w:t>
            </w:r>
            <w:r>
              <w:rPr>
                <w:rFonts w:ascii="Times New Roman" w:hAnsi="Times New Roman" w:eastAsia="宋体"/>
                <w:color w:val="auto"/>
                <w:szCs w:val="21"/>
              </w:rPr>
              <w:t>，建筑面积</w:t>
            </w:r>
            <w:r>
              <w:rPr>
                <w:rFonts w:hint="eastAsia" w:ascii="Times New Roman" w:hAnsi="Times New Roman" w:eastAsia="宋体"/>
                <w:color w:val="auto"/>
                <w:szCs w:val="21"/>
                <w:lang w:val="en-US" w:eastAsia="zh-CN"/>
              </w:rPr>
              <w:t>5</w:t>
            </w:r>
            <w:r>
              <w:rPr>
                <w:rFonts w:ascii="Times New Roman" w:hAnsi="Times New Roman" w:eastAsia="宋体"/>
                <w:color w:val="auto"/>
                <w:szCs w:val="21"/>
              </w:rPr>
              <w:t>0m</w:t>
            </w:r>
            <w:r>
              <w:rPr>
                <w:rFonts w:ascii="Times New Roman" w:hAnsi="Times New Roman" w:eastAsia="宋体"/>
                <w:color w:val="auto"/>
                <w:szCs w:val="21"/>
                <w:vertAlign w:val="superscript"/>
              </w:rPr>
              <w:t>2</w:t>
            </w:r>
            <w:r>
              <w:rPr>
                <w:rFonts w:hint="eastAsia" w:ascii="Times New Roman" w:hAnsi="Times New Roman" w:eastAsia="宋体"/>
                <w:color w:val="auto"/>
                <w:szCs w:val="21"/>
              </w:rPr>
              <w:t>，</w:t>
            </w:r>
            <w:r>
              <w:rPr>
                <w:rFonts w:hint="default" w:ascii="Times New Roman" w:hAnsi="Times New Roman" w:eastAsia="宋体" w:cs="Times New Roman"/>
                <w:color w:val="auto"/>
                <w:sz w:val="21"/>
                <w:szCs w:val="21"/>
              </w:rPr>
              <w:t>焊渣、边角废料及切割碎屑、除尘灰和不合格品</w:t>
            </w:r>
            <w:r>
              <w:rPr>
                <w:rFonts w:hint="eastAsia" w:ascii="Times New Roman" w:hAnsi="Times New Roman" w:eastAsia="宋体"/>
                <w:color w:val="auto"/>
                <w:szCs w:val="20"/>
                <w:lang w:val="en-US" w:eastAsia="zh-CN"/>
              </w:rPr>
              <w:t>暂存于一般固废暂存间内，</w:t>
            </w:r>
            <w:r>
              <w:rPr>
                <w:rFonts w:hint="default" w:ascii="Times New Roman" w:hAnsi="Times New Roman" w:eastAsia="宋体" w:cs="Times New Roman"/>
                <w:color w:val="auto"/>
                <w:sz w:val="21"/>
                <w:szCs w:val="21"/>
              </w:rPr>
              <w:t>定期外售给废旧物资回收单位</w:t>
            </w:r>
            <w:r>
              <w:rPr>
                <w:rFonts w:hint="eastAsia" w:cs="Times New Roman"/>
                <w:color w:val="auto"/>
                <w:sz w:val="21"/>
                <w:szCs w:val="21"/>
                <w:lang w:eastAsia="zh-CN"/>
              </w:rPr>
              <w:t>，</w:t>
            </w:r>
            <w:r>
              <w:rPr>
                <w:rFonts w:hint="eastAsia" w:cs="Times New Roman"/>
                <w:color w:val="auto"/>
                <w:sz w:val="21"/>
                <w:szCs w:val="21"/>
                <w:lang w:val="en-US" w:eastAsia="zh-CN"/>
              </w:rPr>
              <w:t>不合格产品回用于产品包装带</w:t>
            </w:r>
            <w:r>
              <w:rPr>
                <w:rFonts w:hint="eastAsia" w:ascii="Times New Roman" w:hAnsi="Times New Roman" w:eastAsia="宋体"/>
                <w:color w:val="auto"/>
                <w:szCs w:val="21"/>
              </w:rPr>
              <w:t>；</w:t>
            </w:r>
            <w:r>
              <w:rPr>
                <w:rFonts w:hint="eastAsia" w:ascii="Times New Roman" w:hAnsi="Times New Roman" w:eastAsia="宋体" w:cs="Times New Roman"/>
                <w:color w:val="auto"/>
                <w:lang w:val="en-US" w:eastAsia="zh-CN"/>
              </w:rPr>
              <w:t>循环水池金属沉渣定期清掏，每次清掏时需进行浸出毒性检测，按照《固体废物 浸出毒性浸出方法 水平振荡法》（HJ 557-2010）中规定方法获得的浸出液检测结果需满足《一般工业固体废物贮存和填埋污染控制标准》（GB 18599-2020）中第I类一般工业固体废物或第II类一般工业固体废物的要求，方可作为一般固体废物外售处置。若浸出毒性检测结果超过第I类一般工业固体废物或第II类一般工业固体废物的要求，则需要进行危险废物鉴别，根据鉴别结果为危险废物时需委托有资质单位处置。</w:t>
            </w:r>
          </w:p>
          <w:p w14:paraId="2341FA37">
            <w:pPr>
              <w:pStyle w:val="22"/>
              <w:keepNext w:val="0"/>
              <w:keepLines w:val="0"/>
              <w:pageBreakBefore w:val="0"/>
              <w:kinsoku/>
              <w:wordWrap/>
              <w:overflowPunct/>
              <w:topLinePunct w:val="0"/>
              <w:autoSpaceDE/>
              <w:autoSpaceDN/>
              <w:bidi w:val="0"/>
              <w:adjustRightInd w:val="0"/>
              <w:snapToGrid w:val="0"/>
              <w:spacing w:before="0" w:after="0" w:line="240" w:lineRule="auto"/>
              <w:ind w:firstLine="0" w:firstLineChars="0"/>
              <w:textAlignment w:val="auto"/>
              <w:rPr>
                <w:rFonts w:hint="eastAsia" w:ascii="Times New Roman" w:hAnsi="Times New Roman" w:eastAsia="宋体"/>
                <w:color w:val="auto"/>
              </w:rPr>
            </w:pPr>
            <w:r>
              <w:rPr>
                <w:rFonts w:hint="eastAsia" w:ascii="Times New Roman" w:hAnsi="Times New Roman" w:eastAsia="宋体"/>
                <w:color w:val="auto"/>
              </w:rPr>
              <w:t>②项目生活垃圾采用垃圾收集桶集中收集后，定期由当地环卫部门清运处理；</w:t>
            </w:r>
          </w:p>
          <w:p w14:paraId="0DB7141F">
            <w:pPr>
              <w:pStyle w:val="22"/>
              <w:keepNext w:val="0"/>
              <w:keepLines w:val="0"/>
              <w:pageBreakBefore w:val="0"/>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olor w:val="auto"/>
              </w:rPr>
            </w:pPr>
            <w:r>
              <w:rPr>
                <w:rFonts w:hint="eastAsia" w:ascii="Times New Roman" w:hAnsi="Times New Roman" w:eastAsia="宋体" w:cs="Times New Roman"/>
                <w:color w:val="auto"/>
                <w:lang w:val="en-US" w:eastAsia="zh-CN"/>
              </w:rPr>
              <w:t>③危险废物暂存间1间，建筑面积10m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tc>
      </w:tr>
      <w:tr w14:paraId="319C6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318" w:type="dxa"/>
            <w:vAlign w:val="center"/>
          </w:tcPr>
          <w:p w14:paraId="0C1BC013">
            <w:pPr>
              <w:jc w:val="center"/>
              <w:rPr>
                <w:rFonts w:ascii="Times New Roman" w:hAnsi="Times New Roman" w:eastAsia="宋体"/>
                <w:b/>
                <w:bCs/>
                <w:color w:val="auto"/>
                <w:szCs w:val="21"/>
              </w:rPr>
            </w:pPr>
            <w:r>
              <w:rPr>
                <w:rFonts w:ascii="Times New Roman" w:hAnsi="Times New Roman" w:eastAsia="宋体"/>
                <w:b/>
                <w:bCs/>
                <w:color w:val="auto"/>
                <w:szCs w:val="21"/>
              </w:rPr>
              <w:t>土壤及地下水污染防治措施</w:t>
            </w:r>
          </w:p>
        </w:tc>
        <w:tc>
          <w:tcPr>
            <w:tcW w:w="7482" w:type="dxa"/>
            <w:gridSpan w:val="4"/>
            <w:vAlign w:val="center"/>
          </w:tcPr>
          <w:p w14:paraId="1553C01F">
            <w:pPr>
              <w:jc w:val="left"/>
              <w:rPr>
                <w:rFonts w:ascii="Times New Roman" w:hAnsi="Times New Roman" w:eastAsia="宋体"/>
                <w:color w:val="auto"/>
                <w:szCs w:val="21"/>
              </w:rPr>
            </w:pPr>
            <w:r>
              <w:rPr>
                <w:rFonts w:ascii="Times New Roman" w:hAnsi="Times New Roman" w:eastAsia="宋体"/>
                <w:color w:val="auto"/>
                <w:szCs w:val="21"/>
              </w:rPr>
              <w:t>重点防渗区：</w:t>
            </w:r>
            <w:r>
              <w:rPr>
                <w:rFonts w:hint="eastAsia" w:ascii="Times New Roman" w:hAnsi="Times New Roman" w:eastAsia="宋体"/>
                <w:color w:val="auto"/>
                <w:szCs w:val="21"/>
              </w:rPr>
              <w:t>危废暂存间</w:t>
            </w:r>
            <w:r>
              <w:rPr>
                <w:rFonts w:ascii="Times New Roman" w:hAnsi="Times New Roman" w:eastAsia="宋体"/>
                <w:bCs/>
                <w:color w:val="auto"/>
                <w:szCs w:val="21"/>
              </w:rPr>
              <w:t>，</w:t>
            </w:r>
            <w:r>
              <w:rPr>
                <w:rFonts w:hint="eastAsia" w:ascii="Times New Roman" w:hAnsi="Times New Roman" w:eastAsia="宋体"/>
                <w:bCs/>
                <w:color w:val="auto"/>
                <w:szCs w:val="21"/>
              </w:rPr>
              <w:t>根据《危险废物贮存污染控制标准》（GB18597—2023），防渗层为至少1m厚黏土层（渗透系数不大于10</w:t>
            </w:r>
            <w:r>
              <w:rPr>
                <w:rFonts w:hint="eastAsia" w:ascii="Times New Roman" w:hAnsi="Times New Roman" w:eastAsia="宋体"/>
                <w:bCs/>
                <w:color w:val="auto"/>
                <w:szCs w:val="21"/>
                <w:vertAlign w:val="superscript"/>
              </w:rPr>
              <w:t>-7</w:t>
            </w:r>
            <w:r>
              <w:rPr>
                <w:rFonts w:hint="eastAsia" w:ascii="Times New Roman" w:hAnsi="Times New Roman" w:eastAsia="宋体"/>
                <w:bCs/>
                <w:color w:val="auto"/>
                <w:szCs w:val="21"/>
              </w:rPr>
              <w:t>cm/s），或至少2mm厚高密度聚乙烯膜等人工防渗材料（渗透系数不大于10</w:t>
            </w:r>
            <w:r>
              <w:rPr>
                <w:rFonts w:hint="eastAsia" w:ascii="Times New Roman" w:hAnsi="Times New Roman" w:eastAsia="宋体"/>
                <w:bCs/>
                <w:color w:val="auto"/>
                <w:szCs w:val="21"/>
                <w:vertAlign w:val="superscript"/>
              </w:rPr>
              <w:t>-10</w:t>
            </w:r>
            <w:r>
              <w:rPr>
                <w:rFonts w:hint="eastAsia" w:ascii="Times New Roman" w:hAnsi="Times New Roman" w:eastAsia="宋体"/>
                <w:bCs/>
                <w:color w:val="auto"/>
                <w:szCs w:val="21"/>
              </w:rPr>
              <w:t>cm/s）</w:t>
            </w:r>
            <w:r>
              <w:rPr>
                <w:rFonts w:ascii="Times New Roman" w:hAnsi="Times New Roman" w:eastAsia="宋体"/>
                <w:color w:val="auto"/>
                <w:szCs w:val="21"/>
              </w:rPr>
              <w:t>；</w:t>
            </w:r>
          </w:p>
          <w:p w14:paraId="229B2830">
            <w:pPr>
              <w:jc w:val="left"/>
              <w:rPr>
                <w:rFonts w:ascii="Times New Roman" w:hAnsi="Times New Roman" w:eastAsia="宋体"/>
                <w:color w:val="auto"/>
                <w:szCs w:val="21"/>
              </w:rPr>
            </w:pPr>
            <w:r>
              <w:rPr>
                <w:rFonts w:hint="eastAsia" w:ascii="Times New Roman" w:hAnsi="Times New Roman" w:eastAsia="宋体"/>
                <w:color w:val="auto"/>
                <w:szCs w:val="21"/>
              </w:rPr>
              <w:t>一般</w:t>
            </w:r>
            <w:r>
              <w:rPr>
                <w:rFonts w:ascii="Times New Roman" w:hAnsi="Times New Roman" w:eastAsia="宋体"/>
                <w:color w:val="auto"/>
                <w:szCs w:val="21"/>
              </w:rPr>
              <w:t>防渗区：</w:t>
            </w:r>
            <w:r>
              <w:rPr>
                <w:rFonts w:hint="eastAsia"/>
                <w:color w:val="auto"/>
                <w:szCs w:val="21"/>
                <w:lang w:eastAsia="zh-CN"/>
              </w:rPr>
              <w:t>事故水池、</w:t>
            </w:r>
            <w:r>
              <w:rPr>
                <w:rFonts w:hint="eastAsia" w:ascii="Times New Roman" w:hAnsi="Times New Roman" w:eastAsia="宋体"/>
                <w:color w:val="auto"/>
                <w:szCs w:val="21"/>
                <w:lang w:val="en-US" w:eastAsia="zh-CN"/>
              </w:rPr>
              <w:t>化粪池、冷却水池</w:t>
            </w:r>
            <w:r>
              <w:rPr>
                <w:rFonts w:hint="eastAsia" w:ascii="Times New Roman" w:hAnsi="Times New Roman" w:eastAsia="宋体"/>
                <w:color w:val="auto"/>
                <w:szCs w:val="21"/>
              </w:rPr>
              <w:t>，</w:t>
            </w:r>
            <w:r>
              <w:rPr>
                <w:rFonts w:hint="eastAsia" w:ascii="Times New Roman" w:hAnsi="Times New Roman" w:eastAsia="宋体"/>
                <w:bCs/>
                <w:color w:val="auto"/>
                <w:szCs w:val="21"/>
              </w:rPr>
              <w:t>等效黏土防渗层Mb≥1.5m，K≤1×10</w:t>
            </w:r>
            <w:r>
              <w:rPr>
                <w:rFonts w:hint="eastAsia" w:ascii="Times New Roman" w:hAnsi="Times New Roman" w:eastAsia="宋体"/>
                <w:bCs/>
                <w:color w:val="auto"/>
                <w:szCs w:val="21"/>
                <w:vertAlign w:val="superscript"/>
              </w:rPr>
              <w:t>-7</w:t>
            </w:r>
            <w:r>
              <w:rPr>
                <w:rFonts w:hint="eastAsia" w:ascii="Times New Roman" w:hAnsi="Times New Roman" w:eastAsia="宋体"/>
                <w:bCs/>
                <w:color w:val="auto"/>
                <w:szCs w:val="21"/>
              </w:rPr>
              <w:t>cm/s；或参照GB16889执行。</w:t>
            </w:r>
          </w:p>
          <w:p w14:paraId="4991EC27">
            <w:pPr>
              <w:jc w:val="left"/>
              <w:rPr>
                <w:rFonts w:ascii="Times New Roman" w:hAnsi="Times New Roman" w:eastAsia="宋体"/>
                <w:color w:val="auto"/>
                <w:szCs w:val="21"/>
              </w:rPr>
            </w:pPr>
            <w:r>
              <w:rPr>
                <w:rFonts w:ascii="Times New Roman" w:hAnsi="Times New Roman" w:eastAsia="宋体"/>
                <w:bCs/>
                <w:color w:val="auto"/>
                <w:szCs w:val="21"/>
              </w:rPr>
              <w:t>简单防渗区：</w:t>
            </w:r>
            <w:r>
              <w:rPr>
                <w:rFonts w:hint="eastAsia" w:ascii="Times New Roman" w:hAnsi="Times New Roman" w:eastAsia="宋体"/>
                <w:color w:val="auto"/>
                <w:szCs w:val="21"/>
              </w:rPr>
              <w:t>生产车间</w:t>
            </w:r>
            <w:r>
              <w:rPr>
                <w:rFonts w:hint="eastAsia" w:ascii="Times New Roman" w:hAnsi="Times New Roman" w:eastAsia="宋体"/>
                <w:color w:val="auto"/>
                <w:szCs w:val="21"/>
                <w:lang w:eastAsia="zh-CN"/>
              </w:rPr>
              <w:t>、</w:t>
            </w:r>
            <w:r>
              <w:rPr>
                <w:rFonts w:hint="eastAsia" w:ascii="Times New Roman" w:hAnsi="Times New Roman" w:eastAsia="宋体"/>
                <w:bCs/>
                <w:color w:val="auto"/>
                <w:szCs w:val="21"/>
                <w:lang w:val="en-US" w:eastAsia="zh-CN"/>
              </w:rPr>
              <w:t>办公室</w:t>
            </w:r>
            <w:r>
              <w:rPr>
                <w:rFonts w:hint="eastAsia" w:ascii="Times New Roman" w:hAnsi="Times New Roman" w:eastAsia="宋体"/>
                <w:bCs/>
                <w:color w:val="auto"/>
                <w:szCs w:val="21"/>
              </w:rPr>
              <w:t>、厂区道路等除重点及一般防渗外的其他区域</w:t>
            </w:r>
          </w:p>
        </w:tc>
      </w:tr>
      <w:tr w14:paraId="7B489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18" w:type="dxa"/>
            <w:vAlign w:val="center"/>
          </w:tcPr>
          <w:p w14:paraId="5E34150C">
            <w:pPr>
              <w:jc w:val="center"/>
              <w:rPr>
                <w:rFonts w:ascii="Times New Roman" w:hAnsi="Times New Roman" w:eastAsia="宋体"/>
                <w:b/>
                <w:bCs/>
                <w:color w:val="auto"/>
                <w:szCs w:val="21"/>
              </w:rPr>
            </w:pPr>
            <w:r>
              <w:rPr>
                <w:rFonts w:ascii="Times New Roman" w:hAnsi="Times New Roman" w:eastAsia="宋体"/>
                <w:b/>
                <w:bCs/>
                <w:color w:val="auto"/>
                <w:szCs w:val="21"/>
              </w:rPr>
              <w:t>生态保护措施</w:t>
            </w:r>
          </w:p>
        </w:tc>
        <w:tc>
          <w:tcPr>
            <w:tcW w:w="7482" w:type="dxa"/>
            <w:gridSpan w:val="4"/>
            <w:vAlign w:val="center"/>
          </w:tcPr>
          <w:p w14:paraId="3E4B36A9">
            <w:pPr>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w:t>
            </w:r>
          </w:p>
        </w:tc>
      </w:tr>
      <w:tr w14:paraId="454DB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8" w:type="dxa"/>
            <w:vAlign w:val="center"/>
          </w:tcPr>
          <w:p w14:paraId="0A7D381E">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环境风险</w:t>
            </w:r>
          </w:p>
          <w:p w14:paraId="0B9D6F76">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防范措施</w:t>
            </w:r>
          </w:p>
        </w:tc>
        <w:tc>
          <w:tcPr>
            <w:tcW w:w="7482" w:type="dxa"/>
            <w:gridSpan w:val="4"/>
            <w:vAlign w:val="center"/>
          </w:tcPr>
          <w:p w14:paraId="277244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①落实环境管理及风险监控的机构、人员，加强日常监控和管理，并制定相应的环境风险事故应急预案，强化消防安全措施及管理；提高企业员工安全意识。</w:t>
            </w:r>
          </w:p>
          <w:p w14:paraId="25B80CA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②危废暂存间采取防渗，防渗系数达到≤10</w:t>
            </w:r>
            <w:r>
              <w:rPr>
                <w:rFonts w:hint="eastAsia" w:ascii="Times New Roman" w:hAnsi="Times New Roman" w:eastAsia="宋体" w:cs="Times New Roman"/>
                <w:color w:val="auto"/>
                <w:vertAlign w:val="superscript"/>
                <w:lang w:eastAsia="zh-CN"/>
              </w:rPr>
              <w:t>-10</w:t>
            </w:r>
            <w:r>
              <w:rPr>
                <w:rFonts w:hint="eastAsia" w:ascii="Times New Roman" w:hAnsi="Times New Roman" w:eastAsia="宋体" w:cs="Times New Roman"/>
                <w:color w:val="auto"/>
                <w:lang w:eastAsia="zh-CN"/>
              </w:rPr>
              <w:t>cm/s，设置泄漏液体收集装置，避免事故情况外渗污染周围环境。</w:t>
            </w:r>
          </w:p>
          <w:p w14:paraId="232FB00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③企业已设专人管理，其他人未经允许不得进入内。</w:t>
            </w:r>
          </w:p>
          <w:p w14:paraId="5FA118D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④危险废物暂存间不存放除危险废物以外的其他废弃物，不同类别的危险废物分别堆放，并在存放区分别标明危险废物名称，不混放。</w:t>
            </w:r>
          </w:p>
          <w:p w14:paraId="24F7070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⑤危险废物贮存区应设置消防沙池、气体灭火装置和室内消火栓等消防设施。</w:t>
            </w:r>
          </w:p>
          <w:p w14:paraId="603F3D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⑥加强对环保设施的管理和检查，确保环保设施正常运行，防止废气事故排放。</w:t>
            </w:r>
          </w:p>
          <w:p w14:paraId="46015F24">
            <w:pPr>
              <w:keepNext w:val="0"/>
              <w:keepLines w:val="0"/>
              <w:pageBreakBefore w:val="0"/>
              <w:widowControl w:val="0"/>
              <w:kinsoku/>
              <w:wordWrap/>
              <w:overflowPunct/>
              <w:topLinePunct w:val="0"/>
              <w:autoSpaceDE/>
              <w:autoSpaceDN/>
              <w:bidi w:val="0"/>
              <w:adjustRightInd/>
              <w:snapToGrid/>
              <w:jc w:val="left"/>
              <w:textAlignment w:val="auto"/>
              <w:rPr>
                <w:rFonts w:ascii="Times New Roman" w:hAnsi="Times New Roman" w:eastAsia="宋体"/>
                <w:color w:val="auto"/>
                <w:szCs w:val="21"/>
              </w:rPr>
            </w:pPr>
            <w:r>
              <w:rPr>
                <w:rFonts w:hint="eastAsia" w:ascii="Times New Roman" w:hAnsi="Times New Roman" w:eastAsia="宋体" w:cs="Times New Roman"/>
                <w:color w:val="auto"/>
                <w:lang w:eastAsia="zh-CN"/>
              </w:rPr>
              <w:t>⑦危险废物贮存库内应设置监控探头，对整个危险废物贮存区进行监控</w:t>
            </w:r>
            <w:r>
              <w:rPr>
                <w:rFonts w:hint="eastAsia" w:ascii="Times New Roman" w:hAnsi="Times New Roman" w:eastAsia="宋体" w:cs="Times New Roman"/>
                <w:b w:val="0"/>
                <w:bCs w:val="0"/>
                <w:color w:val="auto"/>
                <w:kern w:val="0"/>
                <w:sz w:val="21"/>
                <w:lang w:eastAsia="zh-CN"/>
              </w:rPr>
              <w:t>。</w:t>
            </w:r>
          </w:p>
        </w:tc>
      </w:tr>
      <w:tr w14:paraId="2AE6D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1318" w:type="dxa"/>
            <w:vAlign w:val="center"/>
          </w:tcPr>
          <w:p w14:paraId="762B9F9E">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其他环境</w:t>
            </w:r>
          </w:p>
          <w:p w14:paraId="098C5B93">
            <w:pPr>
              <w:jc w:val="center"/>
              <w:rPr>
                <w:rFonts w:ascii="Times New Roman" w:hAnsi="Times New Roman" w:eastAsia="宋体"/>
                <w:b/>
                <w:bCs/>
                <w:color w:val="auto"/>
                <w:spacing w:val="-8"/>
                <w:szCs w:val="21"/>
              </w:rPr>
            </w:pPr>
            <w:r>
              <w:rPr>
                <w:rFonts w:ascii="Times New Roman" w:hAnsi="Times New Roman" w:eastAsia="宋体"/>
                <w:b/>
                <w:bCs/>
                <w:color w:val="auto"/>
                <w:spacing w:val="-8"/>
                <w:szCs w:val="21"/>
              </w:rPr>
              <w:t>管理要求</w:t>
            </w:r>
          </w:p>
        </w:tc>
        <w:tc>
          <w:tcPr>
            <w:tcW w:w="7482" w:type="dxa"/>
            <w:gridSpan w:val="4"/>
            <w:vAlign w:val="center"/>
          </w:tcPr>
          <w:p w14:paraId="3AE8845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rPr>
            </w:pPr>
            <w:r>
              <w:rPr>
                <w:rFonts w:ascii="Times New Roman" w:hAnsi="Times New Roman" w:eastAsia="宋体"/>
                <w:b/>
                <w:bCs/>
                <w:color w:val="auto"/>
              </w:rPr>
              <w:t>1、施工期环境管理</w:t>
            </w:r>
          </w:p>
          <w:p w14:paraId="4C8907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项目施工期应设立专门的环境管理机构，有项目法人代表直接领导，设置1人进行专门管理，其主要职责为：控制施工期环境污染及生态破坏，杜绝野蛮施工，使施工期对环境污染及生态破坏程度降低到最小。</w:t>
            </w:r>
          </w:p>
          <w:p w14:paraId="5579796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rPr>
            </w:pPr>
            <w:r>
              <w:rPr>
                <w:rFonts w:ascii="Times New Roman" w:hAnsi="Times New Roman" w:eastAsia="宋体"/>
                <w:b/>
                <w:bCs/>
                <w:color w:val="auto"/>
              </w:rPr>
              <w:t>2、营运期环境管理</w:t>
            </w:r>
          </w:p>
          <w:p w14:paraId="18176FD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项目投入生产营运后，环境管理主要职责为：</w:t>
            </w:r>
          </w:p>
          <w:p w14:paraId="3567CB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（1）遵守国家、地方的有关法律法规以及其他相关规定，结合本项目的生产工艺及污染特征，制定切实可行的环保管理制度，并落实到各部门、各岗位，使环保工作有章可循。</w:t>
            </w:r>
          </w:p>
          <w:p w14:paraId="554792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（2）建立健全项目运行期的污染源档案，环保设施运行情况档案，按月（季）统计污染物产生、处理及排放情况并编制好有关数据报表并存档。</w:t>
            </w:r>
          </w:p>
          <w:p w14:paraId="12B80D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（3）对环保设施、设备进行日常的监控和维护工作，并做好记录存档。</w:t>
            </w:r>
          </w:p>
          <w:p w14:paraId="09088D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（4）做好环境保护、安全生产宣传及相关技术培训工作，</w:t>
            </w:r>
            <w:r>
              <w:rPr>
                <w:rFonts w:hint="eastAsia" w:ascii="Times New Roman" w:hAnsi="Times New Roman" w:eastAsia="宋体"/>
                <w:color w:val="auto"/>
              </w:rPr>
              <w:t>增强</w:t>
            </w:r>
            <w:r>
              <w:rPr>
                <w:rFonts w:ascii="Times New Roman" w:hAnsi="Times New Roman" w:eastAsia="宋体"/>
                <w:color w:val="auto"/>
              </w:rPr>
              <w:t>全员的环境保护意识，加强环境法治观念。</w:t>
            </w:r>
          </w:p>
          <w:p w14:paraId="542982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w:t>
            </w:r>
            <w:r>
              <w:rPr>
                <w:rFonts w:hint="eastAsia" w:ascii="Times New Roman" w:hAnsi="Times New Roman" w:eastAsia="宋体"/>
                <w:color w:val="auto"/>
                <w:lang w:val="en-US" w:eastAsia="zh-CN"/>
              </w:rPr>
              <w:t>5</w:t>
            </w:r>
            <w:r>
              <w:rPr>
                <w:rFonts w:ascii="Times New Roman" w:hAnsi="Times New Roman" w:eastAsia="宋体"/>
                <w:color w:val="auto"/>
              </w:rPr>
              <w:t>）接受并配合地方环境保护主管部门对厂内废气、噪声等污染源排放情况及固废处置情况进行监督，并将检查结果及时反馈给上级主管部门及相关生产操作系统，制定环境保护规划和目标，协调各部门的关系，调查处理企业内外污染事故与纠纷。</w:t>
            </w:r>
          </w:p>
          <w:p w14:paraId="6924EE1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Times New Roman" w:hAnsi="Times New Roman" w:eastAsia="宋体"/>
                <w:b/>
                <w:bCs/>
                <w:color w:val="auto"/>
              </w:rPr>
            </w:pPr>
            <w:r>
              <w:rPr>
                <w:rFonts w:ascii="Times New Roman" w:hAnsi="Times New Roman" w:eastAsia="宋体"/>
                <w:b/>
                <w:bCs/>
                <w:color w:val="auto"/>
              </w:rPr>
              <w:t>3、环境监测计划</w:t>
            </w:r>
          </w:p>
          <w:p w14:paraId="36541B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环境监测是环境管理最重要的手段之一，通过环境监测，可正确、迅速完整地为建设项目日常环境管理提供必要依据。本项目的监测计划应包括两方面：即竣工验收监测和运营期的常规监测计划。</w:t>
            </w:r>
          </w:p>
          <w:p w14:paraId="11D689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（1）竣工验收监测</w:t>
            </w:r>
          </w:p>
          <w:p w14:paraId="442E468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项目获得环评批复并在项目试运营期内，按环保部现行要求实施竣工验收。建设项目竣工环境保护验收范围包括：①与建设项目有关的各项环境保护设施；②环境影响报告表和有关项目设计文件规定应采取的其他各项环境保护措施。</w:t>
            </w:r>
          </w:p>
          <w:p w14:paraId="76587D0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olor w:val="auto"/>
              </w:rPr>
            </w:pPr>
            <w:r>
              <w:rPr>
                <w:rFonts w:ascii="Times New Roman" w:hAnsi="Times New Roman" w:eastAsia="宋体"/>
                <w:color w:val="auto"/>
              </w:rPr>
              <w:t>（2）运营期的常规监测</w:t>
            </w:r>
          </w:p>
          <w:p w14:paraId="799487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rPr>
            </w:pPr>
            <w:r>
              <w:rPr>
                <w:rFonts w:ascii="Times New Roman" w:hAnsi="Times New Roman" w:eastAsia="宋体" w:cs="Times New Roman"/>
                <w:color w:val="auto"/>
              </w:rPr>
              <w:t>企业在生产期间应定期委托有资格的环境监测单位进行污染源监督性监测，为环境管理提供依据。</w:t>
            </w:r>
            <w:r>
              <w:rPr>
                <w:rFonts w:hint="eastAsia" w:ascii="Times New Roman" w:hAnsi="Times New Roman" w:eastAsia="宋体" w:cs="Times New Roman"/>
                <w:color w:val="auto"/>
              </w:rPr>
              <w:t>参照《排污许可证申请与核发技术规范总则》（H</w:t>
            </w:r>
            <w:r>
              <w:rPr>
                <w:rFonts w:ascii="Times New Roman" w:hAnsi="Times New Roman" w:eastAsia="宋体" w:cs="Times New Roman"/>
                <w:color w:val="auto"/>
              </w:rPr>
              <w:t>J942-2018</w:t>
            </w:r>
            <w:r>
              <w:rPr>
                <w:rFonts w:hint="eastAsia" w:ascii="Times New Roman" w:hAnsi="Times New Roman" w:eastAsia="宋体" w:cs="Times New Roman"/>
                <w:color w:val="auto"/>
              </w:rPr>
              <w:t>）</w:t>
            </w:r>
            <w:r>
              <w:rPr>
                <w:rFonts w:ascii="Times New Roman" w:hAnsi="Times New Roman" w:eastAsia="宋体" w:cs="Times New Roman"/>
                <w:color w:val="auto"/>
              </w:rPr>
              <w:t>要求及相关的规定，监测要求见下表</w:t>
            </w:r>
            <w:r>
              <w:rPr>
                <w:rFonts w:hint="eastAsia" w:ascii="Times New Roman" w:hAnsi="Times New Roman" w:eastAsia="宋体" w:cs="Times New Roman"/>
                <w:color w:val="auto"/>
              </w:rPr>
              <w:t>。</w:t>
            </w:r>
          </w:p>
          <w:p w14:paraId="79085654">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olor w:val="auto"/>
              </w:rPr>
            </w:pPr>
            <w:r>
              <w:rPr>
                <w:rFonts w:hint="eastAsia" w:ascii="Times New Roman" w:hAnsi="Times New Roman" w:eastAsia="宋体"/>
                <w:color w:val="auto"/>
              </w:rPr>
              <w:t>表5-1项目监测方案</w:t>
            </w:r>
          </w:p>
          <w:tbl>
            <w:tblPr>
              <w:tblStyle w:val="24"/>
              <w:tblW w:w="494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66"/>
              <w:gridCol w:w="1104"/>
              <w:gridCol w:w="1136"/>
              <w:gridCol w:w="3770"/>
            </w:tblGrid>
            <w:tr w14:paraId="53901A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12" w:type="pct"/>
                  <w:shd w:val="clear" w:color="auto" w:fill="D9D9D9"/>
                  <w:noWrap w:val="0"/>
                  <w:vAlign w:val="center"/>
                </w:tcPr>
                <w:p w14:paraId="4F261FC1">
                  <w:pPr>
                    <w:snapToGrid w:val="0"/>
                    <w:jc w:val="center"/>
                    <w:rPr>
                      <w:rFonts w:ascii="Times New Roman" w:hAnsi="Times New Roman" w:eastAsia="宋体"/>
                      <w:color w:val="auto"/>
                    </w:rPr>
                  </w:pPr>
                  <w:r>
                    <w:rPr>
                      <w:rFonts w:ascii="Times New Roman" w:hAnsi="Times New Roman" w:eastAsia="宋体"/>
                      <w:color w:val="auto"/>
                    </w:rPr>
                    <w:t>监测点位</w:t>
                  </w:r>
                </w:p>
              </w:tc>
              <w:tc>
                <w:tcPr>
                  <w:tcW w:w="768" w:type="pct"/>
                  <w:shd w:val="clear" w:color="auto" w:fill="D9D9D9"/>
                  <w:noWrap w:val="0"/>
                  <w:vAlign w:val="center"/>
                </w:tcPr>
                <w:p w14:paraId="52F2AD30">
                  <w:pPr>
                    <w:snapToGrid w:val="0"/>
                    <w:jc w:val="center"/>
                    <w:rPr>
                      <w:rFonts w:ascii="Times New Roman" w:hAnsi="Times New Roman" w:eastAsia="宋体"/>
                      <w:color w:val="auto"/>
                    </w:rPr>
                  </w:pPr>
                  <w:r>
                    <w:rPr>
                      <w:rFonts w:ascii="Times New Roman" w:hAnsi="Times New Roman" w:eastAsia="宋体"/>
                      <w:color w:val="auto"/>
                    </w:rPr>
                    <w:t>监测指标</w:t>
                  </w:r>
                </w:p>
              </w:tc>
              <w:tc>
                <w:tcPr>
                  <w:tcW w:w="791" w:type="pct"/>
                  <w:shd w:val="clear" w:color="auto" w:fill="D9D9D9"/>
                  <w:noWrap w:val="0"/>
                  <w:vAlign w:val="center"/>
                </w:tcPr>
                <w:p w14:paraId="00DF6D00">
                  <w:pPr>
                    <w:snapToGrid w:val="0"/>
                    <w:jc w:val="center"/>
                    <w:rPr>
                      <w:rFonts w:ascii="Times New Roman" w:hAnsi="Times New Roman" w:eastAsia="宋体"/>
                      <w:color w:val="auto"/>
                    </w:rPr>
                  </w:pPr>
                  <w:r>
                    <w:rPr>
                      <w:rFonts w:ascii="Times New Roman" w:hAnsi="Times New Roman" w:eastAsia="宋体"/>
                      <w:color w:val="auto"/>
                    </w:rPr>
                    <w:t>监测频次</w:t>
                  </w:r>
                </w:p>
              </w:tc>
              <w:tc>
                <w:tcPr>
                  <w:tcW w:w="2627" w:type="pct"/>
                  <w:shd w:val="clear" w:color="auto" w:fill="D9D9D9"/>
                  <w:noWrap w:val="0"/>
                  <w:vAlign w:val="center"/>
                </w:tcPr>
                <w:p w14:paraId="5068E8DD">
                  <w:pPr>
                    <w:snapToGrid w:val="0"/>
                    <w:jc w:val="center"/>
                    <w:rPr>
                      <w:rFonts w:ascii="Times New Roman" w:hAnsi="Times New Roman" w:eastAsia="宋体"/>
                      <w:color w:val="auto"/>
                    </w:rPr>
                  </w:pPr>
                  <w:r>
                    <w:rPr>
                      <w:rFonts w:ascii="Times New Roman" w:hAnsi="Times New Roman" w:eastAsia="宋体"/>
                      <w:color w:val="auto"/>
                    </w:rPr>
                    <w:t>执行排放标准</w:t>
                  </w:r>
                </w:p>
              </w:tc>
            </w:tr>
            <w:tr w14:paraId="1DC5CA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jc w:val="center"/>
              </w:trPr>
              <w:tc>
                <w:tcPr>
                  <w:tcW w:w="812" w:type="pct"/>
                  <w:shd w:val="clear" w:color="auto" w:fill="auto"/>
                  <w:noWrap w:val="0"/>
                  <w:vAlign w:val="center"/>
                </w:tcPr>
                <w:p w14:paraId="476FEC1F">
                  <w:pPr>
                    <w:snapToGrid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厂界四周</w:t>
                  </w:r>
                </w:p>
              </w:tc>
              <w:tc>
                <w:tcPr>
                  <w:tcW w:w="768" w:type="pct"/>
                  <w:shd w:val="clear" w:color="auto" w:fill="auto"/>
                  <w:noWrap w:val="0"/>
                  <w:vAlign w:val="center"/>
                </w:tcPr>
                <w:p w14:paraId="754B812A">
                  <w:pPr>
                    <w:snapToGrid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lang w:val="en-US" w:eastAsia="zh-CN"/>
                    </w:rPr>
                    <w:t>颗粒物</w:t>
                  </w:r>
                </w:p>
              </w:tc>
              <w:tc>
                <w:tcPr>
                  <w:tcW w:w="791" w:type="pct"/>
                  <w:shd w:val="clear" w:color="auto" w:fill="auto"/>
                  <w:noWrap w:val="0"/>
                  <w:vAlign w:val="center"/>
                </w:tcPr>
                <w:p w14:paraId="2436D6CD">
                  <w:pPr>
                    <w:snapToGrid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rPr>
                    <w:t>1次/</w:t>
                  </w:r>
                  <w:r>
                    <w:rPr>
                      <w:rFonts w:hint="eastAsia" w:ascii="Times New Roman" w:hAnsi="Times New Roman" w:eastAsia="宋体"/>
                      <w:color w:val="auto"/>
                      <w:lang w:val="en-US" w:eastAsia="zh-CN"/>
                    </w:rPr>
                    <w:t>季度</w:t>
                  </w:r>
                </w:p>
              </w:tc>
              <w:tc>
                <w:tcPr>
                  <w:tcW w:w="2627" w:type="pct"/>
                  <w:noWrap w:val="0"/>
                  <w:vAlign w:val="center"/>
                </w:tcPr>
                <w:p w14:paraId="0DAF19D7">
                  <w:pPr>
                    <w:snapToGrid w:val="0"/>
                    <w:jc w:val="center"/>
                    <w:rPr>
                      <w:rFonts w:ascii="Times New Roman" w:hAnsi="Times New Roman" w:eastAsia="宋体"/>
                      <w:color w:val="auto"/>
                    </w:rPr>
                  </w:pPr>
                  <w:r>
                    <w:rPr>
                      <w:rFonts w:ascii="Times New Roman" w:hAnsi="Times New Roman" w:eastAsia="宋体"/>
                      <w:color w:val="auto"/>
                    </w:rPr>
                    <w:t>《大气污染物综合排放标准》</w:t>
                  </w:r>
                  <w:r>
                    <w:rPr>
                      <w:rFonts w:hint="eastAsia" w:ascii="Times New Roman" w:hAnsi="Times New Roman" w:eastAsia="宋体"/>
                      <w:color w:val="auto"/>
                    </w:rPr>
                    <w:t>（</w:t>
                  </w:r>
                  <w:r>
                    <w:rPr>
                      <w:rFonts w:ascii="Times New Roman" w:hAnsi="Times New Roman" w:eastAsia="宋体"/>
                      <w:color w:val="auto"/>
                    </w:rPr>
                    <w:t>GB16297-1996）表2二级标准</w:t>
                  </w:r>
                </w:p>
              </w:tc>
            </w:tr>
            <w:tr w14:paraId="277B64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jc w:val="center"/>
              </w:trPr>
              <w:tc>
                <w:tcPr>
                  <w:tcW w:w="812" w:type="pct"/>
                  <w:noWrap w:val="0"/>
                  <w:vAlign w:val="center"/>
                </w:tcPr>
                <w:p w14:paraId="685845E1">
                  <w:pPr>
                    <w:snapToGrid w:val="0"/>
                    <w:jc w:val="center"/>
                    <w:rPr>
                      <w:rFonts w:ascii="Times New Roman" w:hAnsi="Times New Roman" w:eastAsia="宋体"/>
                      <w:color w:val="auto"/>
                    </w:rPr>
                  </w:pPr>
                  <w:r>
                    <w:rPr>
                      <w:rFonts w:ascii="Times New Roman" w:hAnsi="Times New Roman" w:eastAsia="宋体"/>
                      <w:color w:val="auto"/>
                    </w:rPr>
                    <w:t>厂界四周外1m</w:t>
                  </w:r>
                </w:p>
              </w:tc>
              <w:tc>
                <w:tcPr>
                  <w:tcW w:w="768" w:type="pct"/>
                  <w:noWrap w:val="0"/>
                  <w:vAlign w:val="center"/>
                </w:tcPr>
                <w:p w14:paraId="51CE59B4">
                  <w:pPr>
                    <w:snapToGrid w:val="0"/>
                    <w:jc w:val="center"/>
                    <w:rPr>
                      <w:rFonts w:ascii="Times New Roman" w:hAnsi="Times New Roman" w:eastAsia="宋体"/>
                      <w:color w:val="auto"/>
                    </w:rPr>
                  </w:pPr>
                  <w:r>
                    <w:rPr>
                      <w:rFonts w:ascii="Times New Roman" w:hAnsi="Times New Roman" w:eastAsia="宋体"/>
                      <w:color w:val="auto"/>
                    </w:rPr>
                    <w:t>噪声</w:t>
                  </w:r>
                </w:p>
              </w:tc>
              <w:tc>
                <w:tcPr>
                  <w:tcW w:w="791" w:type="pct"/>
                  <w:noWrap w:val="0"/>
                  <w:vAlign w:val="center"/>
                </w:tcPr>
                <w:p w14:paraId="56C19847">
                  <w:pPr>
                    <w:snapToGrid w:val="0"/>
                    <w:jc w:val="center"/>
                    <w:rPr>
                      <w:rFonts w:ascii="Times New Roman" w:hAnsi="Times New Roman" w:eastAsia="宋体"/>
                      <w:color w:val="auto"/>
                    </w:rPr>
                  </w:pPr>
                  <w:r>
                    <w:rPr>
                      <w:rFonts w:ascii="Times New Roman" w:hAnsi="Times New Roman" w:eastAsia="宋体"/>
                      <w:color w:val="auto"/>
                    </w:rPr>
                    <w:t>1次/季度</w:t>
                  </w:r>
                </w:p>
              </w:tc>
              <w:tc>
                <w:tcPr>
                  <w:tcW w:w="2627" w:type="pct"/>
                  <w:noWrap w:val="0"/>
                  <w:vAlign w:val="center"/>
                </w:tcPr>
                <w:p w14:paraId="29F62366">
                  <w:pPr>
                    <w:snapToGrid w:val="0"/>
                    <w:jc w:val="center"/>
                    <w:rPr>
                      <w:rFonts w:ascii="Times New Roman" w:hAnsi="Times New Roman" w:eastAsia="宋体"/>
                      <w:color w:val="auto"/>
                    </w:rPr>
                  </w:pPr>
                  <w:r>
                    <w:rPr>
                      <w:rFonts w:ascii="Times New Roman" w:hAnsi="Times New Roman" w:eastAsia="宋体"/>
                      <w:color w:val="auto"/>
                    </w:rPr>
                    <w:t>《工业企业厂界环境噪声排放标准》（GB12348-2008）中的</w:t>
                  </w:r>
                  <w:r>
                    <w:rPr>
                      <w:rFonts w:hint="eastAsia" w:ascii="Times New Roman" w:hAnsi="Times New Roman" w:eastAsia="宋体"/>
                      <w:color w:val="auto"/>
                      <w:lang w:val="en-US" w:eastAsia="zh-CN"/>
                    </w:rPr>
                    <w:t>2</w:t>
                  </w:r>
                  <w:r>
                    <w:rPr>
                      <w:rFonts w:ascii="Times New Roman" w:hAnsi="Times New Roman" w:eastAsia="宋体"/>
                      <w:color w:val="auto"/>
                    </w:rPr>
                    <w:t>类标准限值</w:t>
                  </w:r>
                </w:p>
              </w:tc>
            </w:tr>
          </w:tbl>
          <w:p w14:paraId="2D7D522A">
            <w:pPr>
              <w:keepNext w:val="0"/>
              <w:keepLines w:val="0"/>
              <w:pageBreakBefore w:val="0"/>
              <w:widowControl w:val="0"/>
              <w:kinsoku/>
              <w:wordWrap/>
              <w:overflowPunct/>
              <w:topLinePunct w:val="0"/>
              <w:autoSpaceDE/>
              <w:autoSpaceDN/>
              <w:bidi w:val="0"/>
              <w:adjustRightInd w:val="0"/>
              <w:snapToGrid w:val="0"/>
              <w:spacing w:before="158" w:beforeLines="50" w:line="360" w:lineRule="auto"/>
              <w:ind w:firstLine="422" w:firstLineChars="200"/>
              <w:jc w:val="left"/>
              <w:textAlignment w:val="auto"/>
              <w:rPr>
                <w:rFonts w:hint="eastAsia" w:ascii="Times New Roman" w:hAnsi="Times New Roman" w:eastAsia="宋体"/>
                <w:b/>
                <w:bCs/>
                <w:color w:val="auto"/>
              </w:rPr>
            </w:pPr>
            <w:r>
              <w:rPr>
                <w:rFonts w:hint="eastAsia" w:ascii="Times New Roman" w:hAnsi="Times New Roman" w:eastAsia="宋体"/>
                <w:b/>
                <w:bCs/>
                <w:color w:val="auto"/>
              </w:rPr>
              <w:t>4、排污管理</w:t>
            </w:r>
          </w:p>
          <w:p w14:paraId="3C1AE4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s="Times New Roman"/>
                <w:color w:val="auto"/>
              </w:rPr>
            </w:pPr>
            <w:r>
              <w:rPr>
                <w:rFonts w:ascii="Times New Roman" w:hAnsi="Times New Roman" w:eastAsia="宋体" w:cs="Times New Roman"/>
                <w:color w:val="auto"/>
              </w:rPr>
              <w:t>根据《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w:t>
            </w:r>
          </w:p>
          <w:p w14:paraId="6E6A88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Times New Roman" w:hAnsi="Times New Roman" w:eastAsia="宋体" w:cs="Times New Roman"/>
                <w:color w:val="auto"/>
              </w:rPr>
            </w:pPr>
            <w:r>
              <w:rPr>
                <w:rFonts w:ascii="Times New Roman" w:hAnsi="Times New Roman" w:eastAsia="宋体" w:cs="Times New Roman"/>
                <w:color w:val="auto"/>
              </w:rPr>
              <w:t>根据《固定污染源排污许可分类管理名录（2019年版）》，本项目</w:t>
            </w:r>
            <w:r>
              <w:rPr>
                <w:rFonts w:hint="eastAsia" w:ascii="Times New Roman" w:hAnsi="Times New Roman" w:eastAsia="宋体" w:cs="Times New Roman"/>
                <w:color w:val="auto"/>
              </w:rPr>
              <w:t>为</w:t>
            </w:r>
            <w:r>
              <w:rPr>
                <w:rFonts w:hint="eastAsia" w:ascii="Times New Roman" w:hAnsi="Times New Roman" w:eastAsia="宋体" w:cs="Times New Roman"/>
                <w:color w:val="auto"/>
                <w:lang w:val="en-US" w:eastAsia="zh-CN"/>
              </w:rPr>
              <w:t>钢压延加工</w:t>
            </w:r>
            <w:r>
              <w:rPr>
                <w:rFonts w:hint="eastAsia" w:ascii="Times New Roman" w:hAnsi="Times New Roman" w:eastAsia="宋体" w:cs="Times New Roman"/>
                <w:color w:val="auto"/>
              </w:rPr>
              <w:t>，</w:t>
            </w:r>
            <w:r>
              <w:rPr>
                <w:rFonts w:ascii="Times New Roman" w:hAnsi="Times New Roman" w:eastAsia="宋体" w:cs="Times New Roman"/>
                <w:b/>
                <w:bCs/>
                <w:color w:val="auto"/>
              </w:rPr>
              <w:t>属于“</w:t>
            </w:r>
            <w:r>
              <w:rPr>
                <w:rFonts w:hint="eastAsia" w:ascii="Times New Roman" w:hAnsi="Times New Roman" w:eastAsia="宋体" w:cs="Times New Roman"/>
                <w:b/>
                <w:bCs/>
                <w:color w:val="auto"/>
              </w:rPr>
              <w:t>二十六、黑色金属冶炼和压延加工业31</w:t>
            </w:r>
            <w:r>
              <w:rPr>
                <w:rFonts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73</w:t>
            </w:r>
            <w:r>
              <w:rPr>
                <w:rFonts w:hint="eastAsia" w:ascii="Times New Roman" w:hAnsi="Times New Roman" w:eastAsia="宋体" w:cs="Times New Roman"/>
                <w:b/>
                <w:bCs/>
                <w:color w:val="auto"/>
              </w:rPr>
              <w:t>钢压延加工313</w:t>
            </w:r>
            <w:r>
              <w:rPr>
                <w:rFonts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其他</w:t>
            </w:r>
            <w:r>
              <w:rPr>
                <w:rFonts w:ascii="Times New Roman" w:hAnsi="Times New Roman" w:eastAsia="宋体" w:cs="Times New Roman"/>
                <w:b/>
                <w:bCs/>
                <w:color w:val="auto"/>
              </w:rPr>
              <w:t>”，项目属于</w:t>
            </w:r>
            <w:r>
              <w:rPr>
                <w:rFonts w:hint="eastAsia" w:ascii="Times New Roman" w:hAnsi="Times New Roman" w:eastAsia="宋体" w:cs="Times New Roman"/>
                <w:b/>
                <w:bCs/>
                <w:color w:val="auto"/>
                <w:lang w:val="en-US" w:eastAsia="zh-CN"/>
              </w:rPr>
              <w:t>登记</w:t>
            </w:r>
            <w:r>
              <w:rPr>
                <w:rFonts w:ascii="Times New Roman" w:hAnsi="Times New Roman" w:eastAsia="宋体" w:cs="Times New Roman"/>
                <w:b/>
                <w:bCs/>
                <w:color w:val="auto"/>
              </w:rPr>
              <w:t>管理的项目</w:t>
            </w:r>
            <w:r>
              <w:rPr>
                <w:rFonts w:ascii="Times New Roman" w:hAnsi="Times New Roman" w:eastAsia="宋体" w:cs="Times New Roman"/>
                <w:color w:val="auto"/>
              </w:rPr>
              <w:t>。综合分析，项目应当在（http://permit.mee.gov.cn/）全国排污许可证管理信息平台填报排污登记表，登记基本信息、污染物排放去向、执行的污染物排放标准以及采取的污染防治措施等信息</w:t>
            </w:r>
            <w:r>
              <w:rPr>
                <w:rFonts w:hint="eastAsia" w:ascii="Times New Roman" w:hAnsi="Times New Roman" w:eastAsia="宋体" w:cs="Times New Roman"/>
                <w:color w:val="auto"/>
              </w:rPr>
              <w:t>。</w:t>
            </w:r>
          </w:p>
          <w:p w14:paraId="42045916">
            <w:pPr>
              <w:adjustRightInd w:val="0"/>
              <w:snapToGrid w:val="0"/>
              <w:spacing w:line="360" w:lineRule="auto"/>
              <w:ind w:firstLine="422" w:firstLineChars="200"/>
              <w:jc w:val="left"/>
              <w:rPr>
                <w:rFonts w:ascii="Times New Roman" w:hAnsi="Times New Roman" w:eastAsia="宋体"/>
                <w:b/>
                <w:bCs/>
                <w:color w:val="auto"/>
              </w:rPr>
            </w:pPr>
            <w:r>
              <w:rPr>
                <w:rFonts w:hint="eastAsia"/>
                <w:b/>
                <w:bCs/>
                <w:color w:val="auto"/>
                <w:lang w:val="en-US" w:eastAsia="zh-CN"/>
              </w:rPr>
              <w:t>5</w:t>
            </w:r>
            <w:r>
              <w:rPr>
                <w:rFonts w:ascii="Times New Roman" w:hAnsi="Times New Roman" w:eastAsia="宋体"/>
                <w:b/>
                <w:bCs/>
                <w:color w:val="auto"/>
              </w:rPr>
              <w:t>、“三同时”验收</w:t>
            </w:r>
          </w:p>
          <w:p w14:paraId="68B9FD1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olor w:val="auto"/>
                <w:lang w:eastAsia="zh-CN"/>
              </w:rPr>
            </w:pPr>
            <w:r>
              <w:rPr>
                <w:rFonts w:hint="eastAsia" w:ascii="Times New Roman" w:hAnsi="Times New Roman" w:eastAsia="宋体" w:cs="Times New Roman"/>
                <w:color w:val="auto"/>
              </w:rPr>
              <w:t>严格执行环境保护设施与主体工程同时设计、同时施工、同时投产使用的环境保护“三同时”制度；项目建成投入运行后，及时报告并按规定自行组织开展竣工环保验收，经验收合格后方可正式投入运营</w:t>
            </w:r>
            <w:r>
              <w:rPr>
                <w:rFonts w:hint="eastAsia" w:cs="Times New Roman"/>
                <w:color w:val="auto"/>
                <w:lang w:eastAsia="zh-CN"/>
              </w:rPr>
              <w:t>。</w:t>
            </w:r>
          </w:p>
        </w:tc>
      </w:tr>
    </w:tbl>
    <w:p w14:paraId="15B2DF79">
      <w:pPr>
        <w:pStyle w:val="19"/>
        <w:spacing w:before="0" w:beforeAutospacing="0" w:after="0" w:afterAutospacing="0" w:line="360" w:lineRule="auto"/>
        <w:jc w:val="center"/>
        <w:outlineLvl w:val="0"/>
        <w:rPr>
          <w:rFonts w:hint="eastAsia" w:ascii="Times New Roman" w:hAnsi="Times New Roman" w:eastAsia="宋体" w:cs="Times New Roman"/>
          <w:b/>
          <w:bCs/>
          <w:snapToGrid w:val="0"/>
          <w:color w:val="auto"/>
          <w:sz w:val="30"/>
          <w:szCs w:val="30"/>
        </w:rPr>
      </w:pPr>
      <w:r>
        <w:rPr>
          <w:rFonts w:ascii="Times New Roman" w:hAnsi="Times New Roman" w:eastAsia="宋体"/>
          <w:snapToGrid w:val="0"/>
          <w:color w:val="auto"/>
        </w:rPr>
        <w:br w:type="page"/>
      </w:r>
      <w:bookmarkStart w:id="18" w:name="_Toc17659"/>
      <w:r>
        <w:rPr>
          <w:rFonts w:hint="eastAsia" w:ascii="Times New Roman" w:hAnsi="Times New Roman" w:eastAsia="宋体" w:cs="Times New Roman"/>
          <w:b/>
          <w:bCs/>
          <w:snapToGrid w:val="0"/>
          <w:color w:val="auto"/>
          <w:sz w:val="30"/>
          <w:szCs w:val="30"/>
        </w:rPr>
        <w:t>六、结论</w:t>
      </w:r>
      <w:bookmarkEnd w:id="1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4B94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7" w:hRule="atLeast"/>
          <w:jc w:val="center"/>
        </w:trPr>
        <w:tc>
          <w:tcPr>
            <w:tcW w:w="8865" w:type="dxa"/>
          </w:tcPr>
          <w:p w14:paraId="6F05D8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auto"/>
                <w:sz w:val="24"/>
              </w:rPr>
            </w:pPr>
            <w:r>
              <w:rPr>
                <w:rFonts w:hint="eastAsia" w:ascii="Times New Roman" w:hAnsi="Times New Roman" w:eastAsia="宋体" w:cs="宋体"/>
                <w:bCs/>
                <w:color w:val="auto"/>
                <w:sz w:val="24"/>
              </w:rPr>
              <w:t>项目为“</w:t>
            </w:r>
            <w:r>
              <w:rPr>
                <w:rFonts w:hint="eastAsia" w:ascii="Times New Roman" w:hAnsi="Times New Roman" w:eastAsia="宋体" w:cs="宋体"/>
                <w:bCs/>
                <w:color w:val="auto"/>
                <w:sz w:val="24"/>
                <w:lang w:eastAsia="zh-CN"/>
              </w:rPr>
              <w:t>年产</w:t>
            </w:r>
            <w:r>
              <w:rPr>
                <w:rFonts w:hint="eastAsia" w:ascii="Times New Roman" w:hAnsi="Times New Roman" w:eastAsia="宋体" w:cs="宋体"/>
                <w:bCs/>
                <w:color w:val="auto"/>
                <w:sz w:val="24"/>
                <w:lang w:val="en-US" w:eastAsia="zh-CN"/>
              </w:rPr>
              <w:t>20</w:t>
            </w:r>
            <w:r>
              <w:rPr>
                <w:rFonts w:hint="eastAsia" w:ascii="Times New Roman" w:hAnsi="Times New Roman" w:eastAsia="宋体" w:cs="宋体"/>
                <w:bCs/>
                <w:color w:val="auto"/>
                <w:sz w:val="24"/>
                <w:lang w:eastAsia="zh-CN"/>
              </w:rPr>
              <w:t>万吨焊管生产线建设项目</w:t>
            </w:r>
            <w:r>
              <w:rPr>
                <w:rFonts w:hint="eastAsia" w:ascii="Times New Roman" w:hAnsi="Times New Roman" w:eastAsia="宋体" w:cs="宋体"/>
                <w:bCs/>
                <w:color w:val="auto"/>
                <w:sz w:val="24"/>
              </w:rPr>
              <w:t>”，</w:t>
            </w:r>
            <w:r>
              <w:rPr>
                <w:rFonts w:hint="eastAsia" w:ascii="Times New Roman" w:hAnsi="Times New Roman" w:eastAsia="宋体" w:cs="宋体"/>
                <w:bCs/>
                <w:color w:val="auto"/>
                <w:sz w:val="24"/>
                <w:lang w:val="en-US" w:eastAsia="zh-CN"/>
              </w:rPr>
              <w:t>选址于</w:t>
            </w:r>
            <w:r>
              <w:rPr>
                <w:rFonts w:hint="eastAsia" w:ascii="Times New Roman" w:hAnsi="Times New Roman" w:eastAsia="宋体" w:cs="宋体"/>
                <w:bCs/>
                <w:color w:val="auto"/>
                <w:sz w:val="24"/>
                <w:lang w:eastAsia="zh-CN"/>
              </w:rPr>
              <w:t>玉溪市通海县纳古镇大白龙</w:t>
            </w:r>
            <w:r>
              <w:rPr>
                <w:rFonts w:hint="eastAsia" w:ascii="Times New Roman" w:hAnsi="Times New Roman" w:eastAsia="宋体" w:cs="宋体"/>
                <w:bCs/>
                <w:color w:val="auto"/>
                <w:sz w:val="24"/>
                <w:lang w:val="en-US" w:eastAsia="zh-CN"/>
              </w:rPr>
              <w:t>，总投资1500万元，项目租用通海大白龙工贸有限公司厂房，利用</w:t>
            </w:r>
            <w:r>
              <w:rPr>
                <w:rFonts w:hint="eastAsia" w:ascii="Times New Roman" w:hAnsi="Times New Roman" w:eastAsia="宋体" w:cs="黑体"/>
                <w:color w:val="auto"/>
                <w:sz w:val="24"/>
                <w:lang w:val="en-US" w:eastAsia="zh-CN"/>
              </w:rPr>
              <w:t>原有生产车间、仓库、办公楼及其他配套设施；购置安装焊管机生产线</w:t>
            </w:r>
            <w:r>
              <w:rPr>
                <w:rFonts w:hint="eastAsia" w:cs="黑体"/>
                <w:color w:val="auto"/>
                <w:sz w:val="24"/>
                <w:lang w:val="en-US" w:eastAsia="zh-CN"/>
              </w:rPr>
              <w:t>8</w:t>
            </w:r>
            <w:r>
              <w:rPr>
                <w:rFonts w:hint="eastAsia" w:ascii="Times New Roman" w:hAnsi="Times New Roman" w:eastAsia="宋体" w:cs="黑体"/>
                <w:color w:val="auto"/>
                <w:sz w:val="24"/>
                <w:lang w:val="en-US" w:eastAsia="zh-CN"/>
              </w:rPr>
              <w:t>条</w:t>
            </w:r>
            <w:r>
              <w:rPr>
                <w:rFonts w:hint="eastAsia" w:cs="黑体"/>
                <w:color w:val="auto"/>
                <w:sz w:val="24"/>
                <w:lang w:val="en-US" w:eastAsia="zh-CN"/>
              </w:rPr>
              <w:t>、配套分剪机及相关设备，</w:t>
            </w:r>
            <w:r>
              <w:rPr>
                <w:rFonts w:hint="eastAsia" w:ascii="Times New Roman" w:hAnsi="Times New Roman" w:eastAsia="宋体" w:cs="黑体"/>
                <w:color w:val="auto"/>
                <w:sz w:val="24"/>
                <w:lang w:val="en-US" w:eastAsia="zh-CN"/>
              </w:rPr>
              <w:t>形成年产</w:t>
            </w:r>
            <w:r>
              <w:rPr>
                <w:rFonts w:hint="eastAsia" w:cs="黑体"/>
                <w:color w:val="auto"/>
                <w:sz w:val="24"/>
                <w:lang w:val="en-US" w:eastAsia="zh-CN"/>
              </w:rPr>
              <w:t>20</w:t>
            </w:r>
            <w:r>
              <w:rPr>
                <w:rFonts w:hint="eastAsia" w:ascii="Times New Roman" w:hAnsi="Times New Roman" w:eastAsia="宋体" w:cs="黑体"/>
                <w:color w:val="auto"/>
                <w:sz w:val="24"/>
                <w:lang w:val="en-US" w:eastAsia="zh-CN"/>
              </w:rPr>
              <w:t>万吨焊管生产规模</w:t>
            </w:r>
            <w:r>
              <w:rPr>
                <w:rFonts w:hint="eastAsia" w:ascii="Times New Roman" w:hAnsi="Times New Roman" w:eastAsia="宋体"/>
                <w:bCs/>
                <w:color w:val="auto"/>
                <w:sz w:val="24"/>
              </w:rPr>
              <w:t>。</w:t>
            </w:r>
            <w:r>
              <w:rPr>
                <w:rFonts w:ascii="Times New Roman" w:hAnsi="Times New Roman" w:eastAsia="宋体"/>
                <w:color w:val="auto"/>
                <w:sz w:val="24"/>
              </w:rPr>
              <w:t>通过对该项目的工程分析和环境影响分析可得如下结论：</w:t>
            </w:r>
          </w:p>
          <w:p w14:paraId="47625E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bCs/>
                <w:color w:val="auto"/>
                <w:sz w:val="24"/>
              </w:rPr>
            </w:pPr>
            <w:r>
              <w:rPr>
                <w:rFonts w:ascii="Times New Roman" w:hAnsi="Times New Roman" w:eastAsia="宋体" w:cs="宋体"/>
                <w:bCs/>
                <w:color w:val="auto"/>
                <w:sz w:val="24"/>
              </w:rPr>
              <w:t>该项目符合国家和地方相关产业政策的要求，选址合理，场内平面布置合理。该项目的建设，能够带动地方经济的发展。对产生的废气、污水、噪声、固废采取措施治理后，能够实现污染物的达标排放，不会对环境造成大的影响，不会降低当地的环境功能。</w:t>
            </w:r>
            <w:r>
              <w:rPr>
                <w:rFonts w:hint="eastAsia" w:ascii="Times New Roman" w:hAnsi="Times New Roman" w:eastAsia="宋体" w:cs="宋体"/>
                <w:bCs/>
                <w:color w:val="auto"/>
                <w:sz w:val="24"/>
              </w:rPr>
              <w:t>项目拟采取的各项污染源防治措施合理有效，技术可行</w:t>
            </w:r>
            <w:r>
              <w:rPr>
                <w:rFonts w:hint="eastAsia" w:ascii="Times New Roman" w:hAnsi="Times New Roman" w:eastAsia="宋体" w:cs="宋体"/>
                <w:bCs/>
                <w:color w:val="auto"/>
                <w:sz w:val="24"/>
                <w:lang w:eastAsia="zh-CN"/>
              </w:rPr>
              <w:t>，</w:t>
            </w:r>
            <w:r>
              <w:rPr>
                <w:rFonts w:ascii="Times New Roman" w:hAnsi="Times New Roman" w:eastAsia="宋体" w:cs="宋体"/>
                <w:bCs/>
                <w:color w:val="auto"/>
                <w:sz w:val="24"/>
              </w:rPr>
              <w:t>在严格执行有关环保法规和“三同时”制度，认真落实本报告提出的各项污染防治措施的基础上，</w:t>
            </w:r>
            <w:r>
              <w:rPr>
                <w:rFonts w:hint="eastAsia" w:ascii="Times New Roman" w:hAnsi="Times New Roman" w:eastAsia="宋体" w:cs="宋体"/>
                <w:bCs/>
                <w:color w:val="auto"/>
                <w:sz w:val="24"/>
              </w:rPr>
              <w:t>不会对环境产生明显不利影响</w:t>
            </w:r>
            <w:r>
              <w:rPr>
                <w:rFonts w:ascii="Times New Roman" w:hAnsi="Times New Roman" w:eastAsia="宋体" w:cs="宋体"/>
                <w:bCs/>
                <w:color w:val="auto"/>
                <w:sz w:val="24"/>
              </w:rPr>
              <w:t>。</w:t>
            </w:r>
          </w:p>
          <w:p w14:paraId="6D640B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宋体"/>
                <w:bCs/>
                <w:color w:val="auto"/>
                <w:sz w:val="24"/>
              </w:rPr>
            </w:pPr>
            <w:r>
              <w:rPr>
                <w:rFonts w:hint="eastAsia" w:ascii="Times New Roman" w:hAnsi="Times New Roman" w:eastAsia="宋体" w:cs="宋体"/>
                <w:bCs/>
                <w:color w:val="auto"/>
                <w:sz w:val="24"/>
              </w:rPr>
              <w:t>综上所述，从环境保护角度，在落实本报告提出的各项环保措施的情况下，本项目的建设是可行的。</w:t>
            </w:r>
          </w:p>
        </w:tc>
      </w:tr>
    </w:tbl>
    <w:p w14:paraId="0CF503AA">
      <w:pPr>
        <w:rPr>
          <w:rFonts w:ascii="Times New Roman" w:hAnsi="Times New Roman" w:eastAsia="宋体"/>
          <w:color w:val="auto"/>
        </w:rPr>
        <w:sectPr>
          <w:pgSz w:w="11905" w:h="16838"/>
          <w:pgMar w:top="1440" w:right="1701" w:bottom="1440" w:left="1701" w:header="851" w:footer="1077" w:gutter="0"/>
          <w:pgBorders>
            <w:top w:val="none" w:sz="0" w:space="0"/>
            <w:left w:val="none" w:sz="0" w:space="0"/>
            <w:bottom w:val="none" w:sz="0" w:space="0"/>
            <w:right w:val="none" w:sz="0" w:space="0"/>
          </w:pgBorders>
          <w:pgNumType w:fmt="decimal"/>
          <w:cols w:space="720" w:num="1"/>
          <w:docGrid w:type="lines" w:linePitch="317" w:charSpace="0"/>
        </w:sectPr>
      </w:pPr>
    </w:p>
    <w:p w14:paraId="10C897EE">
      <w:pPr>
        <w:bidi w:val="0"/>
        <w:rPr>
          <w:rFonts w:hint="eastAsia" w:ascii="Times New Roman" w:hAnsi="Times New Roman" w:eastAsia="宋体" w:cs="黑体"/>
          <w:color w:val="auto"/>
          <w:sz w:val="32"/>
          <w:szCs w:val="32"/>
        </w:rPr>
      </w:pPr>
      <w:bookmarkStart w:id="19" w:name="_Toc30782"/>
      <w:r>
        <w:rPr>
          <w:rFonts w:hint="eastAsia" w:ascii="Times New Roman" w:hAnsi="Times New Roman" w:eastAsia="宋体" w:cs="黑体"/>
          <w:color w:val="auto"/>
          <w:sz w:val="32"/>
          <w:szCs w:val="32"/>
        </w:rPr>
        <w:t>附表</w:t>
      </w:r>
      <w:bookmarkEnd w:id="19"/>
    </w:p>
    <w:p w14:paraId="1963AC20">
      <w:pPr>
        <w:pStyle w:val="19"/>
        <w:adjustRightInd w:val="0"/>
        <w:snapToGrid w:val="0"/>
        <w:spacing w:before="0" w:beforeAutospacing="0" w:after="0" w:afterAutospacing="0" w:line="360" w:lineRule="auto"/>
        <w:jc w:val="center"/>
        <w:outlineLvl w:val="0"/>
        <w:rPr>
          <w:rFonts w:ascii="Times New Roman" w:hAnsi="Times New Roman" w:eastAsia="宋体"/>
          <w:snapToGrid w:val="0"/>
          <w:color w:val="auto"/>
          <w:sz w:val="38"/>
          <w:szCs w:val="38"/>
        </w:rPr>
      </w:pPr>
      <w:bookmarkStart w:id="20" w:name="_Toc8944"/>
      <w:r>
        <w:rPr>
          <w:rFonts w:hint="eastAsia" w:ascii="Times New Roman" w:hAnsi="Times New Roman" w:eastAsia="宋体"/>
          <w:snapToGrid w:val="0"/>
          <w:color w:val="auto"/>
          <w:sz w:val="38"/>
          <w:szCs w:val="38"/>
        </w:rPr>
        <w:t>建设项目污染物排放量汇总表</w:t>
      </w:r>
      <w:bookmarkEnd w:id="20"/>
    </w:p>
    <w:tbl>
      <w:tblPr>
        <w:tblStyle w:val="24"/>
        <w:tblW w:w="1434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947"/>
        <w:gridCol w:w="1701"/>
        <w:gridCol w:w="1276"/>
        <w:gridCol w:w="1701"/>
        <w:gridCol w:w="1559"/>
        <w:gridCol w:w="1761"/>
        <w:gridCol w:w="1959"/>
        <w:gridCol w:w="1383"/>
      </w:tblGrid>
      <w:tr w14:paraId="650E3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58" w:type="dxa"/>
            <w:tcBorders>
              <w:tl2br w:val="single" w:color="auto" w:sz="4" w:space="0"/>
            </w:tcBorders>
            <w:tcMar>
              <w:left w:w="28" w:type="dxa"/>
              <w:right w:w="28" w:type="dxa"/>
            </w:tcMar>
            <w:vAlign w:val="center"/>
          </w:tcPr>
          <w:p w14:paraId="3210EF5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right"/>
              <w:textAlignment w:val="auto"/>
              <w:rPr>
                <w:rFonts w:ascii="Times New Roman" w:hAnsi="Times New Roman" w:eastAsia="宋体" w:cs="宋体"/>
                <w:snapToGrid w:val="0"/>
                <w:color w:val="auto"/>
                <w:spacing w:val="-6"/>
                <w:kern w:val="21"/>
                <w:szCs w:val="21"/>
              </w:rPr>
            </w:pPr>
            <w:r>
              <w:rPr>
                <w:rFonts w:hint="eastAsia" w:ascii="Times New Roman" w:hAnsi="Times New Roman" w:eastAsia="宋体" w:cs="宋体"/>
                <w:snapToGrid w:val="0"/>
                <w:color w:val="auto"/>
                <w:spacing w:val="-6"/>
                <w:kern w:val="21"/>
                <w:szCs w:val="21"/>
              </w:rPr>
              <w:t>项目</w:t>
            </w:r>
          </w:p>
          <w:p w14:paraId="5243339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jc w:val="left"/>
              <w:textAlignment w:val="auto"/>
              <w:rPr>
                <w:rFonts w:ascii="Times New Roman" w:hAnsi="Times New Roman" w:eastAsia="宋体" w:cs="宋体"/>
                <w:snapToGrid w:val="0"/>
                <w:color w:val="auto"/>
                <w:spacing w:val="-6"/>
                <w:kern w:val="21"/>
                <w:szCs w:val="21"/>
              </w:rPr>
            </w:pPr>
            <w:r>
              <w:rPr>
                <w:rFonts w:hint="eastAsia" w:ascii="Times New Roman" w:hAnsi="Times New Roman" w:eastAsia="宋体" w:cs="宋体"/>
                <w:snapToGrid w:val="0"/>
                <w:color w:val="auto"/>
                <w:spacing w:val="-6"/>
                <w:kern w:val="21"/>
                <w:szCs w:val="21"/>
              </w:rPr>
              <w:t>分类</w:t>
            </w:r>
          </w:p>
        </w:tc>
        <w:tc>
          <w:tcPr>
            <w:tcW w:w="1947" w:type="dxa"/>
            <w:tcMar>
              <w:left w:w="28" w:type="dxa"/>
              <w:right w:w="28" w:type="dxa"/>
            </w:tcMar>
            <w:vAlign w:val="center"/>
          </w:tcPr>
          <w:p w14:paraId="3D34541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spacing w:val="-6"/>
                <w:kern w:val="21"/>
                <w:szCs w:val="21"/>
              </w:rPr>
            </w:pPr>
            <w:r>
              <w:rPr>
                <w:rFonts w:hint="eastAsia" w:ascii="Times New Roman" w:hAnsi="Times New Roman" w:eastAsia="宋体" w:cs="宋体"/>
                <w:snapToGrid w:val="0"/>
                <w:color w:val="auto"/>
                <w:spacing w:val="-6"/>
                <w:kern w:val="21"/>
                <w:szCs w:val="21"/>
              </w:rPr>
              <w:t>污染物名称</w:t>
            </w:r>
          </w:p>
        </w:tc>
        <w:tc>
          <w:tcPr>
            <w:tcW w:w="1701" w:type="dxa"/>
            <w:tcMar>
              <w:left w:w="28" w:type="dxa"/>
              <w:right w:w="28" w:type="dxa"/>
            </w:tcMar>
            <w:vAlign w:val="center"/>
          </w:tcPr>
          <w:p w14:paraId="41803D4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现有工程</w:t>
            </w:r>
          </w:p>
          <w:p w14:paraId="5C57A1A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排放量（固</w:t>
            </w:r>
            <w:r>
              <w:rPr>
                <w:rFonts w:hint="eastAsia" w:ascii="Times New Roman" w:hAnsi="Times New Roman" w:eastAsia="宋体"/>
                <w:snapToGrid w:val="0"/>
                <w:color w:val="auto"/>
                <w:spacing w:val="-6"/>
                <w:kern w:val="21"/>
                <w:szCs w:val="21"/>
              </w:rPr>
              <w:t>体</w:t>
            </w:r>
            <w:r>
              <w:rPr>
                <w:rFonts w:ascii="Times New Roman" w:hAnsi="Times New Roman" w:eastAsia="宋体"/>
                <w:snapToGrid w:val="0"/>
                <w:color w:val="auto"/>
                <w:spacing w:val="-6"/>
                <w:kern w:val="21"/>
                <w:szCs w:val="21"/>
              </w:rPr>
              <w:t>废</w:t>
            </w:r>
            <w:r>
              <w:rPr>
                <w:rFonts w:hint="eastAsia" w:ascii="Times New Roman" w:hAnsi="Times New Roman" w:eastAsia="宋体"/>
                <w:snapToGrid w:val="0"/>
                <w:color w:val="auto"/>
                <w:spacing w:val="-6"/>
                <w:kern w:val="21"/>
                <w:szCs w:val="21"/>
              </w:rPr>
              <w:t>物</w:t>
            </w:r>
            <w:r>
              <w:rPr>
                <w:rFonts w:ascii="Times New Roman" w:hAnsi="Times New Roman" w:eastAsia="宋体"/>
                <w:snapToGrid w:val="0"/>
                <w:color w:val="auto"/>
                <w:spacing w:val="-6"/>
                <w:kern w:val="21"/>
                <w:szCs w:val="21"/>
              </w:rPr>
              <w:t>产生量）</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①</w:t>
            </w:r>
            <w:r>
              <w:rPr>
                <w:rFonts w:ascii="Times New Roman" w:hAnsi="Times New Roman" w:eastAsia="宋体"/>
                <w:snapToGrid w:val="0"/>
                <w:color w:val="auto"/>
                <w:spacing w:val="-6"/>
                <w:kern w:val="21"/>
                <w:szCs w:val="21"/>
              </w:rPr>
              <w:fldChar w:fldCharType="end"/>
            </w:r>
          </w:p>
        </w:tc>
        <w:tc>
          <w:tcPr>
            <w:tcW w:w="1276" w:type="dxa"/>
            <w:tcMar>
              <w:left w:w="28" w:type="dxa"/>
              <w:right w:w="28" w:type="dxa"/>
            </w:tcMar>
            <w:vAlign w:val="center"/>
          </w:tcPr>
          <w:p w14:paraId="5EAF358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现有工程</w:t>
            </w:r>
          </w:p>
          <w:p w14:paraId="072D5DB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许可排放量</w:t>
            </w:r>
          </w:p>
          <w:p w14:paraId="5E92480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2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snapToGrid w:val="0"/>
                <w:color w:val="auto"/>
                <w:spacing w:val="-6"/>
                <w:kern w:val="21"/>
                <w:szCs w:val="21"/>
              </w:rPr>
              <w:t>②</w:t>
            </w:r>
            <w:r>
              <w:rPr>
                <w:rFonts w:ascii="Times New Roman" w:hAnsi="Times New Roman" w:eastAsia="宋体"/>
                <w:snapToGrid w:val="0"/>
                <w:color w:val="auto"/>
                <w:spacing w:val="-6"/>
                <w:kern w:val="21"/>
                <w:szCs w:val="21"/>
              </w:rPr>
              <w:fldChar w:fldCharType="end"/>
            </w:r>
          </w:p>
        </w:tc>
        <w:tc>
          <w:tcPr>
            <w:tcW w:w="1701" w:type="dxa"/>
            <w:tcMar>
              <w:left w:w="28" w:type="dxa"/>
              <w:right w:w="28" w:type="dxa"/>
            </w:tcMar>
            <w:vAlign w:val="center"/>
          </w:tcPr>
          <w:p w14:paraId="296D21F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在建工程</w:t>
            </w:r>
          </w:p>
          <w:p w14:paraId="47E63BC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排放量（固</w:t>
            </w:r>
            <w:r>
              <w:rPr>
                <w:rFonts w:hint="eastAsia" w:ascii="Times New Roman" w:hAnsi="Times New Roman" w:eastAsia="宋体"/>
                <w:snapToGrid w:val="0"/>
                <w:color w:val="auto"/>
                <w:spacing w:val="-6"/>
                <w:kern w:val="21"/>
                <w:szCs w:val="21"/>
              </w:rPr>
              <w:t>体</w:t>
            </w:r>
            <w:r>
              <w:rPr>
                <w:rFonts w:ascii="Times New Roman" w:hAnsi="Times New Roman" w:eastAsia="宋体"/>
                <w:snapToGrid w:val="0"/>
                <w:color w:val="auto"/>
                <w:spacing w:val="-6"/>
                <w:kern w:val="21"/>
                <w:szCs w:val="21"/>
              </w:rPr>
              <w:t>废</w:t>
            </w:r>
            <w:r>
              <w:rPr>
                <w:rFonts w:hint="eastAsia" w:ascii="Times New Roman" w:hAnsi="Times New Roman" w:eastAsia="宋体"/>
                <w:snapToGrid w:val="0"/>
                <w:color w:val="auto"/>
                <w:spacing w:val="-6"/>
                <w:kern w:val="21"/>
                <w:szCs w:val="21"/>
              </w:rPr>
              <w:t>物</w:t>
            </w:r>
            <w:r>
              <w:rPr>
                <w:rFonts w:ascii="Times New Roman" w:hAnsi="Times New Roman" w:eastAsia="宋体"/>
                <w:snapToGrid w:val="0"/>
                <w:color w:val="auto"/>
                <w:spacing w:val="-6"/>
                <w:kern w:val="21"/>
                <w:szCs w:val="21"/>
              </w:rPr>
              <w:t>产生量）</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3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③</w:t>
            </w:r>
            <w:r>
              <w:rPr>
                <w:rFonts w:ascii="Times New Roman" w:hAnsi="Times New Roman" w:eastAsia="宋体"/>
                <w:snapToGrid w:val="0"/>
                <w:color w:val="auto"/>
                <w:spacing w:val="-6"/>
                <w:kern w:val="21"/>
                <w:szCs w:val="21"/>
              </w:rPr>
              <w:fldChar w:fldCharType="end"/>
            </w:r>
          </w:p>
        </w:tc>
        <w:tc>
          <w:tcPr>
            <w:tcW w:w="1559" w:type="dxa"/>
            <w:tcMar>
              <w:left w:w="28" w:type="dxa"/>
              <w:right w:w="28" w:type="dxa"/>
            </w:tcMar>
            <w:vAlign w:val="center"/>
          </w:tcPr>
          <w:p w14:paraId="74A9EC2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本项目</w:t>
            </w:r>
          </w:p>
          <w:p w14:paraId="1443CCB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排放量（固</w:t>
            </w:r>
            <w:r>
              <w:rPr>
                <w:rFonts w:hint="eastAsia" w:ascii="Times New Roman" w:hAnsi="Times New Roman" w:eastAsia="宋体"/>
                <w:snapToGrid w:val="0"/>
                <w:color w:val="auto"/>
                <w:spacing w:val="-6"/>
                <w:kern w:val="21"/>
                <w:szCs w:val="21"/>
              </w:rPr>
              <w:t>体</w:t>
            </w:r>
            <w:r>
              <w:rPr>
                <w:rFonts w:ascii="Times New Roman" w:hAnsi="Times New Roman" w:eastAsia="宋体"/>
                <w:snapToGrid w:val="0"/>
                <w:color w:val="auto"/>
                <w:spacing w:val="-6"/>
                <w:kern w:val="21"/>
                <w:szCs w:val="21"/>
              </w:rPr>
              <w:t>废</w:t>
            </w:r>
            <w:r>
              <w:rPr>
                <w:rFonts w:hint="eastAsia" w:ascii="Times New Roman" w:hAnsi="Times New Roman" w:eastAsia="宋体"/>
                <w:snapToGrid w:val="0"/>
                <w:color w:val="auto"/>
                <w:spacing w:val="-6"/>
                <w:kern w:val="21"/>
                <w:szCs w:val="21"/>
              </w:rPr>
              <w:t>物</w:t>
            </w:r>
            <w:r>
              <w:rPr>
                <w:rFonts w:ascii="Times New Roman" w:hAnsi="Times New Roman" w:eastAsia="宋体"/>
                <w:snapToGrid w:val="0"/>
                <w:color w:val="auto"/>
                <w:spacing w:val="-6"/>
                <w:kern w:val="21"/>
                <w:szCs w:val="21"/>
              </w:rPr>
              <w:t>产生量）</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4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④</w:t>
            </w:r>
            <w:r>
              <w:rPr>
                <w:rFonts w:ascii="Times New Roman" w:hAnsi="Times New Roman" w:eastAsia="宋体"/>
                <w:snapToGrid w:val="0"/>
                <w:color w:val="auto"/>
                <w:spacing w:val="-6"/>
                <w:kern w:val="21"/>
                <w:szCs w:val="21"/>
              </w:rPr>
              <w:fldChar w:fldCharType="end"/>
            </w:r>
          </w:p>
        </w:tc>
        <w:tc>
          <w:tcPr>
            <w:tcW w:w="1761" w:type="dxa"/>
            <w:tcMar>
              <w:left w:w="28" w:type="dxa"/>
              <w:right w:w="28" w:type="dxa"/>
            </w:tcMar>
            <w:vAlign w:val="center"/>
          </w:tcPr>
          <w:p w14:paraId="0350AFB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ascii="Times New Roman" w:hAnsi="Times New Roman" w:eastAsia="宋体"/>
                <w:snapToGrid w:val="0"/>
                <w:color w:val="auto"/>
                <w:spacing w:val="-16"/>
                <w:kern w:val="21"/>
                <w:szCs w:val="21"/>
              </w:rPr>
              <w:t>以新带老削减量</w:t>
            </w:r>
          </w:p>
          <w:p w14:paraId="2BB314A4">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ascii="Times New Roman" w:hAnsi="Times New Roman" w:eastAsia="宋体"/>
                <w:snapToGrid w:val="0"/>
                <w:color w:val="auto"/>
                <w:spacing w:val="-16"/>
                <w:kern w:val="21"/>
                <w:szCs w:val="21"/>
              </w:rPr>
              <w:t>（新建项目不填）</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5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s="宋体"/>
                <w:color w:val="auto"/>
                <w:kern w:val="2"/>
                <w:szCs w:val="21"/>
              </w:rPr>
              <w:t>⑤</w:t>
            </w:r>
            <w:r>
              <w:rPr>
                <w:rFonts w:ascii="Times New Roman" w:hAnsi="Times New Roman" w:eastAsia="宋体"/>
                <w:snapToGrid w:val="0"/>
                <w:color w:val="auto"/>
                <w:spacing w:val="-16"/>
                <w:kern w:val="21"/>
                <w:szCs w:val="21"/>
              </w:rPr>
              <w:fldChar w:fldCharType="end"/>
            </w:r>
          </w:p>
        </w:tc>
        <w:tc>
          <w:tcPr>
            <w:tcW w:w="1959" w:type="dxa"/>
            <w:tcMar>
              <w:left w:w="28" w:type="dxa"/>
              <w:right w:w="28" w:type="dxa"/>
            </w:tcMar>
            <w:vAlign w:val="center"/>
          </w:tcPr>
          <w:p w14:paraId="5DD1899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ascii="Times New Roman" w:hAnsi="Times New Roman" w:eastAsia="宋体"/>
                <w:snapToGrid w:val="0"/>
                <w:color w:val="auto"/>
                <w:spacing w:val="-16"/>
                <w:kern w:val="21"/>
                <w:szCs w:val="21"/>
              </w:rPr>
              <w:t>本项目建成后</w:t>
            </w:r>
          </w:p>
          <w:p w14:paraId="78F35FB4">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16"/>
                <w:kern w:val="21"/>
                <w:szCs w:val="21"/>
              </w:rPr>
            </w:pPr>
            <w:r>
              <w:rPr>
                <w:rFonts w:hint="eastAsia" w:ascii="Times New Roman" w:hAnsi="Times New Roman" w:eastAsia="宋体"/>
                <w:snapToGrid w:val="0"/>
                <w:color w:val="auto"/>
                <w:spacing w:val="-16"/>
                <w:kern w:val="21"/>
                <w:szCs w:val="21"/>
              </w:rPr>
              <w:t>全厂</w:t>
            </w:r>
            <w:r>
              <w:rPr>
                <w:rFonts w:ascii="Times New Roman" w:hAnsi="Times New Roman" w:eastAsia="宋体"/>
                <w:snapToGrid w:val="0"/>
                <w:color w:val="auto"/>
                <w:spacing w:val="-16"/>
                <w:kern w:val="21"/>
                <w:szCs w:val="21"/>
              </w:rPr>
              <w:t>排放量（固</w:t>
            </w:r>
            <w:r>
              <w:rPr>
                <w:rFonts w:hint="eastAsia" w:ascii="Times New Roman" w:hAnsi="Times New Roman" w:eastAsia="宋体"/>
                <w:snapToGrid w:val="0"/>
                <w:color w:val="auto"/>
                <w:spacing w:val="-16"/>
                <w:kern w:val="21"/>
                <w:szCs w:val="21"/>
              </w:rPr>
              <w:t>体</w:t>
            </w:r>
            <w:r>
              <w:rPr>
                <w:rFonts w:ascii="Times New Roman" w:hAnsi="Times New Roman" w:eastAsia="宋体"/>
                <w:snapToGrid w:val="0"/>
                <w:color w:val="auto"/>
                <w:spacing w:val="-16"/>
                <w:kern w:val="21"/>
                <w:szCs w:val="21"/>
              </w:rPr>
              <w:t>废</w:t>
            </w:r>
            <w:r>
              <w:rPr>
                <w:rFonts w:hint="eastAsia" w:ascii="Times New Roman" w:hAnsi="Times New Roman" w:eastAsia="宋体"/>
                <w:snapToGrid w:val="0"/>
                <w:color w:val="auto"/>
                <w:spacing w:val="-16"/>
                <w:kern w:val="21"/>
                <w:szCs w:val="21"/>
              </w:rPr>
              <w:t>物</w:t>
            </w:r>
            <w:r>
              <w:rPr>
                <w:rFonts w:ascii="Times New Roman" w:hAnsi="Times New Roman" w:eastAsia="宋体"/>
                <w:snapToGrid w:val="0"/>
                <w:color w:val="auto"/>
                <w:spacing w:val="-16"/>
                <w:kern w:val="21"/>
                <w:szCs w:val="21"/>
              </w:rPr>
              <w:t>产生量）</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s="宋体"/>
                <w:color w:val="auto"/>
                <w:kern w:val="2"/>
                <w:szCs w:val="21"/>
              </w:rPr>
              <w:t>⑥</w:t>
            </w:r>
            <w:r>
              <w:rPr>
                <w:rFonts w:ascii="Times New Roman" w:hAnsi="Times New Roman" w:eastAsia="宋体"/>
                <w:snapToGrid w:val="0"/>
                <w:color w:val="auto"/>
                <w:spacing w:val="-16"/>
                <w:kern w:val="21"/>
                <w:szCs w:val="21"/>
              </w:rPr>
              <w:fldChar w:fldCharType="end"/>
            </w:r>
          </w:p>
        </w:tc>
        <w:tc>
          <w:tcPr>
            <w:tcW w:w="1383" w:type="dxa"/>
            <w:tcMar>
              <w:left w:w="28" w:type="dxa"/>
              <w:right w:w="28" w:type="dxa"/>
            </w:tcMar>
            <w:vAlign w:val="center"/>
          </w:tcPr>
          <w:p w14:paraId="21DE975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t>变化量</w:t>
            </w:r>
          </w:p>
          <w:p w14:paraId="715CC1F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snapToGrid w:val="0"/>
                <w:color w:val="auto"/>
                <w:spacing w:val="-6"/>
                <w:kern w:val="21"/>
                <w:szCs w:val="21"/>
              </w:rPr>
            </w:pP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7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s="宋体"/>
                <w:color w:val="auto"/>
                <w:kern w:val="2"/>
                <w:szCs w:val="21"/>
              </w:rPr>
              <w:t>⑦</w:t>
            </w:r>
            <w:r>
              <w:rPr>
                <w:rFonts w:ascii="Times New Roman" w:hAnsi="Times New Roman" w:eastAsia="宋体"/>
                <w:snapToGrid w:val="0"/>
                <w:color w:val="auto"/>
                <w:spacing w:val="-6"/>
                <w:kern w:val="21"/>
                <w:szCs w:val="21"/>
              </w:rPr>
              <w:fldChar w:fldCharType="end"/>
            </w:r>
          </w:p>
        </w:tc>
      </w:tr>
      <w:tr w14:paraId="518A2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Align w:val="center"/>
          </w:tcPr>
          <w:p w14:paraId="0E12918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废气</w:t>
            </w:r>
          </w:p>
        </w:tc>
        <w:tc>
          <w:tcPr>
            <w:tcW w:w="1947" w:type="dxa"/>
            <w:vAlign w:val="center"/>
          </w:tcPr>
          <w:p w14:paraId="0BA4CC6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lang w:eastAsia="zh-CN"/>
              </w:rPr>
            </w:pPr>
            <w:r>
              <w:rPr>
                <w:rFonts w:hint="eastAsia" w:ascii="Times New Roman" w:hAnsi="Times New Roman" w:eastAsia="宋体" w:cs="宋体"/>
                <w:snapToGrid w:val="0"/>
                <w:color w:val="auto"/>
                <w:kern w:val="21"/>
                <w:szCs w:val="21"/>
              </w:rPr>
              <w:t>颗粒物</w:t>
            </w:r>
          </w:p>
        </w:tc>
        <w:tc>
          <w:tcPr>
            <w:tcW w:w="1701" w:type="dxa"/>
            <w:shd w:val="clear" w:color="auto" w:fill="auto"/>
            <w:vAlign w:val="center"/>
          </w:tcPr>
          <w:p w14:paraId="745AD2D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0</w:t>
            </w:r>
          </w:p>
        </w:tc>
        <w:tc>
          <w:tcPr>
            <w:tcW w:w="1276" w:type="dxa"/>
            <w:shd w:val="clear" w:color="auto" w:fill="auto"/>
            <w:vAlign w:val="center"/>
          </w:tcPr>
          <w:p w14:paraId="1828DC8E">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0</w:t>
            </w:r>
          </w:p>
        </w:tc>
        <w:tc>
          <w:tcPr>
            <w:tcW w:w="1701" w:type="dxa"/>
            <w:shd w:val="clear" w:color="auto" w:fill="auto"/>
            <w:vAlign w:val="center"/>
          </w:tcPr>
          <w:p w14:paraId="096A02C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cs="宋体"/>
                <w:snapToGrid w:val="0"/>
                <w:color w:val="auto"/>
                <w:kern w:val="21"/>
                <w:szCs w:val="21"/>
                <w:lang w:val="en-US" w:eastAsia="zh-CN"/>
              </w:rPr>
              <w:t>0</w:t>
            </w:r>
          </w:p>
        </w:tc>
        <w:tc>
          <w:tcPr>
            <w:tcW w:w="1559" w:type="dxa"/>
            <w:vAlign w:val="center"/>
          </w:tcPr>
          <w:p w14:paraId="5DF7556D">
            <w:pPr>
              <w:pStyle w:val="6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olor w:val="auto"/>
                <w:sz w:val="21"/>
                <w:szCs w:val="21"/>
                <w:lang w:val="en-US" w:eastAsia="zh-CN"/>
              </w:rPr>
              <w:t>0.</w:t>
            </w:r>
            <w:r>
              <w:rPr>
                <w:rFonts w:hint="eastAsia" w:ascii="Times New Roman" w:hAnsi="Times New Roman"/>
                <w:color w:val="auto"/>
                <w:sz w:val="21"/>
                <w:szCs w:val="21"/>
                <w:lang w:val="en-US" w:eastAsia="zh-CN"/>
              </w:rPr>
              <w:t>6229</w:t>
            </w:r>
            <w:r>
              <w:rPr>
                <w:rFonts w:ascii="Times New Roman" w:hAnsi="Times New Roman" w:eastAsia="宋体" w:cs="宋体"/>
                <w:color w:val="auto"/>
                <w:w w:val="90"/>
                <w:szCs w:val="21"/>
                <w:lang w:bidi="ar"/>
              </w:rPr>
              <w:t>t/a</w:t>
            </w:r>
          </w:p>
        </w:tc>
        <w:tc>
          <w:tcPr>
            <w:tcW w:w="1761" w:type="dxa"/>
            <w:vAlign w:val="center"/>
          </w:tcPr>
          <w:p w14:paraId="03F91D2E">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959" w:type="dxa"/>
            <w:vAlign w:val="center"/>
          </w:tcPr>
          <w:p w14:paraId="6FE7268A">
            <w:pPr>
              <w:pStyle w:val="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snapToGrid w:val="0"/>
                <w:color w:val="auto"/>
                <w:kern w:val="21"/>
                <w:szCs w:val="21"/>
              </w:rPr>
            </w:pPr>
            <w:r>
              <w:rPr>
                <w:rFonts w:hint="eastAsia" w:ascii="Times New Roman" w:hAnsi="Times New Roman"/>
                <w:color w:val="auto"/>
                <w:sz w:val="21"/>
                <w:szCs w:val="21"/>
                <w:lang w:val="en-US" w:eastAsia="zh-CN"/>
              </w:rPr>
              <w:t>0.6229</w:t>
            </w:r>
            <w:r>
              <w:rPr>
                <w:rFonts w:ascii="Times New Roman" w:hAnsi="Times New Roman" w:eastAsia="宋体" w:cs="宋体"/>
                <w:color w:val="auto"/>
                <w:w w:val="90"/>
                <w:szCs w:val="21"/>
                <w:lang w:bidi="ar"/>
              </w:rPr>
              <w:t>t/a</w:t>
            </w:r>
          </w:p>
        </w:tc>
        <w:tc>
          <w:tcPr>
            <w:tcW w:w="1383" w:type="dxa"/>
            <w:vAlign w:val="center"/>
          </w:tcPr>
          <w:p w14:paraId="7507F538">
            <w:pPr>
              <w:pStyle w:val="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color w:val="auto"/>
                <w:sz w:val="21"/>
                <w:szCs w:val="21"/>
                <w:lang w:val="en-US" w:eastAsia="zh-CN"/>
              </w:rPr>
              <w:t>+0.6229</w:t>
            </w:r>
            <w:r>
              <w:rPr>
                <w:rFonts w:ascii="Times New Roman" w:hAnsi="Times New Roman" w:eastAsia="宋体" w:cs="宋体"/>
                <w:color w:val="auto"/>
                <w:w w:val="90"/>
                <w:szCs w:val="21"/>
                <w:lang w:bidi="ar"/>
              </w:rPr>
              <w:t>t/a</w:t>
            </w:r>
          </w:p>
        </w:tc>
      </w:tr>
      <w:tr w14:paraId="21921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restart"/>
            <w:vAlign w:val="center"/>
          </w:tcPr>
          <w:p w14:paraId="652F4EF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bookmarkStart w:id="21" w:name="OLE_LINK15" w:colFirst="2" w:colLast="2"/>
            <w:r>
              <w:rPr>
                <w:rFonts w:hint="eastAsia" w:ascii="Times New Roman" w:hAnsi="Times New Roman" w:eastAsia="宋体" w:cs="宋体"/>
                <w:snapToGrid w:val="0"/>
                <w:color w:val="auto"/>
                <w:kern w:val="21"/>
                <w:szCs w:val="21"/>
              </w:rPr>
              <w:t>废水</w:t>
            </w:r>
          </w:p>
        </w:tc>
        <w:tc>
          <w:tcPr>
            <w:tcW w:w="1947" w:type="dxa"/>
            <w:vAlign w:val="center"/>
          </w:tcPr>
          <w:p w14:paraId="7CFF75E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废水</w:t>
            </w:r>
          </w:p>
        </w:tc>
        <w:tc>
          <w:tcPr>
            <w:tcW w:w="1701" w:type="dxa"/>
            <w:shd w:val="clear" w:color="auto" w:fill="auto"/>
            <w:vAlign w:val="center"/>
          </w:tcPr>
          <w:p w14:paraId="26A2A18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5057858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22DC04B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210067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396</w:t>
            </w:r>
            <w:r>
              <w:rPr>
                <w:rFonts w:hint="eastAsia" w:ascii="Times New Roman" w:hAnsi="Times New Roman" w:eastAsia="宋体" w:cs="Times New Roman"/>
                <w:color w:val="auto"/>
                <w:kern w:val="0"/>
                <w:szCs w:val="21"/>
                <w:lang w:val="en-US" w:eastAsia="zh-CN"/>
              </w:rPr>
              <w:t>t</w:t>
            </w:r>
            <w:r>
              <w:rPr>
                <w:rFonts w:ascii="Times New Roman" w:hAnsi="Times New Roman" w:eastAsia="宋体" w:cs="宋体"/>
                <w:color w:val="auto"/>
                <w:w w:val="90"/>
                <w:szCs w:val="21"/>
                <w:lang w:bidi="ar"/>
              </w:rPr>
              <w:t>/a</w:t>
            </w:r>
          </w:p>
        </w:tc>
        <w:tc>
          <w:tcPr>
            <w:tcW w:w="1761" w:type="dxa"/>
            <w:vAlign w:val="center"/>
          </w:tcPr>
          <w:p w14:paraId="72C23B3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58F3F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s="Times New Roman"/>
                <w:color w:val="auto"/>
                <w:kern w:val="0"/>
                <w:szCs w:val="21"/>
                <w:lang w:val="en-US" w:eastAsia="zh-CN"/>
              </w:rPr>
              <w:t>396</w:t>
            </w:r>
            <w:r>
              <w:rPr>
                <w:rFonts w:hint="eastAsia" w:ascii="Times New Roman" w:hAnsi="Times New Roman" w:eastAsia="宋体" w:cs="Times New Roman"/>
                <w:color w:val="auto"/>
                <w:kern w:val="0"/>
                <w:szCs w:val="21"/>
                <w:lang w:val="en-US" w:eastAsia="zh-CN"/>
              </w:rPr>
              <w:t>t</w:t>
            </w:r>
            <w:r>
              <w:rPr>
                <w:rFonts w:ascii="Times New Roman" w:hAnsi="Times New Roman" w:eastAsia="宋体" w:cs="宋体"/>
                <w:color w:val="auto"/>
                <w:w w:val="90"/>
                <w:szCs w:val="21"/>
                <w:lang w:bidi="ar"/>
              </w:rPr>
              <w:t>/a</w:t>
            </w:r>
          </w:p>
        </w:tc>
        <w:tc>
          <w:tcPr>
            <w:tcW w:w="1383" w:type="dxa"/>
            <w:vAlign w:val="center"/>
          </w:tcPr>
          <w:p w14:paraId="5F2CD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+396</w:t>
            </w:r>
            <w:r>
              <w:rPr>
                <w:rFonts w:hint="eastAsia" w:ascii="Times New Roman" w:hAnsi="Times New Roman" w:eastAsia="宋体" w:cs="Times New Roman"/>
                <w:color w:val="auto"/>
                <w:kern w:val="0"/>
                <w:szCs w:val="21"/>
                <w:lang w:val="en-US" w:eastAsia="zh-CN"/>
              </w:rPr>
              <w:t>t</w:t>
            </w:r>
            <w:r>
              <w:rPr>
                <w:rFonts w:ascii="Times New Roman" w:hAnsi="Times New Roman" w:eastAsia="宋体" w:cs="宋体"/>
                <w:color w:val="auto"/>
                <w:w w:val="90"/>
                <w:szCs w:val="21"/>
                <w:lang w:bidi="ar"/>
              </w:rPr>
              <w:t>/a</w:t>
            </w:r>
          </w:p>
        </w:tc>
      </w:tr>
      <w:tr w14:paraId="1CF29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1916C18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70A4D46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CODcr</w:t>
            </w:r>
          </w:p>
        </w:tc>
        <w:tc>
          <w:tcPr>
            <w:tcW w:w="1701" w:type="dxa"/>
            <w:shd w:val="clear" w:color="auto" w:fill="auto"/>
            <w:vAlign w:val="center"/>
          </w:tcPr>
          <w:p w14:paraId="69428D9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1CFCEDF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77F5FFE4">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364F89D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0.1188</w:t>
            </w:r>
            <w:r>
              <w:rPr>
                <w:rFonts w:ascii="Times New Roman" w:hAnsi="Times New Roman" w:eastAsia="宋体" w:cs="宋体"/>
                <w:color w:val="auto"/>
                <w:w w:val="90"/>
                <w:szCs w:val="21"/>
                <w:lang w:bidi="ar"/>
              </w:rPr>
              <w:t>t/a</w:t>
            </w:r>
          </w:p>
        </w:tc>
        <w:tc>
          <w:tcPr>
            <w:tcW w:w="1761" w:type="dxa"/>
            <w:vAlign w:val="center"/>
          </w:tcPr>
          <w:p w14:paraId="4DB2AA8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4DDCB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sz w:val="21"/>
                <w:szCs w:val="21"/>
                <w:lang w:val="en-US" w:eastAsia="zh-CN"/>
              </w:rPr>
              <w:t>0.1188</w:t>
            </w:r>
            <w:r>
              <w:rPr>
                <w:rFonts w:ascii="Times New Roman" w:hAnsi="Times New Roman" w:eastAsia="宋体" w:cs="宋体"/>
                <w:color w:val="auto"/>
                <w:w w:val="90"/>
                <w:szCs w:val="21"/>
                <w:lang w:bidi="ar"/>
              </w:rPr>
              <w:t>t/a</w:t>
            </w:r>
          </w:p>
        </w:tc>
        <w:tc>
          <w:tcPr>
            <w:tcW w:w="1383" w:type="dxa"/>
            <w:vAlign w:val="center"/>
          </w:tcPr>
          <w:p w14:paraId="56A62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olor w:val="auto"/>
                <w:sz w:val="21"/>
                <w:szCs w:val="21"/>
                <w:lang w:val="en-US" w:eastAsia="zh-CN"/>
              </w:rPr>
              <w:t>+0.1188</w:t>
            </w:r>
            <w:r>
              <w:rPr>
                <w:rFonts w:ascii="Times New Roman" w:hAnsi="Times New Roman" w:eastAsia="宋体" w:cs="宋体"/>
                <w:color w:val="auto"/>
                <w:w w:val="90"/>
                <w:szCs w:val="21"/>
                <w:lang w:bidi="ar"/>
              </w:rPr>
              <w:t>t/a</w:t>
            </w:r>
          </w:p>
        </w:tc>
      </w:tr>
      <w:tr w14:paraId="62D1B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57B63A4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739BADC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BOD</w:t>
            </w:r>
            <w:r>
              <w:rPr>
                <w:rFonts w:hint="eastAsia" w:ascii="Times New Roman"/>
                <w:snapToGrid w:val="0"/>
                <w:color w:val="auto"/>
                <w:kern w:val="21"/>
                <w:szCs w:val="21"/>
                <w:vertAlign w:val="subscript"/>
                <w:lang w:val="en-US" w:eastAsia="zh-CN"/>
              </w:rPr>
              <w:t>5</w:t>
            </w:r>
          </w:p>
        </w:tc>
        <w:tc>
          <w:tcPr>
            <w:tcW w:w="1701" w:type="dxa"/>
            <w:shd w:val="clear" w:color="auto" w:fill="auto"/>
            <w:vAlign w:val="center"/>
          </w:tcPr>
          <w:p w14:paraId="535C8EF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0</w:t>
            </w:r>
          </w:p>
        </w:tc>
        <w:tc>
          <w:tcPr>
            <w:tcW w:w="1276" w:type="dxa"/>
            <w:shd w:val="clear" w:color="auto" w:fill="auto"/>
            <w:vAlign w:val="center"/>
          </w:tcPr>
          <w:p w14:paraId="090F4E6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0</w:t>
            </w:r>
          </w:p>
        </w:tc>
        <w:tc>
          <w:tcPr>
            <w:tcW w:w="1701" w:type="dxa"/>
            <w:shd w:val="clear" w:color="auto" w:fill="auto"/>
            <w:vAlign w:val="center"/>
          </w:tcPr>
          <w:p w14:paraId="39734DF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 w:val="21"/>
                <w:szCs w:val="21"/>
                <w:lang w:val="en-US" w:eastAsia="zh-CN" w:bidi="ar-SA"/>
              </w:rPr>
              <w:t>0</w:t>
            </w:r>
          </w:p>
        </w:tc>
        <w:tc>
          <w:tcPr>
            <w:tcW w:w="1559" w:type="dxa"/>
            <w:vAlign w:val="center"/>
          </w:tcPr>
          <w:p w14:paraId="1F18146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 w:val="21"/>
                <w:szCs w:val="21"/>
                <w:lang w:val="en-US" w:eastAsia="zh-CN"/>
              </w:rPr>
            </w:pPr>
            <w:r>
              <w:rPr>
                <w:rFonts w:hint="eastAsia"/>
                <w:color w:val="auto"/>
                <w:sz w:val="21"/>
                <w:szCs w:val="21"/>
                <w:lang w:val="en-US" w:eastAsia="zh-CN"/>
              </w:rPr>
              <w:t>0.0792</w:t>
            </w:r>
            <w:r>
              <w:rPr>
                <w:rFonts w:ascii="Times New Roman" w:hAnsi="Times New Roman" w:eastAsia="宋体" w:cs="宋体"/>
                <w:color w:val="auto"/>
                <w:w w:val="90"/>
                <w:szCs w:val="21"/>
                <w:lang w:bidi="ar"/>
              </w:rPr>
              <w:t>t/a</w:t>
            </w:r>
          </w:p>
        </w:tc>
        <w:tc>
          <w:tcPr>
            <w:tcW w:w="1761" w:type="dxa"/>
            <w:vAlign w:val="center"/>
          </w:tcPr>
          <w:p w14:paraId="542D1B3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959" w:type="dxa"/>
            <w:vAlign w:val="center"/>
          </w:tcPr>
          <w:p w14:paraId="540BB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0.0792</w:t>
            </w:r>
            <w:r>
              <w:rPr>
                <w:rFonts w:ascii="Times New Roman" w:hAnsi="Times New Roman" w:eastAsia="宋体" w:cs="宋体"/>
                <w:color w:val="auto"/>
                <w:w w:val="90"/>
                <w:szCs w:val="21"/>
                <w:lang w:bidi="ar"/>
              </w:rPr>
              <w:t>t/a</w:t>
            </w:r>
          </w:p>
        </w:tc>
        <w:tc>
          <w:tcPr>
            <w:tcW w:w="1383" w:type="dxa"/>
            <w:vAlign w:val="center"/>
          </w:tcPr>
          <w:p w14:paraId="02CC7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+0.0792</w:t>
            </w:r>
            <w:r>
              <w:rPr>
                <w:rFonts w:ascii="Times New Roman" w:hAnsi="Times New Roman" w:eastAsia="宋体" w:cs="宋体"/>
                <w:color w:val="auto"/>
                <w:w w:val="90"/>
                <w:szCs w:val="21"/>
                <w:lang w:bidi="ar"/>
              </w:rPr>
              <w:t>t/a</w:t>
            </w:r>
          </w:p>
        </w:tc>
      </w:tr>
      <w:tr w14:paraId="5CF93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7AC1189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3F1E40E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氨氮</w:t>
            </w:r>
          </w:p>
        </w:tc>
        <w:tc>
          <w:tcPr>
            <w:tcW w:w="1701" w:type="dxa"/>
            <w:shd w:val="clear" w:color="auto" w:fill="auto"/>
            <w:vAlign w:val="center"/>
          </w:tcPr>
          <w:p w14:paraId="0A8C069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4C62F67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46DB6D8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40EFBE7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0.0119</w:t>
            </w:r>
            <w:r>
              <w:rPr>
                <w:rFonts w:ascii="Times New Roman" w:hAnsi="Times New Roman" w:eastAsia="宋体" w:cs="宋体"/>
                <w:color w:val="auto"/>
                <w:w w:val="90"/>
                <w:szCs w:val="21"/>
                <w:lang w:bidi="ar"/>
              </w:rPr>
              <w:t>t/a</w:t>
            </w:r>
          </w:p>
        </w:tc>
        <w:tc>
          <w:tcPr>
            <w:tcW w:w="1761" w:type="dxa"/>
            <w:vAlign w:val="center"/>
          </w:tcPr>
          <w:p w14:paraId="38C4B3E6">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65252E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sz w:val="21"/>
                <w:szCs w:val="21"/>
                <w:lang w:val="en-US" w:eastAsia="zh-CN"/>
              </w:rPr>
              <w:t>0.0119</w:t>
            </w:r>
            <w:r>
              <w:rPr>
                <w:rFonts w:ascii="Times New Roman" w:hAnsi="Times New Roman" w:eastAsia="宋体" w:cs="宋体"/>
                <w:color w:val="auto"/>
                <w:w w:val="90"/>
                <w:szCs w:val="21"/>
                <w:lang w:bidi="ar"/>
              </w:rPr>
              <w:t>t/a</w:t>
            </w:r>
          </w:p>
        </w:tc>
        <w:tc>
          <w:tcPr>
            <w:tcW w:w="1383" w:type="dxa"/>
            <w:vAlign w:val="center"/>
          </w:tcPr>
          <w:p w14:paraId="0CC88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olor w:val="auto"/>
                <w:sz w:val="21"/>
                <w:szCs w:val="21"/>
                <w:lang w:val="en-US" w:eastAsia="zh-CN"/>
              </w:rPr>
              <w:t>+0.0119</w:t>
            </w:r>
            <w:r>
              <w:rPr>
                <w:rFonts w:ascii="Times New Roman" w:hAnsi="Times New Roman" w:eastAsia="宋体" w:cs="宋体"/>
                <w:color w:val="auto"/>
                <w:w w:val="90"/>
                <w:szCs w:val="21"/>
                <w:lang w:bidi="ar"/>
              </w:rPr>
              <w:t>t/a</w:t>
            </w:r>
          </w:p>
        </w:tc>
      </w:tr>
      <w:tr w14:paraId="18E73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6FA31BE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7BEE4FB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snapToGrid w:val="0"/>
                <w:color w:val="auto"/>
                <w:kern w:val="21"/>
                <w:szCs w:val="21"/>
              </w:rPr>
              <w:t>总磷</w:t>
            </w:r>
          </w:p>
        </w:tc>
        <w:tc>
          <w:tcPr>
            <w:tcW w:w="1701" w:type="dxa"/>
            <w:shd w:val="clear" w:color="auto" w:fill="auto"/>
            <w:vAlign w:val="center"/>
          </w:tcPr>
          <w:p w14:paraId="4BEC292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2B58937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257C8B1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5DAFC81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0.002</w:t>
            </w:r>
            <w:r>
              <w:rPr>
                <w:rFonts w:ascii="Times New Roman" w:hAnsi="Times New Roman" w:eastAsia="宋体" w:cs="宋体"/>
                <w:color w:val="auto"/>
                <w:w w:val="90"/>
                <w:szCs w:val="21"/>
                <w:lang w:bidi="ar"/>
              </w:rPr>
              <w:t>t/a</w:t>
            </w:r>
          </w:p>
        </w:tc>
        <w:tc>
          <w:tcPr>
            <w:tcW w:w="1761" w:type="dxa"/>
            <w:vAlign w:val="center"/>
          </w:tcPr>
          <w:p w14:paraId="19E3A13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5BA04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sz w:val="21"/>
                <w:szCs w:val="21"/>
                <w:lang w:val="en-US" w:eastAsia="zh-CN"/>
              </w:rPr>
              <w:t>0.002</w:t>
            </w:r>
            <w:r>
              <w:rPr>
                <w:rFonts w:ascii="Times New Roman" w:hAnsi="Times New Roman" w:eastAsia="宋体" w:cs="宋体"/>
                <w:color w:val="auto"/>
                <w:w w:val="90"/>
                <w:szCs w:val="21"/>
                <w:lang w:bidi="ar"/>
              </w:rPr>
              <w:t>t/a</w:t>
            </w:r>
          </w:p>
        </w:tc>
        <w:tc>
          <w:tcPr>
            <w:tcW w:w="1383" w:type="dxa"/>
            <w:vAlign w:val="center"/>
          </w:tcPr>
          <w:p w14:paraId="4855E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olor w:val="auto"/>
                <w:sz w:val="21"/>
                <w:szCs w:val="21"/>
                <w:lang w:val="en-US" w:eastAsia="zh-CN"/>
              </w:rPr>
              <w:t>+0.002</w:t>
            </w:r>
            <w:r>
              <w:rPr>
                <w:rFonts w:ascii="Times New Roman" w:hAnsi="Times New Roman" w:eastAsia="宋体" w:cs="宋体"/>
                <w:color w:val="auto"/>
                <w:w w:val="90"/>
                <w:szCs w:val="21"/>
                <w:lang w:bidi="ar"/>
              </w:rPr>
              <w:t>t/a</w:t>
            </w:r>
          </w:p>
        </w:tc>
      </w:tr>
      <w:tr w14:paraId="36366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restart"/>
            <w:vAlign w:val="center"/>
          </w:tcPr>
          <w:p w14:paraId="752B634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一般工业</w:t>
            </w:r>
          </w:p>
          <w:p w14:paraId="0BBB8EB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固体废物</w:t>
            </w:r>
          </w:p>
        </w:tc>
        <w:tc>
          <w:tcPr>
            <w:tcW w:w="1947" w:type="dxa"/>
            <w:vAlign w:val="center"/>
          </w:tcPr>
          <w:p w14:paraId="031C00F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21"/>
                <w:szCs w:val="21"/>
                <w:lang w:eastAsia="zh-CN"/>
              </w:rPr>
            </w:pPr>
            <w:r>
              <w:rPr>
                <w:rFonts w:hint="eastAsia" w:ascii="Times New Roman" w:hAnsi="Times New Roman" w:eastAsia="宋体" w:cs="宋体"/>
                <w:b w:val="0"/>
                <w:bCs w:val="0"/>
                <w:color w:val="auto"/>
                <w:spacing w:val="6"/>
                <w:kern w:val="0"/>
                <w:sz w:val="21"/>
                <w:vertAlign w:val="baseline"/>
                <w:lang w:val="en-US" w:eastAsia="zh-CN" w:bidi="ar"/>
              </w:rPr>
              <w:t>焊渣</w:t>
            </w:r>
          </w:p>
        </w:tc>
        <w:tc>
          <w:tcPr>
            <w:tcW w:w="1701" w:type="dxa"/>
            <w:shd w:val="clear" w:color="auto" w:fill="auto"/>
            <w:vAlign w:val="center"/>
          </w:tcPr>
          <w:p w14:paraId="366E6C3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5038C22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7B1B3E6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4120B5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kern w:val="0"/>
                <w:sz w:val="21"/>
                <w:szCs w:val="21"/>
                <w:lang w:val="en-US" w:eastAsia="zh-CN"/>
              </w:rPr>
              <w:t>100</w:t>
            </w:r>
            <w:r>
              <w:rPr>
                <w:rFonts w:ascii="Times New Roman" w:hAnsi="Times New Roman" w:eastAsia="宋体" w:cs="宋体"/>
                <w:color w:val="auto"/>
                <w:w w:val="90"/>
                <w:szCs w:val="21"/>
                <w:lang w:bidi="ar"/>
              </w:rPr>
              <w:t>t/a</w:t>
            </w:r>
          </w:p>
        </w:tc>
        <w:tc>
          <w:tcPr>
            <w:tcW w:w="1761" w:type="dxa"/>
            <w:vAlign w:val="center"/>
          </w:tcPr>
          <w:p w14:paraId="420B912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4C673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kern w:val="0"/>
                <w:sz w:val="21"/>
                <w:szCs w:val="21"/>
                <w:lang w:val="en-US" w:eastAsia="zh-CN"/>
              </w:rPr>
              <w:t>100</w:t>
            </w:r>
            <w:r>
              <w:rPr>
                <w:rFonts w:ascii="Times New Roman" w:hAnsi="Times New Roman" w:eastAsia="宋体" w:cs="宋体"/>
                <w:color w:val="auto"/>
                <w:w w:val="90"/>
                <w:szCs w:val="21"/>
                <w:lang w:bidi="ar"/>
              </w:rPr>
              <w:t>t/a</w:t>
            </w:r>
          </w:p>
        </w:tc>
        <w:tc>
          <w:tcPr>
            <w:tcW w:w="1383" w:type="dxa"/>
            <w:vAlign w:val="center"/>
          </w:tcPr>
          <w:p w14:paraId="1A240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+100</w:t>
            </w:r>
            <w:r>
              <w:rPr>
                <w:rFonts w:ascii="Times New Roman" w:hAnsi="Times New Roman" w:eastAsia="宋体" w:cs="宋体"/>
                <w:color w:val="auto"/>
                <w:w w:val="90"/>
                <w:szCs w:val="21"/>
                <w:lang w:bidi="ar"/>
              </w:rPr>
              <w:t>t/a</w:t>
            </w:r>
          </w:p>
        </w:tc>
      </w:tr>
      <w:tr w14:paraId="5A15D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0B00585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5B50F7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循环水池沉渣</w:t>
            </w:r>
          </w:p>
        </w:tc>
        <w:tc>
          <w:tcPr>
            <w:tcW w:w="1701" w:type="dxa"/>
            <w:shd w:val="clear" w:color="auto" w:fill="auto"/>
            <w:vAlign w:val="center"/>
          </w:tcPr>
          <w:p w14:paraId="4030ACEF">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575A0F6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25D9E38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22AA33F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kern w:val="0"/>
                <w:sz w:val="21"/>
                <w:szCs w:val="21"/>
                <w:lang w:val="en-US" w:eastAsia="zh-CN"/>
              </w:rPr>
              <w:t>40</w:t>
            </w:r>
            <w:r>
              <w:rPr>
                <w:rFonts w:ascii="Times New Roman" w:hAnsi="Times New Roman" w:eastAsia="宋体" w:cs="宋体"/>
                <w:color w:val="auto"/>
                <w:w w:val="90"/>
                <w:szCs w:val="21"/>
                <w:lang w:bidi="ar"/>
              </w:rPr>
              <w:t>t/a</w:t>
            </w:r>
          </w:p>
        </w:tc>
        <w:tc>
          <w:tcPr>
            <w:tcW w:w="1761" w:type="dxa"/>
            <w:vAlign w:val="center"/>
          </w:tcPr>
          <w:p w14:paraId="7C60D1A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517756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kern w:val="0"/>
                <w:sz w:val="21"/>
                <w:szCs w:val="21"/>
                <w:lang w:val="en-US" w:eastAsia="zh-CN"/>
              </w:rPr>
              <w:t>4</w:t>
            </w:r>
            <w:r>
              <w:rPr>
                <w:rFonts w:hint="eastAsia" w:ascii="Times New Roman" w:hAnsi="Times New Roman" w:eastAsia="宋体"/>
                <w:color w:val="auto"/>
                <w:kern w:val="0"/>
                <w:sz w:val="21"/>
                <w:szCs w:val="21"/>
                <w:lang w:val="en-US" w:eastAsia="zh-CN"/>
              </w:rPr>
              <w:t>0</w:t>
            </w:r>
            <w:r>
              <w:rPr>
                <w:rFonts w:ascii="Times New Roman" w:hAnsi="Times New Roman" w:eastAsia="宋体" w:cs="宋体"/>
                <w:color w:val="auto"/>
                <w:w w:val="90"/>
                <w:szCs w:val="21"/>
                <w:lang w:bidi="ar"/>
              </w:rPr>
              <w:t>t/a</w:t>
            </w:r>
          </w:p>
        </w:tc>
        <w:tc>
          <w:tcPr>
            <w:tcW w:w="1383" w:type="dxa"/>
            <w:vAlign w:val="center"/>
          </w:tcPr>
          <w:p w14:paraId="3A124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+40</w:t>
            </w:r>
            <w:r>
              <w:rPr>
                <w:rFonts w:ascii="Times New Roman" w:hAnsi="Times New Roman" w:eastAsia="宋体" w:cs="宋体"/>
                <w:color w:val="auto"/>
                <w:w w:val="90"/>
                <w:szCs w:val="21"/>
                <w:lang w:bidi="ar"/>
              </w:rPr>
              <w:t>t/a</w:t>
            </w:r>
          </w:p>
        </w:tc>
      </w:tr>
      <w:tr w14:paraId="7C769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7D5C0DA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0F42392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边角废料及切割碎屑</w:t>
            </w:r>
          </w:p>
        </w:tc>
        <w:tc>
          <w:tcPr>
            <w:tcW w:w="1701" w:type="dxa"/>
            <w:shd w:val="clear" w:color="auto" w:fill="auto"/>
            <w:vAlign w:val="center"/>
          </w:tcPr>
          <w:p w14:paraId="7C8E532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2DC2C57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6FFD720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3C97646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hint="eastAsia"/>
                <w:color w:val="auto"/>
                <w:kern w:val="0"/>
                <w:sz w:val="21"/>
                <w:szCs w:val="21"/>
                <w:lang w:val="en-US" w:eastAsia="zh-CN"/>
              </w:rPr>
              <w:t>200</w:t>
            </w:r>
            <w:r>
              <w:rPr>
                <w:rFonts w:ascii="Times New Roman" w:hAnsi="Times New Roman" w:eastAsia="宋体" w:cs="宋体"/>
                <w:color w:val="auto"/>
                <w:w w:val="90"/>
                <w:szCs w:val="21"/>
                <w:lang w:bidi="ar"/>
              </w:rPr>
              <w:t>t/a</w:t>
            </w:r>
          </w:p>
        </w:tc>
        <w:tc>
          <w:tcPr>
            <w:tcW w:w="1761" w:type="dxa"/>
            <w:vAlign w:val="center"/>
          </w:tcPr>
          <w:p w14:paraId="39561C2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304DD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color w:val="auto"/>
                <w:kern w:val="0"/>
                <w:sz w:val="21"/>
                <w:szCs w:val="21"/>
                <w:lang w:val="en-US" w:eastAsia="zh-CN"/>
              </w:rPr>
              <w:t>200</w:t>
            </w:r>
            <w:r>
              <w:rPr>
                <w:rFonts w:ascii="Times New Roman" w:hAnsi="Times New Roman" w:eastAsia="宋体" w:cs="宋体"/>
                <w:color w:val="auto"/>
                <w:w w:val="90"/>
                <w:szCs w:val="21"/>
                <w:lang w:bidi="ar"/>
              </w:rPr>
              <w:t>t/a</w:t>
            </w:r>
          </w:p>
        </w:tc>
        <w:tc>
          <w:tcPr>
            <w:tcW w:w="1383" w:type="dxa"/>
            <w:vAlign w:val="center"/>
          </w:tcPr>
          <w:p w14:paraId="6632B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+200</w:t>
            </w:r>
            <w:r>
              <w:rPr>
                <w:rFonts w:ascii="Times New Roman" w:hAnsi="Times New Roman" w:eastAsia="宋体" w:cs="宋体"/>
                <w:color w:val="auto"/>
                <w:w w:val="90"/>
                <w:szCs w:val="21"/>
                <w:lang w:bidi="ar"/>
              </w:rPr>
              <w:t>t/a</w:t>
            </w:r>
          </w:p>
        </w:tc>
      </w:tr>
      <w:tr w14:paraId="4ED2E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17CE836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614E362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b w:val="0"/>
                <w:bCs w:val="0"/>
                <w:color w:val="auto"/>
                <w:spacing w:val="6"/>
                <w:kern w:val="0"/>
                <w:sz w:val="21"/>
                <w:vertAlign w:val="baseline"/>
                <w:lang w:val="en-US" w:eastAsia="zh-CN" w:bidi="ar"/>
              </w:rPr>
            </w:pPr>
            <w:r>
              <w:rPr>
                <w:rFonts w:hint="eastAsia" w:cs="宋体"/>
                <w:b w:val="0"/>
                <w:bCs w:val="0"/>
                <w:color w:val="auto"/>
                <w:spacing w:val="6"/>
                <w:kern w:val="0"/>
                <w:sz w:val="21"/>
                <w:vertAlign w:val="baseline"/>
                <w:lang w:val="en-US" w:eastAsia="zh-CN" w:bidi="ar"/>
              </w:rPr>
              <w:t>除尘灰</w:t>
            </w:r>
          </w:p>
        </w:tc>
        <w:tc>
          <w:tcPr>
            <w:tcW w:w="1701" w:type="dxa"/>
            <w:shd w:val="clear" w:color="auto" w:fill="auto"/>
            <w:vAlign w:val="center"/>
          </w:tcPr>
          <w:p w14:paraId="0BE4AF84">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276" w:type="dxa"/>
            <w:shd w:val="clear" w:color="auto" w:fill="auto"/>
            <w:vAlign w:val="center"/>
          </w:tcPr>
          <w:p w14:paraId="4F0C945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701" w:type="dxa"/>
            <w:shd w:val="clear" w:color="auto" w:fill="auto"/>
            <w:vAlign w:val="center"/>
          </w:tcPr>
          <w:p w14:paraId="24B30B0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559" w:type="dxa"/>
            <w:vAlign w:val="center"/>
          </w:tcPr>
          <w:p w14:paraId="563A43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kern w:val="0"/>
                <w:sz w:val="21"/>
                <w:szCs w:val="21"/>
                <w:lang w:val="en-US" w:eastAsia="zh-CN"/>
              </w:rPr>
            </w:pPr>
            <w:r>
              <w:rPr>
                <w:rFonts w:hint="eastAsia"/>
                <w:color w:val="auto"/>
                <w:kern w:val="0"/>
                <w:sz w:val="21"/>
                <w:szCs w:val="21"/>
                <w:lang w:val="en-US" w:eastAsia="zh-CN"/>
              </w:rPr>
              <w:t>1.6799</w:t>
            </w:r>
            <w:r>
              <w:rPr>
                <w:rFonts w:ascii="Times New Roman" w:hAnsi="Times New Roman" w:eastAsia="宋体" w:cs="宋体"/>
                <w:color w:val="auto"/>
                <w:w w:val="90"/>
                <w:szCs w:val="21"/>
                <w:lang w:bidi="ar"/>
              </w:rPr>
              <w:t>t/a</w:t>
            </w:r>
          </w:p>
        </w:tc>
        <w:tc>
          <w:tcPr>
            <w:tcW w:w="1761" w:type="dxa"/>
            <w:vAlign w:val="center"/>
          </w:tcPr>
          <w:p w14:paraId="5B8D6339">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cs="宋体"/>
                <w:snapToGrid w:val="0"/>
                <w:color w:val="auto"/>
                <w:kern w:val="21"/>
                <w:szCs w:val="21"/>
                <w:lang w:val="en-US" w:eastAsia="zh-CN"/>
              </w:rPr>
              <w:t>0</w:t>
            </w:r>
          </w:p>
        </w:tc>
        <w:tc>
          <w:tcPr>
            <w:tcW w:w="1959" w:type="dxa"/>
            <w:vAlign w:val="center"/>
          </w:tcPr>
          <w:p w14:paraId="2BFC059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kern w:val="0"/>
                <w:sz w:val="21"/>
                <w:szCs w:val="21"/>
                <w:lang w:val="en-US" w:eastAsia="zh-CN"/>
              </w:rPr>
            </w:pPr>
            <w:r>
              <w:rPr>
                <w:rFonts w:hint="eastAsia" w:ascii="Times New Roman" w:hAnsi="Times New Roman" w:cs="Times New Roman"/>
                <w:color w:val="auto"/>
                <w:kern w:val="0"/>
                <w:sz w:val="21"/>
                <w:szCs w:val="21"/>
                <w:lang w:val="en-US" w:eastAsia="zh-CN"/>
              </w:rPr>
              <w:t>1.</w:t>
            </w:r>
            <w:r>
              <w:rPr>
                <w:rFonts w:hint="eastAsia" w:cs="Times New Roman"/>
                <w:color w:val="auto"/>
                <w:kern w:val="0"/>
                <w:sz w:val="21"/>
                <w:szCs w:val="21"/>
                <w:lang w:val="en-US" w:eastAsia="zh-CN"/>
              </w:rPr>
              <w:t>6799</w:t>
            </w:r>
            <w:r>
              <w:rPr>
                <w:rFonts w:hint="eastAsia" w:ascii="Times New Roman" w:hAnsi="Times New Roman" w:cs="Times New Roman"/>
                <w:color w:val="auto"/>
                <w:kern w:val="0"/>
                <w:sz w:val="21"/>
                <w:szCs w:val="21"/>
                <w:lang w:val="en-US" w:eastAsia="zh-CN"/>
              </w:rPr>
              <w:t>t/a</w:t>
            </w:r>
          </w:p>
        </w:tc>
        <w:tc>
          <w:tcPr>
            <w:tcW w:w="1383" w:type="dxa"/>
            <w:vAlign w:val="center"/>
          </w:tcPr>
          <w:p w14:paraId="3D1DB0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+1.6799</w:t>
            </w:r>
            <w:r>
              <w:rPr>
                <w:rFonts w:ascii="Times New Roman" w:hAnsi="Times New Roman" w:eastAsia="宋体" w:cs="宋体"/>
                <w:color w:val="auto"/>
                <w:w w:val="90"/>
                <w:szCs w:val="21"/>
                <w:lang w:bidi="ar"/>
              </w:rPr>
              <w:t>t/a</w:t>
            </w:r>
          </w:p>
        </w:tc>
      </w:tr>
      <w:tr w14:paraId="49803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58" w:type="dxa"/>
            <w:vMerge w:val="continue"/>
            <w:vAlign w:val="center"/>
          </w:tcPr>
          <w:p w14:paraId="04BF185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p>
        </w:tc>
        <w:tc>
          <w:tcPr>
            <w:tcW w:w="1947" w:type="dxa"/>
            <w:vAlign w:val="center"/>
          </w:tcPr>
          <w:p w14:paraId="3CAF0F3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不合格品</w:t>
            </w:r>
          </w:p>
        </w:tc>
        <w:tc>
          <w:tcPr>
            <w:tcW w:w="1701" w:type="dxa"/>
            <w:shd w:val="clear" w:color="auto" w:fill="auto"/>
            <w:vAlign w:val="center"/>
          </w:tcPr>
          <w:p w14:paraId="2E25BF50">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210D3A2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7B287B4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119D1AF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600</w:t>
            </w:r>
            <w:r>
              <w:rPr>
                <w:rFonts w:hint="eastAsia" w:ascii="Times New Roman" w:hAnsi="Times New Roman" w:eastAsia="宋体"/>
                <w:color w:val="auto"/>
                <w:kern w:val="0"/>
                <w:sz w:val="21"/>
                <w:szCs w:val="21"/>
                <w:lang w:val="en-US" w:eastAsia="zh-CN"/>
              </w:rPr>
              <w:t>t/a</w:t>
            </w:r>
          </w:p>
        </w:tc>
        <w:tc>
          <w:tcPr>
            <w:tcW w:w="1761" w:type="dxa"/>
            <w:vAlign w:val="center"/>
          </w:tcPr>
          <w:p w14:paraId="6FFD733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default"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38876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600</w:t>
            </w:r>
            <w:r>
              <w:rPr>
                <w:rFonts w:hint="eastAsia" w:ascii="Times New Roman" w:hAnsi="Times New Roman" w:eastAsia="宋体"/>
                <w:color w:val="auto"/>
                <w:kern w:val="0"/>
                <w:sz w:val="21"/>
                <w:szCs w:val="21"/>
                <w:lang w:val="en-US" w:eastAsia="zh-CN"/>
              </w:rPr>
              <w:t>t/a</w:t>
            </w:r>
          </w:p>
        </w:tc>
        <w:tc>
          <w:tcPr>
            <w:tcW w:w="1383" w:type="dxa"/>
            <w:vAlign w:val="center"/>
          </w:tcPr>
          <w:p w14:paraId="51B5E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+600</w:t>
            </w:r>
            <w:r>
              <w:rPr>
                <w:rFonts w:ascii="Times New Roman" w:hAnsi="Times New Roman" w:eastAsia="宋体" w:cs="宋体"/>
                <w:color w:val="auto"/>
                <w:w w:val="90"/>
                <w:szCs w:val="21"/>
                <w:lang w:bidi="ar"/>
              </w:rPr>
              <w:t>t/a</w:t>
            </w:r>
          </w:p>
        </w:tc>
      </w:tr>
      <w:tr w14:paraId="548DB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restart"/>
            <w:vAlign w:val="center"/>
          </w:tcPr>
          <w:p w14:paraId="3525CCD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snapToGrid w:val="0"/>
                <w:color w:val="auto"/>
                <w:kern w:val="21"/>
                <w:szCs w:val="21"/>
              </w:rPr>
            </w:pPr>
            <w:r>
              <w:rPr>
                <w:rFonts w:hint="eastAsia" w:ascii="Times New Roman" w:hAnsi="Times New Roman" w:eastAsia="宋体" w:cs="宋体"/>
                <w:snapToGrid w:val="0"/>
                <w:color w:val="auto"/>
                <w:kern w:val="21"/>
                <w:szCs w:val="21"/>
              </w:rPr>
              <w:t>危险废物</w:t>
            </w:r>
          </w:p>
        </w:tc>
        <w:tc>
          <w:tcPr>
            <w:tcW w:w="1947" w:type="dxa"/>
            <w:vAlign w:val="center"/>
          </w:tcPr>
          <w:p w14:paraId="191EBDC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宋体"/>
                <w:snapToGrid w:val="0"/>
                <w:color w:val="auto"/>
                <w:kern w:val="21"/>
                <w:szCs w:val="21"/>
                <w:lang w:eastAsia="zh-CN"/>
              </w:rPr>
            </w:pPr>
            <w:r>
              <w:rPr>
                <w:rFonts w:hint="eastAsia" w:ascii="Times New Roman" w:hAnsi="Times New Roman" w:eastAsia="宋体" w:cs="宋体"/>
                <w:b w:val="0"/>
                <w:bCs w:val="0"/>
                <w:color w:val="auto"/>
                <w:spacing w:val="6"/>
                <w:kern w:val="0"/>
                <w:sz w:val="21"/>
                <w:vertAlign w:val="baseline"/>
                <w:lang w:val="en-US" w:eastAsia="zh-CN" w:bidi="ar"/>
              </w:rPr>
              <w:t>废机油</w:t>
            </w:r>
          </w:p>
        </w:tc>
        <w:tc>
          <w:tcPr>
            <w:tcW w:w="1701" w:type="dxa"/>
            <w:shd w:val="clear" w:color="auto" w:fill="auto"/>
            <w:vAlign w:val="center"/>
          </w:tcPr>
          <w:p w14:paraId="5964AC4C">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color w:val="auto"/>
                <w:w w:val="90"/>
                <w:szCs w:val="21"/>
                <w:lang w:val="en-US" w:eastAsia="zh-CN" w:bidi="ar"/>
              </w:rPr>
              <w:t>0</w:t>
            </w:r>
          </w:p>
        </w:tc>
        <w:tc>
          <w:tcPr>
            <w:tcW w:w="1276" w:type="dxa"/>
            <w:shd w:val="clear" w:color="auto" w:fill="auto"/>
            <w:vAlign w:val="center"/>
          </w:tcPr>
          <w:p w14:paraId="6F5A37A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color w:val="auto"/>
                <w:w w:val="90"/>
                <w:szCs w:val="21"/>
                <w:lang w:val="en-US" w:eastAsia="zh-CN" w:bidi="ar"/>
              </w:rPr>
              <w:t>0</w:t>
            </w:r>
          </w:p>
        </w:tc>
        <w:tc>
          <w:tcPr>
            <w:tcW w:w="1701" w:type="dxa"/>
            <w:shd w:val="clear" w:color="auto" w:fill="auto"/>
            <w:vAlign w:val="center"/>
          </w:tcPr>
          <w:p w14:paraId="2BC3C6EA">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color w:val="auto"/>
                <w:w w:val="90"/>
                <w:szCs w:val="21"/>
                <w:lang w:val="en-US" w:eastAsia="zh-CN" w:bidi="ar"/>
              </w:rPr>
              <w:t>0</w:t>
            </w:r>
          </w:p>
        </w:tc>
        <w:tc>
          <w:tcPr>
            <w:tcW w:w="1559" w:type="dxa"/>
            <w:vAlign w:val="center"/>
          </w:tcPr>
          <w:p w14:paraId="67FAE6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2</w:t>
            </w:r>
            <w:r>
              <w:rPr>
                <w:rFonts w:hint="eastAsia" w:ascii="Times New Roman" w:hAnsi="Times New Roman" w:eastAsia="宋体" w:cs="Times New Roman"/>
                <w:color w:val="auto"/>
                <w:kern w:val="0"/>
                <w:szCs w:val="21"/>
                <w:lang w:val="en-US" w:eastAsia="zh-CN"/>
              </w:rPr>
              <w:t>t/a</w:t>
            </w:r>
          </w:p>
        </w:tc>
        <w:tc>
          <w:tcPr>
            <w:tcW w:w="1761" w:type="dxa"/>
            <w:vAlign w:val="center"/>
          </w:tcPr>
          <w:p w14:paraId="70AB899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color w:val="auto"/>
                <w:w w:val="90"/>
                <w:szCs w:val="21"/>
                <w:lang w:val="en-US" w:eastAsia="zh-CN" w:bidi="ar"/>
              </w:rPr>
            </w:pPr>
            <w:r>
              <w:rPr>
                <w:rFonts w:hint="eastAsia" w:ascii="Times New Roman" w:hAnsi="Times New Roman" w:eastAsia="宋体" w:cs="宋体"/>
                <w:color w:val="auto"/>
                <w:w w:val="90"/>
                <w:szCs w:val="21"/>
                <w:lang w:val="en-US" w:eastAsia="zh-CN" w:bidi="ar"/>
              </w:rPr>
              <w:t>0</w:t>
            </w:r>
          </w:p>
        </w:tc>
        <w:tc>
          <w:tcPr>
            <w:tcW w:w="1959" w:type="dxa"/>
            <w:vAlign w:val="center"/>
          </w:tcPr>
          <w:p w14:paraId="7C5094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hint="eastAsia"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2</w:t>
            </w:r>
            <w:r>
              <w:rPr>
                <w:rFonts w:hint="eastAsia" w:ascii="Times New Roman" w:hAnsi="Times New Roman" w:eastAsia="宋体" w:cs="Times New Roman"/>
                <w:color w:val="auto"/>
                <w:kern w:val="0"/>
                <w:szCs w:val="21"/>
                <w:lang w:val="en-US" w:eastAsia="zh-CN"/>
              </w:rPr>
              <w:t>t/a</w:t>
            </w:r>
          </w:p>
        </w:tc>
        <w:tc>
          <w:tcPr>
            <w:tcW w:w="1383" w:type="dxa"/>
            <w:vAlign w:val="center"/>
          </w:tcPr>
          <w:p w14:paraId="1849B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+0.2</w:t>
            </w:r>
            <w:r>
              <w:rPr>
                <w:rFonts w:ascii="Times New Roman" w:hAnsi="Times New Roman" w:eastAsia="宋体" w:cs="宋体"/>
                <w:color w:val="auto"/>
                <w:w w:val="90"/>
                <w:szCs w:val="21"/>
                <w:lang w:bidi="ar"/>
              </w:rPr>
              <w:t>t/a</w:t>
            </w:r>
          </w:p>
        </w:tc>
      </w:tr>
      <w:tr w14:paraId="4A2E4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578F099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rPr>
            </w:pPr>
          </w:p>
        </w:tc>
        <w:tc>
          <w:tcPr>
            <w:tcW w:w="1947" w:type="dxa"/>
            <w:vAlign w:val="center"/>
          </w:tcPr>
          <w:p w14:paraId="09EAEEE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s="宋体"/>
                <w:b w:val="0"/>
                <w:bCs w:val="0"/>
                <w:color w:val="auto"/>
                <w:spacing w:val="6"/>
                <w:kern w:val="0"/>
                <w:sz w:val="21"/>
                <w:vertAlign w:val="baseline"/>
                <w:lang w:val="en-US" w:eastAsia="zh-CN" w:bidi="ar"/>
              </w:rPr>
              <w:t>废液压油</w:t>
            </w:r>
          </w:p>
        </w:tc>
        <w:tc>
          <w:tcPr>
            <w:tcW w:w="1701" w:type="dxa"/>
            <w:shd w:val="clear" w:color="auto" w:fill="auto"/>
            <w:vAlign w:val="center"/>
          </w:tcPr>
          <w:p w14:paraId="440E681B">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22E4C57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30C52AD7">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宋体"/>
                <w:snapToGrid w:val="0"/>
                <w:color w:val="auto"/>
                <w:kern w:val="21"/>
                <w:sz w:val="21"/>
                <w:szCs w:val="21"/>
                <w:lang w:val="en-US" w:eastAsia="zh-CN" w:bidi="ar-SA"/>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7285A84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w:t>
            </w:r>
            <w:r>
              <w:rPr>
                <w:rFonts w:hint="eastAsia"/>
                <w:color w:val="auto"/>
                <w:kern w:val="0"/>
                <w:sz w:val="21"/>
                <w:szCs w:val="21"/>
                <w:lang w:val="en-US" w:eastAsia="zh-CN"/>
              </w:rPr>
              <w:t>36</w:t>
            </w:r>
            <w:r>
              <w:rPr>
                <w:rFonts w:ascii="Times New Roman" w:hAnsi="Times New Roman" w:eastAsia="宋体" w:cs="宋体"/>
                <w:color w:val="auto"/>
                <w:w w:val="90"/>
                <w:szCs w:val="21"/>
                <w:lang w:bidi="ar"/>
              </w:rPr>
              <w:t>t/a</w:t>
            </w:r>
          </w:p>
        </w:tc>
        <w:tc>
          <w:tcPr>
            <w:tcW w:w="1761" w:type="dxa"/>
            <w:vAlign w:val="center"/>
          </w:tcPr>
          <w:p w14:paraId="6110A5A3">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lang w:val="en-US" w:eastAsia="zh-CN"/>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78BC7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0.</w:t>
            </w:r>
            <w:r>
              <w:rPr>
                <w:rFonts w:hint="eastAsia"/>
                <w:color w:val="auto"/>
                <w:kern w:val="0"/>
                <w:sz w:val="21"/>
                <w:szCs w:val="21"/>
                <w:lang w:val="en-US" w:eastAsia="zh-CN"/>
              </w:rPr>
              <w:t>36</w:t>
            </w:r>
            <w:r>
              <w:rPr>
                <w:rFonts w:ascii="Times New Roman" w:hAnsi="Times New Roman" w:eastAsia="宋体" w:cs="宋体"/>
                <w:color w:val="auto"/>
                <w:w w:val="90"/>
                <w:szCs w:val="21"/>
                <w:lang w:bidi="ar"/>
              </w:rPr>
              <w:t>t/a</w:t>
            </w:r>
          </w:p>
        </w:tc>
        <w:tc>
          <w:tcPr>
            <w:tcW w:w="1383" w:type="dxa"/>
            <w:vAlign w:val="center"/>
          </w:tcPr>
          <w:p w14:paraId="0C4C7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+0.36</w:t>
            </w:r>
            <w:r>
              <w:rPr>
                <w:rFonts w:ascii="Times New Roman" w:hAnsi="Times New Roman" w:eastAsia="宋体" w:cs="宋体"/>
                <w:color w:val="auto"/>
                <w:w w:val="90"/>
                <w:szCs w:val="21"/>
                <w:lang w:bidi="ar"/>
              </w:rPr>
              <w:t>t/a</w:t>
            </w:r>
          </w:p>
        </w:tc>
      </w:tr>
      <w:tr w14:paraId="75622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058" w:type="dxa"/>
            <w:vMerge w:val="continue"/>
            <w:vAlign w:val="center"/>
          </w:tcPr>
          <w:p w14:paraId="4C7A4075">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hint="eastAsia" w:ascii="Times New Roman" w:hAnsi="Times New Roman" w:eastAsia="宋体" w:cs="宋体"/>
                <w:snapToGrid w:val="0"/>
                <w:color w:val="auto"/>
                <w:kern w:val="21"/>
                <w:szCs w:val="21"/>
              </w:rPr>
            </w:pPr>
          </w:p>
        </w:tc>
        <w:tc>
          <w:tcPr>
            <w:tcW w:w="1947" w:type="dxa"/>
            <w:vAlign w:val="center"/>
          </w:tcPr>
          <w:p w14:paraId="38434B9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olor w:val="auto"/>
                <w:lang w:eastAsia="zh-CN"/>
              </w:rPr>
            </w:pPr>
            <w:r>
              <w:rPr>
                <w:rFonts w:hint="eastAsia" w:ascii="Times New Roman" w:hAnsi="Times New Roman" w:eastAsia="宋体" w:cs="宋体"/>
                <w:b w:val="0"/>
                <w:bCs w:val="0"/>
                <w:color w:val="auto"/>
                <w:spacing w:val="6"/>
                <w:kern w:val="0"/>
                <w:sz w:val="21"/>
                <w:vertAlign w:val="baseline"/>
                <w:lang w:val="en-US" w:eastAsia="zh-CN" w:bidi="ar"/>
              </w:rPr>
              <w:t>含油废抹布</w:t>
            </w:r>
          </w:p>
        </w:tc>
        <w:tc>
          <w:tcPr>
            <w:tcW w:w="1701" w:type="dxa"/>
            <w:shd w:val="clear" w:color="auto" w:fill="auto"/>
            <w:vAlign w:val="center"/>
          </w:tcPr>
          <w:p w14:paraId="32B59C2D">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276" w:type="dxa"/>
            <w:shd w:val="clear" w:color="auto" w:fill="auto"/>
            <w:vAlign w:val="center"/>
          </w:tcPr>
          <w:p w14:paraId="34B44508">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701" w:type="dxa"/>
            <w:shd w:val="clear" w:color="auto" w:fill="auto"/>
            <w:vAlign w:val="center"/>
          </w:tcPr>
          <w:p w14:paraId="4FDAAEF1">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ascii="Times New Roman" w:hAnsi="Times New Roman" w:eastAsia="宋体" w:cs="宋体"/>
                <w:color w:val="auto"/>
                <w:w w:val="90"/>
                <w:kern w:val="0"/>
                <w:sz w:val="21"/>
                <w:szCs w:val="21"/>
                <w:lang w:val="en-US" w:eastAsia="zh-CN" w:bidi="ar"/>
              </w:rPr>
            </w:pPr>
            <w:r>
              <w:rPr>
                <w:rFonts w:hint="eastAsia" w:ascii="Times New Roman" w:hAnsi="Times New Roman" w:eastAsia="宋体" w:cs="宋体"/>
                <w:snapToGrid w:val="0"/>
                <w:color w:val="auto"/>
                <w:kern w:val="21"/>
                <w:szCs w:val="21"/>
                <w:lang w:val="en-US" w:eastAsia="zh-CN"/>
              </w:rPr>
              <w:t>0</w:t>
            </w:r>
          </w:p>
        </w:tc>
        <w:tc>
          <w:tcPr>
            <w:tcW w:w="1559" w:type="dxa"/>
            <w:vAlign w:val="center"/>
          </w:tcPr>
          <w:p w14:paraId="105ABED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宋体" w:cs="Times New Roman"/>
                <w:color w:val="auto"/>
                <w:kern w:val="0"/>
                <w:szCs w:val="21"/>
                <w:lang w:val="en-US" w:eastAsia="zh-CN"/>
              </w:rPr>
            </w:pPr>
            <w:r>
              <w:rPr>
                <w:rFonts w:ascii="Times New Roman" w:hAnsi="Times New Roman" w:eastAsia="宋体"/>
                <w:color w:val="auto"/>
                <w:kern w:val="0"/>
                <w:sz w:val="21"/>
                <w:szCs w:val="21"/>
              </w:rPr>
              <w:t>0.</w:t>
            </w:r>
            <w:r>
              <w:rPr>
                <w:rFonts w:hint="eastAsia" w:ascii="Times New Roman" w:hAnsi="Times New Roman" w:eastAsia="宋体"/>
                <w:color w:val="auto"/>
                <w:kern w:val="0"/>
                <w:sz w:val="21"/>
                <w:szCs w:val="21"/>
                <w:lang w:val="en-US" w:eastAsia="zh-CN"/>
              </w:rPr>
              <w:t>005</w:t>
            </w:r>
            <w:r>
              <w:rPr>
                <w:rFonts w:ascii="Times New Roman" w:hAnsi="Times New Roman" w:eastAsia="宋体" w:cs="宋体"/>
                <w:color w:val="auto"/>
                <w:w w:val="90"/>
                <w:szCs w:val="21"/>
                <w:lang w:bidi="ar"/>
              </w:rPr>
              <w:t>t/a</w:t>
            </w:r>
          </w:p>
        </w:tc>
        <w:tc>
          <w:tcPr>
            <w:tcW w:w="1761" w:type="dxa"/>
            <w:vAlign w:val="center"/>
          </w:tcPr>
          <w:p w14:paraId="3C6D5482">
            <w:pPr>
              <w:pStyle w:val="33"/>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textAlignment w:val="auto"/>
              <w:rPr>
                <w:rFonts w:ascii="Times New Roman" w:hAnsi="Times New Roman" w:eastAsia="宋体" w:cs="宋体"/>
                <w:color w:val="auto"/>
                <w:w w:val="90"/>
                <w:szCs w:val="21"/>
                <w:lang w:bidi="ar"/>
              </w:rPr>
            </w:pPr>
            <w:r>
              <w:rPr>
                <w:rFonts w:hint="eastAsia" w:ascii="Times New Roman" w:hAnsi="Times New Roman" w:eastAsia="宋体" w:cs="宋体"/>
                <w:snapToGrid w:val="0"/>
                <w:color w:val="auto"/>
                <w:kern w:val="21"/>
                <w:szCs w:val="21"/>
                <w:lang w:val="en-US" w:eastAsia="zh-CN"/>
              </w:rPr>
              <w:t>0</w:t>
            </w:r>
          </w:p>
        </w:tc>
        <w:tc>
          <w:tcPr>
            <w:tcW w:w="1959" w:type="dxa"/>
            <w:vAlign w:val="center"/>
          </w:tcPr>
          <w:p w14:paraId="15921E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宋体"/>
                <w:color w:val="auto"/>
                <w:w w:val="90"/>
                <w:szCs w:val="21"/>
                <w:lang w:bidi="ar"/>
              </w:rPr>
            </w:pPr>
            <w:r>
              <w:rPr>
                <w:rFonts w:ascii="Times New Roman" w:hAnsi="Times New Roman" w:eastAsia="宋体"/>
                <w:color w:val="auto"/>
                <w:kern w:val="0"/>
                <w:sz w:val="21"/>
                <w:szCs w:val="21"/>
              </w:rPr>
              <w:t>0.</w:t>
            </w:r>
            <w:r>
              <w:rPr>
                <w:rFonts w:hint="eastAsia" w:ascii="Times New Roman" w:hAnsi="Times New Roman" w:eastAsia="宋体"/>
                <w:color w:val="auto"/>
                <w:kern w:val="0"/>
                <w:sz w:val="21"/>
                <w:szCs w:val="21"/>
                <w:lang w:val="en-US" w:eastAsia="zh-CN"/>
              </w:rPr>
              <w:t>005</w:t>
            </w:r>
            <w:r>
              <w:rPr>
                <w:rFonts w:ascii="Times New Roman" w:hAnsi="Times New Roman" w:eastAsia="宋体" w:cs="宋体"/>
                <w:color w:val="auto"/>
                <w:w w:val="90"/>
                <w:szCs w:val="21"/>
                <w:lang w:bidi="ar"/>
              </w:rPr>
              <w:t>t/a</w:t>
            </w:r>
          </w:p>
        </w:tc>
        <w:tc>
          <w:tcPr>
            <w:tcW w:w="1383" w:type="dxa"/>
            <w:vAlign w:val="center"/>
          </w:tcPr>
          <w:p w14:paraId="3FD22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color w:val="auto"/>
                <w:sz w:val="21"/>
                <w:szCs w:val="21"/>
                <w:lang w:val="en-US" w:eastAsia="zh-CN"/>
              </w:rPr>
              <w:t>+0.005</w:t>
            </w:r>
            <w:r>
              <w:rPr>
                <w:rFonts w:ascii="Times New Roman" w:hAnsi="Times New Roman" w:eastAsia="宋体" w:cs="宋体"/>
                <w:color w:val="auto"/>
                <w:w w:val="90"/>
                <w:szCs w:val="21"/>
                <w:lang w:bidi="ar"/>
              </w:rPr>
              <w:t>t/a</w:t>
            </w:r>
          </w:p>
        </w:tc>
      </w:tr>
      <w:bookmarkEnd w:id="21"/>
    </w:tbl>
    <w:p w14:paraId="75663C74">
      <w:pPr>
        <w:pStyle w:val="23"/>
        <w:rPr>
          <w:rFonts w:ascii="Times New Roman" w:hAnsi="Times New Roman" w:eastAsia="宋体"/>
          <w:color w:val="auto"/>
        </w:rPr>
      </w:pPr>
      <w:r>
        <w:rPr>
          <w:rFonts w:ascii="Times New Roman" w:hAnsi="Times New Roman" w:eastAsia="宋体"/>
          <w:snapToGrid w:val="0"/>
          <w:color w:val="auto"/>
          <w:kern w:val="21"/>
          <w:szCs w:val="21"/>
        </w:rPr>
        <w:t>注：</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olor w:val="auto"/>
          <w:szCs w:val="21"/>
        </w:rPr>
        <w:t>⑥</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①</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3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③</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4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④</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5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olor w:val="auto"/>
          <w:szCs w:val="21"/>
        </w:rPr>
        <w:t>⑤</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7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⑦</w:t>
      </w:r>
      <w:r>
        <w:rPr>
          <w:rFonts w:ascii="Times New Roman" w:hAnsi="Times New Roman" w:eastAsia="宋体"/>
          <w:snapToGrid w:val="0"/>
          <w:color w:val="auto"/>
          <w:spacing w:val="-6"/>
          <w:kern w:val="21"/>
          <w:szCs w:val="21"/>
        </w:rPr>
        <w:fldChar w:fldCharType="end"/>
      </w:r>
      <w:r>
        <w:rPr>
          <w:rFonts w:ascii="Times New Roman" w:hAnsi="Times New Roman" w:eastAsia="宋体"/>
          <w:snapToGrid w:val="0"/>
          <w:color w:val="auto"/>
          <w:spacing w:val="-6"/>
          <w:kern w:val="21"/>
          <w:szCs w:val="21"/>
        </w:rPr>
        <w:t>=</w:t>
      </w:r>
      <w:r>
        <w:rPr>
          <w:rFonts w:ascii="Times New Roman" w:hAnsi="Times New Roman" w:eastAsia="宋体"/>
          <w:snapToGrid w:val="0"/>
          <w:color w:val="auto"/>
          <w:spacing w:val="-16"/>
          <w:kern w:val="21"/>
          <w:szCs w:val="21"/>
        </w:rPr>
        <w:fldChar w:fldCharType="begin"/>
      </w:r>
      <w:r>
        <w:rPr>
          <w:rFonts w:ascii="Times New Roman" w:hAnsi="Times New Roman" w:eastAsia="宋体"/>
          <w:snapToGrid w:val="0"/>
          <w:color w:val="auto"/>
          <w:spacing w:val="-16"/>
          <w:kern w:val="21"/>
          <w:szCs w:val="21"/>
        </w:rPr>
        <w:instrText xml:space="preserve"> = 6 \* GB3 \* MERGEFORMAT </w:instrText>
      </w:r>
      <w:r>
        <w:rPr>
          <w:rFonts w:ascii="Times New Roman" w:hAnsi="Times New Roman" w:eastAsia="宋体"/>
          <w:snapToGrid w:val="0"/>
          <w:color w:val="auto"/>
          <w:spacing w:val="-16"/>
          <w:kern w:val="21"/>
          <w:szCs w:val="21"/>
        </w:rPr>
        <w:fldChar w:fldCharType="separate"/>
      </w:r>
      <w:r>
        <w:rPr>
          <w:rFonts w:hint="eastAsia" w:ascii="Times New Roman" w:hAnsi="Times New Roman" w:eastAsia="宋体"/>
          <w:color w:val="auto"/>
          <w:szCs w:val="21"/>
        </w:rPr>
        <w:t>⑥</w:t>
      </w:r>
      <w:r>
        <w:rPr>
          <w:rFonts w:ascii="Times New Roman" w:hAnsi="Times New Roman" w:eastAsia="宋体"/>
          <w:snapToGrid w:val="0"/>
          <w:color w:val="auto"/>
          <w:spacing w:val="-16"/>
          <w:kern w:val="21"/>
          <w:szCs w:val="21"/>
        </w:rPr>
        <w:fldChar w:fldCharType="end"/>
      </w:r>
      <w:r>
        <w:rPr>
          <w:rFonts w:ascii="Times New Roman" w:hAnsi="Times New Roman" w:eastAsia="宋体"/>
          <w:snapToGrid w:val="0"/>
          <w:color w:val="auto"/>
          <w:spacing w:val="-16"/>
          <w:kern w:val="21"/>
          <w:szCs w:val="21"/>
        </w:rPr>
        <w:t>-</w:t>
      </w:r>
      <w:r>
        <w:rPr>
          <w:rFonts w:ascii="Times New Roman" w:hAnsi="Times New Roman" w:eastAsia="宋体"/>
          <w:snapToGrid w:val="0"/>
          <w:color w:val="auto"/>
          <w:spacing w:val="-6"/>
          <w:kern w:val="21"/>
          <w:szCs w:val="21"/>
        </w:rPr>
        <w:fldChar w:fldCharType="begin"/>
      </w:r>
      <w:r>
        <w:rPr>
          <w:rFonts w:ascii="Times New Roman" w:hAnsi="Times New Roman" w:eastAsia="宋体"/>
          <w:snapToGrid w:val="0"/>
          <w:color w:val="auto"/>
          <w:spacing w:val="-6"/>
          <w:kern w:val="21"/>
          <w:szCs w:val="21"/>
        </w:rPr>
        <w:instrText xml:space="preserve"> = 1 \* GB3 \* MERGEFORMAT </w:instrText>
      </w:r>
      <w:r>
        <w:rPr>
          <w:rFonts w:ascii="Times New Roman" w:hAnsi="Times New Roman" w:eastAsia="宋体"/>
          <w:snapToGrid w:val="0"/>
          <w:color w:val="auto"/>
          <w:spacing w:val="-6"/>
          <w:kern w:val="21"/>
          <w:szCs w:val="21"/>
        </w:rPr>
        <w:fldChar w:fldCharType="separate"/>
      </w:r>
      <w:r>
        <w:rPr>
          <w:rFonts w:hint="eastAsia" w:ascii="Times New Roman" w:hAnsi="Times New Roman" w:eastAsia="宋体"/>
          <w:color w:val="auto"/>
          <w:szCs w:val="21"/>
        </w:rPr>
        <w:t>①</w:t>
      </w:r>
      <w:r>
        <w:rPr>
          <w:rFonts w:ascii="Times New Roman" w:hAnsi="Times New Roman" w:eastAsia="宋体"/>
          <w:snapToGrid w:val="0"/>
          <w:color w:val="auto"/>
          <w:spacing w:val="-6"/>
          <w:kern w:val="21"/>
          <w:szCs w:val="21"/>
        </w:rPr>
        <w:fldChar w:fldCharType="end"/>
      </w:r>
    </w:p>
    <w:sectPr>
      <w:footerReference r:id="rId5" w:type="default"/>
      <w:pgSz w:w="16838" w:h="11905" w:orient="landscape"/>
      <w:pgMar w:top="1701" w:right="1440" w:bottom="1701" w:left="1440" w:header="851" w:footer="1077" w:gutter="0"/>
      <w:pgBorders>
        <w:top w:val="none" w:sz="0" w:space="0"/>
        <w:left w:val="none" w:sz="0" w:space="0"/>
        <w:bottom w:val="none" w:sz="0" w:space="0"/>
        <w:right w:val="none" w:sz="0" w:space="0"/>
      </w:pgBorders>
      <w:pgNumType w:fmt="decimal"/>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Inter">
    <w:altName w:val="Times New Roman"/>
    <w:panose1 w:val="02000503000000020004"/>
    <w:charset w:val="00"/>
    <w:family w:val="auto"/>
    <w:pitch w:val="default"/>
    <w:sig w:usb0="00000000" w:usb1="00000000" w:usb2="00000001" w:usb3="00000000" w:csb0="0000019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Wingdings 2">
    <w:altName w:val="Wingdings"/>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78D5D">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8CB78">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F28CB78">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93471">
    <w:pPr>
      <w:pStyle w:val="1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42717">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A442717">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8265B">
    <w:pPr>
      <w:pStyle w:val="17"/>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83CE2">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D083CE2">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3B34E"/>
    <w:multiLevelType w:val="singleLevel"/>
    <w:tmpl w:val="0323B34E"/>
    <w:lvl w:ilvl="0" w:tentative="0">
      <w:start w:val="21"/>
      <w:numFmt w:val="decimal"/>
      <w:lvlText w:val="%1."/>
      <w:lvlJc w:val="left"/>
      <w:pPr>
        <w:tabs>
          <w:tab w:val="left" w:pos="312"/>
        </w:tabs>
      </w:pPr>
    </w:lvl>
  </w:abstractNum>
  <w:abstractNum w:abstractNumId="1">
    <w:nsid w:val="314C714E"/>
    <w:multiLevelType w:val="singleLevel"/>
    <w:tmpl w:val="314C714E"/>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2">
    <w:nsid w:val="6BDAF62E"/>
    <w:multiLevelType w:val="singleLevel"/>
    <w:tmpl w:val="6BDAF62E"/>
    <w:lvl w:ilvl="0" w:tentative="0">
      <w:start w:val="14"/>
      <w:numFmt w:val="chineseCounting"/>
      <w:suff w:val="nothing"/>
      <w:lvlText w:val="第%1条　"/>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yMjk4MjFhYjIzN2E4Nzk3MWZlZWU3ZTFhZjc5N2IifQ=="/>
  </w:docVars>
  <w:rsids>
    <w:rsidRoot w:val="00172A27"/>
    <w:rsid w:val="000017C5"/>
    <w:rsid w:val="00001C44"/>
    <w:rsid w:val="00004090"/>
    <w:rsid w:val="00004D6B"/>
    <w:rsid w:val="00004F63"/>
    <w:rsid w:val="0000527E"/>
    <w:rsid w:val="00005DA0"/>
    <w:rsid w:val="000060B3"/>
    <w:rsid w:val="00007FAC"/>
    <w:rsid w:val="0001036F"/>
    <w:rsid w:val="00010862"/>
    <w:rsid w:val="000116F2"/>
    <w:rsid w:val="000144DD"/>
    <w:rsid w:val="00015024"/>
    <w:rsid w:val="00015725"/>
    <w:rsid w:val="00015D0D"/>
    <w:rsid w:val="000161FA"/>
    <w:rsid w:val="00016C44"/>
    <w:rsid w:val="00021D20"/>
    <w:rsid w:val="00022B0E"/>
    <w:rsid w:val="000238BC"/>
    <w:rsid w:val="00023B76"/>
    <w:rsid w:val="00023CB6"/>
    <w:rsid w:val="000249F1"/>
    <w:rsid w:val="00024C72"/>
    <w:rsid w:val="00024DA4"/>
    <w:rsid w:val="00024F38"/>
    <w:rsid w:val="00026F9C"/>
    <w:rsid w:val="00027DC5"/>
    <w:rsid w:val="000302BE"/>
    <w:rsid w:val="00030485"/>
    <w:rsid w:val="00030EAC"/>
    <w:rsid w:val="000333D7"/>
    <w:rsid w:val="00033FFD"/>
    <w:rsid w:val="00034BE5"/>
    <w:rsid w:val="00035A52"/>
    <w:rsid w:val="000360C8"/>
    <w:rsid w:val="00037233"/>
    <w:rsid w:val="00037DD0"/>
    <w:rsid w:val="00043210"/>
    <w:rsid w:val="0004364B"/>
    <w:rsid w:val="00044BEC"/>
    <w:rsid w:val="00045A55"/>
    <w:rsid w:val="00045BC9"/>
    <w:rsid w:val="000477C1"/>
    <w:rsid w:val="00047C3A"/>
    <w:rsid w:val="0005082F"/>
    <w:rsid w:val="000516FC"/>
    <w:rsid w:val="00051F6F"/>
    <w:rsid w:val="000522CE"/>
    <w:rsid w:val="00052504"/>
    <w:rsid w:val="0005361B"/>
    <w:rsid w:val="00055226"/>
    <w:rsid w:val="00055B01"/>
    <w:rsid w:val="0005615E"/>
    <w:rsid w:val="00057355"/>
    <w:rsid w:val="00060329"/>
    <w:rsid w:val="00061B1F"/>
    <w:rsid w:val="00061D77"/>
    <w:rsid w:val="0006314B"/>
    <w:rsid w:val="000639C9"/>
    <w:rsid w:val="00066E59"/>
    <w:rsid w:val="000672CA"/>
    <w:rsid w:val="000724EC"/>
    <w:rsid w:val="0007329E"/>
    <w:rsid w:val="000733C4"/>
    <w:rsid w:val="000740D6"/>
    <w:rsid w:val="000743D8"/>
    <w:rsid w:val="00074783"/>
    <w:rsid w:val="00075F72"/>
    <w:rsid w:val="0008070B"/>
    <w:rsid w:val="000810AC"/>
    <w:rsid w:val="00081A02"/>
    <w:rsid w:val="00081EEB"/>
    <w:rsid w:val="00082231"/>
    <w:rsid w:val="00082BE1"/>
    <w:rsid w:val="00082CE7"/>
    <w:rsid w:val="00083F09"/>
    <w:rsid w:val="00084271"/>
    <w:rsid w:val="00085308"/>
    <w:rsid w:val="000854B3"/>
    <w:rsid w:val="00085607"/>
    <w:rsid w:val="00085616"/>
    <w:rsid w:val="00087575"/>
    <w:rsid w:val="000916DC"/>
    <w:rsid w:val="00092D38"/>
    <w:rsid w:val="0009377B"/>
    <w:rsid w:val="000A20C9"/>
    <w:rsid w:val="000A2646"/>
    <w:rsid w:val="000A3552"/>
    <w:rsid w:val="000A39E4"/>
    <w:rsid w:val="000A50C8"/>
    <w:rsid w:val="000A55EE"/>
    <w:rsid w:val="000B058F"/>
    <w:rsid w:val="000B0E6D"/>
    <w:rsid w:val="000B2703"/>
    <w:rsid w:val="000B4467"/>
    <w:rsid w:val="000B4DB9"/>
    <w:rsid w:val="000B5BBB"/>
    <w:rsid w:val="000B7969"/>
    <w:rsid w:val="000C09AC"/>
    <w:rsid w:val="000C767F"/>
    <w:rsid w:val="000D0E98"/>
    <w:rsid w:val="000D1CB9"/>
    <w:rsid w:val="000D2DD4"/>
    <w:rsid w:val="000D31EC"/>
    <w:rsid w:val="000D3E09"/>
    <w:rsid w:val="000D4DBF"/>
    <w:rsid w:val="000D5A44"/>
    <w:rsid w:val="000D7CD5"/>
    <w:rsid w:val="000E0A11"/>
    <w:rsid w:val="000E0FCF"/>
    <w:rsid w:val="000E3ED2"/>
    <w:rsid w:val="000E640E"/>
    <w:rsid w:val="000E66B5"/>
    <w:rsid w:val="000E6E3B"/>
    <w:rsid w:val="000E7D18"/>
    <w:rsid w:val="000F0970"/>
    <w:rsid w:val="000F0B59"/>
    <w:rsid w:val="000F0E46"/>
    <w:rsid w:val="000F3815"/>
    <w:rsid w:val="000F4E67"/>
    <w:rsid w:val="000F4EFC"/>
    <w:rsid w:val="000F5ECD"/>
    <w:rsid w:val="0010006E"/>
    <w:rsid w:val="0010171F"/>
    <w:rsid w:val="00102F6F"/>
    <w:rsid w:val="00103034"/>
    <w:rsid w:val="00103E87"/>
    <w:rsid w:val="0010441D"/>
    <w:rsid w:val="00106C62"/>
    <w:rsid w:val="0011150B"/>
    <w:rsid w:val="001117E7"/>
    <w:rsid w:val="00113373"/>
    <w:rsid w:val="00113C36"/>
    <w:rsid w:val="001144AF"/>
    <w:rsid w:val="00114539"/>
    <w:rsid w:val="0011777C"/>
    <w:rsid w:val="001177DA"/>
    <w:rsid w:val="00121B79"/>
    <w:rsid w:val="001230C8"/>
    <w:rsid w:val="00125803"/>
    <w:rsid w:val="00125896"/>
    <w:rsid w:val="00125D11"/>
    <w:rsid w:val="00126BF2"/>
    <w:rsid w:val="00131F42"/>
    <w:rsid w:val="001328CC"/>
    <w:rsid w:val="0013322A"/>
    <w:rsid w:val="001337E0"/>
    <w:rsid w:val="001357F1"/>
    <w:rsid w:val="00137F1B"/>
    <w:rsid w:val="001406E3"/>
    <w:rsid w:val="00140713"/>
    <w:rsid w:val="00140FA8"/>
    <w:rsid w:val="0014264B"/>
    <w:rsid w:val="00142FEB"/>
    <w:rsid w:val="00143773"/>
    <w:rsid w:val="00143A2D"/>
    <w:rsid w:val="0014432D"/>
    <w:rsid w:val="00144E8C"/>
    <w:rsid w:val="00145A41"/>
    <w:rsid w:val="00146362"/>
    <w:rsid w:val="00150A84"/>
    <w:rsid w:val="00151675"/>
    <w:rsid w:val="00151972"/>
    <w:rsid w:val="00151DE5"/>
    <w:rsid w:val="00151FAD"/>
    <w:rsid w:val="00154005"/>
    <w:rsid w:val="0015434A"/>
    <w:rsid w:val="0015547B"/>
    <w:rsid w:val="00156400"/>
    <w:rsid w:val="00156666"/>
    <w:rsid w:val="00157435"/>
    <w:rsid w:val="00160361"/>
    <w:rsid w:val="00160F4F"/>
    <w:rsid w:val="001612F6"/>
    <w:rsid w:val="00163A01"/>
    <w:rsid w:val="0016621F"/>
    <w:rsid w:val="0016681E"/>
    <w:rsid w:val="001703E7"/>
    <w:rsid w:val="00170671"/>
    <w:rsid w:val="00171257"/>
    <w:rsid w:val="00172364"/>
    <w:rsid w:val="00172529"/>
    <w:rsid w:val="0017266A"/>
    <w:rsid w:val="0017285B"/>
    <w:rsid w:val="0017504D"/>
    <w:rsid w:val="0017671A"/>
    <w:rsid w:val="00176AB5"/>
    <w:rsid w:val="00177422"/>
    <w:rsid w:val="00180848"/>
    <w:rsid w:val="00183CC7"/>
    <w:rsid w:val="00184590"/>
    <w:rsid w:val="001869A4"/>
    <w:rsid w:val="001870D1"/>
    <w:rsid w:val="0018781E"/>
    <w:rsid w:val="00187B91"/>
    <w:rsid w:val="00190BCF"/>
    <w:rsid w:val="001910F1"/>
    <w:rsid w:val="001925C3"/>
    <w:rsid w:val="0019262D"/>
    <w:rsid w:val="0019411F"/>
    <w:rsid w:val="001961ED"/>
    <w:rsid w:val="00196A42"/>
    <w:rsid w:val="001976BD"/>
    <w:rsid w:val="001A0FA4"/>
    <w:rsid w:val="001A1B35"/>
    <w:rsid w:val="001A1D72"/>
    <w:rsid w:val="001A3D5D"/>
    <w:rsid w:val="001A48A2"/>
    <w:rsid w:val="001A4955"/>
    <w:rsid w:val="001A539B"/>
    <w:rsid w:val="001A6F61"/>
    <w:rsid w:val="001B2959"/>
    <w:rsid w:val="001B49AE"/>
    <w:rsid w:val="001B5443"/>
    <w:rsid w:val="001B5626"/>
    <w:rsid w:val="001B626A"/>
    <w:rsid w:val="001B72B8"/>
    <w:rsid w:val="001B75F2"/>
    <w:rsid w:val="001B792E"/>
    <w:rsid w:val="001B7B67"/>
    <w:rsid w:val="001C48AC"/>
    <w:rsid w:val="001C53DF"/>
    <w:rsid w:val="001C6352"/>
    <w:rsid w:val="001C69B3"/>
    <w:rsid w:val="001C7679"/>
    <w:rsid w:val="001D0151"/>
    <w:rsid w:val="001D1D65"/>
    <w:rsid w:val="001D2394"/>
    <w:rsid w:val="001D2A3E"/>
    <w:rsid w:val="001D2F9E"/>
    <w:rsid w:val="001D4B80"/>
    <w:rsid w:val="001D5345"/>
    <w:rsid w:val="001D5595"/>
    <w:rsid w:val="001D586A"/>
    <w:rsid w:val="001D5BC1"/>
    <w:rsid w:val="001D6731"/>
    <w:rsid w:val="001D7874"/>
    <w:rsid w:val="001D7ABD"/>
    <w:rsid w:val="001D7F22"/>
    <w:rsid w:val="001D7FC0"/>
    <w:rsid w:val="001E080D"/>
    <w:rsid w:val="001E0E56"/>
    <w:rsid w:val="001E2776"/>
    <w:rsid w:val="001E3615"/>
    <w:rsid w:val="001E3C11"/>
    <w:rsid w:val="001E45B4"/>
    <w:rsid w:val="001E5868"/>
    <w:rsid w:val="001F0F17"/>
    <w:rsid w:val="001F0FED"/>
    <w:rsid w:val="001F15CF"/>
    <w:rsid w:val="001F1B3C"/>
    <w:rsid w:val="001F3168"/>
    <w:rsid w:val="001F3347"/>
    <w:rsid w:val="001F39CB"/>
    <w:rsid w:val="001F5A65"/>
    <w:rsid w:val="001F5A8F"/>
    <w:rsid w:val="001F62BD"/>
    <w:rsid w:val="001F69E4"/>
    <w:rsid w:val="00200BC9"/>
    <w:rsid w:val="00201273"/>
    <w:rsid w:val="002017C8"/>
    <w:rsid w:val="002028AC"/>
    <w:rsid w:val="00204511"/>
    <w:rsid w:val="00205481"/>
    <w:rsid w:val="00206575"/>
    <w:rsid w:val="002125B4"/>
    <w:rsid w:val="0021262E"/>
    <w:rsid w:val="002138A2"/>
    <w:rsid w:val="002155B8"/>
    <w:rsid w:val="002201E2"/>
    <w:rsid w:val="002206BA"/>
    <w:rsid w:val="00220ADD"/>
    <w:rsid w:val="0022152D"/>
    <w:rsid w:val="002219F9"/>
    <w:rsid w:val="002221D8"/>
    <w:rsid w:val="00222936"/>
    <w:rsid w:val="0022375E"/>
    <w:rsid w:val="00224839"/>
    <w:rsid w:val="002249B2"/>
    <w:rsid w:val="00225468"/>
    <w:rsid w:val="00225B82"/>
    <w:rsid w:val="00225FEC"/>
    <w:rsid w:val="00226574"/>
    <w:rsid w:val="002278EC"/>
    <w:rsid w:val="00231F66"/>
    <w:rsid w:val="00231F6A"/>
    <w:rsid w:val="0023233D"/>
    <w:rsid w:val="0023280E"/>
    <w:rsid w:val="00232F6C"/>
    <w:rsid w:val="00235C69"/>
    <w:rsid w:val="002377D1"/>
    <w:rsid w:val="002404A0"/>
    <w:rsid w:val="00240AC5"/>
    <w:rsid w:val="00241CBE"/>
    <w:rsid w:val="00243476"/>
    <w:rsid w:val="0024681A"/>
    <w:rsid w:val="002470B7"/>
    <w:rsid w:val="002506BC"/>
    <w:rsid w:val="00251F2C"/>
    <w:rsid w:val="00253B57"/>
    <w:rsid w:val="0025420D"/>
    <w:rsid w:val="002542F1"/>
    <w:rsid w:val="00254345"/>
    <w:rsid w:val="00255631"/>
    <w:rsid w:val="00255B3C"/>
    <w:rsid w:val="002565DE"/>
    <w:rsid w:val="00257AA3"/>
    <w:rsid w:val="002617F9"/>
    <w:rsid w:val="00261BF1"/>
    <w:rsid w:val="002636E6"/>
    <w:rsid w:val="00264557"/>
    <w:rsid w:val="0026507B"/>
    <w:rsid w:val="002661F3"/>
    <w:rsid w:val="002678EE"/>
    <w:rsid w:val="002700C9"/>
    <w:rsid w:val="0027255B"/>
    <w:rsid w:val="00273D63"/>
    <w:rsid w:val="00275730"/>
    <w:rsid w:val="00276C7C"/>
    <w:rsid w:val="00277579"/>
    <w:rsid w:val="002805AB"/>
    <w:rsid w:val="002817AF"/>
    <w:rsid w:val="002832CC"/>
    <w:rsid w:val="00284204"/>
    <w:rsid w:val="00284842"/>
    <w:rsid w:val="00284E7C"/>
    <w:rsid w:val="00286A28"/>
    <w:rsid w:val="00290B83"/>
    <w:rsid w:val="00290E48"/>
    <w:rsid w:val="00291773"/>
    <w:rsid w:val="00292619"/>
    <w:rsid w:val="00292E39"/>
    <w:rsid w:val="00293BB7"/>
    <w:rsid w:val="00294227"/>
    <w:rsid w:val="00294ECB"/>
    <w:rsid w:val="0029522E"/>
    <w:rsid w:val="002960B4"/>
    <w:rsid w:val="0029630E"/>
    <w:rsid w:val="00296C2D"/>
    <w:rsid w:val="00297B62"/>
    <w:rsid w:val="00297E9F"/>
    <w:rsid w:val="002A0478"/>
    <w:rsid w:val="002A168C"/>
    <w:rsid w:val="002A2A68"/>
    <w:rsid w:val="002A306E"/>
    <w:rsid w:val="002A3DC7"/>
    <w:rsid w:val="002A4DD2"/>
    <w:rsid w:val="002A66C6"/>
    <w:rsid w:val="002A7D66"/>
    <w:rsid w:val="002A7D96"/>
    <w:rsid w:val="002B247F"/>
    <w:rsid w:val="002B49E2"/>
    <w:rsid w:val="002B50C4"/>
    <w:rsid w:val="002B65EE"/>
    <w:rsid w:val="002B745E"/>
    <w:rsid w:val="002B7B00"/>
    <w:rsid w:val="002B7C44"/>
    <w:rsid w:val="002C05B5"/>
    <w:rsid w:val="002C2B17"/>
    <w:rsid w:val="002C2E01"/>
    <w:rsid w:val="002C4ADA"/>
    <w:rsid w:val="002C65C3"/>
    <w:rsid w:val="002C7A8D"/>
    <w:rsid w:val="002D01D1"/>
    <w:rsid w:val="002D19A0"/>
    <w:rsid w:val="002D2D31"/>
    <w:rsid w:val="002D339F"/>
    <w:rsid w:val="002D3DD0"/>
    <w:rsid w:val="002D441A"/>
    <w:rsid w:val="002D5746"/>
    <w:rsid w:val="002D6449"/>
    <w:rsid w:val="002D7C80"/>
    <w:rsid w:val="002D7DB9"/>
    <w:rsid w:val="002E1520"/>
    <w:rsid w:val="002E1F3A"/>
    <w:rsid w:val="002E298A"/>
    <w:rsid w:val="002E3EE4"/>
    <w:rsid w:val="002E4521"/>
    <w:rsid w:val="002E47B8"/>
    <w:rsid w:val="002F024F"/>
    <w:rsid w:val="002F0506"/>
    <w:rsid w:val="002F1031"/>
    <w:rsid w:val="002F38ED"/>
    <w:rsid w:val="002F3B14"/>
    <w:rsid w:val="002F4028"/>
    <w:rsid w:val="002F4379"/>
    <w:rsid w:val="002F4B9A"/>
    <w:rsid w:val="002F67D7"/>
    <w:rsid w:val="002F7B9D"/>
    <w:rsid w:val="002F7F63"/>
    <w:rsid w:val="00301978"/>
    <w:rsid w:val="0030332C"/>
    <w:rsid w:val="0030355C"/>
    <w:rsid w:val="00303B80"/>
    <w:rsid w:val="00304429"/>
    <w:rsid w:val="00304FB7"/>
    <w:rsid w:val="003051C2"/>
    <w:rsid w:val="003068FA"/>
    <w:rsid w:val="0030721A"/>
    <w:rsid w:val="00310869"/>
    <w:rsid w:val="00310CCF"/>
    <w:rsid w:val="00312296"/>
    <w:rsid w:val="003128FA"/>
    <w:rsid w:val="00313142"/>
    <w:rsid w:val="00313611"/>
    <w:rsid w:val="0031456A"/>
    <w:rsid w:val="003145A8"/>
    <w:rsid w:val="00314703"/>
    <w:rsid w:val="00314F0E"/>
    <w:rsid w:val="00316ABB"/>
    <w:rsid w:val="0032099E"/>
    <w:rsid w:val="00320D48"/>
    <w:rsid w:val="00321D8E"/>
    <w:rsid w:val="00322050"/>
    <w:rsid w:val="0032234B"/>
    <w:rsid w:val="00323684"/>
    <w:rsid w:val="0032420F"/>
    <w:rsid w:val="00324B6F"/>
    <w:rsid w:val="00325928"/>
    <w:rsid w:val="0032609E"/>
    <w:rsid w:val="00327EFE"/>
    <w:rsid w:val="0033060A"/>
    <w:rsid w:val="0033083E"/>
    <w:rsid w:val="003311DC"/>
    <w:rsid w:val="00331C0A"/>
    <w:rsid w:val="00332863"/>
    <w:rsid w:val="00333210"/>
    <w:rsid w:val="00333413"/>
    <w:rsid w:val="0033369D"/>
    <w:rsid w:val="00334941"/>
    <w:rsid w:val="00335624"/>
    <w:rsid w:val="0033684D"/>
    <w:rsid w:val="00337B42"/>
    <w:rsid w:val="00340514"/>
    <w:rsid w:val="00341B42"/>
    <w:rsid w:val="0034348F"/>
    <w:rsid w:val="003435D7"/>
    <w:rsid w:val="003471B0"/>
    <w:rsid w:val="00350A03"/>
    <w:rsid w:val="00350B2D"/>
    <w:rsid w:val="003517A1"/>
    <w:rsid w:val="00353421"/>
    <w:rsid w:val="00355D1A"/>
    <w:rsid w:val="00355D20"/>
    <w:rsid w:val="00355FB4"/>
    <w:rsid w:val="003562AA"/>
    <w:rsid w:val="00356653"/>
    <w:rsid w:val="0035743F"/>
    <w:rsid w:val="00357BE2"/>
    <w:rsid w:val="003600A6"/>
    <w:rsid w:val="00360897"/>
    <w:rsid w:val="00361049"/>
    <w:rsid w:val="0036170C"/>
    <w:rsid w:val="00361B5D"/>
    <w:rsid w:val="00361BC4"/>
    <w:rsid w:val="00361FA2"/>
    <w:rsid w:val="00362B46"/>
    <w:rsid w:val="0036466D"/>
    <w:rsid w:val="00366E0F"/>
    <w:rsid w:val="00367834"/>
    <w:rsid w:val="00367B26"/>
    <w:rsid w:val="00367B3D"/>
    <w:rsid w:val="00371575"/>
    <w:rsid w:val="00371CE5"/>
    <w:rsid w:val="00380D44"/>
    <w:rsid w:val="003818F6"/>
    <w:rsid w:val="00381A72"/>
    <w:rsid w:val="00384676"/>
    <w:rsid w:val="00384A73"/>
    <w:rsid w:val="00384ABD"/>
    <w:rsid w:val="00387115"/>
    <w:rsid w:val="00390857"/>
    <w:rsid w:val="0039139E"/>
    <w:rsid w:val="0039176D"/>
    <w:rsid w:val="003940FA"/>
    <w:rsid w:val="00395994"/>
    <w:rsid w:val="00396CED"/>
    <w:rsid w:val="003A303B"/>
    <w:rsid w:val="003A3B1B"/>
    <w:rsid w:val="003A4BF3"/>
    <w:rsid w:val="003A583B"/>
    <w:rsid w:val="003A5DAA"/>
    <w:rsid w:val="003A62DA"/>
    <w:rsid w:val="003B155A"/>
    <w:rsid w:val="003B1830"/>
    <w:rsid w:val="003B2492"/>
    <w:rsid w:val="003B262D"/>
    <w:rsid w:val="003B3D2A"/>
    <w:rsid w:val="003B420D"/>
    <w:rsid w:val="003B4595"/>
    <w:rsid w:val="003B69D3"/>
    <w:rsid w:val="003B6D7E"/>
    <w:rsid w:val="003B7AB1"/>
    <w:rsid w:val="003C008F"/>
    <w:rsid w:val="003C10DB"/>
    <w:rsid w:val="003C408D"/>
    <w:rsid w:val="003C46D0"/>
    <w:rsid w:val="003C69F1"/>
    <w:rsid w:val="003C6C16"/>
    <w:rsid w:val="003D084D"/>
    <w:rsid w:val="003D09DF"/>
    <w:rsid w:val="003D11D7"/>
    <w:rsid w:val="003D2135"/>
    <w:rsid w:val="003D254B"/>
    <w:rsid w:val="003D3263"/>
    <w:rsid w:val="003D4836"/>
    <w:rsid w:val="003D4894"/>
    <w:rsid w:val="003D5FA5"/>
    <w:rsid w:val="003D64E2"/>
    <w:rsid w:val="003D794D"/>
    <w:rsid w:val="003E08C1"/>
    <w:rsid w:val="003E2A19"/>
    <w:rsid w:val="003E3058"/>
    <w:rsid w:val="003E403C"/>
    <w:rsid w:val="003E4C05"/>
    <w:rsid w:val="003E5CD8"/>
    <w:rsid w:val="003E5E83"/>
    <w:rsid w:val="003E76A9"/>
    <w:rsid w:val="003F05E3"/>
    <w:rsid w:val="003F0809"/>
    <w:rsid w:val="003F1C92"/>
    <w:rsid w:val="003F1CBB"/>
    <w:rsid w:val="003F2086"/>
    <w:rsid w:val="003F274B"/>
    <w:rsid w:val="003F27FD"/>
    <w:rsid w:val="003F2A47"/>
    <w:rsid w:val="003F4E3E"/>
    <w:rsid w:val="003F6A8C"/>
    <w:rsid w:val="003F755C"/>
    <w:rsid w:val="00401096"/>
    <w:rsid w:val="00402118"/>
    <w:rsid w:val="00402DD6"/>
    <w:rsid w:val="00403AA5"/>
    <w:rsid w:val="00404C7F"/>
    <w:rsid w:val="004055C4"/>
    <w:rsid w:val="0040589D"/>
    <w:rsid w:val="00405B0C"/>
    <w:rsid w:val="00406F01"/>
    <w:rsid w:val="00407F6E"/>
    <w:rsid w:val="00411FF9"/>
    <w:rsid w:val="00412809"/>
    <w:rsid w:val="0041377D"/>
    <w:rsid w:val="004140A0"/>
    <w:rsid w:val="004156E8"/>
    <w:rsid w:val="00415FEC"/>
    <w:rsid w:val="00416D50"/>
    <w:rsid w:val="00416FD5"/>
    <w:rsid w:val="00417772"/>
    <w:rsid w:val="00417844"/>
    <w:rsid w:val="00417C69"/>
    <w:rsid w:val="00420E6A"/>
    <w:rsid w:val="004212B0"/>
    <w:rsid w:val="00423428"/>
    <w:rsid w:val="00423CDD"/>
    <w:rsid w:val="00424524"/>
    <w:rsid w:val="00425A9E"/>
    <w:rsid w:val="00425B41"/>
    <w:rsid w:val="0042621A"/>
    <w:rsid w:val="00426D6B"/>
    <w:rsid w:val="00427268"/>
    <w:rsid w:val="00430572"/>
    <w:rsid w:val="00431E6C"/>
    <w:rsid w:val="0043246C"/>
    <w:rsid w:val="0043382E"/>
    <w:rsid w:val="00433CE7"/>
    <w:rsid w:val="0043473A"/>
    <w:rsid w:val="0043507C"/>
    <w:rsid w:val="00435336"/>
    <w:rsid w:val="004359FE"/>
    <w:rsid w:val="004369AB"/>
    <w:rsid w:val="0043723E"/>
    <w:rsid w:val="00437683"/>
    <w:rsid w:val="00437DED"/>
    <w:rsid w:val="00437FD3"/>
    <w:rsid w:val="00441E45"/>
    <w:rsid w:val="00442831"/>
    <w:rsid w:val="00443ECD"/>
    <w:rsid w:val="004451F6"/>
    <w:rsid w:val="00445A3D"/>
    <w:rsid w:val="004469E2"/>
    <w:rsid w:val="00447494"/>
    <w:rsid w:val="004474CD"/>
    <w:rsid w:val="00447B20"/>
    <w:rsid w:val="00452738"/>
    <w:rsid w:val="00454824"/>
    <w:rsid w:val="00455A32"/>
    <w:rsid w:val="00455F84"/>
    <w:rsid w:val="00456091"/>
    <w:rsid w:val="00456510"/>
    <w:rsid w:val="00460994"/>
    <w:rsid w:val="0046555B"/>
    <w:rsid w:val="0046599F"/>
    <w:rsid w:val="00466321"/>
    <w:rsid w:val="004679D8"/>
    <w:rsid w:val="004713A7"/>
    <w:rsid w:val="00473B0A"/>
    <w:rsid w:val="00477007"/>
    <w:rsid w:val="00477B77"/>
    <w:rsid w:val="00480F04"/>
    <w:rsid w:val="00482954"/>
    <w:rsid w:val="00483CCC"/>
    <w:rsid w:val="00483EDD"/>
    <w:rsid w:val="00483F39"/>
    <w:rsid w:val="00484B9B"/>
    <w:rsid w:val="004855F6"/>
    <w:rsid w:val="004860BC"/>
    <w:rsid w:val="004862AE"/>
    <w:rsid w:val="0048661E"/>
    <w:rsid w:val="00487043"/>
    <w:rsid w:val="00487320"/>
    <w:rsid w:val="00487E17"/>
    <w:rsid w:val="00490DD6"/>
    <w:rsid w:val="00490F70"/>
    <w:rsid w:val="004924CD"/>
    <w:rsid w:val="004926A7"/>
    <w:rsid w:val="00494670"/>
    <w:rsid w:val="00495A8B"/>
    <w:rsid w:val="00496474"/>
    <w:rsid w:val="004A12F0"/>
    <w:rsid w:val="004A1A9D"/>
    <w:rsid w:val="004A3823"/>
    <w:rsid w:val="004A4360"/>
    <w:rsid w:val="004B0900"/>
    <w:rsid w:val="004B459D"/>
    <w:rsid w:val="004B6D9E"/>
    <w:rsid w:val="004B6F0A"/>
    <w:rsid w:val="004B71E3"/>
    <w:rsid w:val="004C375D"/>
    <w:rsid w:val="004C3B07"/>
    <w:rsid w:val="004C4F7E"/>
    <w:rsid w:val="004C6679"/>
    <w:rsid w:val="004C66F8"/>
    <w:rsid w:val="004C745B"/>
    <w:rsid w:val="004C7EF2"/>
    <w:rsid w:val="004D113F"/>
    <w:rsid w:val="004D22E2"/>
    <w:rsid w:val="004D30A5"/>
    <w:rsid w:val="004D487F"/>
    <w:rsid w:val="004D745D"/>
    <w:rsid w:val="004E1C5B"/>
    <w:rsid w:val="004E2FD7"/>
    <w:rsid w:val="004E42A0"/>
    <w:rsid w:val="004E4AAE"/>
    <w:rsid w:val="004E4C4C"/>
    <w:rsid w:val="004E6547"/>
    <w:rsid w:val="004E6946"/>
    <w:rsid w:val="004F16CC"/>
    <w:rsid w:val="004F195F"/>
    <w:rsid w:val="004F1AD8"/>
    <w:rsid w:val="004F1C07"/>
    <w:rsid w:val="004F38D6"/>
    <w:rsid w:val="004F3EF6"/>
    <w:rsid w:val="004F4111"/>
    <w:rsid w:val="004F587A"/>
    <w:rsid w:val="004F5AC8"/>
    <w:rsid w:val="00500A7D"/>
    <w:rsid w:val="00500F14"/>
    <w:rsid w:val="00501595"/>
    <w:rsid w:val="005039CB"/>
    <w:rsid w:val="0050558F"/>
    <w:rsid w:val="00506286"/>
    <w:rsid w:val="00506529"/>
    <w:rsid w:val="005072F0"/>
    <w:rsid w:val="00510813"/>
    <w:rsid w:val="00510A0E"/>
    <w:rsid w:val="00510E9D"/>
    <w:rsid w:val="00511990"/>
    <w:rsid w:val="00511D27"/>
    <w:rsid w:val="00511DE0"/>
    <w:rsid w:val="00512B62"/>
    <w:rsid w:val="00514753"/>
    <w:rsid w:val="00514870"/>
    <w:rsid w:val="00514A8C"/>
    <w:rsid w:val="00514B9B"/>
    <w:rsid w:val="00515C7C"/>
    <w:rsid w:val="00517F02"/>
    <w:rsid w:val="00522A85"/>
    <w:rsid w:val="00523184"/>
    <w:rsid w:val="00523328"/>
    <w:rsid w:val="00523CFC"/>
    <w:rsid w:val="00524303"/>
    <w:rsid w:val="005258A2"/>
    <w:rsid w:val="00526046"/>
    <w:rsid w:val="005267A1"/>
    <w:rsid w:val="00527A70"/>
    <w:rsid w:val="00530FC7"/>
    <w:rsid w:val="0053282D"/>
    <w:rsid w:val="005361E0"/>
    <w:rsid w:val="00536402"/>
    <w:rsid w:val="00536A3A"/>
    <w:rsid w:val="00537763"/>
    <w:rsid w:val="005401AE"/>
    <w:rsid w:val="005418C1"/>
    <w:rsid w:val="005422DC"/>
    <w:rsid w:val="00542936"/>
    <w:rsid w:val="00542E07"/>
    <w:rsid w:val="00542FFD"/>
    <w:rsid w:val="00544184"/>
    <w:rsid w:val="00544FE2"/>
    <w:rsid w:val="00545424"/>
    <w:rsid w:val="00545DBC"/>
    <w:rsid w:val="005508CD"/>
    <w:rsid w:val="00550F62"/>
    <w:rsid w:val="00551307"/>
    <w:rsid w:val="0055182B"/>
    <w:rsid w:val="00552A17"/>
    <w:rsid w:val="00552DD7"/>
    <w:rsid w:val="005530B5"/>
    <w:rsid w:val="005532D3"/>
    <w:rsid w:val="00554684"/>
    <w:rsid w:val="005548DE"/>
    <w:rsid w:val="00554A7B"/>
    <w:rsid w:val="00554C4B"/>
    <w:rsid w:val="00555634"/>
    <w:rsid w:val="0055572C"/>
    <w:rsid w:val="005560EA"/>
    <w:rsid w:val="0055621D"/>
    <w:rsid w:val="00556665"/>
    <w:rsid w:val="0055745A"/>
    <w:rsid w:val="00560302"/>
    <w:rsid w:val="00560FAE"/>
    <w:rsid w:val="0056106A"/>
    <w:rsid w:val="0056192D"/>
    <w:rsid w:val="0056195E"/>
    <w:rsid w:val="00561C5F"/>
    <w:rsid w:val="00563852"/>
    <w:rsid w:val="00563CF8"/>
    <w:rsid w:val="005651A7"/>
    <w:rsid w:val="0056696F"/>
    <w:rsid w:val="00567782"/>
    <w:rsid w:val="005720AE"/>
    <w:rsid w:val="00575940"/>
    <w:rsid w:val="00575DC9"/>
    <w:rsid w:val="00576103"/>
    <w:rsid w:val="0057757D"/>
    <w:rsid w:val="00577CAD"/>
    <w:rsid w:val="00580AC5"/>
    <w:rsid w:val="005840D8"/>
    <w:rsid w:val="00587E7A"/>
    <w:rsid w:val="00590551"/>
    <w:rsid w:val="005919E5"/>
    <w:rsid w:val="00594D77"/>
    <w:rsid w:val="005969E4"/>
    <w:rsid w:val="005A034D"/>
    <w:rsid w:val="005A06B7"/>
    <w:rsid w:val="005A1759"/>
    <w:rsid w:val="005A4F14"/>
    <w:rsid w:val="005A674D"/>
    <w:rsid w:val="005A68A7"/>
    <w:rsid w:val="005B0CA1"/>
    <w:rsid w:val="005B44FE"/>
    <w:rsid w:val="005C0CE0"/>
    <w:rsid w:val="005C3797"/>
    <w:rsid w:val="005C472C"/>
    <w:rsid w:val="005C48CF"/>
    <w:rsid w:val="005C4AE5"/>
    <w:rsid w:val="005C65BA"/>
    <w:rsid w:val="005C6C5D"/>
    <w:rsid w:val="005D1890"/>
    <w:rsid w:val="005D230B"/>
    <w:rsid w:val="005D36AB"/>
    <w:rsid w:val="005D3BDC"/>
    <w:rsid w:val="005D472E"/>
    <w:rsid w:val="005D7314"/>
    <w:rsid w:val="005D7449"/>
    <w:rsid w:val="005D7C45"/>
    <w:rsid w:val="005E05C3"/>
    <w:rsid w:val="005E0B8D"/>
    <w:rsid w:val="005E294B"/>
    <w:rsid w:val="005E29F6"/>
    <w:rsid w:val="005E43A7"/>
    <w:rsid w:val="005E4605"/>
    <w:rsid w:val="005E49E2"/>
    <w:rsid w:val="005E4BDA"/>
    <w:rsid w:val="005E4E53"/>
    <w:rsid w:val="005E784A"/>
    <w:rsid w:val="005F0ACF"/>
    <w:rsid w:val="005F1D61"/>
    <w:rsid w:val="005F1FB9"/>
    <w:rsid w:val="005F2482"/>
    <w:rsid w:val="005F2EF6"/>
    <w:rsid w:val="005F6E1A"/>
    <w:rsid w:val="005F72FD"/>
    <w:rsid w:val="006003B1"/>
    <w:rsid w:val="006030D0"/>
    <w:rsid w:val="00604236"/>
    <w:rsid w:val="00605453"/>
    <w:rsid w:val="00605DB1"/>
    <w:rsid w:val="0060655E"/>
    <w:rsid w:val="0061150F"/>
    <w:rsid w:val="00614739"/>
    <w:rsid w:val="00616124"/>
    <w:rsid w:val="00617CC3"/>
    <w:rsid w:val="00620643"/>
    <w:rsid w:val="0062111E"/>
    <w:rsid w:val="00621C3A"/>
    <w:rsid w:val="0062247A"/>
    <w:rsid w:val="00622A8D"/>
    <w:rsid w:val="00622DAE"/>
    <w:rsid w:val="00623E33"/>
    <w:rsid w:val="00625B05"/>
    <w:rsid w:val="00625D7D"/>
    <w:rsid w:val="00625E19"/>
    <w:rsid w:val="00626FA3"/>
    <w:rsid w:val="006278A2"/>
    <w:rsid w:val="00627DB3"/>
    <w:rsid w:val="006307F4"/>
    <w:rsid w:val="006316FB"/>
    <w:rsid w:val="00631D41"/>
    <w:rsid w:val="00632E22"/>
    <w:rsid w:val="006333F4"/>
    <w:rsid w:val="00633F7F"/>
    <w:rsid w:val="0063577E"/>
    <w:rsid w:val="00635892"/>
    <w:rsid w:val="006377A6"/>
    <w:rsid w:val="00637A3D"/>
    <w:rsid w:val="00640DFF"/>
    <w:rsid w:val="006411EF"/>
    <w:rsid w:val="006427BB"/>
    <w:rsid w:val="00642F71"/>
    <w:rsid w:val="00643AD6"/>
    <w:rsid w:val="00644E71"/>
    <w:rsid w:val="00646544"/>
    <w:rsid w:val="0065125B"/>
    <w:rsid w:val="00652C0E"/>
    <w:rsid w:val="00653877"/>
    <w:rsid w:val="0065406A"/>
    <w:rsid w:val="00654339"/>
    <w:rsid w:val="00655081"/>
    <w:rsid w:val="00655714"/>
    <w:rsid w:val="0065691B"/>
    <w:rsid w:val="00657F53"/>
    <w:rsid w:val="0066044F"/>
    <w:rsid w:val="00665373"/>
    <w:rsid w:val="00666AAF"/>
    <w:rsid w:val="00667E92"/>
    <w:rsid w:val="00670067"/>
    <w:rsid w:val="00670698"/>
    <w:rsid w:val="0067077E"/>
    <w:rsid w:val="006712B5"/>
    <w:rsid w:val="006724B6"/>
    <w:rsid w:val="0067263B"/>
    <w:rsid w:val="006728C5"/>
    <w:rsid w:val="00672E67"/>
    <w:rsid w:val="006748B8"/>
    <w:rsid w:val="00674A85"/>
    <w:rsid w:val="00674D9D"/>
    <w:rsid w:val="0067588E"/>
    <w:rsid w:val="006775C3"/>
    <w:rsid w:val="00677F8B"/>
    <w:rsid w:val="00681265"/>
    <w:rsid w:val="006813D5"/>
    <w:rsid w:val="006833AB"/>
    <w:rsid w:val="006865A1"/>
    <w:rsid w:val="00686846"/>
    <w:rsid w:val="0068776A"/>
    <w:rsid w:val="006911FC"/>
    <w:rsid w:val="0069140C"/>
    <w:rsid w:val="006914BB"/>
    <w:rsid w:val="006915CE"/>
    <w:rsid w:val="00691765"/>
    <w:rsid w:val="0069290A"/>
    <w:rsid w:val="006931D8"/>
    <w:rsid w:val="0069775A"/>
    <w:rsid w:val="00697813"/>
    <w:rsid w:val="006A1C67"/>
    <w:rsid w:val="006A241A"/>
    <w:rsid w:val="006A3EE8"/>
    <w:rsid w:val="006A40B0"/>
    <w:rsid w:val="006A6B44"/>
    <w:rsid w:val="006A72BF"/>
    <w:rsid w:val="006B0120"/>
    <w:rsid w:val="006B03F2"/>
    <w:rsid w:val="006B1CB8"/>
    <w:rsid w:val="006B37DC"/>
    <w:rsid w:val="006B4011"/>
    <w:rsid w:val="006B4530"/>
    <w:rsid w:val="006B4F68"/>
    <w:rsid w:val="006B6B6B"/>
    <w:rsid w:val="006C0389"/>
    <w:rsid w:val="006C0592"/>
    <w:rsid w:val="006C0E44"/>
    <w:rsid w:val="006C272E"/>
    <w:rsid w:val="006C4F43"/>
    <w:rsid w:val="006C5479"/>
    <w:rsid w:val="006C603F"/>
    <w:rsid w:val="006C627A"/>
    <w:rsid w:val="006C6A43"/>
    <w:rsid w:val="006C7B84"/>
    <w:rsid w:val="006D13B5"/>
    <w:rsid w:val="006D1C5D"/>
    <w:rsid w:val="006D2432"/>
    <w:rsid w:val="006D5763"/>
    <w:rsid w:val="006D74ED"/>
    <w:rsid w:val="006D7B48"/>
    <w:rsid w:val="006E0A9C"/>
    <w:rsid w:val="006E12FF"/>
    <w:rsid w:val="006E36FE"/>
    <w:rsid w:val="006E54E5"/>
    <w:rsid w:val="006E5B2F"/>
    <w:rsid w:val="006E5D53"/>
    <w:rsid w:val="006E607E"/>
    <w:rsid w:val="006E6966"/>
    <w:rsid w:val="006E697E"/>
    <w:rsid w:val="006E7282"/>
    <w:rsid w:val="006E787D"/>
    <w:rsid w:val="006F1335"/>
    <w:rsid w:val="006F2747"/>
    <w:rsid w:val="006F4A53"/>
    <w:rsid w:val="006F4BBA"/>
    <w:rsid w:val="006F4F18"/>
    <w:rsid w:val="006F7B08"/>
    <w:rsid w:val="00701B0B"/>
    <w:rsid w:val="00701BDA"/>
    <w:rsid w:val="007023EF"/>
    <w:rsid w:val="00702884"/>
    <w:rsid w:val="0070465B"/>
    <w:rsid w:val="00704FAA"/>
    <w:rsid w:val="00706C5D"/>
    <w:rsid w:val="00707824"/>
    <w:rsid w:val="0071221D"/>
    <w:rsid w:val="00713468"/>
    <w:rsid w:val="007175C1"/>
    <w:rsid w:val="00722EB9"/>
    <w:rsid w:val="00723FE3"/>
    <w:rsid w:val="007242C4"/>
    <w:rsid w:val="007263FC"/>
    <w:rsid w:val="007270BF"/>
    <w:rsid w:val="00730379"/>
    <w:rsid w:val="0073149A"/>
    <w:rsid w:val="00731BFE"/>
    <w:rsid w:val="00732922"/>
    <w:rsid w:val="00734965"/>
    <w:rsid w:val="00734E98"/>
    <w:rsid w:val="007351A7"/>
    <w:rsid w:val="00737DA7"/>
    <w:rsid w:val="00737E14"/>
    <w:rsid w:val="0074485D"/>
    <w:rsid w:val="00745C32"/>
    <w:rsid w:val="0074690C"/>
    <w:rsid w:val="007502EA"/>
    <w:rsid w:val="0075162E"/>
    <w:rsid w:val="007517E7"/>
    <w:rsid w:val="00751A19"/>
    <w:rsid w:val="00754034"/>
    <w:rsid w:val="007546F6"/>
    <w:rsid w:val="00756556"/>
    <w:rsid w:val="007603AD"/>
    <w:rsid w:val="0076091A"/>
    <w:rsid w:val="00760928"/>
    <w:rsid w:val="00760B0C"/>
    <w:rsid w:val="007618C4"/>
    <w:rsid w:val="00761B15"/>
    <w:rsid w:val="007660ED"/>
    <w:rsid w:val="00766910"/>
    <w:rsid w:val="00767980"/>
    <w:rsid w:val="00770B19"/>
    <w:rsid w:val="00771440"/>
    <w:rsid w:val="007714A4"/>
    <w:rsid w:val="007726F3"/>
    <w:rsid w:val="00773293"/>
    <w:rsid w:val="007743F2"/>
    <w:rsid w:val="0077463F"/>
    <w:rsid w:val="0077555D"/>
    <w:rsid w:val="00776DE4"/>
    <w:rsid w:val="00777F44"/>
    <w:rsid w:val="0078010B"/>
    <w:rsid w:val="00783208"/>
    <w:rsid w:val="007836EA"/>
    <w:rsid w:val="00784CDA"/>
    <w:rsid w:val="00784FCF"/>
    <w:rsid w:val="00785F01"/>
    <w:rsid w:val="007906C4"/>
    <w:rsid w:val="00792912"/>
    <w:rsid w:val="00792A3E"/>
    <w:rsid w:val="007940EA"/>
    <w:rsid w:val="00796602"/>
    <w:rsid w:val="007967E8"/>
    <w:rsid w:val="00796A44"/>
    <w:rsid w:val="00796A59"/>
    <w:rsid w:val="0079775F"/>
    <w:rsid w:val="007A127D"/>
    <w:rsid w:val="007A2170"/>
    <w:rsid w:val="007A22BF"/>
    <w:rsid w:val="007A3323"/>
    <w:rsid w:val="007A3677"/>
    <w:rsid w:val="007A392B"/>
    <w:rsid w:val="007A5670"/>
    <w:rsid w:val="007A7E0F"/>
    <w:rsid w:val="007B0FC0"/>
    <w:rsid w:val="007B4480"/>
    <w:rsid w:val="007B5721"/>
    <w:rsid w:val="007B72B8"/>
    <w:rsid w:val="007B7A58"/>
    <w:rsid w:val="007C21B5"/>
    <w:rsid w:val="007C43D7"/>
    <w:rsid w:val="007C4F59"/>
    <w:rsid w:val="007C579E"/>
    <w:rsid w:val="007C5ECE"/>
    <w:rsid w:val="007C7FBE"/>
    <w:rsid w:val="007D0282"/>
    <w:rsid w:val="007D0478"/>
    <w:rsid w:val="007D1647"/>
    <w:rsid w:val="007D1955"/>
    <w:rsid w:val="007D246E"/>
    <w:rsid w:val="007D2BA0"/>
    <w:rsid w:val="007D3F9B"/>
    <w:rsid w:val="007D77DD"/>
    <w:rsid w:val="007D7BCC"/>
    <w:rsid w:val="007D7DD2"/>
    <w:rsid w:val="007E34A3"/>
    <w:rsid w:val="007E35E1"/>
    <w:rsid w:val="007E421A"/>
    <w:rsid w:val="007E4AE1"/>
    <w:rsid w:val="007E4BD2"/>
    <w:rsid w:val="007E56A7"/>
    <w:rsid w:val="007E5DBB"/>
    <w:rsid w:val="007E6291"/>
    <w:rsid w:val="007E698C"/>
    <w:rsid w:val="007E7052"/>
    <w:rsid w:val="007E7390"/>
    <w:rsid w:val="007F207F"/>
    <w:rsid w:val="007F511C"/>
    <w:rsid w:val="007F6077"/>
    <w:rsid w:val="00801393"/>
    <w:rsid w:val="00802CFF"/>
    <w:rsid w:val="00802F88"/>
    <w:rsid w:val="0081293E"/>
    <w:rsid w:val="00813129"/>
    <w:rsid w:val="0081430B"/>
    <w:rsid w:val="00815465"/>
    <w:rsid w:val="00815478"/>
    <w:rsid w:val="00816BFA"/>
    <w:rsid w:val="00817E9A"/>
    <w:rsid w:val="008206F5"/>
    <w:rsid w:val="00820981"/>
    <w:rsid w:val="00820E69"/>
    <w:rsid w:val="008212F4"/>
    <w:rsid w:val="0082417B"/>
    <w:rsid w:val="008250E3"/>
    <w:rsid w:val="008256CA"/>
    <w:rsid w:val="008306BD"/>
    <w:rsid w:val="00830EDE"/>
    <w:rsid w:val="00831A80"/>
    <w:rsid w:val="00831CEC"/>
    <w:rsid w:val="00832277"/>
    <w:rsid w:val="00832F9A"/>
    <w:rsid w:val="008332DF"/>
    <w:rsid w:val="00833743"/>
    <w:rsid w:val="008337B6"/>
    <w:rsid w:val="00833C7E"/>
    <w:rsid w:val="008340A4"/>
    <w:rsid w:val="00834971"/>
    <w:rsid w:val="008374F7"/>
    <w:rsid w:val="0084235D"/>
    <w:rsid w:val="00842BF1"/>
    <w:rsid w:val="00842F17"/>
    <w:rsid w:val="00845E63"/>
    <w:rsid w:val="00845EDB"/>
    <w:rsid w:val="00846404"/>
    <w:rsid w:val="00846C46"/>
    <w:rsid w:val="00847006"/>
    <w:rsid w:val="00847E33"/>
    <w:rsid w:val="00850F00"/>
    <w:rsid w:val="008513F8"/>
    <w:rsid w:val="00855204"/>
    <w:rsid w:val="00855F86"/>
    <w:rsid w:val="008566DF"/>
    <w:rsid w:val="008567E6"/>
    <w:rsid w:val="008601A3"/>
    <w:rsid w:val="008635F1"/>
    <w:rsid w:val="008643F1"/>
    <w:rsid w:val="00866622"/>
    <w:rsid w:val="008703D6"/>
    <w:rsid w:val="0087135F"/>
    <w:rsid w:val="00872051"/>
    <w:rsid w:val="008724FC"/>
    <w:rsid w:val="00872518"/>
    <w:rsid w:val="00872D94"/>
    <w:rsid w:val="00874719"/>
    <w:rsid w:val="00876247"/>
    <w:rsid w:val="00876804"/>
    <w:rsid w:val="00880364"/>
    <w:rsid w:val="008817EF"/>
    <w:rsid w:val="00881A77"/>
    <w:rsid w:val="00883C22"/>
    <w:rsid w:val="00886F5A"/>
    <w:rsid w:val="008870CC"/>
    <w:rsid w:val="0088761B"/>
    <w:rsid w:val="008904F5"/>
    <w:rsid w:val="00891592"/>
    <w:rsid w:val="00891956"/>
    <w:rsid w:val="008919E4"/>
    <w:rsid w:val="00891E9E"/>
    <w:rsid w:val="00891F06"/>
    <w:rsid w:val="0089249C"/>
    <w:rsid w:val="008927E0"/>
    <w:rsid w:val="00893966"/>
    <w:rsid w:val="00894EC1"/>
    <w:rsid w:val="008965C6"/>
    <w:rsid w:val="00896E3A"/>
    <w:rsid w:val="008977A7"/>
    <w:rsid w:val="008A0B31"/>
    <w:rsid w:val="008A2F68"/>
    <w:rsid w:val="008A5959"/>
    <w:rsid w:val="008A70AE"/>
    <w:rsid w:val="008B1D13"/>
    <w:rsid w:val="008B4AF3"/>
    <w:rsid w:val="008B4FA6"/>
    <w:rsid w:val="008B4FE2"/>
    <w:rsid w:val="008B5282"/>
    <w:rsid w:val="008B5C4F"/>
    <w:rsid w:val="008B6467"/>
    <w:rsid w:val="008B6B5A"/>
    <w:rsid w:val="008B6C91"/>
    <w:rsid w:val="008B7C17"/>
    <w:rsid w:val="008C2473"/>
    <w:rsid w:val="008C2D01"/>
    <w:rsid w:val="008C31F6"/>
    <w:rsid w:val="008C40E6"/>
    <w:rsid w:val="008C7720"/>
    <w:rsid w:val="008D0F7A"/>
    <w:rsid w:val="008D29F0"/>
    <w:rsid w:val="008D2C0C"/>
    <w:rsid w:val="008D457A"/>
    <w:rsid w:val="008D4D2D"/>
    <w:rsid w:val="008D68E4"/>
    <w:rsid w:val="008D7BDF"/>
    <w:rsid w:val="008E0506"/>
    <w:rsid w:val="008E0CFF"/>
    <w:rsid w:val="008E166D"/>
    <w:rsid w:val="008E1DEE"/>
    <w:rsid w:val="008E49F0"/>
    <w:rsid w:val="008E5D6B"/>
    <w:rsid w:val="008E76F0"/>
    <w:rsid w:val="008F0B65"/>
    <w:rsid w:val="008F15FE"/>
    <w:rsid w:val="008F231C"/>
    <w:rsid w:val="008F2D29"/>
    <w:rsid w:val="008F5187"/>
    <w:rsid w:val="008F60D8"/>
    <w:rsid w:val="008F6E0E"/>
    <w:rsid w:val="00900C48"/>
    <w:rsid w:val="00902727"/>
    <w:rsid w:val="0090312B"/>
    <w:rsid w:val="00903FB0"/>
    <w:rsid w:val="009044E6"/>
    <w:rsid w:val="00904EB2"/>
    <w:rsid w:val="00905DBD"/>
    <w:rsid w:val="00905F52"/>
    <w:rsid w:val="00907C7B"/>
    <w:rsid w:val="00907DC2"/>
    <w:rsid w:val="00911207"/>
    <w:rsid w:val="00911C37"/>
    <w:rsid w:val="00916A4E"/>
    <w:rsid w:val="0091736D"/>
    <w:rsid w:val="009201B9"/>
    <w:rsid w:val="00921F2C"/>
    <w:rsid w:val="00922A6D"/>
    <w:rsid w:val="00923353"/>
    <w:rsid w:val="00923560"/>
    <w:rsid w:val="00924CF7"/>
    <w:rsid w:val="009252A2"/>
    <w:rsid w:val="00925A31"/>
    <w:rsid w:val="00925A7F"/>
    <w:rsid w:val="00926DDE"/>
    <w:rsid w:val="0093037A"/>
    <w:rsid w:val="009307A3"/>
    <w:rsid w:val="00930B8C"/>
    <w:rsid w:val="0093596A"/>
    <w:rsid w:val="00936385"/>
    <w:rsid w:val="0094154D"/>
    <w:rsid w:val="00942A1B"/>
    <w:rsid w:val="009446DA"/>
    <w:rsid w:val="00944778"/>
    <w:rsid w:val="0094657E"/>
    <w:rsid w:val="00947943"/>
    <w:rsid w:val="0095025A"/>
    <w:rsid w:val="0095155F"/>
    <w:rsid w:val="00954429"/>
    <w:rsid w:val="009563CE"/>
    <w:rsid w:val="00957BE8"/>
    <w:rsid w:val="00957DA0"/>
    <w:rsid w:val="009603E1"/>
    <w:rsid w:val="00960637"/>
    <w:rsid w:val="00960866"/>
    <w:rsid w:val="00960E74"/>
    <w:rsid w:val="009626E3"/>
    <w:rsid w:val="009639D1"/>
    <w:rsid w:val="0096725A"/>
    <w:rsid w:val="00967992"/>
    <w:rsid w:val="009702DD"/>
    <w:rsid w:val="009716BA"/>
    <w:rsid w:val="00973440"/>
    <w:rsid w:val="00974397"/>
    <w:rsid w:val="009744EB"/>
    <w:rsid w:val="00975848"/>
    <w:rsid w:val="00975AEB"/>
    <w:rsid w:val="00976328"/>
    <w:rsid w:val="0097680D"/>
    <w:rsid w:val="00976B96"/>
    <w:rsid w:val="00980AAB"/>
    <w:rsid w:val="00980D92"/>
    <w:rsid w:val="00981367"/>
    <w:rsid w:val="00982438"/>
    <w:rsid w:val="00982E1F"/>
    <w:rsid w:val="0098322A"/>
    <w:rsid w:val="00983CA9"/>
    <w:rsid w:val="0098404C"/>
    <w:rsid w:val="00985283"/>
    <w:rsid w:val="009854DF"/>
    <w:rsid w:val="00986403"/>
    <w:rsid w:val="0099114D"/>
    <w:rsid w:val="0099129C"/>
    <w:rsid w:val="00991416"/>
    <w:rsid w:val="00992279"/>
    <w:rsid w:val="0099361A"/>
    <w:rsid w:val="00993DAA"/>
    <w:rsid w:val="0099569F"/>
    <w:rsid w:val="00995992"/>
    <w:rsid w:val="009A03E5"/>
    <w:rsid w:val="009A09DC"/>
    <w:rsid w:val="009A0F3B"/>
    <w:rsid w:val="009A1BB4"/>
    <w:rsid w:val="009A233F"/>
    <w:rsid w:val="009A2628"/>
    <w:rsid w:val="009A28D0"/>
    <w:rsid w:val="009A2A88"/>
    <w:rsid w:val="009A2E2B"/>
    <w:rsid w:val="009A3031"/>
    <w:rsid w:val="009A3200"/>
    <w:rsid w:val="009A4836"/>
    <w:rsid w:val="009A5B22"/>
    <w:rsid w:val="009B0897"/>
    <w:rsid w:val="009B0F97"/>
    <w:rsid w:val="009B1ECA"/>
    <w:rsid w:val="009B2B4A"/>
    <w:rsid w:val="009B2BAA"/>
    <w:rsid w:val="009B43A0"/>
    <w:rsid w:val="009B7BD9"/>
    <w:rsid w:val="009C1A7A"/>
    <w:rsid w:val="009C3B09"/>
    <w:rsid w:val="009C71F8"/>
    <w:rsid w:val="009C7A0F"/>
    <w:rsid w:val="009C7CE7"/>
    <w:rsid w:val="009C7CFF"/>
    <w:rsid w:val="009C7DD5"/>
    <w:rsid w:val="009D1882"/>
    <w:rsid w:val="009D1C29"/>
    <w:rsid w:val="009D2116"/>
    <w:rsid w:val="009D2CDD"/>
    <w:rsid w:val="009D3441"/>
    <w:rsid w:val="009D44EE"/>
    <w:rsid w:val="009D7D70"/>
    <w:rsid w:val="009D7EFA"/>
    <w:rsid w:val="009E1385"/>
    <w:rsid w:val="009E19B6"/>
    <w:rsid w:val="009E227D"/>
    <w:rsid w:val="009E29F2"/>
    <w:rsid w:val="009E4DC1"/>
    <w:rsid w:val="009E5019"/>
    <w:rsid w:val="009E5F37"/>
    <w:rsid w:val="009E6F30"/>
    <w:rsid w:val="009F09F0"/>
    <w:rsid w:val="009F10F3"/>
    <w:rsid w:val="009F13A2"/>
    <w:rsid w:val="009F2347"/>
    <w:rsid w:val="009F2479"/>
    <w:rsid w:val="009F24A9"/>
    <w:rsid w:val="009F2FBD"/>
    <w:rsid w:val="009F46C7"/>
    <w:rsid w:val="009F4A2B"/>
    <w:rsid w:val="00A027F3"/>
    <w:rsid w:val="00A04058"/>
    <w:rsid w:val="00A04F1B"/>
    <w:rsid w:val="00A0501B"/>
    <w:rsid w:val="00A06589"/>
    <w:rsid w:val="00A10DE5"/>
    <w:rsid w:val="00A111F8"/>
    <w:rsid w:val="00A112A9"/>
    <w:rsid w:val="00A11EE7"/>
    <w:rsid w:val="00A13315"/>
    <w:rsid w:val="00A1342C"/>
    <w:rsid w:val="00A14947"/>
    <w:rsid w:val="00A14A5B"/>
    <w:rsid w:val="00A14DB1"/>
    <w:rsid w:val="00A16175"/>
    <w:rsid w:val="00A16395"/>
    <w:rsid w:val="00A1653A"/>
    <w:rsid w:val="00A1667B"/>
    <w:rsid w:val="00A16A5A"/>
    <w:rsid w:val="00A17F79"/>
    <w:rsid w:val="00A2187C"/>
    <w:rsid w:val="00A21D20"/>
    <w:rsid w:val="00A246A7"/>
    <w:rsid w:val="00A25F49"/>
    <w:rsid w:val="00A30585"/>
    <w:rsid w:val="00A30B6A"/>
    <w:rsid w:val="00A316C4"/>
    <w:rsid w:val="00A3246F"/>
    <w:rsid w:val="00A32A83"/>
    <w:rsid w:val="00A3300F"/>
    <w:rsid w:val="00A3393F"/>
    <w:rsid w:val="00A368DB"/>
    <w:rsid w:val="00A373B9"/>
    <w:rsid w:val="00A379B0"/>
    <w:rsid w:val="00A411D7"/>
    <w:rsid w:val="00A423AA"/>
    <w:rsid w:val="00A45483"/>
    <w:rsid w:val="00A50B58"/>
    <w:rsid w:val="00A511B2"/>
    <w:rsid w:val="00A51815"/>
    <w:rsid w:val="00A526FB"/>
    <w:rsid w:val="00A53141"/>
    <w:rsid w:val="00A53158"/>
    <w:rsid w:val="00A537D7"/>
    <w:rsid w:val="00A53EC6"/>
    <w:rsid w:val="00A54369"/>
    <w:rsid w:val="00A55C0F"/>
    <w:rsid w:val="00A61053"/>
    <w:rsid w:val="00A6283D"/>
    <w:rsid w:val="00A652D7"/>
    <w:rsid w:val="00A66BDB"/>
    <w:rsid w:val="00A66D26"/>
    <w:rsid w:val="00A671F9"/>
    <w:rsid w:val="00A674DC"/>
    <w:rsid w:val="00A67DB8"/>
    <w:rsid w:val="00A73271"/>
    <w:rsid w:val="00A73772"/>
    <w:rsid w:val="00A73957"/>
    <w:rsid w:val="00A73E23"/>
    <w:rsid w:val="00A75916"/>
    <w:rsid w:val="00A75E13"/>
    <w:rsid w:val="00A77DC0"/>
    <w:rsid w:val="00A81C97"/>
    <w:rsid w:val="00A8303C"/>
    <w:rsid w:val="00A839CD"/>
    <w:rsid w:val="00A8445E"/>
    <w:rsid w:val="00A8649E"/>
    <w:rsid w:val="00A8713F"/>
    <w:rsid w:val="00A90BA1"/>
    <w:rsid w:val="00A912E5"/>
    <w:rsid w:val="00A940E6"/>
    <w:rsid w:val="00A95080"/>
    <w:rsid w:val="00A95485"/>
    <w:rsid w:val="00A9608D"/>
    <w:rsid w:val="00A97405"/>
    <w:rsid w:val="00A9796A"/>
    <w:rsid w:val="00A97A9A"/>
    <w:rsid w:val="00A97E5A"/>
    <w:rsid w:val="00AA0671"/>
    <w:rsid w:val="00AA0EDB"/>
    <w:rsid w:val="00AA1017"/>
    <w:rsid w:val="00AA2531"/>
    <w:rsid w:val="00AA27E6"/>
    <w:rsid w:val="00AA3A2C"/>
    <w:rsid w:val="00AA5247"/>
    <w:rsid w:val="00AA670E"/>
    <w:rsid w:val="00AB0339"/>
    <w:rsid w:val="00AB0BB1"/>
    <w:rsid w:val="00AB1E09"/>
    <w:rsid w:val="00AB1FCB"/>
    <w:rsid w:val="00AB2E2E"/>
    <w:rsid w:val="00AB2E64"/>
    <w:rsid w:val="00AB42F4"/>
    <w:rsid w:val="00AB5330"/>
    <w:rsid w:val="00AB54BB"/>
    <w:rsid w:val="00AB7747"/>
    <w:rsid w:val="00AC104C"/>
    <w:rsid w:val="00AC13D8"/>
    <w:rsid w:val="00AC14CE"/>
    <w:rsid w:val="00AC1521"/>
    <w:rsid w:val="00AC1F8E"/>
    <w:rsid w:val="00AC2A56"/>
    <w:rsid w:val="00AC4ABF"/>
    <w:rsid w:val="00AC737C"/>
    <w:rsid w:val="00AD055E"/>
    <w:rsid w:val="00AD2E96"/>
    <w:rsid w:val="00AD3E16"/>
    <w:rsid w:val="00AD47A7"/>
    <w:rsid w:val="00AD6EFB"/>
    <w:rsid w:val="00AD748B"/>
    <w:rsid w:val="00AD7783"/>
    <w:rsid w:val="00AD7D34"/>
    <w:rsid w:val="00AE0302"/>
    <w:rsid w:val="00AE147A"/>
    <w:rsid w:val="00AE16EE"/>
    <w:rsid w:val="00AE16FC"/>
    <w:rsid w:val="00AE2F3B"/>
    <w:rsid w:val="00AE3401"/>
    <w:rsid w:val="00AE41E7"/>
    <w:rsid w:val="00AE4FFF"/>
    <w:rsid w:val="00AE5C10"/>
    <w:rsid w:val="00AF0CBF"/>
    <w:rsid w:val="00AF0EAF"/>
    <w:rsid w:val="00AF257F"/>
    <w:rsid w:val="00AF3016"/>
    <w:rsid w:val="00AF33CF"/>
    <w:rsid w:val="00AF393B"/>
    <w:rsid w:val="00AF4D50"/>
    <w:rsid w:val="00AF4EF6"/>
    <w:rsid w:val="00AF6179"/>
    <w:rsid w:val="00B00EE1"/>
    <w:rsid w:val="00B01273"/>
    <w:rsid w:val="00B01B29"/>
    <w:rsid w:val="00B035E7"/>
    <w:rsid w:val="00B04A19"/>
    <w:rsid w:val="00B06539"/>
    <w:rsid w:val="00B1295A"/>
    <w:rsid w:val="00B1297C"/>
    <w:rsid w:val="00B16D87"/>
    <w:rsid w:val="00B16F82"/>
    <w:rsid w:val="00B178D5"/>
    <w:rsid w:val="00B20A45"/>
    <w:rsid w:val="00B22B83"/>
    <w:rsid w:val="00B22C5C"/>
    <w:rsid w:val="00B231A7"/>
    <w:rsid w:val="00B2491B"/>
    <w:rsid w:val="00B24D19"/>
    <w:rsid w:val="00B24F30"/>
    <w:rsid w:val="00B2503B"/>
    <w:rsid w:val="00B251DE"/>
    <w:rsid w:val="00B25370"/>
    <w:rsid w:val="00B262B8"/>
    <w:rsid w:val="00B26411"/>
    <w:rsid w:val="00B3162D"/>
    <w:rsid w:val="00B31ABF"/>
    <w:rsid w:val="00B33BE3"/>
    <w:rsid w:val="00B33E51"/>
    <w:rsid w:val="00B33FF4"/>
    <w:rsid w:val="00B343B6"/>
    <w:rsid w:val="00B34BDE"/>
    <w:rsid w:val="00B37368"/>
    <w:rsid w:val="00B4040C"/>
    <w:rsid w:val="00B40C2D"/>
    <w:rsid w:val="00B41E53"/>
    <w:rsid w:val="00B4397C"/>
    <w:rsid w:val="00B44276"/>
    <w:rsid w:val="00B44F02"/>
    <w:rsid w:val="00B467DB"/>
    <w:rsid w:val="00B4765A"/>
    <w:rsid w:val="00B4798C"/>
    <w:rsid w:val="00B50E96"/>
    <w:rsid w:val="00B52CFD"/>
    <w:rsid w:val="00B5392B"/>
    <w:rsid w:val="00B53B5D"/>
    <w:rsid w:val="00B556C1"/>
    <w:rsid w:val="00B5706C"/>
    <w:rsid w:val="00B571C3"/>
    <w:rsid w:val="00B57A03"/>
    <w:rsid w:val="00B57B38"/>
    <w:rsid w:val="00B6055E"/>
    <w:rsid w:val="00B60BFC"/>
    <w:rsid w:val="00B61132"/>
    <w:rsid w:val="00B6155B"/>
    <w:rsid w:val="00B61F7C"/>
    <w:rsid w:val="00B6282F"/>
    <w:rsid w:val="00B62C4C"/>
    <w:rsid w:val="00B62EAA"/>
    <w:rsid w:val="00B6317D"/>
    <w:rsid w:val="00B6717C"/>
    <w:rsid w:val="00B70317"/>
    <w:rsid w:val="00B715D4"/>
    <w:rsid w:val="00B718ED"/>
    <w:rsid w:val="00B72A5E"/>
    <w:rsid w:val="00B73BEB"/>
    <w:rsid w:val="00B760C9"/>
    <w:rsid w:val="00B7723F"/>
    <w:rsid w:val="00B77F58"/>
    <w:rsid w:val="00B80534"/>
    <w:rsid w:val="00B8067B"/>
    <w:rsid w:val="00B815C9"/>
    <w:rsid w:val="00B8433C"/>
    <w:rsid w:val="00B8492B"/>
    <w:rsid w:val="00B85E7C"/>
    <w:rsid w:val="00B87491"/>
    <w:rsid w:val="00B90F7D"/>
    <w:rsid w:val="00B92E5D"/>
    <w:rsid w:val="00B97757"/>
    <w:rsid w:val="00BA1B96"/>
    <w:rsid w:val="00BA2062"/>
    <w:rsid w:val="00BA26E4"/>
    <w:rsid w:val="00BA29E9"/>
    <w:rsid w:val="00BA328F"/>
    <w:rsid w:val="00BA3E65"/>
    <w:rsid w:val="00BA5750"/>
    <w:rsid w:val="00BA5773"/>
    <w:rsid w:val="00BA63A5"/>
    <w:rsid w:val="00BA7142"/>
    <w:rsid w:val="00BA765C"/>
    <w:rsid w:val="00BB1926"/>
    <w:rsid w:val="00BB237C"/>
    <w:rsid w:val="00BB40DC"/>
    <w:rsid w:val="00BB41A3"/>
    <w:rsid w:val="00BB5B86"/>
    <w:rsid w:val="00BB5E48"/>
    <w:rsid w:val="00BB7644"/>
    <w:rsid w:val="00BB7F79"/>
    <w:rsid w:val="00BC08D7"/>
    <w:rsid w:val="00BC08DF"/>
    <w:rsid w:val="00BC32DC"/>
    <w:rsid w:val="00BC35B6"/>
    <w:rsid w:val="00BC3D29"/>
    <w:rsid w:val="00BC4C1C"/>
    <w:rsid w:val="00BC6BC3"/>
    <w:rsid w:val="00BD148B"/>
    <w:rsid w:val="00BD1B51"/>
    <w:rsid w:val="00BD37AD"/>
    <w:rsid w:val="00BD3DDF"/>
    <w:rsid w:val="00BD4596"/>
    <w:rsid w:val="00BD4B73"/>
    <w:rsid w:val="00BD4F27"/>
    <w:rsid w:val="00BD5D84"/>
    <w:rsid w:val="00BD5E06"/>
    <w:rsid w:val="00BD609B"/>
    <w:rsid w:val="00BD720D"/>
    <w:rsid w:val="00BE1405"/>
    <w:rsid w:val="00BE19BE"/>
    <w:rsid w:val="00BE203D"/>
    <w:rsid w:val="00BE312D"/>
    <w:rsid w:val="00BE5821"/>
    <w:rsid w:val="00BE5E43"/>
    <w:rsid w:val="00BE6FE9"/>
    <w:rsid w:val="00BE7B10"/>
    <w:rsid w:val="00BF001B"/>
    <w:rsid w:val="00BF009F"/>
    <w:rsid w:val="00BF13EE"/>
    <w:rsid w:val="00BF1637"/>
    <w:rsid w:val="00BF1C20"/>
    <w:rsid w:val="00BF3E25"/>
    <w:rsid w:val="00BF5149"/>
    <w:rsid w:val="00BF51A5"/>
    <w:rsid w:val="00BF5C6F"/>
    <w:rsid w:val="00C018AE"/>
    <w:rsid w:val="00C0411C"/>
    <w:rsid w:val="00C07EE9"/>
    <w:rsid w:val="00C10306"/>
    <w:rsid w:val="00C104EE"/>
    <w:rsid w:val="00C10578"/>
    <w:rsid w:val="00C10E4C"/>
    <w:rsid w:val="00C135BC"/>
    <w:rsid w:val="00C1385C"/>
    <w:rsid w:val="00C1425B"/>
    <w:rsid w:val="00C1541C"/>
    <w:rsid w:val="00C15C95"/>
    <w:rsid w:val="00C1645F"/>
    <w:rsid w:val="00C16C80"/>
    <w:rsid w:val="00C174B4"/>
    <w:rsid w:val="00C2234B"/>
    <w:rsid w:val="00C22D24"/>
    <w:rsid w:val="00C23EFB"/>
    <w:rsid w:val="00C2596A"/>
    <w:rsid w:val="00C27537"/>
    <w:rsid w:val="00C27C56"/>
    <w:rsid w:val="00C27E6A"/>
    <w:rsid w:val="00C31B72"/>
    <w:rsid w:val="00C328FE"/>
    <w:rsid w:val="00C32B57"/>
    <w:rsid w:val="00C33507"/>
    <w:rsid w:val="00C346AC"/>
    <w:rsid w:val="00C363A7"/>
    <w:rsid w:val="00C36C3A"/>
    <w:rsid w:val="00C378D0"/>
    <w:rsid w:val="00C401FC"/>
    <w:rsid w:val="00C40F6C"/>
    <w:rsid w:val="00C427A9"/>
    <w:rsid w:val="00C42BE9"/>
    <w:rsid w:val="00C4409D"/>
    <w:rsid w:val="00C441E3"/>
    <w:rsid w:val="00C44C8C"/>
    <w:rsid w:val="00C44E72"/>
    <w:rsid w:val="00C45A06"/>
    <w:rsid w:val="00C46044"/>
    <w:rsid w:val="00C46D72"/>
    <w:rsid w:val="00C47E5B"/>
    <w:rsid w:val="00C501A8"/>
    <w:rsid w:val="00C52DE3"/>
    <w:rsid w:val="00C52EED"/>
    <w:rsid w:val="00C533A2"/>
    <w:rsid w:val="00C55C08"/>
    <w:rsid w:val="00C61E4B"/>
    <w:rsid w:val="00C63D44"/>
    <w:rsid w:val="00C64BFF"/>
    <w:rsid w:val="00C64FD9"/>
    <w:rsid w:val="00C704E9"/>
    <w:rsid w:val="00C70690"/>
    <w:rsid w:val="00C74172"/>
    <w:rsid w:val="00C74DC2"/>
    <w:rsid w:val="00C74EBC"/>
    <w:rsid w:val="00C752F9"/>
    <w:rsid w:val="00C75FBA"/>
    <w:rsid w:val="00C763C9"/>
    <w:rsid w:val="00C76487"/>
    <w:rsid w:val="00C80057"/>
    <w:rsid w:val="00C8179A"/>
    <w:rsid w:val="00C81AFC"/>
    <w:rsid w:val="00C82232"/>
    <w:rsid w:val="00C82913"/>
    <w:rsid w:val="00C84D64"/>
    <w:rsid w:val="00C86127"/>
    <w:rsid w:val="00C8615C"/>
    <w:rsid w:val="00C8736A"/>
    <w:rsid w:val="00C90621"/>
    <w:rsid w:val="00C912CE"/>
    <w:rsid w:val="00C9689F"/>
    <w:rsid w:val="00C97031"/>
    <w:rsid w:val="00C972B1"/>
    <w:rsid w:val="00C977F5"/>
    <w:rsid w:val="00CA2CCE"/>
    <w:rsid w:val="00CA40FF"/>
    <w:rsid w:val="00CA43FD"/>
    <w:rsid w:val="00CA45BF"/>
    <w:rsid w:val="00CA48E0"/>
    <w:rsid w:val="00CA65C5"/>
    <w:rsid w:val="00CA6DB0"/>
    <w:rsid w:val="00CA7EF8"/>
    <w:rsid w:val="00CB0AB2"/>
    <w:rsid w:val="00CB2744"/>
    <w:rsid w:val="00CB2BD3"/>
    <w:rsid w:val="00CB3130"/>
    <w:rsid w:val="00CB3446"/>
    <w:rsid w:val="00CB48BD"/>
    <w:rsid w:val="00CB646C"/>
    <w:rsid w:val="00CB724D"/>
    <w:rsid w:val="00CC03EF"/>
    <w:rsid w:val="00CC1FCF"/>
    <w:rsid w:val="00CC489B"/>
    <w:rsid w:val="00CC4978"/>
    <w:rsid w:val="00CC4B1E"/>
    <w:rsid w:val="00CD1B1C"/>
    <w:rsid w:val="00CD212C"/>
    <w:rsid w:val="00CD28F6"/>
    <w:rsid w:val="00CD2BCD"/>
    <w:rsid w:val="00CD2F2C"/>
    <w:rsid w:val="00CD383E"/>
    <w:rsid w:val="00CD3A4C"/>
    <w:rsid w:val="00CD52B3"/>
    <w:rsid w:val="00CD6831"/>
    <w:rsid w:val="00CD7E2C"/>
    <w:rsid w:val="00CD7F97"/>
    <w:rsid w:val="00CE1093"/>
    <w:rsid w:val="00CE10E9"/>
    <w:rsid w:val="00CE1E91"/>
    <w:rsid w:val="00CE2910"/>
    <w:rsid w:val="00CE31E4"/>
    <w:rsid w:val="00CE36E5"/>
    <w:rsid w:val="00CE3B63"/>
    <w:rsid w:val="00CE4E00"/>
    <w:rsid w:val="00CE5393"/>
    <w:rsid w:val="00CE7E1F"/>
    <w:rsid w:val="00CF0BFB"/>
    <w:rsid w:val="00CF1FF9"/>
    <w:rsid w:val="00CF24FD"/>
    <w:rsid w:val="00CF29B5"/>
    <w:rsid w:val="00CF35FD"/>
    <w:rsid w:val="00CF36BE"/>
    <w:rsid w:val="00CF6000"/>
    <w:rsid w:val="00CF690A"/>
    <w:rsid w:val="00D003F3"/>
    <w:rsid w:val="00D0275F"/>
    <w:rsid w:val="00D032FF"/>
    <w:rsid w:val="00D0364F"/>
    <w:rsid w:val="00D066F8"/>
    <w:rsid w:val="00D06834"/>
    <w:rsid w:val="00D06858"/>
    <w:rsid w:val="00D068C7"/>
    <w:rsid w:val="00D07DF6"/>
    <w:rsid w:val="00D1081B"/>
    <w:rsid w:val="00D1268E"/>
    <w:rsid w:val="00D13BCF"/>
    <w:rsid w:val="00D15DBC"/>
    <w:rsid w:val="00D16509"/>
    <w:rsid w:val="00D16929"/>
    <w:rsid w:val="00D16B52"/>
    <w:rsid w:val="00D20036"/>
    <w:rsid w:val="00D2134C"/>
    <w:rsid w:val="00D22E49"/>
    <w:rsid w:val="00D23AE5"/>
    <w:rsid w:val="00D245EC"/>
    <w:rsid w:val="00D2494D"/>
    <w:rsid w:val="00D24995"/>
    <w:rsid w:val="00D253ED"/>
    <w:rsid w:val="00D26FE2"/>
    <w:rsid w:val="00D30845"/>
    <w:rsid w:val="00D308ED"/>
    <w:rsid w:val="00D3107E"/>
    <w:rsid w:val="00D321C1"/>
    <w:rsid w:val="00D322FA"/>
    <w:rsid w:val="00D35374"/>
    <w:rsid w:val="00D35957"/>
    <w:rsid w:val="00D3633E"/>
    <w:rsid w:val="00D36444"/>
    <w:rsid w:val="00D36D86"/>
    <w:rsid w:val="00D41494"/>
    <w:rsid w:val="00D428AA"/>
    <w:rsid w:val="00D43744"/>
    <w:rsid w:val="00D43EC2"/>
    <w:rsid w:val="00D4471A"/>
    <w:rsid w:val="00D44A2E"/>
    <w:rsid w:val="00D4519E"/>
    <w:rsid w:val="00D47378"/>
    <w:rsid w:val="00D4760A"/>
    <w:rsid w:val="00D501D8"/>
    <w:rsid w:val="00D50A34"/>
    <w:rsid w:val="00D53733"/>
    <w:rsid w:val="00D53EFA"/>
    <w:rsid w:val="00D5459A"/>
    <w:rsid w:val="00D54A9E"/>
    <w:rsid w:val="00D554DB"/>
    <w:rsid w:val="00D5731B"/>
    <w:rsid w:val="00D57F73"/>
    <w:rsid w:val="00D63909"/>
    <w:rsid w:val="00D648CD"/>
    <w:rsid w:val="00D6491E"/>
    <w:rsid w:val="00D650D6"/>
    <w:rsid w:val="00D65698"/>
    <w:rsid w:val="00D718FC"/>
    <w:rsid w:val="00D71F62"/>
    <w:rsid w:val="00D71F7D"/>
    <w:rsid w:val="00D729F7"/>
    <w:rsid w:val="00D74F42"/>
    <w:rsid w:val="00D76F67"/>
    <w:rsid w:val="00D80140"/>
    <w:rsid w:val="00D80B8C"/>
    <w:rsid w:val="00D83F53"/>
    <w:rsid w:val="00D84742"/>
    <w:rsid w:val="00D84FD4"/>
    <w:rsid w:val="00D90F01"/>
    <w:rsid w:val="00D916E8"/>
    <w:rsid w:val="00D91A43"/>
    <w:rsid w:val="00D94A7C"/>
    <w:rsid w:val="00D95896"/>
    <w:rsid w:val="00D97EF0"/>
    <w:rsid w:val="00DA19B8"/>
    <w:rsid w:val="00DA40E9"/>
    <w:rsid w:val="00DA4638"/>
    <w:rsid w:val="00DA46DB"/>
    <w:rsid w:val="00DA5266"/>
    <w:rsid w:val="00DA5536"/>
    <w:rsid w:val="00DB041C"/>
    <w:rsid w:val="00DB1C05"/>
    <w:rsid w:val="00DB2031"/>
    <w:rsid w:val="00DB2983"/>
    <w:rsid w:val="00DB402B"/>
    <w:rsid w:val="00DB466E"/>
    <w:rsid w:val="00DB4FD9"/>
    <w:rsid w:val="00DB6A94"/>
    <w:rsid w:val="00DB7882"/>
    <w:rsid w:val="00DC035E"/>
    <w:rsid w:val="00DC07AB"/>
    <w:rsid w:val="00DC1257"/>
    <w:rsid w:val="00DC19CB"/>
    <w:rsid w:val="00DC2581"/>
    <w:rsid w:val="00DC3392"/>
    <w:rsid w:val="00DC3DC0"/>
    <w:rsid w:val="00DC5B2B"/>
    <w:rsid w:val="00DD072F"/>
    <w:rsid w:val="00DD2F0F"/>
    <w:rsid w:val="00DD318D"/>
    <w:rsid w:val="00DD4A29"/>
    <w:rsid w:val="00DD73EA"/>
    <w:rsid w:val="00DE0C30"/>
    <w:rsid w:val="00DE1086"/>
    <w:rsid w:val="00DE2D5C"/>
    <w:rsid w:val="00DE3C2A"/>
    <w:rsid w:val="00DE404F"/>
    <w:rsid w:val="00DE5FDE"/>
    <w:rsid w:val="00DF2E12"/>
    <w:rsid w:val="00DF3B02"/>
    <w:rsid w:val="00DF40E6"/>
    <w:rsid w:val="00DF40FA"/>
    <w:rsid w:val="00DF514A"/>
    <w:rsid w:val="00DF6690"/>
    <w:rsid w:val="00DF6765"/>
    <w:rsid w:val="00DF6804"/>
    <w:rsid w:val="00DF6BE7"/>
    <w:rsid w:val="00E005C1"/>
    <w:rsid w:val="00E0162E"/>
    <w:rsid w:val="00E019BB"/>
    <w:rsid w:val="00E02EDA"/>
    <w:rsid w:val="00E0358D"/>
    <w:rsid w:val="00E04323"/>
    <w:rsid w:val="00E070A2"/>
    <w:rsid w:val="00E07C96"/>
    <w:rsid w:val="00E10000"/>
    <w:rsid w:val="00E10BBE"/>
    <w:rsid w:val="00E11E80"/>
    <w:rsid w:val="00E1274C"/>
    <w:rsid w:val="00E20120"/>
    <w:rsid w:val="00E2118D"/>
    <w:rsid w:val="00E22406"/>
    <w:rsid w:val="00E2656A"/>
    <w:rsid w:val="00E26848"/>
    <w:rsid w:val="00E26E73"/>
    <w:rsid w:val="00E2777B"/>
    <w:rsid w:val="00E27AB9"/>
    <w:rsid w:val="00E3099D"/>
    <w:rsid w:val="00E310BC"/>
    <w:rsid w:val="00E31D71"/>
    <w:rsid w:val="00E32670"/>
    <w:rsid w:val="00E3377E"/>
    <w:rsid w:val="00E33A42"/>
    <w:rsid w:val="00E3460E"/>
    <w:rsid w:val="00E35501"/>
    <w:rsid w:val="00E357EB"/>
    <w:rsid w:val="00E370B6"/>
    <w:rsid w:val="00E37CB4"/>
    <w:rsid w:val="00E37D19"/>
    <w:rsid w:val="00E412D0"/>
    <w:rsid w:val="00E41B5D"/>
    <w:rsid w:val="00E41DA0"/>
    <w:rsid w:val="00E4604F"/>
    <w:rsid w:val="00E46CD8"/>
    <w:rsid w:val="00E47516"/>
    <w:rsid w:val="00E50947"/>
    <w:rsid w:val="00E51C34"/>
    <w:rsid w:val="00E51DD6"/>
    <w:rsid w:val="00E5233A"/>
    <w:rsid w:val="00E541FC"/>
    <w:rsid w:val="00E54E57"/>
    <w:rsid w:val="00E55D24"/>
    <w:rsid w:val="00E5604C"/>
    <w:rsid w:val="00E56322"/>
    <w:rsid w:val="00E57410"/>
    <w:rsid w:val="00E60982"/>
    <w:rsid w:val="00E612B3"/>
    <w:rsid w:val="00E62C62"/>
    <w:rsid w:val="00E6357E"/>
    <w:rsid w:val="00E649D6"/>
    <w:rsid w:val="00E654C1"/>
    <w:rsid w:val="00E65675"/>
    <w:rsid w:val="00E65D97"/>
    <w:rsid w:val="00E6611E"/>
    <w:rsid w:val="00E661DC"/>
    <w:rsid w:val="00E70014"/>
    <w:rsid w:val="00E71705"/>
    <w:rsid w:val="00E718B9"/>
    <w:rsid w:val="00E72A5A"/>
    <w:rsid w:val="00E73354"/>
    <w:rsid w:val="00E7379E"/>
    <w:rsid w:val="00E73C80"/>
    <w:rsid w:val="00E750C8"/>
    <w:rsid w:val="00E761D4"/>
    <w:rsid w:val="00E8552B"/>
    <w:rsid w:val="00E8571E"/>
    <w:rsid w:val="00E8799C"/>
    <w:rsid w:val="00E900A5"/>
    <w:rsid w:val="00E90F55"/>
    <w:rsid w:val="00E918F4"/>
    <w:rsid w:val="00E9242D"/>
    <w:rsid w:val="00E928CC"/>
    <w:rsid w:val="00E930E2"/>
    <w:rsid w:val="00E93553"/>
    <w:rsid w:val="00E9489A"/>
    <w:rsid w:val="00E94F2D"/>
    <w:rsid w:val="00E95CDA"/>
    <w:rsid w:val="00EA08DA"/>
    <w:rsid w:val="00EA1319"/>
    <w:rsid w:val="00EA1833"/>
    <w:rsid w:val="00EA230C"/>
    <w:rsid w:val="00EA3769"/>
    <w:rsid w:val="00EA63AB"/>
    <w:rsid w:val="00EA69F8"/>
    <w:rsid w:val="00EA71DF"/>
    <w:rsid w:val="00EB0A62"/>
    <w:rsid w:val="00EB0C0B"/>
    <w:rsid w:val="00EB126D"/>
    <w:rsid w:val="00EB2365"/>
    <w:rsid w:val="00EB3B57"/>
    <w:rsid w:val="00EB5255"/>
    <w:rsid w:val="00EB5C47"/>
    <w:rsid w:val="00EB7213"/>
    <w:rsid w:val="00EB73B5"/>
    <w:rsid w:val="00EB7779"/>
    <w:rsid w:val="00EC137E"/>
    <w:rsid w:val="00EC5A3B"/>
    <w:rsid w:val="00EC5FA7"/>
    <w:rsid w:val="00ED0639"/>
    <w:rsid w:val="00ED37FC"/>
    <w:rsid w:val="00ED4F81"/>
    <w:rsid w:val="00ED54E5"/>
    <w:rsid w:val="00ED5621"/>
    <w:rsid w:val="00ED646D"/>
    <w:rsid w:val="00EE0DAC"/>
    <w:rsid w:val="00EE25B9"/>
    <w:rsid w:val="00EE2AC5"/>
    <w:rsid w:val="00EE37FD"/>
    <w:rsid w:val="00EE4D0C"/>
    <w:rsid w:val="00EF1D2E"/>
    <w:rsid w:val="00EF26DF"/>
    <w:rsid w:val="00EF4507"/>
    <w:rsid w:val="00EF4755"/>
    <w:rsid w:val="00EF4CD6"/>
    <w:rsid w:val="00EF584F"/>
    <w:rsid w:val="00EF6766"/>
    <w:rsid w:val="00EF7135"/>
    <w:rsid w:val="00EF7ABC"/>
    <w:rsid w:val="00F00F15"/>
    <w:rsid w:val="00F027DB"/>
    <w:rsid w:val="00F02E00"/>
    <w:rsid w:val="00F0360D"/>
    <w:rsid w:val="00F0460C"/>
    <w:rsid w:val="00F05D87"/>
    <w:rsid w:val="00F07C28"/>
    <w:rsid w:val="00F1082C"/>
    <w:rsid w:val="00F10FF4"/>
    <w:rsid w:val="00F137B5"/>
    <w:rsid w:val="00F14A7A"/>
    <w:rsid w:val="00F14E2F"/>
    <w:rsid w:val="00F15061"/>
    <w:rsid w:val="00F154AF"/>
    <w:rsid w:val="00F20C23"/>
    <w:rsid w:val="00F20D33"/>
    <w:rsid w:val="00F20E12"/>
    <w:rsid w:val="00F21464"/>
    <w:rsid w:val="00F22985"/>
    <w:rsid w:val="00F23498"/>
    <w:rsid w:val="00F2401A"/>
    <w:rsid w:val="00F25D13"/>
    <w:rsid w:val="00F25D52"/>
    <w:rsid w:val="00F301A5"/>
    <w:rsid w:val="00F301AB"/>
    <w:rsid w:val="00F3028C"/>
    <w:rsid w:val="00F305C6"/>
    <w:rsid w:val="00F31354"/>
    <w:rsid w:val="00F336CF"/>
    <w:rsid w:val="00F3383E"/>
    <w:rsid w:val="00F339A2"/>
    <w:rsid w:val="00F356B5"/>
    <w:rsid w:val="00F400A4"/>
    <w:rsid w:val="00F41128"/>
    <w:rsid w:val="00F431AC"/>
    <w:rsid w:val="00F43E79"/>
    <w:rsid w:val="00F447E1"/>
    <w:rsid w:val="00F44BCF"/>
    <w:rsid w:val="00F44F89"/>
    <w:rsid w:val="00F45741"/>
    <w:rsid w:val="00F45E52"/>
    <w:rsid w:val="00F465A7"/>
    <w:rsid w:val="00F475B9"/>
    <w:rsid w:val="00F50911"/>
    <w:rsid w:val="00F50B7C"/>
    <w:rsid w:val="00F5127D"/>
    <w:rsid w:val="00F51A12"/>
    <w:rsid w:val="00F51A18"/>
    <w:rsid w:val="00F540DB"/>
    <w:rsid w:val="00F548DA"/>
    <w:rsid w:val="00F550E6"/>
    <w:rsid w:val="00F577A3"/>
    <w:rsid w:val="00F61443"/>
    <w:rsid w:val="00F6273F"/>
    <w:rsid w:val="00F629BF"/>
    <w:rsid w:val="00F66E7F"/>
    <w:rsid w:val="00F67986"/>
    <w:rsid w:val="00F71BFD"/>
    <w:rsid w:val="00F71E7F"/>
    <w:rsid w:val="00F72F94"/>
    <w:rsid w:val="00F74345"/>
    <w:rsid w:val="00F800EC"/>
    <w:rsid w:val="00F80A0A"/>
    <w:rsid w:val="00F815A5"/>
    <w:rsid w:val="00F82B19"/>
    <w:rsid w:val="00F84901"/>
    <w:rsid w:val="00F85263"/>
    <w:rsid w:val="00F875BC"/>
    <w:rsid w:val="00F87B09"/>
    <w:rsid w:val="00F909B7"/>
    <w:rsid w:val="00F91575"/>
    <w:rsid w:val="00F91594"/>
    <w:rsid w:val="00F917F7"/>
    <w:rsid w:val="00F9212D"/>
    <w:rsid w:val="00F93C2A"/>
    <w:rsid w:val="00F954BA"/>
    <w:rsid w:val="00F965DA"/>
    <w:rsid w:val="00F9722C"/>
    <w:rsid w:val="00F97572"/>
    <w:rsid w:val="00F9781C"/>
    <w:rsid w:val="00F97E67"/>
    <w:rsid w:val="00FA026C"/>
    <w:rsid w:val="00FA24A7"/>
    <w:rsid w:val="00FA2592"/>
    <w:rsid w:val="00FA2B5F"/>
    <w:rsid w:val="00FA406A"/>
    <w:rsid w:val="00FA5632"/>
    <w:rsid w:val="00FA5AF5"/>
    <w:rsid w:val="00FA5E00"/>
    <w:rsid w:val="00FA6EB1"/>
    <w:rsid w:val="00FB2445"/>
    <w:rsid w:val="00FB3809"/>
    <w:rsid w:val="00FB3E53"/>
    <w:rsid w:val="00FB490D"/>
    <w:rsid w:val="00FB503A"/>
    <w:rsid w:val="00FB516C"/>
    <w:rsid w:val="00FB5C93"/>
    <w:rsid w:val="00FB767B"/>
    <w:rsid w:val="00FC07F0"/>
    <w:rsid w:val="00FC14D0"/>
    <w:rsid w:val="00FC29C6"/>
    <w:rsid w:val="00FC304D"/>
    <w:rsid w:val="00FD0236"/>
    <w:rsid w:val="00FD13A5"/>
    <w:rsid w:val="00FD18F4"/>
    <w:rsid w:val="00FD331A"/>
    <w:rsid w:val="00FD3E3E"/>
    <w:rsid w:val="00FD54DB"/>
    <w:rsid w:val="00FD5974"/>
    <w:rsid w:val="00FD619F"/>
    <w:rsid w:val="00FE09B1"/>
    <w:rsid w:val="00FE1BE9"/>
    <w:rsid w:val="00FE26DB"/>
    <w:rsid w:val="00FE5407"/>
    <w:rsid w:val="00FE5A3F"/>
    <w:rsid w:val="00FE5BAB"/>
    <w:rsid w:val="00FE65B5"/>
    <w:rsid w:val="00FE793D"/>
    <w:rsid w:val="00FF2701"/>
    <w:rsid w:val="00FF2D0B"/>
    <w:rsid w:val="00FF371E"/>
    <w:rsid w:val="00FF3A1B"/>
    <w:rsid w:val="00FF3DFF"/>
    <w:rsid w:val="00FF408B"/>
    <w:rsid w:val="00FF69A2"/>
    <w:rsid w:val="00FF7C97"/>
    <w:rsid w:val="01030BC5"/>
    <w:rsid w:val="01211AD4"/>
    <w:rsid w:val="01290F7E"/>
    <w:rsid w:val="01444DD9"/>
    <w:rsid w:val="0156352C"/>
    <w:rsid w:val="015D1E09"/>
    <w:rsid w:val="01AA7D1B"/>
    <w:rsid w:val="01AF70E0"/>
    <w:rsid w:val="01BC29A0"/>
    <w:rsid w:val="01EE5E5A"/>
    <w:rsid w:val="01FB2226"/>
    <w:rsid w:val="01FD53FB"/>
    <w:rsid w:val="02072A78"/>
    <w:rsid w:val="0258613A"/>
    <w:rsid w:val="02697903"/>
    <w:rsid w:val="028A563E"/>
    <w:rsid w:val="028B36A9"/>
    <w:rsid w:val="02AF333D"/>
    <w:rsid w:val="02F96569"/>
    <w:rsid w:val="0317360F"/>
    <w:rsid w:val="03213812"/>
    <w:rsid w:val="03263192"/>
    <w:rsid w:val="033D15CA"/>
    <w:rsid w:val="0361440A"/>
    <w:rsid w:val="03741D92"/>
    <w:rsid w:val="03771E7F"/>
    <w:rsid w:val="03831C0C"/>
    <w:rsid w:val="039C1479"/>
    <w:rsid w:val="03B92F27"/>
    <w:rsid w:val="03D472D2"/>
    <w:rsid w:val="03EA7B21"/>
    <w:rsid w:val="03FD446A"/>
    <w:rsid w:val="04781A0B"/>
    <w:rsid w:val="04E90B5B"/>
    <w:rsid w:val="05102B33"/>
    <w:rsid w:val="05340028"/>
    <w:rsid w:val="058C1C12"/>
    <w:rsid w:val="05B07EE3"/>
    <w:rsid w:val="05DE7F94"/>
    <w:rsid w:val="05F23A3F"/>
    <w:rsid w:val="05F83EAE"/>
    <w:rsid w:val="06116FF3"/>
    <w:rsid w:val="06271C39"/>
    <w:rsid w:val="0627603D"/>
    <w:rsid w:val="06324807"/>
    <w:rsid w:val="063E7D85"/>
    <w:rsid w:val="065061B0"/>
    <w:rsid w:val="067739B1"/>
    <w:rsid w:val="067C0DC9"/>
    <w:rsid w:val="06D05497"/>
    <w:rsid w:val="06F8243F"/>
    <w:rsid w:val="06FF2879"/>
    <w:rsid w:val="07092259"/>
    <w:rsid w:val="070C4EFE"/>
    <w:rsid w:val="070D53E3"/>
    <w:rsid w:val="072702BE"/>
    <w:rsid w:val="07293586"/>
    <w:rsid w:val="07295285"/>
    <w:rsid w:val="07602703"/>
    <w:rsid w:val="07636392"/>
    <w:rsid w:val="07770C56"/>
    <w:rsid w:val="07AA0EFE"/>
    <w:rsid w:val="07BB29F4"/>
    <w:rsid w:val="07D01AC9"/>
    <w:rsid w:val="07F67816"/>
    <w:rsid w:val="08455747"/>
    <w:rsid w:val="091B52F7"/>
    <w:rsid w:val="092217DD"/>
    <w:rsid w:val="092C769C"/>
    <w:rsid w:val="093A7294"/>
    <w:rsid w:val="094F2EDB"/>
    <w:rsid w:val="096B281A"/>
    <w:rsid w:val="097E58B1"/>
    <w:rsid w:val="097E7AC3"/>
    <w:rsid w:val="09AA0A21"/>
    <w:rsid w:val="09B6648A"/>
    <w:rsid w:val="09CA0F5B"/>
    <w:rsid w:val="0A1A1E73"/>
    <w:rsid w:val="0A263993"/>
    <w:rsid w:val="0A2D3AC2"/>
    <w:rsid w:val="0A371264"/>
    <w:rsid w:val="0A4E60CD"/>
    <w:rsid w:val="0A6E5D8A"/>
    <w:rsid w:val="0A801D18"/>
    <w:rsid w:val="0AA755DF"/>
    <w:rsid w:val="0AD273EC"/>
    <w:rsid w:val="0AFF48CA"/>
    <w:rsid w:val="0B071C27"/>
    <w:rsid w:val="0B120D44"/>
    <w:rsid w:val="0B39126D"/>
    <w:rsid w:val="0B596A2F"/>
    <w:rsid w:val="0B8E7E3E"/>
    <w:rsid w:val="0B9220CC"/>
    <w:rsid w:val="0B984DE8"/>
    <w:rsid w:val="0B9C2890"/>
    <w:rsid w:val="0BA15CEB"/>
    <w:rsid w:val="0BB73761"/>
    <w:rsid w:val="0BD27BF6"/>
    <w:rsid w:val="0BD460C1"/>
    <w:rsid w:val="0C3B3C7D"/>
    <w:rsid w:val="0C5B0590"/>
    <w:rsid w:val="0C8A2C23"/>
    <w:rsid w:val="0C95349B"/>
    <w:rsid w:val="0CAB2EAE"/>
    <w:rsid w:val="0CB35CD6"/>
    <w:rsid w:val="0CCD48BE"/>
    <w:rsid w:val="0D111470"/>
    <w:rsid w:val="0D1F05BA"/>
    <w:rsid w:val="0D35493D"/>
    <w:rsid w:val="0D621C7D"/>
    <w:rsid w:val="0D7D6231"/>
    <w:rsid w:val="0D9755F8"/>
    <w:rsid w:val="0DA970D9"/>
    <w:rsid w:val="0DD62E6E"/>
    <w:rsid w:val="0DDC125D"/>
    <w:rsid w:val="0DF91E0E"/>
    <w:rsid w:val="0E0F33E0"/>
    <w:rsid w:val="0E1A2DD2"/>
    <w:rsid w:val="0E3746E5"/>
    <w:rsid w:val="0E386ACC"/>
    <w:rsid w:val="0E73034D"/>
    <w:rsid w:val="0E892023"/>
    <w:rsid w:val="0E977CAD"/>
    <w:rsid w:val="0EF82C9C"/>
    <w:rsid w:val="0F13775A"/>
    <w:rsid w:val="0F1B6DE4"/>
    <w:rsid w:val="0F2E096E"/>
    <w:rsid w:val="0F5F45FE"/>
    <w:rsid w:val="0F965A9B"/>
    <w:rsid w:val="0F9A112B"/>
    <w:rsid w:val="0FA1275E"/>
    <w:rsid w:val="0FAE4E7B"/>
    <w:rsid w:val="0FD321F3"/>
    <w:rsid w:val="0FFD0F93"/>
    <w:rsid w:val="10072DFF"/>
    <w:rsid w:val="100D4A44"/>
    <w:rsid w:val="101B2164"/>
    <w:rsid w:val="106D2F64"/>
    <w:rsid w:val="107C65B9"/>
    <w:rsid w:val="10B63710"/>
    <w:rsid w:val="10CF60E9"/>
    <w:rsid w:val="10E93BDF"/>
    <w:rsid w:val="10F10820"/>
    <w:rsid w:val="111C2F7A"/>
    <w:rsid w:val="113849FC"/>
    <w:rsid w:val="115B222D"/>
    <w:rsid w:val="11621A79"/>
    <w:rsid w:val="11665CA1"/>
    <w:rsid w:val="11765524"/>
    <w:rsid w:val="118C4615"/>
    <w:rsid w:val="118E6D12"/>
    <w:rsid w:val="119D0D03"/>
    <w:rsid w:val="11D030BF"/>
    <w:rsid w:val="12064AFA"/>
    <w:rsid w:val="12360E39"/>
    <w:rsid w:val="12480C7B"/>
    <w:rsid w:val="12B66520"/>
    <w:rsid w:val="12BC19F4"/>
    <w:rsid w:val="12CC7AF2"/>
    <w:rsid w:val="12E159EB"/>
    <w:rsid w:val="12FC1806"/>
    <w:rsid w:val="13523E6D"/>
    <w:rsid w:val="13951726"/>
    <w:rsid w:val="13B03F87"/>
    <w:rsid w:val="13D76DD8"/>
    <w:rsid w:val="13EA4B0B"/>
    <w:rsid w:val="14074B59"/>
    <w:rsid w:val="14396509"/>
    <w:rsid w:val="149E54E3"/>
    <w:rsid w:val="14DD2C3C"/>
    <w:rsid w:val="14E33702"/>
    <w:rsid w:val="152F19F9"/>
    <w:rsid w:val="15316E71"/>
    <w:rsid w:val="156F29B6"/>
    <w:rsid w:val="156F5AB9"/>
    <w:rsid w:val="15910884"/>
    <w:rsid w:val="15B12FCF"/>
    <w:rsid w:val="15B760FE"/>
    <w:rsid w:val="15D64321"/>
    <w:rsid w:val="15F80243"/>
    <w:rsid w:val="16087E1D"/>
    <w:rsid w:val="16105F4D"/>
    <w:rsid w:val="16AA22BA"/>
    <w:rsid w:val="16AD7C3A"/>
    <w:rsid w:val="16F50D91"/>
    <w:rsid w:val="17005FBC"/>
    <w:rsid w:val="17701D14"/>
    <w:rsid w:val="17735226"/>
    <w:rsid w:val="17813E90"/>
    <w:rsid w:val="178E38D3"/>
    <w:rsid w:val="178F10EE"/>
    <w:rsid w:val="1799517D"/>
    <w:rsid w:val="179E7B9F"/>
    <w:rsid w:val="17A171B1"/>
    <w:rsid w:val="17F32DE8"/>
    <w:rsid w:val="1876405C"/>
    <w:rsid w:val="189A3B72"/>
    <w:rsid w:val="189F624C"/>
    <w:rsid w:val="18A00DD0"/>
    <w:rsid w:val="18C2030C"/>
    <w:rsid w:val="18D16998"/>
    <w:rsid w:val="18FC0F55"/>
    <w:rsid w:val="190A52B8"/>
    <w:rsid w:val="19171D4D"/>
    <w:rsid w:val="19401843"/>
    <w:rsid w:val="194D230F"/>
    <w:rsid w:val="19700377"/>
    <w:rsid w:val="199C7AF2"/>
    <w:rsid w:val="19EA6AAF"/>
    <w:rsid w:val="19ED659F"/>
    <w:rsid w:val="19F77868"/>
    <w:rsid w:val="1A1C66C0"/>
    <w:rsid w:val="1A201E34"/>
    <w:rsid w:val="1A402E7B"/>
    <w:rsid w:val="1A42393B"/>
    <w:rsid w:val="1A5121AE"/>
    <w:rsid w:val="1A525F23"/>
    <w:rsid w:val="1A6B2840"/>
    <w:rsid w:val="1A731697"/>
    <w:rsid w:val="1AAD45DE"/>
    <w:rsid w:val="1AB84A8D"/>
    <w:rsid w:val="1ADA6B24"/>
    <w:rsid w:val="1ADC3DA4"/>
    <w:rsid w:val="1B046F80"/>
    <w:rsid w:val="1B19384E"/>
    <w:rsid w:val="1B3267B5"/>
    <w:rsid w:val="1B40161D"/>
    <w:rsid w:val="1B441859"/>
    <w:rsid w:val="1B6606B1"/>
    <w:rsid w:val="1B684130"/>
    <w:rsid w:val="1BD8031D"/>
    <w:rsid w:val="1BDD7B9D"/>
    <w:rsid w:val="1BF00DCE"/>
    <w:rsid w:val="1C3A255B"/>
    <w:rsid w:val="1C5E7925"/>
    <w:rsid w:val="1CEE68B6"/>
    <w:rsid w:val="1CFD070F"/>
    <w:rsid w:val="1D230E12"/>
    <w:rsid w:val="1D3249F5"/>
    <w:rsid w:val="1D4961E3"/>
    <w:rsid w:val="1D5F6196"/>
    <w:rsid w:val="1D6132A5"/>
    <w:rsid w:val="1D790876"/>
    <w:rsid w:val="1D8E56D5"/>
    <w:rsid w:val="1DA97DE1"/>
    <w:rsid w:val="1DCD00BE"/>
    <w:rsid w:val="1DCD2285"/>
    <w:rsid w:val="1DE0470B"/>
    <w:rsid w:val="1E195CB3"/>
    <w:rsid w:val="1E37179B"/>
    <w:rsid w:val="1E37428D"/>
    <w:rsid w:val="1E450758"/>
    <w:rsid w:val="1E691F3F"/>
    <w:rsid w:val="1E696B3C"/>
    <w:rsid w:val="1E77373D"/>
    <w:rsid w:val="1E7A43DA"/>
    <w:rsid w:val="1E8E65A3"/>
    <w:rsid w:val="1E984D2C"/>
    <w:rsid w:val="1EA71356"/>
    <w:rsid w:val="1ECE4BF1"/>
    <w:rsid w:val="1F0C74C8"/>
    <w:rsid w:val="1F1E3590"/>
    <w:rsid w:val="1F2109DF"/>
    <w:rsid w:val="1FC307DF"/>
    <w:rsid w:val="1FE7539E"/>
    <w:rsid w:val="200C4078"/>
    <w:rsid w:val="200F7218"/>
    <w:rsid w:val="20536885"/>
    <w:rsid w:val="20671BE0"/>
    <w:rsid w:val="208F7B35"/>
    <w:rsid w:val="20963CB8"/>
    <w:rsid w:val="20A81A1B"/>
    <w:rsid w:val="20B07FB6"/>
    <w:rsid w:val="20B646FB"/>
    <w:rsid w:val="20D932E2"/>
    <w:rsid w:val="213B74B1"/>
    <w:rsid w:val="215A2310"/>
    <w:rsid w:val="21DE318A"/>
    <w:rsid w:val="21EF5B80"/>
    <w:rsid w:val="2251766C"/>
    <w:rsid w:val="22576990"/>
    <w:rsid w:val="227731D5"/>
    <w:rsid w:val="22A068A5"/>
    <w:rsid w:val="22C317C8"/>
    <w:rsid w:val="22D64075"/>
    <w:rsid w:val="22F47480"/>
    <w:rsid w:val="22FB1D2D"/>
    <w:rsid w:val="23193ED1"/>
    <w:rsid w:val="232B2612"/>
    <w:rsid w:val="237A2B0F"/>
    <w:rsid w:val="23835A58"/>
    <w:rsid w:val="23DE1C48"/>
    <w:rsid w:val="240210CD"/>
    <w:rsid w:val="243D1D2C"/>
    <w:rsid w:val="24724271"/>
    <w:rsid w:val="249C0201"/>
    <w:rsid w:val="24B8006D"/>
    <w:rsid w:val="24BB4FCF"/>
    <w:rsid w:val="24BF09F7"/>
    <w:rsid w:val="252D53FE"/>
    <w:rsid w:val="252E57E3"/>
    <w:rsid w:val="25427C01"/>
    <w:rsid w:val="254E4396"/>
    <w:rsid w:val="25633077"/>
    <w:rsid w:val="25900E53"/>
    <w:rsid w:val="25952AC0"/>
    <w:rsid w:val="25EC2D81"/>
    <w:rsid w:val="26253DA1"/>
    <w:rsid w:val="262C3CE3"/>
    <w:rsid w:val="26712A32"/>
    <w:rsid w:val="268D7140"/>
    <w:rsid w:val="26B14876"/>
    <w:rsid w:val="26DA6AF1"/>
    <w:rsid w:val="26E82D7C"/>
    <w:rsid w:val="270962CA"/>
    <w:rsid w:val="270C62B7"/>
    <w:rsid w:val="27340751"/>
    <w:rsid w:val="27585423"/>
    <w:rsid w:val="277057A2"/>
    <w:rsid w:val="277976C4"/>
    <w:rsid w:val="27E95599"/>
    <w:rsid w:val="27EE42BA"/>
    <w:rsid w:val="28327A93"/>
    <w:rsid w:val="28571334"/>
    <w:rsid w:val="286978E1"/>
    <w:rsid w:val="2902421C"/>
    <w:rsid w:val="29057D0C"/>
    <w:rsid w:val="291E22D1"/>
    <w:rsid w:val="29206EB8"/>
    <w:rsid w:val="29364FF0"/>
    <w:rsid w:val="294F346E"/>
    <w:rsid w:val="29595666"/>
    <w:rsid w:val="295B30C3"/>
    <w:rsid w:val="29693E94"/>
    <w:rsid w:val="29874881"/>
    <w:rsid w:val="299C59A8"/>
    <w:rsid w:val="299D12AC"/>
    <w:rsid w:val="299D3B3E"/>
    <w:rsid w:val="299D58EC"/>
    <w:rsid w:val="29BA2C09"/>
    <w:rsid w:val="29BB5D72"/>
    <w:rsid w:val="29CF193C"/>
    <w:rsid w:val="29E325E0"/>
    <w:rsid w:val="2A0A167A"/>
    <w:rsid w:val="2A2A3029"/>
    <w:rsid w:val="2A452503"/>
    <w:rsid w:val="2A697FCD"/>
    <w:rsid w:val="2A7778D7"/>
    <w:rsid w:val="2ABA24CE"/>
    <w:rsid w:val="2AED28A3"/>
    <w:rsid w:val="2B2B54BF"/>
    <w:rsid w:val="2B4F1D40"/>
    <w:rsid w:val="2B5956E7"/>
    <w:rsid w:val="2B990335"/>
    <w:rsid w:val="2BA936A8"/>
    <w:rsid w:val="2BD4669F"/>
    <w:rsid w:val="2BDA2E28"/>
    <w:rsid w:val="2BF51FA0"/>
    <w:rsid w:val="2C315A5A"/>
    <w:rsid w:val="2C4B1C25"/>
    <w:rsid w:val="2C9B73E4"/>
    <w:rsid w:val="2CBF4C3D"/>
    <w:rsid w:val="2CE12120"/>
    <w:rsid w:val="2D0A4503"/>
    <w:rsid w:val="2D2A56E9"/>
    <w:rsid w:val="2D2D3E62"/>
    <w:rsid w:val="2D7C18E0"/>
    <w:rsid w:val="2D9E56F5"/>
    <w:rsid w:val="2DC14138"/>
    <w:rsid w:val="2DD92C6B"/>
    <w:rsid w:val="2DF45CF7"/>
    <w:rsid w:val="2E140C7A"/>
    <w:rsid w:val="2E1B6F78"/>
    <w:rsid w:val="2E1D03CE"/>
    <w:rsid w:val="2E565A32"/>
    <w:rsid w:val="2E5E01FE"/>
    <w:rsid w:val="2E5F1CC0"/>
    <w:rsid w:val="2E667F96"/>
    <w:rsid w:val="2E7C01C6"/>
    <w:rsid w:val="2E8226AB"/>
    <w:rsid w:val="2E903E3A"/>
    <w:rsid w:val="2F0D1143"/>
    <w:rsid w:val="2FD065E6"/>
    <w:rsid w:val="2FD96870"/>
    <w:rsid w:val="2FE1063F"/>
    <w:rsid w:val="2FF65D56"/>
    <w:rsid w:val="30096086"/>
    <w:rsid w:val="300A1801"/>
    <w:rsid w:val="30523594"/>
    <w:rsid w:val="30580BC9"/>
    <w:rsid w:val="307B625B"/>
    <w:rsid w:val="307C2990"/>
    <w:rsid w:val="30847BE4"/>
    <w:rsid w:val="309767BC"/>
    <w:rsid w:val="309B1745"/>
    <w:rsid w:val="30A532D8"/>
    <w:rsid w:val="30AD57F1"/>
    <w:rsid w:val="30C20AA0"/>
    <w:rsid w:val="30F34DA0"/>
    <w:rsid w:val="30FB7D5E"/>
    <w:rsid w:val="31014FDF"/>
    <w:rsid w:val="311E2ED7"/>
    <w:rsid w:val="312863E3"/>
    <w:rsid w:val="313308E4"/>
    <w:rsid w:val="313C192B"/>
    <w:rsid w:val="315619EE"/>
    <w:rsid w:val="315C449C"/>
    <w:rsid w:val="31614EED"/>
    <w:rsid w:val="31813552"/>
    <w:rsid w:val="31B82709"/>
    <w:rsid w:val="31C97B67"/>
    <w:rsid w:val="31D05482"/>
    <w:rsid w:val="322A1572"/>
    <w:rsid w:val="323B3E98"/>
    <w:rsid w:val="32400B34"/>
    <w:rsid w:val="324C4E3E"/>
    <w:rsid w:val="326829BA"/>
    <w:rsid w:val="326F19D0"/>
    <w:rsid w:val="329E6876"/>
    <w:rsid w:val="32B477ED"/>
    <w:rsid w:val="32BB6067"/>
    <w:rsid w:val="32D85BE7"/>
    <w:rsid w:val="33151F82"/>
    <w:rsid w:val="333015F2"/>
    <w:rsid w:val="334B6320"/>
    <w:rsid w:val="33664FA1"/>
    <w:rsid w:val="337123B7"/>
    <w:rsid w:val="33724973"/>
    <w:rsid w:val="339935C8"/>
    <w:rsid w:val="33BA5BA4"/>
    <w:rsid w:val="33D934D4"/>
    <w:rsid w:val="33FE2F6A"/>
    <w:rsid w:val="340D7B12"/>
    <w:rsid w:val="340E07E5"/>
    <w:rsid w:val="34235BF7"/>
    <w:rsid w:val="34645984"/>
    <w:rsid w:val="34675474"/>
    <w:rsid w:val="34CA0B0B"/>
    <w:rsid w:val="34DB57CB"/>
    <w:rsid w:val="353A66E5"/>
    <w:rsid w:val="354923AA"/>
    <w:rsid w:val="355C77CB"/>
    <w:rsid w:val="358C5FA8"/>
    <w:rsid w:val="35951B6D"/>
    <w:rsid w:val="35A81DED"/>
    <w:rsid w:val="35BC43FA"/>
    <w:rsid w:val="35BF6371"/>
    <w:rsid w:val="35C15DF1"/>
    <w:rsid w:val="35EA1EB9"/>
    <w:rsid w:val="36015455"/>
    <w:rsid w:val="36074A7F"/>
    <w:rsid w:val="360B1F69"/>
    <w:rsid w:val="363E2D1D"/>
    <w:rsid w:val="36923549"/>
    <w:rsid w:val="36B75FBF"/>
    <w:rsid w:val="36BD0C45"/>
    <w:rsid w:val="36E557F5"/>
    <w:rsid w:val="372B1CE9"/>
    <w:rsid w:val="37917315"/>
    <w:rsid w:val="379C6420"/>
    <w:rsid w:val="37DF7384"/>
    <w:rsid w:val="37E00298"/>
    <w:rsid w:val="38013B2A"/>
    <w:rsid w:val="384358B1"/>
    <w:rsid w:val="38666D3B"/>
    <w:rsid w:val="38705EDC"/>
    <w:rsid w:val="388510E0"/>
    <w:rsid w:val="38B302F9"/>
    <w:rsid w:val="38DE33A3"/>
    <w:rsid w:val="38F12CD3"/>
    <w:rsid w:val="38F94775"/>
    <w:rsid w:val="39033292"/>
    <w:rsid w:val="392971ED"/>
    <w:rsid w:val="392C7451"/>
    <w:rsid w:val="39325651"/>
    <w:rsid w:val="3934108F"/>
    <w:rsid w:val="39530D4B"/>
    <w:rsid w:val="39553AED"/>
    <w:rsid w:val="39B244B8"/>
    <w:rsid w:val="39C73D86"/>
    <w:rsid w:val="39DA2245"/>
    <w:rsid w:val="39F01A68"/>
    <w:rsid w:val="3A067D53"/>
    <w:rsid w:val="3A1B4F99"/>
    <w:rsid w:val="3A7932CB"/>
    <w:rsid w:val="3A872856"/>
    <w:rsid w:val="3AA31EC4"/>
    <w:rsid w:val="3ABD33E0"/>
    <w:rsid w:val="3AE113B1"/>
    <w:rsid w:val="3AEB590E"/>
    <w:rsid w:val="3AED72C6"/>
    <w:rsid w:val="3AF15E09"/>
    <w:rsid w:val="3B1A2E99"/>
    <w:rsid w:val="3B2A2D80"/>
    <w:rsid w:val="3B3763D1"/>
    <w:rsid w:val="3BA4114B"/>
    <w:rsid w:val="3BAE18FE"/>
    <w:rsid w:val="3BF40720"/>
    <w:rsid w:val="3C1D466B"/>
    <w:rsid w:val="3C2F6E1E"/>
    <w:rsid w:val="3C4F64BA"/>
    <w:rsid w:val="3C6522F9"/>
    <w:rsid w:val="3C782D33"/>
    <w:rsid w:val="3CDA245A"/>
    <w:rsid w:val="3D1E06B7"/>
    <w:rsid w:val="3DB16E6A"/>
    <w:rsid w:val="3DDD5652"/>
    <w:rsid w:val="3DF30697"/>
    <w:rsid w:val="3E32588A"/>
    <w:rsid w:val="3E630A5B"/>
    <w:rsid w:val="3E6475B3"/>
    <w:rsid w:val="3E66679D"/>
    <w:rsid w:val="3E8D1F7B"/>
    <w:rsid w:val="3E9734B7"/>
    <w:rsid w:val="3E973D69"/>
    <w:rsid w:val="3E9C48AF"/>
    <w:rsid w:val="3EDA0523"/>
    <w:rsid w:val="3EF74461"/>
    <w:rsid w:val="3F104E79"/>
    <w:rsid w:val="3F314A25"/>
    <w:rsid w:val="3F4850FF"/>
    <w:rsid w:val="3F5C0E95"/>
    <w:rsid w:val="3F8A10AA"/>
    <w:rsid w:val="3FEC2CD2"/>
    <w:rsid w:val="40124517"/>
    <w:rsid w:val="407A6407"/>
    <w:rsid w:val="4099233A"/>
    <w:rsid w:val="409D67DF"/>
    <w:rsid w:val="41306CD1"/>
    <w:rsid w:val="41320BB8"/>
    <w:rsid w:val="4155588A"/>
    <w:rsid w:val="4158535E"/>
    <w:rsid w:val="416C71B3"/>
    <w:rsid w:val="418F7021"/>
    <w:rsid w:val="41BA66BD"/>
    <w:rsid w:val="4200449D"/>
    <w:rsid w:val="420936C7"/>
    <w:rsid w:val="420E09CA"/>
    <w:rsid w:val="423A3BCC"/>
    <w:rsid w:val="424E57D2"/>
    <w:rsid w:val="427201B1"/>
    <w:rsid w:val="427D1E27"/>
    <w:rsid w:val="429E6583"/>
    <w:rsid w:val="42B26C49"/>
    <w:rsid w:val="42CB692A"/>
    <w:rsid w:val="42D42406"/>
    <w:rsid w:val="43165195"/>
    <w:rsid w:val="433A6FE6"/>
    <w:rsid w:val="43480868"/>
    <w:rsid w:val="4350713C"/>
    <w:rsid w:val="435E5C94"/>
    <w:rsid w:val="436653E0"/>
    <w:rsid w:val="438D20D6"/>
    <w:rsid w:val="43A87BEB"/>
    <w:rsid w:val="43C4431A"/>
    <w:rsid w:val="442E5205"/>
    <w:rsid w:val="44B951CC"/>
    <w:rsid w:val="44BD3BBA"/>
    <w:rsid w:val="44CD14E0"/>
    <w:rsid w:val="44F20B0B"/>
    <w:rsid w:val="44F90EC0"/>
    <w:rsid w:val="452E5F4C"/>
    <w:rsid w:val="45575091"/>
    <w:rsid w:val="45612018"/>
    <w:rsid w:val="458946E9"/>
    <w:rsid w:val="458F65D9"/>
    <w:rsid w:val="45A47C0E"/>
    <w:rsid w:val="45F4468E"/>
    <w:rsid w:val="46577FD6"/>
    <w:rsid w:val="46663F20"/>
    <w:rsid w:val="468477C0"/>
    <w:rsid w:val="46880115"/>
    <w:rsid w:val="468929CD"/>
    <w:rsid w:val="46B05F59"/>
    <w:rsid w:val="46D955A7"/>
    <w:rsid w:val="47133957"/>
    <w:rsid w:val="475B093F"/>
    <w:rsid w:val="47947ED7"/>
    <w:rsid w:val="47A07E0C"/>
    <w:rsid w:val="47B440D5"/>
    <w:rsid w:val="47E97363"/>
    <w:rsid w:val="481E74AD"/>
    <w:rsid w:val="48403BBB"/>
    <w:rsid w:val="48535960"/>
    <w:rsid w:val="48677399"/>
    <w:rsid w:val="4870272E"/>
    <w:rsid w:val="49210111"/>
    <w:rsid w:val="49736EFF"/>
    <w:rsid w:val="49AB018B"/>
    <w:rsid w:val="49D24CE6"/>
    <w:rsid w:val="49DC7715"/>
    <w:rsid w:val="49EB2D8B"/>
    <w:rsid w:val="4A023139"/>
    <w:rsid w:val="4A211E1D"/>
    <w:rsid w:val="4A3B0ADD"/>
    <w:rsid w:val="4A3F57B3"/>
    <w:rsid w:val="4A435BE4"/>
    <w:rsid w:val="4A7B576F"/>
    <w:rsid w:val="4AF561A9"/>
    <w:rsid w:val="4B0B74A4"/>
    <w:rsid w:val="4B6845F0"/>
    <w:rsid w:val="4B756271"/>
    <w:rsid w:val="4B7F2C4C"/>
    <w:rsid w:val="4B892243"/>
    <w:rsid w:val="4B8935AF"/>
    <w:rsid w:val="4BD96B1F"/>
    <w:rsid w:val="4C066EC9"/>
    <w:rsid w:val="4C0E3C39"/>
    <w:rsid w:val="4C4A0649"/>
    <w:rsid w:val="4C5B3B64"/>
    <w:rsid w:val="4C7E5ECA"/>
    <w:rsid w:val="4C862EE1"/>
    <w:rsid w:val="4C876AA5"/>
    <w:rsid w:val="4CDD7C2A"/>
    <w:rsid w:val="4CEA67EB"/>
    <w:rsid w:val="4D0A29E9"/>
    <w:rsid w:val="4D0E00FB"/>
    <w:rsid w:val="4D176606"/>
    <w:rsid w:val="4D9C259C"/>
    <w:rsid w:val="4DB827E5"/>
    <w:rsid w:val="4DDC4386"/>
    <w:rsid w:val="4DEC4FB0"/>
    <w:rsid w:val="4E075D8A"/>
    <w:rsid w:val="4E2003FE"/>
    <w:rsid w:val="4E2B2C17"/>
    <w:rsid w:val="4E452F0B"/>
    <w:rsid w:val="4E4733E9"/>
    <w:rsid w:val="4EC00FAD"/>
    <w:rsid w:val="4EF456FF"/>
    <w:rsid w:val="4F0E2721"/>
    <w:rsid w:val="4F840831"/>
    <w:rsid w:val="4F9843DC"/>
    <w:rsid w:val="4FA54A2C"/>
    <w:rsid w:val="4FC62A8C"/>
    <w:rsid w:val="4FC7696F"/>
    <w:rsid w:val="4FD63F81"/>
    <w:rsid w:val="4FE20F0D"/>
    <w:rsid w:val="4FE51552"/>
    <w:rsid w:val="50504C4B"/>
    <w:rsid w:val="50723B0F"/>
    <w:rsid w:val="509C6E7C"/>
    <w:rsid w:val="509C7DFC"/>
    <w:rsid w:val="50CD1806"/>
    <w:rsid w:val="50DB1946"/>
    <w:rsid w:val="5141622A"/>
    <w:rsid w:val="514C35D0"/>
    <w:rsid w:val="51575A6A"/>
    <w:rsid w:val="5162104E"/>
    <w:rsid w:val="51944114"/>
    <w:rsid w:val="51ED79AA"/>
    <w:rsid w:val="5204387D"/>
    <w:rsid w:val="52093BC5"/>
    <w:rsid w:val="52291D54"/>
    <w:rsid w:val="52796647"/>
    <w:rsid w:val="529302ED"/>
    <w:rsid w:val="52943481"/>
    <w:rsid w:val="52956F55"/>
    <w:rsid w:val="52AB07CA"/>
    <w:rsid w:val="532641F4"/>
    <w:rsid w:val="53A039CC"/>
    <w:rsid w:val="53A1505A"/>
    <w:rsid w:val="53C41B44"/>
    <w:rsid w:val="53F00B8B"/>
    <w:rsid w:val="54063E08"/>
    <w:rsid w:val="54265450"/>
    <w:rsid w:val="54303756"/>
    <w:rsid w:val="543437E8"/>
    <w:rsid w:val="54B16303"/>
    <w:rsid w:val="54B716A8"/>
    <w:rsid w:val="54F73313"/>
    <w:rsid w:val="54F80955"/>
    <w:rsid w:val="55152324"/>
    <w:rsid w:val="553920BD"/>
    <w:rsid w:val="555170A7"/>
    <w:rsid w:val="55537A60"/>
    <w:rsid w:val="5587536D"/>
    <w:rsid w:val="558E600F"/>
    <w:rsid w:val="559B174B"/>
    <w:rsid w:val="55CE0CF4"/>
    <w:rsid w:val="563845A4"/>
    <w:rsid w:val="56660C90"/>
    <w:rsid w:val="56B22A9C"/>
    <w:rsid w:val="56BC4028"/>
    <w:rsid w:val="56FE3EBF"/>
    <w:rsid w:val="5724697C"/>
    <w:rsid w:val="574F7976"/>
    <w:rsid w:val="579611A7"/>
    <w:rsid w:val="57B72A76"/>
    <w:rsid w:val="57C3426C"/>
    <w:rsid w:val="57CE1F93"/>
    <w:rsid w:val="57DE57C0"/>
    <w:rsid w:val="5803697A"/>
    <w:rsid w:val="58227619"/>
    <w:rsid w:val="58553A71"/>
    <w:rsid w:val="585A4825"/>
    <w:rsid w:val="586E02D0"/>
    <w:rsid w:val="586E2E1B"/>
    <w:rsid w:val="58753A6F"/>
    <w:rsid w:val="588345B1"/>
    <w:rsid w:val="588743D1"/>
    <w:rsid w:val="5887701A"/>
    <w:rsid w:val="58A108D9"/>
    <w:rsid w:val="58A12453"/>
    <w:rsid w:val="58F81C34"/>
    <w:rsid w:val="59620753"/>
    <w:rsid w:val="59C0439F"/>
    <w:rsid w:val="59CA1B0E"/>
    <w:rsid w:val="59DF3D76"/>
    <w:rsid w:val="5A074F97"/>
    <w:rsid w:val="5A7E2261"/>
    <w:rsid w:val="5A8570A6"/>
    <w:rsid w:val="5AA93733"/>
    <w:rsid w:val="5ABE2233"/>
    <w:rsid w:val="5B0E7B48"/>
    <w:rsid w:val="5B145956"/>
    <w:rsid w:val="5B2455FB"/>
    <w:rsid w:val="5B250BBF"/>
    <w:rsid w:val="5B587E2B"/>
    <w:rsid w:val="5BB75DC8"/>
    <w:rsid w:val="5BC029BD"/>
    <w:rsid w:val="5BDF5D95"/>
    <w:rsid w:val="5BFE7528"/>
    <w:rsid w:val="5C2B06BA"/>
    <w:rsid w:val="5C954AA8"/>
    <w:rsid w:val="5CA07E0A"/>
    <w:rsid w:val="5D0E4829"/>
    <w:rsid w:val="5D1B7FA1"/>
    <w:rsid w:val="5D4D4AC0"/>
    <w:rsid w:val="5D9B5988"/>
    <w:rsid w:val="5DD35682"/>
    <w:rsid w:val="5DEB5117"/>
    <w:rsid w:val="5E217B2E"/>
    <w:rsid w:val="5E2467F1"/>
    <w:rsid w:val="5E30393F"/>
    <w:rsid w:val="5F1020E1"/>
    <w:rsid w:val="5F1A2B43"/>
    <w:rsid w:val="5F5313A7"/>
    <w:rsid w:val="5F9A5E4E"/>
    <w:rsid w:val="5FB837BB"/>
    <w:rsid w:val="5FEC289C"/>
    <w:rsid w:val="60046846"/>
    <w:rsid w:val="601E082E"/>
    <w:rsid w:val="60651FB9"/>
    <w:rsid w:val="60AA2E6B"/>
    <w:rsid w:val="60CC405A"/>
    <w:rsid w:val="60F632F5"/>
    <w:rsid w:val="6155027F"/>
    <w:rsid w:val="619073AA"/>
    <w:rsid w:val="619F4F26"/>
    <w:rsid w:val="61D5175F"/>
    <w:rsid w:val="61E215D8"/>
    <w:rsid w:val="621B3775"/>
    <w:rsid w:val="62364782"/>
    <w:rsid w:val="623908D9"/>
    <w:rsid w:val="62704A45"/>
    <w:rsid w:val="62853402"/>
    <w:rsid w:val="62B72A6A"/>
    <w:rsid w:val="62E33494"/>
    <w:rsid w:val="63010BD4"/>
    <w:rsid w:val="631163CF"/>
    <w:rsid w:val="632B24D3"/>
    <w:rsid w:val="633F4CF0"/>
    <w:rsid w:val="63512CC8"/>
    <w:rsid w:val="63693491"/>
    <w:rsid w:val="63787EC3"/>
    <w:rsid w:val="63862972"/>
    <w:rsid w:val="6394356A"/>
    <w:rsid w:val="63BC5284"/>
    <w:rsid w:val="63C61B2C"/>
    <w:rsid w:val="63D40BE9"/>
    <w:rsid w:val="63E761EC"/>
    <w:rsid w:val="640B2E77"/>
    <w:rsid w:val="64102431"/>
    <w:rsid w:val="64236038"/>
    <w:rsid w:val="64267CB1"/>
    <w:rsid w:val="64404320"/>
    <w:rsid w:val="64A5243A"/>
    <w:rsid w:val="64F531DE"/>
    <w:rsid w:val="64F84305"/>
    <w:rsid w:val="650A75D2"/>
    <w:rsid w:val="651A30A4"/>
    <w:rsid w:val="651C09A8"/>
    <w:rsid w:val="65373578"/>
    <w:rsid w:val="653760EA"/>
    <w:rsid w:val="65E032DD"/>
    <w:rsid w:val="660202AA"/>
    <w:rsid w:val="660B2097"/>
    <w:rsid w:val="660B3602"/>
    <w:rsid w:val="66630DA5"/>
    <w:rsid w:val="66A575B3"/>
    <w:rsid w:val="66C514C6"/>
    <w:rsid w:val="66D439F4"/>
    <w:rsid w:val="66FC6F35"/>
    <w:rsid w:val="671F124A"/>
    <w:rsid w:val="674E19F8"/>
    <w:rsid w:val="6766543F"/>
    <w:rsid w:val="677A33C6"/>
    <w:rsid w:val="678D6B0E"/>
    <w:rsid w:val="67C674E4"/>
    <w:rsid w:val="67D85766"/>
    <w:rsid w:val="681E0CD6"/>
    <w:rsid w:val="681F6961"/>
    <w:rsid w:val="682E35D8"/>
    <w:rsid w:val="683E7CBF"/>
    <w:rsid w:val="68447347"/>
    <w:rsid w:val="68610A2F"/>
    <w:rsid w:val="68805514"/>
    <w:rsid w:val="688A2F04"/>
    <w:rsid w:val="68C43F8C"/>
    <w:rsid w:val="69316E2F"/>
    <w:rsid w:val="694E2071"/>
    <w:rsid w:val="69766163"/>
    <w:rsid w:val="697A3B33"/>
    <w:rsid w:val="699D2E51"/>
    <w:rsid w:val="69D44760"/>
    <w:rsid w:val="6A310223"/>
    <w:rsid w:val="6A500CA0"/>
    <w:rsid w:val="6A520EC7"/>
    <w:rsid w:val="6A554E4C"/>
    <w:rsid w:val="6A5C442C"/>
    <w:rsid w:val="6A971908"/>
    <w:rsid w:val="6AAA7930"/>
    <w:rsid w:val="6AF87E20"/>
    <w:rsid w:val="6B266823"/>
    <w:rsid w:val="6B322639"/>
    <w:rsid w:val="6B5B37C9"/>
    <w:rsid w:val="6B6A0DCB"/>
    <w:rsid w:val="6B7307FB"/>
    <w:rsid w:val="6B7F25AD"/>
    <w:rsid w:val="6B885505"/>
    <w:rsid w:val="6B9676AC"/>
    <w:rsid w:val="6BF37EA7"/>
    <w:rsid w:val="6BF40694"/>
    <w:rsid w:val="6C114BBF"/>
    <w:rsid w:val="6C562B36"/>
    <w:rsid w:val="6C636C38"/>
    <w:rsid w:val="6C9858E3"/>
    <w:rsid w:val="6C990A89"/>
    <w:rsid w:val="6CBD4620"/>
    <w:rsid w:val="6D277150"/>
    <w:rsid w:val="6D301CFA"/>
    <w:rsid w:val="6D474ACA"/>
    <w:rsid w:val="6DB34098"/>
    <w:rsid w:val="6DB545B6"/>
    <w:rsid w:val="6DE02FB4"/>
    <w:rsid w:val="6E1878A0"/>
    <w:rsid w:val="6E3631E6"/>
    <w:rsid w:val="6E514CED"/>
    <w:rsid w:val="6E62679B"/>
    <w:rsid w:val="6E8B52E0"/>
    <w:rsid w:val="6EB563D5"/>
    <w:rsid w:val="6EBF5088"/>
    <w:rsid w:val="6ED92677"/>
    <w:rsid w:val="6EDA4849"/>
    <w:rsid w:val="6EFC1D3A"/>
    <w:rsid w:val="6F225983"/>
    <w:rsid w:val="6F3B69BB"/>
    <w:rsid w:val="6F6B7FC9"/>
    <w:rsid w:val="6F9A3392"/>
    <w:rsid w:val="6FFC5590"/>
    <w:rsid w:val="701446BB"/>
    <w:rsid w:val="7042421E"/>
    <w:rsid w:val="70650912"/>
    <w:rsid w:val="706D1DD0"/>
    <w:rsid w:val="70856B87"/>
    <w:rsid w:val="709661BE"/>
    <w:rsid w:val="709E0994"/>
    <w:rsid w:val="70A20D4F"/>
    <w:rsid w:val="70AE3508"/>
    <w:rsid w:val="70B91450"/>
    <w:rsid w:val="70D527EE"/>
    <w:rsid w:val="70F14043"/>
    <w:rsid w:val="7153155D"/>
    <w:rsid w:val="715B5300"/>
    <w:rsid w:val="71A06014"/>
    <w:rsid w:val="71D27F8A"/>
    <w:rsid w:val="71F2600D"/>
    <w:rsid w:val="721F5595"/>
    <w:rsid w:val="72253AD4"/>
    <w:rsid w:val="72553024"/>
    <w:rsid w:val="72A53883"/>
    <w:rsid w:val="72A70DBD"/>
    <w:rsid w:val="72B8241C"/>
    <w:rsid w:val="73122968"/>
    <w:rsid w:val="731F5D5E"/>
    <w:rsid w:val="732962A0"/>
    <w:rsid w:val="73466005"/>
    <w:rsid w:val="73652DEE"/>
    <w:rsid w:val="73981FFC"/>
    <w:rsid w:val="73C51AD5"/>
    <w:rsid w:val="73DE1966"/>
    <w:rsid w:val="73E27E3E"/>
    <w:rsid w:val="73F66F87"/>
    <w:rsid w:val="74017DF2"/>
    <w:rsid w:val="741E793C"/>
    <w:rsid w:val="742E2729"/>
    <w:rsid w:val="743D1E0A"/>
    <w:rsid w:val="745E3944"/>
    <w:rsid w:val="74931626"/>
    <w:rsid w:val="74E12B05"/>
    <w:rsid w:val="74F92F55"/>
    <w:rsid w:val="75061B64"/>
    <w:rsid w:val="756C38E4"/>
    <w:rsid w:val="759A405B"/>
    <w:rsid w:val="75CF01A8"/>
    <w:rsid w:val="75E83018"/>
    <w:rsid w:val="76126EF4"/>
    <w:rsid w:val="76206C56"/>
    <w:rsid w:val="76296422"/>
    <w:rsid w:val="7635099D"/>
    <w:rsid w:val="763A14CF"/>
    <w:rsid w:val="765C7562"/>
    <w:rsid w:val="770F2826"/>
    <w:rsid w:val="772209AC"/>
    <w:rsid w:val="774C5829"/>
    <w:rsid w:val="774E15A1"/>
    <w:rsid w:val="77762421"/>
    <w:rsid w:val="777D0195"/>
    <w:rsid w:val="777F79AC"/>
    <w:rsid w:val="77B05DB7"/>
    <w:rsid w:val="77B56B1F"/>
    <w:rsid w:val="77D06BA1"/>
    <w:rsid w:val="77D477FB"/>
    <w:rsid w:val="77F85214"/>
    <w:rsid w:val="780F09F4"/>
    <w:rsid w:val="78147135"/>
    <w:rsid w:val="782E77F2"/>
    <w:rsid w:val="78941235"/>
    <w:rsid w:val="78A90480"/>
    <w:rsid w:val="78BB4A14"/>
    <w:rsid w:val="7923144E"/>
    <w:rsid w:val="792A1B99"/>
    <w:rsid w:val="79900A7E"/>
    <w:rsid w:val="7995429F"/>
    <w:rsid w:val="79E93803"/>
    <w:rsid w:val="7A364017"/>
    <w:rsid w:val="7A42628A"/>
    <w:rsid w:val="7A8265E1"/>
    <w:rsid w:val="7A8F6158"/>
    <w:rsid w:val="7A957EE5"/>
    <w:rsid w:val="7AD46261"/>
    <w:rsid w:val="7AEF3B0F"/>
    <w:rsid w:val="7AF328C9"/>
    <w:rsid w:val="7AFC6721"/>
    <w:rsid w:val="7B177E96"/>
    <w:rsid w:val="7B202B82"/>
    <w:rsid w:val="7B29728B"/>
    <w:rsid w:val="7B30793B"/>
    <w:rsid w:val="7B3665D4"/>
    <w:rsid w:val="7B4704ED"/>
    <w:rsid w:val="7B5961A1"/>
    <w:rsid w:val="7B686D42"/>
    <w:rsid w:val="7B841746"/>
    <w:rsid w:val="7B86755B"/>
    <w:rsid w:val="7C0D4CF9"/>
    <w:rsid w:val="7C146AC6"/>
    <w:rsid w:val="7C61137B"/>
    <w:rsid w:val="7C6C5AC7"/>
    <w:rsid w:val="7C8632A6"/>
    <w:rsid w:val="7CC6544B"/>
    <w:rsid w:val="7CEA58C8"/>
    <w:rsid w:val="7D0239FF"/>
    <w:rsid w:val="7D495EEB"/>
    <w:rsid w:val="7D5E40CD"/>
    <w:rsid w:val="7DA16271"/>
    <w:rsid w:val="7DCD56F2"/>
    <w:rsid w:val="7DD34152"/>
    <w:rsid w:val="7DDD261A"/>
    <w:rsid w:val="7DE144F3"/>
    <w:rsid w:val="7DE93DB1"/>
    <w:rsid w:val="7E4159BB"/>
    <w:rsid w:val="7E6E7851"/>
    <w:rsid w:val="7ED700CE"/>
    <w:rsid w:val="7F001CE7"/>
    <w:rsid w:val="7F127E34"/>
    <w:rsid w:val="7F1740A3"/>
    <w:rsid w:val="7F3361BC"/>
    <w:rsid w:val="7F3451A9"/>
    <w:rsid w:val="7F5A74AC"/>
    <w:rsid w:val="7F8C5531"/>
    <w:rsid w:val="7F9B10FB"/>
    <w:rsid w:val="7FA377BD"/>
    <w:rsid w:val="7FA53A96"/>
    <w:rsid w:val="7FB83A5B"/>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paragraph" w:styleId="4">
    <w:name w:val="heading 3"/>
    <w:basedOn w:val="1"/>
    <w:next w:val="1"/>
    <w:autoRedefine/>
    <w:qFormat/>
    <w:uiPriority w:val="0"/>
    <w:pPr>
      <w:spacing w:before="100" w:beforeAutospacing="1" w:after="100" w:afterAutospacing="1"/>
      <w:jc w:val="left"/>
      <w:outlineLvl w:val="2"/>
    </w:pPr>
    <w:rPr>
      <w:rFonts w:hint="eastAsia" w:ascii="宋体" w:hAnsi="宋体"/>
      <w:b/>
      <w:kern w:val="0"/>
      <w:sz w:val="27"/>
      <w:szCs w:val="27"/>
    </w:rPr>
  </w:style>
  <w:style w:type="paragraph" w:styleId="5">
    <w:name w:val="heading 4"/>
    <w:basedOn w:val="1"/>
    <w:next w:val="1"/>
    <w:qFormat/>
    <w:uiPriority w:val="1"/>
    <w:pPr>
      <w:outlineLvl w:val="3"/>
    </w:pPr>
    <w:rPr>
      <w:rFonts w:ascii="宋体" w:hAnsi="宋体" w:eastAsia="宋体" w:cs="宋体"/>
      <w:b/>
      <w:bCs/>
      <w:sz w:val="24"/>
      <w:szCs w:val="24"/>
      <w:lang w:val="zh-CN" w:eastAsia="zh-CN" w:bidi="zh-CN"/>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List 3"/>
    <w:basedOn w:val="1"/>
    <w:unhideWhenUsed/>
    <w:qFormat/>
    <w:uiPriority w:val="99"/>
    <w:pPr>
      <w:ind w:left="1260" w:hanging="420"/>
    </w:pPr>
  </w:style>
  <w:style w:type="paragraph" w:styleId="7">
    <w:name w:val="Normal Indent"/>
    <w:basedOn w:val="1"/>
    <w:autoRedefine/>
    <w:qFormat/>
    <w:uiPriority w:val="0"/>
    <w:pPr>
      <w:ind w:firstLine="420"/>
    </w:pPr>
  </w:style>
  <w:style w:type="paragraph" w:styleId="8">
    <w:name w:val="caption"/>
    <w:basedOn w:val="1"/>
    <w:next w:val="1"/>
    <w:qFormat/>
    <w:uiPriority w:val="0"/>
    <w:pPr>
      <w:jc w:val="center"/>
    </w:pPr>
    <w:rPr>
      <w:rFonts w:cs="Arial"/>
      <w:b/>
      <w:szCs w:val="20"/>
    </w:rPr>
  </w:style>
  <w:style w:type="paragraph" w:styleId="9">
    <w:name w:val="annotation text"/>
    <w:basedOn w:val="1"/>
    <w:link w:val="41"/>
    <w:semiHidden/>
    <w:qFormat/>
    <w:uiPriority w:val="0"/>
    <w:pPr>
      <w:jc w:val="left"/>
    </w:pPr>
    <w:rPr>
      <w:kern w:val="0"/>
      <w:sz w:val="24"/>
      <w:szCs w:val="20"/>
    </w:rPr>
  </w:style>
  <w:style w:type="paragraph" w:styleId="10">
    <w:name w:val="Body Text 3"/>
    <w:basedOn w:val="1"/>
    <w:qFormat/>
    <w:uiPriority w:val="0"/>
    <w:pPr>
      <w:spacing w:after="120" w:line="240" w:lineRule="auto"/>
      <w:ind w:firstLine="0" w:firstLineChars="0"/>
    </w:pPr>
    <w:rPr>
      <w:rFonts w:ascii="Times New Roman" w:hAnsi="Times New Roman" w:eastAsia="仿宋_GB2312" w:cs="Times New Roman"/>
      <w:kern w:val="0"/>
      <w:sz w:val="16"/>
      <w:szCs w:val="16"/>
    </w:rPr>
  </w:style>
  <w:style w:type="paragraph" w:styleId="11">
    <w:name w:val="Body Text"/>
    <w:basedOn w:val="1"/>
    <w:next w:val="1"/>
    <w:link w:val="40"/>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link w:val="39"/>
    <w:autoRedefine/>
    <w:qFormat/>
    <w:uiPriority w:val="0"/>
    <w:pPr>
      <w:spacing w:after="120"/>
      <w:ind w:left="420" w:leftChars="200"/>
    </w:pPr>
    <w:rPr>
      <w:kern w:val="0"/>
      <w:sz w:val="24"/>
      <w:szCs w:val="20"/>
    </w:rPr>
  </w:style>
  <w:style w:type="paragraph" w:styleId="13">
    <w:name w:val="Plain Text"/>
    <w:basedOn w:val="1"/>
    <w:autoRedefine/>
    <w:qFormat/>
    <w:uiPriority w:val="99"/>
    <w:pPr>
      <w:spacing w:line="240" w:lineRule="atLeast"/>
    </w:pPr>
    <w:rPr>
      <w:rFonts w:ascii="宋体" w:hAnsi="Courier New"/>
      <w:sz w:val="28"/>
      <w:szCs w:val="20"/>
    </w:rPr>
  </w:style>
  <w:style w:type="paragraph" w:styleId="14">
    <w:name w:val="List Bullet 5"/>
    <w:basedOn w:val="1"/>
    <w:autoRedefine/>
    <w:qFormat/>
    <w:uiPriority w:val="0"/>
    <w:pPr>
      <w:numPr>
        <w:ilvl w:val="0"/>
        <w:numId w:val="1"/>
      </w:numPr>
    </w:pPr>
  </w:style>
  <w:style w:type="paragraph" w:styleId="15">
    <w:name w:val="Date"/>
    <w:basedOn w:val="1"/>
    <w:next w:val="1"/>
    <w:link w:val="42"/>
    <w:autoRedefine/>
    <w:qFormat/>
    <w:uiPriority w:val="0"/>
    <w:pPr>
      <w:ind w:left="100" w:leftChars="2500"/>
    </w:pPr>
    <w:rPr>
      <w:kern w:val="0"/>
      <w:sz w:val="24"/>
      <w:szCs w:val="20"/>
    </w:rPr>
  </w:style>
  <w:style w:type="paragraph" w:styleId="16">
    <w:name w:val="Balloon Text"/>
    <w:basedOn w:val="1"/>
    <w:link w:val="43"/>
    <w:autoRedefine/>
    <w:semiHidden/>
    <w:qFormat/>
    <w:uiPriority w:val="0"/>
    <w:rPr>
      <w:kern w:val="0"/>
      <w:sz w:val="18"/>
      <w:szCs w:val="20"/>
    </w:rPr>
  </w:style>
  <w:style w:type="paragraph" w:styleId="17">
    <w:name w:val="footer"/>
    <w:basedOn w:val="1"/>
    <w:next w:val="1"/>
    <w:link w:val="44"/>
    <w:autoRedefine/>
    <w:qFormat/>
    <w:uiPriority w:val="99"/>
    <w:pPr>
      <w:tabs>
        <w:tab w:val="center" w:pos="4153"/>
        <w:tab w:val="right" w:pos="8306"/>
      </w:tabs>
      <w:snapToGrid w:val="0"/>
      <w:jc w:val="left"/>
    </w:pPr>
    <w:rPr>
      <w:kern w:val="0"/>
      <w:sz w:val="18"/>
      <w:szCs w:val="20"/>
    </w:rPr>
  </w:style>
  <w:style w:type="paragraph" w:styleId="18">
    <w:name w:val="header"/>
    <w:basedOn w:val="1"/>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Normal (Web)"/>
    <w:basedOn w:val="1"/>
    <w:link w:val="46"/>
    <w:autoRedefine/>
    <w:qFormat/>
    <w:uiPriority w:val="0"/>
    <w:pPr>
      <w:widowControl/>
      <w:spacing w:before="100" w:beforeAutospacing="1" w:after="100" w:afterAutospacing="1"/>
      <w:jc w:val="left"/>
    </w:pPr>
    <w:rPr>
      <w:rFonts w:ascii="宋体" w:hAnsi="宋体"/>
      <w:kern w:val="0"/>
      <w:sz w:val="24"/>
      <w:szCs w:val="20"/>
    </w:rPr>
  </w:style>
  <w:style w:type="paragraph" w:styleId="20">
    <w:name w:val="index 1"/>
    <w:basedOn w:val="1"/>
    <w:next w:val="1"/>
    <w:autoRedefine/>
    <w:qFormat/>
    <w:uiPriority w:val="0"/>
  </w:style>
  <w:style w:type="paragraph" w:styleId="21">
    <w:name w:val="annotation subject"/>
    <w:basedOn w:val="9"/>
    <w:next w:val="9"/>
    <w:link w:val="47"/>
    <w:autoRedefine/>
    <w:semiHidden/>
    <w:qFormat/>
    <w:uiPriority w:val="0"/>
    <w:rPr>
      <w:b/>
    </w:rPr>
  </w:style>
  <w:style w:type="paragraph" w:styleId="22">
    <w:name w:val="Body Text First Indent"/>
    <w:basedOn w:val="11"/>
    <w:next w:val="1"/>
    <w:autoRedefine/>
    <w:unhideWhenUsed/>
    <w:qFormat/>
    <w:uiPriority w:val="0"/>
    <w:pPr>
      <w:ind w:firstLine="420" w:firstLineChars="100"/>
    </w:pPr>
    <w:rPr>
      <w:sz w:val="21"/>
      <w:szCs w:val="24"/>
    </w:rPr>
  </w:style>
  <w:style w:type="paragraph" w:styleId="23">
    <w:name w:val="Body Text First Indent 2"/>
    <w:basedOn w:val="12"/>
    <w:autoRedefine/>
    <w:qFormat/>
    <w:uiPriority w:val="0"/>
    <w:pPr>
      <w:ind w:firstLine="420"/>
    </w:pPr>
    <w:rPr>
      <w:sz w:val="21"/>
      <w:szCs w:val="24"/>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rPr>
  </w:style>
  <w:style w:type="character" w:styleId="29">
    <w:name w:val="page number"/>
    <w:basedOn w:val="27"/>
    <w:autoRedefine/>
    <w:qFormat/>
    <w:uiPriority w:val="0"/>
  </w:style>
  <w:style w:type="character" w:styleId="30">
    <w:name w:val="annotation reference"/>
    <w:autoRedefine/>
    <w:semiHidden/>
    <w:qFormat/>
    <w:uiPriority w:val="0"/>
    <w:rPr>
      <w:sz w:val="21"/>
    </w:rPr>
  </w:style>
  <w:style w:type="paragraph" w:customStyle="1" w:styleId="31">
    <w:name w:val="表格内容"/>
    <w:basedOn w:val="32"/>
    <w:next w:val="1"/>
    <w:autoRedefine/>
    <w:qFormat/>
    <w:uiPriority w:val="0"/>
    <w:pPr>
      <w:spacing w:line="240" w:lineRule="auto"/>
    </w:pPr>
    <w:rPr>
      <w:b w:val="0"/>
    </w:rPr>
  </w:style>
  <w:style w:type="paragraph" w:customStyle="1" w:styleId="32">
    <w:name w:val="表格标题"/>
    <w:basedOn w:val="1"/>
    <w:next w:val="1"/>
    <w:autoRedefine/>
    <w:qFormat/>
    <w:uiPriority w:val="0"/>
    <w:pPr>
      <w:ind w:firstLine="0" w:firstLineChars="0"/>
      <w:jc w:val="center"/>
    </w:pPr>
    <w:rPr>
      <w:rFonts w:hint="eastAsia" w:ascii="Times New Roman" w:hAnsi="Times New Roman" w:eastAsia="宋体"/>
      <w:b/>
      <w:sz w:val="21"/>
    </w:rPr>
  </w:style>
  <w:style w:type="paragraph" w:customStyle="1" w:styleId="33">
    <w:name w:val="表格"/>
    <w:basedOn w:val="7"/>
    <w:next w:val="1"/>
    <w:link w:val="48"/>
    <w:autoRedefine/>
    <w:qFormat/>
    <w:uiPriority w:val="0"/>
    <w:pPr>
      <w:adjustRightInd w:val="0"/>
      <w:snapToGrid w:val="0"/>
      <w:spacing w:beforeLines="10" w:afterLines="10" w:line="259" w:lineRule="auto"/>
      <w:jc w:val="center"/>
    </w:pPr>
    <w:rPr>
      <w:rFonts w:ascii="宋体"/>
      <w:kern w:val="0"/>
      <w:szCs w:val="20"/>
    </w:rPr>
  </w:style>
  <w:style w:type="paragraph" w:customStyle="1" w:styleId="34">
    <w:name w:val="样式1"/>
    <w:basedOn w:val="1"/>
    <w:qFormat/>
    <w:uiPriority w:val="0"/>
    <w:pPr>
      <w:spacing w:after="40" w:line="300" w:lineRule="atLeast"/>
      <w:jc w:val="center"/>
      <w:outlineLvl w:val="2"/>
    </w:pPr>
    <w:rPr>
      <w:rFonts w:eastAsia="楷体_GB2312"/>
      <w:szCs w:val="20"/>
    </w:rPr>
  </w:style>
  <w:style w:type="paragraph" w:customStyle="1" w:styleId="35">
    <w:name w:val="Normal Indent1"/>
    <w:basedOn w:val="1"/>
    <w:qFormat/>
    <w:uiPriority w:val="0"/>
    <w:pPr>
      <w:ind w:firstLine="420" w:firstLineChars="200"/>
    </w:pPr>
  </w:style>
  <w:style w:type="paragraph" w:customStyle="1" w:styleId="36">
    <w:name w:val="Default"/>
    <w:basedOn w:val="37"/>
    <w:next w:val="1"/>
    <w:qFormat/>
    <w:uiPriority w:val="0"/>
    <w:pPr>
      <w:widowControl w:val="0"/>
      <w:autoSpaceDE w:val="0"/>
      <w:autoSpaceDN w:val="0"/>
    </w:pPr>
    <w:rPr>
      <w:rFonts w:hint="eastAsia" w:ascii="宋体" w:hAnsi="宋体"/>
      <w:color w:val="000000"/>
      <w:sz w:val="24"/>
      <w:lang w:val="en-US" w:eastAsia="zh-CN" w:bidi="ar-SA"/>
    </w:rPr>
  </w:style>
  <w:style w:type="paragraph" w:customStyle="1" w:styleId="37">
    <w:name w:val="纯文本1"/>
    <w:basedOn w:val="1"/>
    <w:qFormat/>
    <w:uiPriority w:val="0"/>
    <w:pPr>
      <w:adjustRightInd w:val="0"/>
      <w:jc w:val="center"/>
      <w:textAlignment w:val="baseline"/>
    </w:pPr>
    <w:rPr>
      <w:rFonts w:ascii="宋体" w:hAnsi="Courier New"/>
      <w:szCs w:val="20"/>
    </w:rPr>
  </w:style>
  <w:style w:type="paragraph" w:customStyle="1" w:styleId="38">
    <w:name w:val="样式 正文文本缩进 + 行距: 1.5 倍行距"/>
    <w:basedOn w:val="12"/>
    <w:autoRedefine/>
    <w:qFormat/>
    <w:uiPriority w:val="0"/>
    <w:pPr>
      <w:spacing w:line="360" w:lineRule="auto"/>
      <w:ind w:left="0" w:leftChars="0" w:firstLine="560" w:firstLineChars="200"/>
    </w:pPr>
    <w:rPr>
      <w:rFonts w:cs="宋体"/>
      <w:b/>
      <w:bCs/>
      <w:sz w:val="28"/>
    </w:rPr>
  </w:style>
  <w:style w:type="character" w:customStyle="1" w:styleId="39">
    <w:name w:val="正文文本缩进 字符"/>
    <w:link w:val="12"/>
    <w:autoRedefine/>
    <w:semiHidden/>
    <w:qFormat/>
    <w:uiPriority w:val="0"/>
    <w:rPr>
      <w:rFonts w:ascii="Times New Roman" w:hAnsi="Times New Roman" w:eastAsia="宋体"/>
      <w:sz w:val="24"/>
    </w:rPr>
  </w:style>
  <w:style w:type="character" w:customStyle="1" w:styleId="40">
    <w:name w:val="正文文本 字符"/>
    <w:link w:val="11"/>
    <w:autoRedefine/>
    <w:qFormat/>
    <w:uiPriority w:val="0"/>
    <w:rPr>
      <w:sz w:val="18"/>
    </w:rPr>
  </w:style>
  <w:style w:type="character" w:customStyle="1" w:styleId="41">
    <w:name w:val="批注文字 字符"/>
    <w:link w:val="9"/>
    <w:autoRedefine/>
    <w:qFormat/>
    <w:uiPriority w:val="0"/>
    <w:rPr>
      <w:rFonts w:ascii="Times New Roman" w:hAnsi="Times New Roman" w:eastAsia="宋体"/>
      <w:sz w:val="24"/>
    </w:rPr>
  </w:style>
  <w:style w:type="character" w:customStyle="1" w:styleId="42">
    <w:name w:val="日期 字符1"/>
    <w:link w:val="15"/>
    <w:autoRedefine/>
    <w:qFormat/>
    <w:uiPriority w:val="0"/>
    <w:rPr>
      <w:rFonts w:ascii="Times New Roman" w:hAnsi="Times New Roman" w:eastAsia="宋体"/>
      <w:sz w:val="24"/>
    </w:rPr>
  </w:style>
  <w:style w:type="character" w:customStyle="1" w:styleId="43">
    <w:name w:val="批注框文本 字符"/>
    <w:link w:val="16"/>
    <w:autoRedefine/>
    <w:semiHidden/>
    <w:qFormat/>
    <w:uiPriority w:val="0"/>
    <w:rPr>
      <w:rFonts w:ascii="Times New Roman" w:hAnsi="Times New Roman" w:eastAsia="宋体"/>
      <w:sz w:val="18"/>
    </w:rPr>
  </w:style>
  <w:style w:type="character" w:customStyle="1" w:styleId="44">
    <w:name w:val="页脚 字符1"/>
    <w:link w:val="17"/>
    <w:autoRedefine/>
    <w:qFormat/>
    <w:uiPriority w:val="99"/>
    <w:rPr>
      <w:sz w:val="18"/>
    </w:rPr>
  </w:style>
  <w:style w:type="character" w:customStyle="1" w:styleId="45">
    <w:name w:val="页眉 字符"/>
    <w:link w:val="18"/>
    <w:autoRedefine/>
    <w:qFormat/>
    <w:uiPriority w:val="0"/>
    <w:rPr>
      <w:sz w:val="18"/>
    </w:rPr>
  </w:style>
  <w:style w:type="character" w:customStyle="1" w:styleId="46">
    <w:name w:val="普通(网站) 字符"/>
    <w:link w:val="19"/>
    <w:autoRedefine/>
    <w:qFormat/>
    <w:uiPriority w:val="0"/>
    <w:rPr>
      <w:rFonts w:ascii="宋体" w:hAnsi="宋体" w:eastAsia="宋体"/>
      <w:sz w:val="24"/>
    </w:rPr>
  </w:style>
  <w:style w:type="character" w:customStyle="1" w:styleId="47">
    <w:name w:val="批注主题 字符"/>
    <w:link w:val="21"/>
    <w:autoRedefine/>
    <w:semiHidden/>
    <w:qFormat/>
    <w:uiPriority w:val="0"/>
    <w:rPr>
      <w:rFonts w:ascii="Times New Roman" w:hAnsi="Times New Roman" w:eastAsia="宋体"/>
      <w:b/>
      <w:kern w:val="2"/>
      <w:sz w:val="24"/>
    </w:rPr>
  </w:style>
  <w:style w:type="character" w:customStyle="1" w:styleId="48">
    <w:name w:val="表格 Char"/>
    <w:link w:val="33"/>
    <w:autoRedefine/>
    <w:qFormat/>
    <w:uiPriority w:val="0"/>
    <w:rPr>
      <w:rFonts w:ascii="宋体"/>
      <w:sz w:val="21"/>
    </w:rPr>
  </w:style>
  <w:style w:type="character" w:customStyle="1" w:styleId="49">
    <w:name w:val="fontstyle01"/>
    <w:autoRedefine/>
    <w:qFormat/>
    <w:uiPriority w:val="0"/>
    <w:rPr>
      <w:rFonts w:hint="eastAsia" w:ascii="宋体" w:hAnsi="宋体" w:eastAsia="宋体"/>
      <w:color w:val="000000"/>
      <w:sz w:val="24"/>
      <w:szCs w:val="24"/>
    </w:rPr>
  </w:style>
  <w:style w:type="character" w:customStyle="1" w:styleId="50">
    <w:name w:val="Char Char3"/>
    <w:autoRedefine/>
    <w:qFormat/>
    <w:uiPriority w:val="0"/>
    <w:rPr>
      <w:rFonts w:eastAsia="宋体"/>
      <w:kern w:val="2"/>
      <w:sz w:val="28"/>
      <w:szCs w:val="24"/>
      <w:lang w:val="en-US" w:eastAsia="zh-CN" w:bidi="ar-SA"/>
    </w:rPr>
  </w:style>
  <w:style w:type="character" w:customStyle="1" w:styleId="51">
    <w:name w:val="批注文字 字符1"/>
    <w:autoRedefine/>
    <w:semiHidden/>
    <w:qFormat/>
    <w:uiPriority w:val="0"/>
    <w:rPr>
      <w:rFonts w:ascii="Times New Roman" w:hAnsi="Times New Roman" w:eastAsia="宋体"/>
      <w:sz w:val="24"/>
    </w:rPr>
  </w:style>
  <w:style w:type="character" w:customStyle="1" w:styleId="52">
    <w:name w:val="日期 字符"/>
    <w:autoRedefine/>
    <w:semiHidden/>
    <w:qFormat/>
    <w:uiPriority w:val="0"/>
    <w:rPr>
      <w:rFonts w:ascii="Times New Roman" w:hAnsi="Times New Roman" w:eastAsia="宋体"/>
      <w:sz w:val="24"/>
    </w:rPr>
  </w:style>
  <w:style w:type="character" w:customStyle="1" w:styleId="53">
    <w:name w:val="正文文本 字符1"/>
    <w:autoRedefine/>
    <w:semiHidden/>
    <w:qFormat/>
    <w:uiPriority w:val="0"/>
    <w:rPr>
      <w:rFonts w:ascii="Times New Roman" w:hAnsi="Times New Roman" w:eastAsia="宋体"/>
      <w:sz w:val="24"/>
    </w:rPr>
  </w:style>
  <w:style w:type="character" w:customStyle="1" w:styleId="54">
    <w:name w:val="页脚 字符"/>
    <w:basedOn w:val="27"/>
    <w:autoRedefine/>
    <w:qFormat/>
    <w:uiPriority w:val="99"/>
  </w:style>
  <w:style w:type="paragraph" w:customStyle="1" w:styleId="5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标准正文"/>
    <w:basedOn w:val="1"/>
    <w:autoRedefine/>
    <w:qFormat/>
    <w:uiPriority w:val="0"/>
    <w:pPr>
      <w:spacing w:line="360" w:lineRule="auto"/>
      <w:ind w:firstLine="480" w:firstLineChars="200"/>
    </w:pPr>
    <w:rPr>
      <w:szCs w:val="20"/>
    </w:rPr>
  </w:style>
  <w:style w:type="paragraph" w:customStyle="1" w:styleId="57">
    <w:name w:val="表头"/>
    <w:basedOn w:val="7"/>
    <w:autoRedefine/>
    <w:qFormat/>
    <w:uiPriority w:val="0"/>
    <w:pPr>
      <w:adjustRightInd w:val="0"/>
      <w:snapToGrid w:val="0"/>
      <w:spacing w:before="0" w:beforeAutospacing="0" w:after="0" w:afterAutospacing="0" w:line="360" w:lineRule="auto"/>
      <w:jc w:val="center"/>
      <w:outlineLvl w:val="9"/>
    </w:pPr>
    <w:rPr>
      <w:rFonts w:ascii="黑体" w:hAnsi="黑体" w:eastAsia="黑体" w:cs="黑体"/>
      <w:spacing w:val="4"/>
      <w:sz w:val="24"/>
      <w:szCs w:val="24"/>
    </w:rPr>
  </w:style>
  <w:style w:type="paragraph" w:customStyle="1" w:styleId="58">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0">
    <w:name w:val="Table Paragraph"/>
    <w:basedOn w:val="1"/>
    <w:autoRedefine/>
    <w:qFormat/>
    <w:uiPriority w:val="1"/>
    <w:pPr>
      <w:jc w:val="left"/>
    </w:pPr>
    <w:rPr>
      <w:rFonts w:ascii="Calibri" w:hAnsi="Calibri"/>
      <w:kern w:val="0"/>
      <w:sz w:val="22"/>
      <w:szCs w:val="22"/>
      <w:lang w:eastAsia="en-US"/>
    </w:rPr>
  </w:style>
  <w:style w:type="paragraph" w:customStyle="1" w:styleId="61">
    <w:name w:val="1正文"/>
    <w:basedOn w:val="1"/>
    <w:autoRedefine/>
    <w:qFormat/>
    <w:uiPriority w:val="0"/>
    <w:pPr>
      <w:adjustRightInd w:val="0"/>
      <w:snapToGrid w:val="0"/>
      <w:spacing w:line="360" w:lineRule="auto"/>
      <w:ind w:firstLine="200" w:firstLineChars="200"/>
    </w:pPr>
    <w:rPr>
      <w:rFonts w:ascii="宋体" w:hAnsi="宋体" w:cs="宋体"/>
      <w:sz w:val="24"/>
    </w:rPr>
  </w:style>
  <w:style w:type="paragraph" w:customStyle="1" w:styleId="62">
    <w:name w:val="样式 标题 1 + 四号 段前: 0 磅 段后: 0 磅 行距: 1.5 倍行距"/>
    <w:basedOn w:val="61"/>
    <w:next w:val="63"/>
    <w:autoRedefine/>
    <w:qFormat/>
    <w:uiPriority w:val="0"/>
    <w:pPr>
      <w:jc w:val="center"/>
    </w:pPr>
  </w:style>
  <w:style w:type="paragraph" w:customStyle="1" w:styleId="63">
    <w:name w:val="文本正文"/>
    <w:basedOn w:val="1"/>
    <w:qFormat/>
    <w:uiPriority w:val="0"/>
    <w:pPr>
      <w:snapToGrid w:val="0"/>
      <w:spacing w:line="360" w:lineRule="auto"/>
      <w:ind w:firstLine="510"/>
      <w:jc w:val="left"/>
    </w:pPr>
    <w:rPr>
      <w:spacing w:val="4"/>
      <w:kern w:val="24"/>
      <w:szCs w:val="24"/>
      <w:lang w:val="zh-CN"/>
    </w:rPr>
  </w:style>
  <w:style w:type="paragraph" w:customStyle="1" w:styleId="64">
    <w:name w:val="表内容"/>
    <w:basedOn w:val="1"/>
    <w:link w:val="65"/>
    <w:autoRedefine/>
    <w:unhideWhenUsed/>
    <w:qFormat/>
    <w:uiPriority w:val="0"/>
    <w:pPr>
      <w:adjustRightInd w:val="0"/>
      <w:snapToGrid w:val="0"/>
    </w:pPr>
    <w:rPr>
      <w:rFonts w:ascii="宋体" w:hAnsi="宋体" w:cs="宋体"/>
      <w:snapToGrid w:val="0"/>
      <w:szCs w:val="21"/>
    </w:rPr>
  </w:style>
  <w:style w:type="character" w:customStyle="1" w:styleId="65">
    <w:name w:val="表内容 Char"/>
    <w:link w:val="64"/>
    <w:autoRedefine/>
    <w:qFormat/>
    <w:uiPriority w:val="0"/>
    <w:rPr>
      <w:rFonts w:ascii="宋体" w:hAnsi="宋体" w:cs="宋体"/>
      <w:snapToGrid/>
      <w:kern w:val="2"/>
      <w:sz w:val="21"/>
      <w:szCs w:val="21"/>
    </w:rPr>
  </w:style>
  <w:style w:type="character" w:customStyle="1" w:styleId="66">
    <w:name w:val="普通(网站) Char"/>
    <w:autoRedefine/>
    <w:qFormat/>
    <w:uiPriority w:val="0"/>
    <w:rPr>
      <w:rFonts w:ascii="宋体" w:hAnsi="宋体" w:eastAsia="宋体"/>
      <w:sz w:val="24"/>
    </w:rPr>
  </w:style>
  <w:style w:type="table" w:customStyle="1" w:styleId="67">
    <w:name w:val="表格样式1"/>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页眉 Char"/>
    <w:autoRedefine/>
    <w:qFormat/>
    <w:uiPriority w:val="99"/>
    <w:rPr>
      <w:sz w:val="18"/>
      <w:szCs w:val="18"/>
    </w:rPr>
  </w:style>
  <w:style w:type="character" w:customStyle="1" w:styleId="69">
    <w:name w:val="NormalCharacter"/>
    <w:qFormat/>
    <w:uiPriority w:val="0"/>
  </w:style>
  <w:style w:type="paragraph" w:customStyle="1" w:styleId="70">
    <w:name w:val="正文1"/>
    <w:autoRedefine/>
    <w:qFormat/>
    <w:uiPriority w:val="0"/>
    <w:pPr>
      <w:widowControl w:val="0"/>
      <w:adjustRightInd w:val="0"/>
      <w:spacing w:line="360" w:lineRule="auto"/>
      <w:ind w:firstLine="200" w:firstLineChars="200"/>
      <w:jc w:val="both"/>
      <w:textAlignment w:val="baseline"/>
    </w:pPr>
    <w:rPr>
      <w:rFonts w:ascii="Times New Roman" w:hAnsi="Times New Roman" w:eastAsia="宋体" w:cs="Times New Roman"/>
      <w:sz w:val="24"/>
      <w:szCs w:val="22"/>
      <w:lang w:val="en-US" w:eastAsia="zh-CN" w:bidi="ar-SA"/>
    </w:rPr>
  </w:style>
  <w:style w:type="paragraph" w:customStyle="1" w:styleId="71">
    <w:name w:val="WPSOffice手动目录 1"/>
    <w:qFormat/>
    <w:uiPriority w:val="0"/>
    <w:pPr>
      <w:ind w:leftChars="0"/>
    </w:pPr>
    <w:rPr>
      <w:rFonts w:ascii="Times New Roman" w:hAnsi="Times New Roman" w:eastAsia="宋体" w:cs="Times New Roman"/>
      <w:sz w:val="20"/>
      <w:szCs w:val="20"/>
    </w:rPr>
  </w:style>
  <w:style w:type="paragraph" w:customStyle="1" w:styleId="72">
    <w:name w:val="p0"/>
    <w:basedOn w:val="1"/>
    <w:qFormat/>
    <w:uiPriority w:val="0"/>
    <w:pPr>
      <w:widowControl/>
      <w:jc w:val="left"/>
    </w:pPr>
    <w:rPr>
      <w:kern w:val="0"/>
      <w:sz w:val="20"/>
      <w:szCs w:val="20"/>
    </w:rPr>
  </w:style>
  <w:style w:type="paragraph" w:customStyle="1" w:styleId="73">
    <w:name w:val="1lh-表格文字-报告表"/>
    <w:basedOn w:val="1"/>
    <w:autoRedefine/>
    <w:qFormat/>
    <w:uiPriority w:val="0"/>
    <w:pPr>
      <w:spacing w:before="15" w:beforeLines="15" w:line="276" w:lineRule="auto"/>
      <w:jc w:val="center"/>
    </w:pPr>
    <w:rPr>
      <w:kern w:val="0"/>
      <w:sz w:val="21"/>
    </w:rPr>
  </w:style>
  <w:style w:type="character" w:customStyle="1" w:styleId="74">
    <w:name w:val="font61"/>
    <w:basedOn w:val="27"/>
    <w:qFormat/>
    <w:uiPriority w:val="0"/>
    <w:rPr>
      <w:rFonts w:hint="default" w:ascii="Times New Roman" w:hAnsi="Times New Roman" w:cs="Times New Roman"/>
      <w:color w:val="333333"/>
      <w:sz w:val="22"/>
      <w:szCs w:val="22"/>
      <w:u w:val="none"/>
    </w:rPr>
  </w:style>
  <w:style w:type="character" w:customStyle="1" w:styleId="75">
    <w:name w:val="font51"/>
    <w:basedOn w:val="27"/>
    <w:qFormat/>
    <w:uiPriority w:val="0"/>
    <w:rPr>
      <w:rFonts w:hint="eastAsia" w:ascii="宋体" w:hAnsi="宋体" w:eastAsia="宋体" w:cs="宋体"/>
      <w:color w:val="333333"/>
      <w:sz w:val="22"/>
      <w:szCs w:val="22"/>
      <w:u w:val="none"/>
    </w:rPr>
  </w:style>
  <w:style w:type="character" w:customStyle="1" w:styleId="76">
    <w:name w:val="font71"/>
    <w:basedOn w:val="27"/>
    <w:qFormat/>
    <w:uiPriority w:val="0"/>
    <w:rPr>
      <w:rFonts w:hint="default" w:ascii="Times New Roman" w:hAnsi="Times New Roman" w:cs="Times New Roman"/>
      <w:color w:val="333333"/>
      <w:sz w:val="22"/>
      <w:szCs w:val="22"/>
      <w:u w:val="none"/>
    </w:rPr>
  </w:style>
  <w:style w:type="paragraph" w:customStyle="1" w:styleId="77">
    <w:name w:val="表标题1"/>
    <w:basedOn w:val="1"/>
    <w:qFormat/>
    <w:uiPriority w:val="0"/>
    <w:pPr>
      <w:spacing w:after="50" w:afterLines="50" w:line="240" w:lineRule="auto"/>
      <w:ind w:firstLine="0" w:firstLineChars="0"/>
      <w:jc w:val="center"/>
    </w:pPr>
    <w:rPr>
      <w:rFonts w:ascii="黑体" w:hAnsi="黑体" w:eastAsia="黑体" w:cs="黑体"/>
      <w:b/>
      <w:kern w:val="0"/>
      <w:lang w:val="en-TT"/>
    </w:rPr>
  </w:style>
  <w:style w:type="paragraph" w:customStyle="1" w:styleId="78">
    <w:name w:val="Table Text"/>
    <w:basedOn w:val="1"/>
    <w:semiHidden/>
    <w:qFormat/>
    <w:uiPriority w:val="0"/>
    <w:rPr>
      <w:rFonts w:ascii="宋体" w:hAnsi="宋体" w:eastAsia="宋体" w:cs="宋体"/>
      <w:sz w:val="24"/>
      <w:szCs w:val="24"/>
      <w:lang w:val="en-US" w:eastAsia="en-US" w:bidi="ar-SA"/>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报告表格"/>
    <w:basedOn w:val="1"/>
    <w:next w:val="1"/>
    <w:qFormat/>
    <w:uiPriority w:val="0"/>
    <w:pPr>
      <w:autoSpaceDE w:val="0"/>
      <w:autoSpaceDN w:val="0"/>
      <w:adjustRightInd w:val="0"/>
      <w:spacing w:before="20" w:after="20"/>
      <w:jc w:val="center"/>
      <w:textAlignment w:val="center"/>
    </w:pPr>
    <w:rPr>
      <w:kern w:val="0"/>
      <w:szCs w:val="20"/>
    </w:rPr>
  </w:style>
  <w:style w:type="paragraph" w:customStyle="1" w:styleId="81">
    <w:name w:val="正文表格"/>
    <w:basedOn w:val="82"/>
    <w:qFormat/>
    <w:uiPriority w:val="0"/>
    <w:pPr>
      <w:jc w:val="center"/>
    </w:pPr>
    <w:rPr>
      <w:rFonts w:ascii="Times New Roman" w:hAnsi="Times New Roman"/>
      <w:szCs w:val="21"/>
    </w:rPr>
  </w:style>
  <w:style w:type="paragraph" w:customStyle="1" w:styleId="82">
    <w:name w:val="表格A"/>
    <w:basedOn w:val="1"/>
    <w:qFormat/>
    <w:uiPriority w:val="0"/>
    <w:pPr>
      <w:adjustRightInd w:val="0"/>
      <w:snapToGrid w:val="0"/>
      <w:spacing w:beforeLines="30" w:afterLines="30"/>
      <w:jc w:val="center"/>
    </w:pPr>
    <w:rPr>
      <w:szCs w:val="21"/>
    </w:rPr>
  </w:style>
  <w:style w:type="paragraph" w:customStyle="1" w:styleId="83">
    <w:name w:val="正文▲"/>
    <w:basedOn w:val="10"/>
    <w:qFormat/>
    <w:uiPriority w:val="0"/>
    <w:pPr>
      <w:spacing w:after="0" w:line="360" w:lineRule="auto"/>
      <w:ind w:firstLine="200" w:firstLineChars="200"/>
      <w:jc w:val="left"/>
    </w:pPr>
    <w:rPr>
      <w:rFonts w:eastAsia="宋体"/>
      <w:color w:val="000000"/>
      <w:kern w:val="2"/>
      <w:sz w:val="24"/>
      <w:szCs w:val="24"/>
    </w:rPr>
  </w:style>
  <w:style w:type="paragraph" w:customStyle="1" w:styleId="84">
    <w:name w:val="123456"/>
    <w:basedOn w:val="1"/>
    <w:autoRedefine/>
    <w:qFormat/>
    <w:uiPriority w:val="0"/>
  </w:style>
  <w:style w:type="paragraph" w:customStyle="1" w:styleId="85">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86">
    <w:name w:val="表格文字"/>
    <w:basedOn w:val="34"/>
    <w:next w:val="1"/>
    <w:qFormat/>
    <w:uiPriority w:val="0"/>
    <w:pPr>
      <w:widowControl w:val="0"/>
      <w:autoSpaceDE w:val="0"/>
      <w:autoSpaceDN w:val="0"/>
      <w:adjustRightInd w:val="0"/>
      <w:snapToGrid w:val="0"/>
      <w:spacing w:before="40" w:after="40"/>
      <w:ind w:firstLine="0" w:firstLineChars="0"/>
      <w:jc w:val="center"/>
      <w:textAlignment w:val="baseline"/>
    </w:pPr>
    <w:rPr>
      <w:rFonts w:hAnsi="宋体"/>
      <w:kern w:val="24"/>
      <w:szCs w:val="20"/>
    </w:rPr>
  </w:style>
  <w:style w:type="paragraph" w:customStyle="1" w:styleId="87">
    <w:name w:val="GT正文"/>
    <w:basedOn w:val="1"/>
    <w:qFormat/>
    <w:uiPriority w:val="0"/>
    <w:pPr>
      <w:topLinePunct/>
      <w:adjustRightInd w:val="0"/>
      <w:snapToGrid w:val="0"/>
      <w:spacing w:line="360" w:lineRule="auto"/>
      <w:ind w:firstLine="480" w:firstLineChars="200"/>
    </w:pPr>
    <w:rPr>
      <w:rFonts w:ascii="Times New Roman" w:hAnsi="Times New Roman" w:eastAsia="宋体" w:cs="Times New Roman"/>
      <w:sz w:val="24"/>
    </w:rPr>
  </w:style>
  <w:style w:type="paragraph" w:customStyle="1" w:styleId="88">
    <w:name w:val="GT表格格式"/>
    <w:basedOn w:val="1"/>
    <w:qFormat/>
    <w:uiPriority w:val="0"/>
    <w:pPr>
      <w:topLinePunct/>
      <w:adjustRightInd w:val="0"/>
      <w:snapToGrid w:val="0"/>
      <w:jc w:val="center"/>
    </w:pPr>
    <w:rPr>
      <w:rFonts w:ascii="Times New Roman" w:hAnsi="Times New Roman" w:eastAsia="宋体" w:cs="Times New Roman"/>
      <w:szCs w:val="21"/>
    </w:rPr>
  </w:style>
  <w:style w:type="paragraph" w:customStyle="1" w:styleId="89">
    <w:name w:val="111正文"/>
    <w:basedOn w:val="1"/>
    <w:semiHidden/>
    <w:qFormat/>
    <w:uiPriority w:val="0"/>
    <w:rPr>
      <w:rFonts w:ascii="Times New Roman" w:hAnsi="Times New Roman" w:eastAsia="宋体" w:cs="Times New Roman"/>
      <w:szCs w:val="24"/>
    </w:rPr>
  </w:style>
  <w:style w:type="table" w:customStyle="1" w:styleId="90">
    <w:name w:val="我的表格"/>
    <w:basedOn w:val="24"/>
    <w:qFormat/>
    <w:uiPriority w:val="99"/>
    <w:pPr>
      <w:adjustRightInd w:val="0"/>
      <w:snapToGrid w:val="0"/>
      <w:jc w:val="center"/>
    </w:pPr>
    <w:rPr>
      <w:rFonts w:ascii="Calibri" w:hAnsi="Calibri" w:eastAsia="宋体" w:cs="Times New Roman"/>
      <w:kern w:val="2"/>
      <w:sz w:val="21"/>
      <w:szCs w:val="22"/>
    </w:rPr>
    <w:tblPr>
      <w:tblBorders>
        <w:top w:val="double" w:color="auto" w:sz="4" w:space="0"/>
        <w:bottom w:val="double" w:color="auto" w:sz="4" w:space="0"/>
        <w:insideH w:val="single" w:color="auto" w:sz="4" w:space="0"/>
        <w:insideV w:val="single" w:color="auto" w:sz="4" w:space="0"/>
      </w:tblBorders>
    </w:tblPr>
    <w:tcPr>
      <w:shd w:val="clear" w:color="auto" w:fill="auto"/>
      <w:vAlign w:val="center"/>
    </w:tcPr>
    <w:tblStylePr w:type="firstRow">
      <w:rPr>
        <w:rFonts w:eastAsia="Cambria Math"/>
        <w:sz w:val="21"/>
      </w:rPr>
      <w:tcPr>
        <w:shd w:val="clear" w:color="auto" w:fill="D9D9D9"/>
      </w:tcPr>
    </w:tblStylePr>
  </w:style>
  <w:style w:type="paragraph" w:customStyle="1" w:styleId="91">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92">
    <w:name w:val="正文文本缩进 21"/>
    <w:basedOn w:val="1"/>
    <w:qFormat/>
    <w:uiPriority w:val="0"/>
    <w:pPr>
      <w:adjustRightInd w:val="0"/>
      <w:spacing w:line="460" w:lineRule="exact"/>
      <w:ind w:firstLine="480"/>
      <w:textAlignment w:val="baseline"/>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Microsoft_Visio_2003-2010___1.vsd"/><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jpeg"/><Relationship Id="rId11" Type="http://schemas.openxmlformats.org/officeDocument/2006/relationships/image" Target="media/image4.wmf"/><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101</Pages>
  <Words>25680</Words>
  <Characters>26728</Characters>
  <Lines>380</Lines>
  <Paragraphs>107</Paragraphs>
  <TotalTime>0</TotalTime>
  <ScaleCrop>false</ScaleCrop>
  <LinksUpToDate>false</LinksUpToDate>
  <CharactersWithSpaces>26836</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2023-09-20T08:46:00Z</cp:lastPrinted>
  <dcterms:modified xsi:type="dcterms:W3CDTF">2026-03-19T08:51:19Z</dcterms:modified>
  <dc:title>附件2</dc:title>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BAE749EDF6F845C19E92BE4A4E188CD0_13</vt:lpwstr>
  </property>
  <property fmtid="{D5CDD505-2E9C-101B-9397-08002B2CF9AE}" pid="4" name="KSOTemplateDocerSaveRecord">
    <vt:lpwstr>eyJoZGlkIjoiZjNhYzY2MDU1MmE1ZThjN2Q0MzYyZjM3NGYwMjViMGIiLCJ1c2VySWQiOiI5OTgxNTU1ODIifQ==</vt:lpwstr>
  </property>
</Properties>
</file>