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监督索引号53040000471700000</w:t>
      </w:r>
    </w:p>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玉溪市人民政府法制办公室2019年度</w:t>
      </w:r>
    </w:p>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预算公开</w:t>
      </w:r>
    </w:p>
    <w:p>
      <w:pPr>
        <w:spacing w:line="540" w:lineRule="exact"/>
        <w:ind w:firstLine="640" w:firstLineChars="200"/>
        <w:jc w:val="center"/>
        <w:rPr>
          <w:rFonts w:ascii="方正仿宋_GBK" w:hAnsi="方正仿宋_GBK" w:eastAsia="方正仿宋_GBK" w:cs="方正仿宋_GBK"/>
          <w:sz w:val="32"/>
          <w:szCs w:val="32"/>
        </w:rPr>
      </w:pPr>
    </w:p>
    <w:p>
      <w:pPr>
        <w:spacing w:line="540" w:lineRule="exact"/>
        <w:jc w:val="center"/>
        <w:rPr>
          <w:rFonts w:ascii="黑体" w:hAnsi="黑体" w:eastAsia="黑体" w:cs="黑体"/>
          <w:sz w:val="32"/>
          <w:szCs w:val="32"/>
        </w:rPr>
      </w:pPr>
      <w:r>
        <w:rPr>
          <w:rFonts w:hint="eastAsia" w:ascii="黑体" w:hAnsi="黑体" w:eastAsia="黑体" w:cs="黑体"/>
          <w:sz w:val="32"/>
          <w:szCs w:val="32"/>
        </w:rPr>
        <w:t>目录</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第一部分 玉溪市人民政府法制办公室部门概况</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第二部分 玉溪市人民政府法制办公室部门2019年部门预算编制说明</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第三部分 名词解释</w:t>
      </w:r>
    </w:p>
    <w:p>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第四部分 玉溪市人民政府法制办公室部门2019年部门预算表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一、部门财政拨款收支预算总表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二、部门一般公共预算支出表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三、部门基本支出预算表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四、政府性基金预算支出表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五、部门财务收支预算总表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六、部门收入总表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七、部门支出总表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八、部门财政拨款支出明细表（按经济科目分类）</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九、部门“三公”经费预算财政拨款情况表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十、项目年度绩效目标批复表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十一、部门政府采购预算表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十二、行政事业单位国有资产占有使用情况表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十三、2019-2021年度部门整体支出绩效目标表</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十四、对下绩效目标表</w:t>
      </w:r>
    </w:p>
    <w:p>
      <w:pPr>
        <w:widowControl/>
        <w:jc w:val="center"/>
        <w:rPr>
          <w:rFonts w:ascii="方正小标宋简体" w:eastAsia="方正小标宋简体"/>
          <w:kern w:val="0"/>
          <w:sz w:val="36"/>
          <w:szCs w:val="36"/>
        </w:rPr>
      </w:pPr>
      <w:r>
        <w:rPr>
          <w:rFonts w:hint="eastAsia" w:ascii="方正小标宋_GBK" w:hAnsi="方正小标宋_GBK" w:eastAsia="方正小标宋_GBK" w:cs="方正小标宋_GBK"/>
          <w:kern w:val="0"/>
          <w:sz w:val="44"/>
          <w:szCs w:val="44"/>
        </w:rPr>
        <w:t>关于</w:t>
      </w:r>
      <w:r>
        <w:rPr>
          <w:rFonts w:hint="eastAsia" w:ascii="方正小标宋_GBK" w:hAnsi="方正小标宋_GBK" w:eastAsia="方正小标宋_GBK" w:cs="方正楷体_GBK"/>
          <w:sz w:val="44"/>
          <w:szCs w:val="44"/>
        </w:rPr>
        <w:t>玉溪市人民政府法制办公室</w:t>
      </w:r>
      <w:r>
        <w:rPr>
          <w:rFonts w:hint="eastAsia" w:ascii="方正小标宋_GBK" w:hAnsi="方正小标宋_GBK" w:eastAsia="方正小标宋_GBK" w:cs="方正小标宋_GBK"/>
          <w:kern w:val="0"/>
          <w:sz w:val="44"/>
          <w:szCs w:val="44"/>
        </w:rPr>
        <w:t>2019年部门预算公开</w:t>
      </w:r>
    </w:p>
    <w:p>
      <w:pPr>
        <w:widowControl/>
        <w:spacing w:line="560" w:lineRule="exact"/>
        <w:jc w:val="left"/>
        <w:rPr>
          <w:rFonts w:ascii="黑体" w:hAnsi="黑体" w:eastAsia="黑体"/>
          <w:kern w:val="0"/>
          <w:sz w:val="32"/>
          <w:szCs w:val="32"/>
        </w:rPr>
      </w:pP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第一部分玉溪市人民政府法制办公室</w:t>
      </w:r>
      <w:r>
        <w:rPr>
          <w:rFonts w:ascii="黑体" w:hAnsi="黑体" w:eastAsia="黑体"/>
          <w:sz w:val="32"/>
          <w:szCs w:val="32"/>
        </w:rPr>
        <w:t>部门</w:t>
      </w:r>
      <w:r>
        <w:rPr>
          <w:rFonts w:hint="eastAsia" w:ascii="黑体" w:hAnsi="黑体" w:eastAsia="黑体"/>
          <w:sz w:val="32"/>
          <w:szCs w:val="32"/>
        </w:rPr>
        <w:t>概况</w:t>
      </w:r>
    </w:p>
    <w:p>
      <w:pPr>
        <w:widowControl/>
        <w:spacing w:line="560" w:lineRule="exact"/>
        <w:ind w:firstLine="640" w:firstLineChars="200"/>
        <w:jc w:val="left"/>
        <w:rPr>
          <w:rFonts w:ascii="黑体" w:hAnsi="黑体" w:eastAsia="黑体"/>
          <w:kern w:val="0"/>
          <w:sz w:val="32"/>
          <w:szCs w:val="32"/>
        </w:rPr>
      </w:pPr>
    </w:p>
    <w:p>
      <w:pPr>
        <w:widowControl/>
        <w:numPr>
          <w:ilvl w:val="0"/>
          <w:numId w:val="1"/>
        </w:numPr>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基本职能及主要工作</w:t>
      </w:r>
    </w:p>
    <w:p>
      <w:pPr>
        <w:widowControl/>
        <w:spacing w:line="560" w:lineRule="exact"/>
        <w:ind w:firstLine="640" w:firstLineChars="200"/>
        <w:jc w:val="left"/>
        <w:rPr>
          <w:rFonts w:ascii="楷体_GB2312" w:eastAsia="楷体_GB2312"/>
          <w:b/>
          <w:kern w:val="0"/>
          <w:sz w:val="32"/>
          <w:szCs w:val="32"/>
        </w:rPr>
      </w:pPr>
      <w:r>
        <w:rPr>
          <w:rFonts w:hint="eastAsia" w:ascii="楷体_GB2312" w:eastAsia="楷体_GB2312"/>
          <w:kern w:val="0"/>
          <w:sz w:val="32"/>
          <w:szCs w:val="32"/>
        </w:rPr>
        <w:t>（一）部门主要职责</w:t>
      </w:r>
    </w:p>
    <w:p>
      <w:pPr>
        <w:widowControl/>
        <w:spacing w:line="560" w:lineRule="exact"/>
        <w:ind w:firstLine="642" w:firstLineChars="200"/>
        <w:jc w:val="left"/>
        <w:rPr>
          <w:rFonts w:eastAsia="仿宋_GB2312"/>
          <w:b/>
          <w:bCs/>
          <w:kern w:val="0"/>
          <w:sz w:val="32"/>
          <w:szCs w:val="32"/>
        </w:rPr>
      </w:pPr>
      <w:r>
        <w:rPr>
          <w:rFonts w:hint="eastAsia" w:eastAsia="仿宋_GB2312"/>
          <w:b/>
          <w:bCs/>
          <w:kern w:val="0"/>
          <w:sz w:val="32"/>
          <w:szCs w:val="32"/>
        </w:rPr>
        <w:t>一、综合科、政府立法和规范性文件科、行政复议和法制监督科工作职责</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1、综合科</w:t>
      </w:r>
    </w:p>
    <w:p>
      <w:pPr>
        <w:spacing w:line="580" w:lineRule="exact"/>
        <w:ind w:firstLine="640" w:firstLineChars="200"/>
        <w:rPr>
          <w:rFonts w:eastAsia="方正仿宋_GBK"/>
          <w:color w:val="000000" w:themeColor="text1"/>
          <w:spacing w:val="4"/>
          <w:w w:val="102"/>
          <w:sz w:val="32"/>
          <w:szCs w:val="32"/>
        </w:rPr>
      </w:pPr>
      <w:r>
        <w:rPr>
          <w:rFonts w:hint="eastAsia" w:eastAsia="仿宋_GB2312"/>
          <w:color w:val="000000" w:themeColor="text1"/>
          <w:kern w:val="0"/>
          <w:sz w:val="32"/>
          <w:szCs w:val="32"/>
        </w:rPr>
        <w:t>负责</w:t>
      </w:r>
      <w:r>
        <w:rPr>
          <w:rFonts w:hint="eastAsia" w:eastAsia="方正仿宋_GBK"/>
          <w:color w:val="000000" w:themeColor="text1"/>
          <w:spacing w:val="4"/>
          <w:w w:val="102"/>
          <w:sz w:val="32"/>
          <w:szCs w:val="32"/>
        </w:rPr>
        <w:t>拟订并组织实施全市深入推进依法行政、建设法治政府总体规划和年度计划；负责市全面推进依法行政工作领导小组办公室的日常工作；负责政府法制理论研究和政府法制信息交流工作；协助领导处理机关日常政务工作，健全完善内部各项规章制度；负责单位文秘、宣传、信访、档案、保密、会务、接待、人事、财务和后勤等工作；负责机构编制、组织人事、学习培训、工资福利等工作；负责</w:t>
      </w:r>
      <w:r>
        <w:rPr>
          <w:rFonts w:hint="eastAsia" w:eastAsia="方正仿宋_GBK"/>
          <w:color w:val="000000" w:themeColor="text1"/>
          <w:sz w:val="32"/>
          <w:szCs w:val="32"/>
        </w:rPr>
        <w:t>全市依法行政（法治政府建设）综合考评工作；负责本办依法治市、社</w:t>
      </w:r>
      <w:r>
        <w:rPr>
          <w:rFonts w:eastAsia="方正仿宋_GBK"/>
          <w:color w:val="000000" w:themeColor="text1"/>
          <w:sz w:val="32"/>
          <w:szCs w:val="32"/>
        </w:rPr>
        <w:t>管综治</w:t>
      </w:r>
      <w:r>
        <w:rPr>
          <w:rFonts w:hint="eastAsia" w:eastAsia="方正仿宋_GBK"/>
          <w:color w:val="000000" w:themeColor="text1"/>
          <w:sz w:val="32"/>
          <w:szCs w:val="32"/>
        </w:rPr>
        <w:t>、普法、依法治理等相关</w:t>
      </w:r>
      <w:r>
        <w:rPr>
          <w:rFonts w:eastAsia="方正仿宋_GBK"/>
          <w:color w:val="000000" w:themeColor="text1"/>
          <w:sz w:val="32"/>
          <w:szCs w:val="32"/>
        </w:rPr>
        <w:t>工作</w:t>
      </w:r>
      <w:r>
        <w:rPr>
          <w:rFonts w:hint="eastAsia" w:eastAsia="方正仿宋_GBK"/>
          <w:color w:val="000000" w:themeColor="text1"/>
          <w:sz w:val="32"/>
          <w:szCs w:val="32"/>
        </w:rPr>
        <w:t>；完成办领导交办的其他工作。</w:t>
      </w:r>
    </w:p>
    <w:p>
      <w:pPr>
        <w:widowControl/>
        <w:numPr>
          <w:ilvl w:val="0"/>
          <w:numId w:val="2"/>
        </w:numPr>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政府立法和规范性文件科</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负责对地方性法规草案和政府规章制定工作进行规划、组织、指导和协调；负责组织拟订政府规章五年立法规划和年度立法工作计划；负责组织起草涉及重要行政管理、综合性较强或者多个实施部门的地方性法规和政府规章草案；负责对地方性法规草案和政府规章送审稿进行审查、修改和报审。负责对市政府重大决策事项决策前的合法性审查工作；负责行政机关重大决策事项听证的监督和指导；负责市政府规范性文件的组织起草、征求意见、修改、审查等工作；负责县区人民政府和市直各部门规范性文件的登记和备案工作；组织开展全市规范性文件清理和汇编工作，审核市直部门拟编辑出版的规范性文件汇编；负责做好市政府法律顾问室相关工作；负责联系玉溪仲裁委的相关工作。完成办领导交办的其他工作。</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3、行政复议和法制监督科</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负责市政府行政复议办公室日常工作，推进全市行政复议工作规范化建设；承办行政复议、行政应诉、行政赔偿案件的处理工作；承办重大行政复议、行政赔偿、行政补偿决定的备案审查工作；承办市政府信访复核意见的审查工作；负责组织做好行政许可监督检查工作；配合推进全市相对集中行政处罚权及开展综合行政执法相关工作；组织行政执法责任制的推行和考核工作；负责全市行政调解工作的监督和指导；处理协调行政机关之间行政执法活动方面出现的矛盾、争议和问题；指导并配合市政府部门开展专项行政执法检查活动；审查确认行政执法主体资格；负责行政执法人员、法制督察人员资格管理和行政执法证件、督察证件的管理工作。完成办领导交办的其他工作。</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（二）机构设置情况</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玉溪市人民政府法制办公室设3个内设机构（正科级）综合科、行政复议和法制监督科、政府立法和规范性文件科。</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玉溪市人民政府法制办公室机关行政编制10名。其中，设主任1 名（正县级）、副主任1名（副县级），正科级领导3名，副科级领导2名。</w:t>
      </w:r>
    </w:p>
    <w:p>
      <w:pPr>
        <w:widowControl/>
        <w:spacing w:line="560" w:lineRule="exact"/>
        <w:ind w:firstLine="640" w:firstLineChars="200"/>
        <w:jc w:val="left"/>
        <w:rPr>
          <w:rFonts w:ascii="方正仿宋_GBK" w:eastAsia="方正仿宋_GBK"/>
          <w:kern w:val="0"/>
          <w:sz w:val="32"/>
          <w:szCs w:val="32"/>
        </w:rPr>
      </w:pPr>
      <w:r>
        <w:rPr>
          <w:rFonts w:hint="eastAsia" w:ascii="方正仿宋_GBK" w:eastAsia="方正仿宋_GBK"/>
          <w:kern w:val="0"/>
          <w:sz w:val="32"/>
          <w:szCs w:val="32"/>
        </w:rPr>
        <w:t>新增二级预算单位玉溪仲裁委员会秘书处，事业编制3名。</w:t>
      </w:r>
    </w:p>
    <w:p>
      <w:pPr>
        <w:widowControl/>
        <w:spacing w:line="560" w:lineRule="exact"/>
        <w:ind w:firstLine="640" w:firstLineChars="200"/>
        <w:jc w:val="left"/>
        <w:rPr>
          <w:rFonts w:ascii="楷体_GB2312" w:eastAsia="楷体_GB2312"/>
          <w:color w:val="000000" w:themeColor="text1"/>
          <w:kern w:val="0"/>
          <w:sz w:val="32"/>
          <w:szCs w:val="32"/>
        </w:rPr>
      </w:pPr>
      <w:r>
        <w:rPr>
          <w:rFonts w:hint="eastAsia" w:ascii="楷体_GB2312" w:eastAsia="楷体_GB2312"/>
          <w:color w:val="000000" w:themeColor="text1"/>
          <w:kern w:val="0"/>
          <w:sz w:val="32"/>
          <w:szCs w:val="32"/>
        </w:rPr>
        <w:t>（三）重点工作概述</w:t>
      </w:r>
    </w:p>
    <w:p>
      <w:pPr>
        <w:spacing w:line="570" w:lineRule="exact"/>
        <w:ind w:firstLine="640" w:firstLineChars="200"/>
        <w:rPr>
          <w:rFonts w:eastAsia="方正仿宋_GBK"/>
          <w:kern w:val="0"/>
          <w:sz w:val="32"/>
          <w:szCs w:val="32"/>
        </w:rPr>
      </w:pPr>
      <w:r>
        <w:rPr>
          <w:rFonts w:hint="eastAsia" w:eastAsia="方正仿宋_GBK"/>
          <w:kern w:val="0"/>
          <w:sz w:val="32"/>
          <w:szCs w:val="32"/>
        </w:rPr>
        <w:t>2019</w:t>
      </w:r>
      <w:r>
        <w:rPr>
          <w:rFonts w:eastAsia="方正仿宋_GBK"/>
          <w:kern w:val="0"/>
          <w:sz w:val="32"/>
          <w:szCs w:val="32"/>
        </w:rPr>
        <w:t>年，</w:t>
      </w:r>
      <w:r>
        <w:rPr>
          <w:rFonts w:hint="eastAsia" w:eastAsia="方正仿宋_GBK"/>
          <w:kern w:val="0"/>
          <w:sz w:val="32"/>
          <w:szCs w:val="32"/>
        </w:rPr>
        <w:t>将紧紧围绕</w:t>
      </w:r>
      <w:r>
        <w:rPr>
          <w:rFonts w:eastAsia="方正仿宋_GBK"/>
          <w:kern w:val="0"/>
          <w:sz w:val="32"/>
          <w:szCs w:val="32"/>
        </w:rPr>
        <w:t>《玉溪市201</w:t>
      </w:r>
      <w:r>
        <w:rPr>
          <w:rFonts w:hint="eastAsia" w:eastAsia="方正仿宋_GBK"/>
          <w:kern w:val="0"/>
          <w:sz w:val="32"/>
          <w:szCs w:val="32"/>
        </w:rPr>
        <w:t>9</w:t>
      </w:r>
      <w:r>
        <w:rPr>
          <w:rFonts w:eastAsia="方正仿宋_GBK"/>
          <w:kern w:val="0"/>
          <w:sz w:val="32"/>
          <w:szCs w:val="32"/>
        </w:rPr>
        <w:t>年依法治市工作要点及任务分工方案》《玉溪市201</w:t>
      </w:r>
      <w:r>
        <w:rPr>
          <w:rFonts w:hint="eastAsia" w:eastAsia="方正仿宋_GBK"/>
          <w:kern w:val="0"/>
          <w:sz w:val="32"/>
          <w:szCs w:val="32"/>
        </w:rPr>
        <w:t>9</w:t>
      </w:r>
      <w:r>
        <w:rPr>
          <w:rFonts w:eastAsia="方正仿宋_GBK"/>
          <w:kern w:val="0"/>
          <w:sz w:val="32"/>
          <w:szCs w:val="32"/>
        </w:rPr>
        <w:t>年法治政府建设任务分工方案》，突出改革思维，突出问题导向，突出任务落实，持续推动依法行政各项任务落实落地。重点抓好以下工作：</w:t>
      </w:r>
    </w:p>
    <w:p>
      <w:pPr>
        <w:widowControl/>
        <w:shd w:val="clear" w:color="auto" w:fill="FFFFFF"/>
        <w:autoSpaceDE w:val="0"/>
        <w:ind w:firstLine="640"/>
        <w:rPr>
          <w:rFonts w:eastAsia="方正楷体_GBK"/>
          <w:kern w:val="0"/>
          <w:sz w:val="32"/>
          <w:szCs w:val="32"/>
          <w:shd w:val="clear" w:color="auto" w:fill="FFFFFF"/>
        </w:rPr>
      </w:pPr>
      <w:r>
        <w:rPr>
          <w:rFonts w:hint="eastAsia" w:eastAsia="方正楷体_GBK"/>
          <w:sz w:val="32"/>
          <w:szCs w:val="32"/>
          <w:shd w:val="clear" w:color="auto" w:fill="FFFFFF"/>
        </w:rPr>
        <w:t>1.继续</w:t>
      </w:r>
      <w:r>
        <w:rPr>
          <w:rFonts w:eastAsia="方正楷体_GBK"/>
          <w:sz w:val="32"/>
          <w:szCs w:val="32"/>
          <w:shd w:val="clear" w:color="auto" w:fill="FFFFFF"/>
        </w:rPr>
        <w:t>深入</w:t>
      </w:r>
      <w:r>
        <w:rPr>
          <w:rFonts w:eastAsia="方正楷体_GBK"/>
          <w:kern w:val="0"/>
          <w:sz w:val="32"/>
          <w:szCs w:val="32"/>
          <w:shd w:val="clear" w:color="auto" w:fill="FFFFFF"/>
        </w:rPr>
        <w:t>学习宣传贯彻落实党的十九大精神</w:t>
      </w:r>
      <w:r>
        <w:rPr>
          <w:rFonts w:hint="eastAsia" w:eastAsia="方正楷体_GBK"/>
          <w:kern w:val="0"/>
          <w:sz w:val="32"/>
          <w:szCs w:val="32"/>
          <w:shd w:val="clear" w:color="auto" w:fill="FFFFFF"/>
        </w:rPr>
        <w:t>以及中央全面依法治国委员会第一次会议精神</w:t>
      </w:r>
    </w:p>
    <w:p>
      <w:pPr>
        <w:widowControl/>
        <w:shd w:val="clear" w:color="auto" w:fill="FFFFFF"/>
        <w:autoSpaceDE w:val="0"/>
        <w:ind w:firstLine="640"/>
        <w:rPr>
          <w:rFonts w:eastAsia="方正仿宋_GBK"/>
          <w:kern w:val="0"/>
          <w:sz w:val="32"/>
          <w:szCs w:val="32"/>
          <w:shd w:val="clear" w:color="auto" w:fill="FFFFFF"/>
        </w:rPr>
      </w:pPr>
      <w:r>
        <w:rPr>
          <w:rFonts w:hint="eastAsia" w:eastAsia="方正仿宋_GBK"/>
          <w:kern w:val="0"/>
          <w:sz w:val="32"/>
          <w:szCs w:val="32"/>
          <w:shd w:val="clear" w:color="auto" w:fill="FFFFFF"/>
        </w:rPr>
        <w:t>继续</w:t>
      </w:r>
      <w:r>
        <w:rPr>
          <w:rFonts w:eastAsia="方正仿宋_GBK"/>
          <w:kern w:val="0"/>
          <w:sz w:val="32"/>
          <w:szCs w:val="32"/>
          <w:shd w:val="clear" w:color="auto" w:fill="FFFFFF"/>
        </w:rPr>
        <w:t>把学习宣传贯彻落实党的十九大精神作为首要政治任务，</w:t>
      </w:r>
      <w:r>
        <w:rPr>
          <w:rFonts w:eastAsia="方正仿宋_GBK"/>
          <w:sz w:val="32"/>
          <w:szCs w:val="32"/>
          <w:shd w:val="clear" w:color="auto" w:fill="FFFFFF"/>
        </w:rPr>
        <w:t>深刻把握党的十九大的重大意义，紧密结合</w:t>
      </w:r>
      <w:r>
        <w:rPr>
          <w:rFonts w:hint="eastAsia" w:eastAsia="方正仿宋_GBK"/>
          <w:sz w:val="32"/>
          <w:szCs w:val="32"/>
          <w:shd w:val="clear" w:color="auto" w:fill="FFFFFF"/>
        </w:rPr>
        <w:t>中央全面依法治国委员会2019年工作要点和玉溪</w:t>
      </w:r>
      <w:r>
        <w:rPr>
          <w:rFonts w:eastAsia="方正仿宋_GBK"/>
          <w:sz w:val="32"/>
          <w:szCs w:val="32"/>
          <w:shd w:val="clear" w:color="auto" w:fill="FFFFFF"/>
        </w:rPr>
        <w:t>实际抓好贯彻落实。</w:t>
      </w:r>
    </w:p>
    <w:p>
      <w:pPr>
        <w:ind w:firstLine="640" w:firstLineChars="200"/>
        <w:rPr>
          <w:rFonts w:eastAsia="方正楷体_GBK"/>
          <w:sz w:val="32"/>
          <w:szCs w:val="32"/>
        </w:rPr>
      </w:pPr>
      <w:r>
        <w:rPr>
          <w:rFonts w:hint="eastAsia" w:eastAsia="方正楷体_GBK"/>
          <w:sz w:val="32"/>
          <w:szCs w:val="32"/>
        </w:rPr>
        <w:t>2.</w:t>
      </w:r>
      <w:r>
        <w:rPr>
          <w:rFonts w:eastAsia="方正楷体_GBK"/>
          <w:sz w:val="32"/>
          <w:szCs w:val="32"/>
        </w:rPr>
        <w:t>继续认真贯彻落实党中央国务院、省委省政府、市委市政府关于法治政府建设的若干举措</w:t>
      </w:r>
    </w:p>
    <w:p>
      <w:pPr>
        <w:ind w:firstLine="640" w:firstLineChars="200"/>
        <w:rPr>
          <w:spacing w:val="10"/>
          <w:sz w:val="24"/>
        </w:rPr>
      </w:pPr>
      <w:r>
        <w:rPr>
          <w:rFonts w:eastAsia="方正仿宋_GBK"/>
          <w:sz w:val="32"/>
          <w:szCs w:val="32"/>
        </w:rPr>
        <w:t>严格按照</w:t>
      </w:r>
      <w:r>
        <w:rPr>
          <w:rFonts w:hint="eastAsia" w:eastAsia="方正仿宋_GBK"/>
          <w:sz w:val="32"/>
          <w:szCs w:val="32"/>
        </w:rPr>
        <w:t>习近平总书记在中央全面依法治国委员会第一次会议上的</w:t>
      </w:r>
      <w:r>
        <w:rPr>
          <w:rFonts w:hint="eastAsia" w:eastAsia="方正仿宋_GBK"/>
          <w:sz w:val="32"/>
          <w:szCs w:val="32"/>
          <w:lang w:eastAsia="zh-CN"/>
        </w:rPr>
        <w:t>重要</w:t>
      </w:r>
      <w:bookmarkStart w:id="0" w:name="_GoBack"/>
      <w:bookmarkEnd w:id="0"/>
      <w:r>
        <w:rPr>
          <w:rFonts w:hint="eastAsia" w:eastAsia="方正仿宋_GBK"/>
          <w:sz w:val="32"/>
          <w:szCs w:val="32"/>
        </w:rPr>
        <w:t>讲话精神和中央全面依法治国委员会2019年工作要点</w:t>
      </w:r>
      <w:r>
        <w:rPr>
          <w:rFonts w:eastAsia="方正仿宋_GBK"/>
          <w:sz w:val="32"/>
          <w:szCs w:val="32"/>
        </w:rPr>
        <w:t>确定的“时间表”、“路线图”推进依法行政各项工作，以《玉溪市法治政府建设实施方案（2016—2020年）》为纲，结合实际，制定《玉溪市201</w:t>
      </w:r>
      <w:r>
        <w:rPr>
          <w:rFonts w:hint="eastAsia" w:eastAsia="方正仿宋_GBK"/>
          <w:sz w:val="32"/>
          <w:szCs w:val="32"/>
        </w:rPr>
        <w:t>9</w:t>
      </w:r>
      <w:r>
        <w:rPr>
          <w:rFonts w:eastAsia="方正仿宋_GBK"/>
          <w:sz w:val="32"/>
          <w:szCs w:val="32"/>
        </w:rPr>
        <w:t>年法治政府建设任务分工方案》，并督促各县区、市政府各部门按照本县区、本部门法治政府建设实施方案，按时按质完成各项工作任务。切实推动</w:t>
      </w:r>
      <w:r>
        <w:rPr>
          <w:rFonts w:eastAsia="方正仿宋_GBK"/>
          <w:spacing w:val="10"/>
          <w:sz w:val="32"/>
          <w:szCs w:val="32"/>
        </w:rPr>
        <w:t>《党政主要负责人履行推进法治建设第一责任人职责规定》和云南省《党政主要负责人履行推进法治建设第一责任人职责实施办法》的贯彻落实</w:t>
      </w:r>
      <w:r>
        <w:rPr>
          <w:rFonts w:eastAsia="方正仿宋_GBK"/>
          <w:kern w:val="0"/>
          <w:sz w:val="32"/>
          <w:szCs w:val="32"/>
        </w:rPr>
        <w:t>，将法治政府建设摆在工作全局的重要位置。</w:t>
      </w:r>
    </w:p>
    <w:p>
      <w:pPr>
        <w:autoSpaceDE w:val="0"/>
        <w:spacing w:line="580" w:lineRule="exact"/>
        <w:ind w:firstLine="640" w:firstLineChars="200"/>
        <w:rPr>
          <w:rFonts w:eastAsia="方正楷体_GBK"/>
          <w:sz w:val="32"/>
          <w:szCs w:val="32"/>
        </w:rPr>
      </w:pPr>
      <w:r>
        <w:rPr>
          <w:rFonts w:hint="eastAsia" w:eastAsia="方正楷体_GBK"/>
          <w:sz w:val="32"/>
          <w:szCs w:val="32"/>
        </w:rPr>
        <w:t>3.</w:t>
      </w:r>
      <w:r>
        <w:rPr>
          <w:rFonts w:eastAsia="方正楷体_GBK"/>
          <w:sz w:val="32"/>
          <w:szCs w:val="32"/>
        </w:rPr>
        <w:t>着力加强立法和规范性文件管理工作</w:t>
      </w:r>
    </w:p>
    <w:p>
      <w:pPr>
        <w:autoSpaceDE w:val="0"/>
        <w:spacing w:line="580" w:lineRule="exact"/>
        <w:ind w:firstLine="680" w:firstLineChars="200"/>
        <w:rPr>
          <w:spacing w:val="10"/>
          <w:sz w:val="32"/>
          <w:szCs w:val="32"/>
        </w:rPr>
      </w:pPr>
      <w:r>
        <w:rPr>
          <w:rFonts w:eastAsia="方正仿宋_GBK"/>
          <w:spacing w:val="10"/>
          <w:sz w:val="32"/>
          <w:szCs w:val="32"/>
        </w:rPr>
        <w:t>加强和改进政府立法工作，全力配合市人大落实好</w:t>
      </w:r>
      <w:r>
        <w:rPr>
          <w:rFonts w:hAnsi="方正仿宋_GBK" w:eastAsia="方正仿宋_GBK"/>
          <w:kern w:val="0"/>
          <w:sz w:val="32"/>
          <w:szCs w:val="32"/>
        </w:rPr>
        <w:t>《玉溪市</w:t>
      </w:r>
      <w:r>
        <w:rPr>
          <w:rFonts w:eastAsia="仿宋_GB2312"/>
          <w:sz w:val="32"/>
          <w:szCs w:val="32"/>
        </w:rPr>
        <w:t>2018</w:t>
      </w:r>
      <w:r>
        <w:rPr>
          <w:rFonts w:hAnsi="方正仿宋_GBK" w:eastAsia="方正仿宋_GBK"/>
          <w:kern w:val="0"/>
          <w:sz w:val="32"/>
          <w:szCs w:val="32"/>
        </w:rPr>
        <w:t>年</w:t>
      </w:r>
      <w:r>
        <w:rPr>
          <w:rFonts w:eastAsia="仿宋_GB2312"/>
          <w:sz w:val="32"/>
          <w:szCs w:val="32"/>
        </w:rPr>
        <w:t>—2022</w:t>
      </w:r>
      <w:r>
        <w:rPr>
          <w:rFonts w:hAnsi="方正仿宋_GBK" w:eastAsia="方正仿宋_GBK"/>
          <w:kern w:val="0"/>
          <w:sz w:val="32"/>
          <w:szCs w:val="32"/>
        </w:rPr>
        <w:t>年立法规划》</w:t>
      </w:r>
      <w:r>
        <w:rPr>
          <w:rFonts w:eastAsia="方正仿宋_GBK"/>
          <w:spacing w:val="10"/>
          <w:sz w:val="32"/>
          <w:szCs w:val="32"/>
        </w:rPr>
        <w:t>，做好《玉溪市飞井水库饮用水水源保护条例》</w:t>
      </w:r>
      <w:r>
        <w:rPr>
          <w:rFonts w:eastAsia="方正仿宋_GBK"/>
          <w:sz w:val="32"/>
          <w:szCs w:val="32"/>
        </w:rPr>
        <w:t>立法相关工作，切实发挥立法的引领、规范和保障作用。</w:t>
      </w:r>
      <w:r>
        <w:rPr>
          <w:rFonts w:eastAsia="方正仿宋_GBK"/>
          <w:spacing w:val="10"/>
          <w:sz w:val="32"/>
          <w:szCs w:val="32"/>
        </w:rPr>
        <w:t>加大规范性文件审查力度。认真贯彻执行《云南省行政规范性文件制定和备案办法》和“三统一”制度，实行规范性文件目录和文本动态化管理。严格落实规范性文件备案审查机制，把所有规范性文件纳入备案审查范围，做到有件必备、有备必审、有错必纠。适时清理不适应改革和经济社会发展要求的规范性文件</w:t>
      </w:r>
      <w:r>
        <w:rPr>
          <w:rFonts w:eastAsia="方正仿宋_GBK"/>
          <w:kern w:val="0"/>
          <w:sz w:val="32"/>
          <w:szCs w:val="32"/>
          <w:shd w:val="clear" w:color="auto" w:fill="FFFFFF"/>
        </w:rPr>
        <w:t>，切实维护法制统一</w:t>
      </w:r>
      <w:r>
        <w:rPr>
          <w:rFonts w:eastAsia="方正仿宋_GBK"/>
          <w:spacing w:val="10"/>
          <w:sz w:val="32"/>
          <w:szCs w:val="32"/>
        </w:rPr>
        <w:t>。</w:t>
      </w:r>
    </w:p>
    <w:p>
      <w:pPr>
        <w:pStyle w:val="7"/>
        <w:autoSpaceDE w:val="0"/>
        <w:spacing w:beforeAutospacing="0" w:afterAutospacing="0" w:line="580" w:lineRule="exact"/>
        <w:ind w:firstLine="640" w:firstLineChars="200"/>
        <w:jc w:val="both"/>
        <w:rPr>
          <w:rFonts w:eastAsia="方正楷体_GBK"/>
          <w:kern w:val="2"/>
          <w:sz w:val="32"/>
          <w:szCs w:val="32"/>
        </w:rPr>
      </w:pPr>
      <w:r>
        <w:rPr>
          <w:rFonts w:hint="eastAsia" w:eastAsia="方正楷体_GBK"/>
          <w:kern w:val="2"/>
          <w:sz w:val="32"/>
          <w:szCs w:val="32"/>
        </w:rPr>
        <w:t>4.</w:t>
      </w:r>
      <w:r>
        <w:rPr>
          <w:rFonts w:eastAsia="方正楷体_GBK"/>
          <w:kern w:val="2"/>
          <w:sz w:val="32"/>
          <w:szCs w:val="32"/>
        </w:rPr>
        <w:t>着力推进依法决策和政府法律顾问制度</w:t>
      </w:r>
    </w:p>
    <w:p>
      <w:pPr>
        <w:pStyle w:val="7"/>
        <w:autoSpaceDE w:val="0"/>
        <w:spacing w:beforeAutospacing="0" w:afterAutospacing="0" w:line="580" w:lineRule="exact"/>
        <w:ind w:firstLine="640" w:firstLineChars="200"/>
        <w:jc w:val="both"/>
        <w:rPr>
          <w:rFonts w:eastAsia="方正仿宋_GBK"/>
          <w:sz w:val="32"/>
          <w:szCs w:val="32"/>
        </w:rPr>
      </w:pPr>
      <w:r>
        <w:rPr>
          <w:rFonts w:eastAsia="方正仿宋_GBK"/>
          <w:sz w:val="32"/>
          <w:szCs w:val="32"/>
        </w:rPr>
        <w:t>深入推进省、市重大行政决策程序规定的贯彻落实，坚持重大行政决策公众参与、专家论证、风险评估、合法性审查和集体讨论决定的法定程序。强化决策法定程序的刚性约束，重大行政决策事项未经政府法制机构合法性审查或经审查不合法的，</w:t>
      </w:r>
      <w:r>
        <w:rPr>
          <w:rFonts w:eastAsia="方正仿宋_GBK"/>
          <w:spacing w:val="10"/>
          <w:kern w:val="2"/>
          <w:sz w:val="32"/>
          <w:szCs w:val="32"/>
        </w:rPr>
        <w:t>不得提交讨论，作出决策。</w:t>
      </w:r>
      <w:r>
        <w:rPr>
          <w:rFonts w:eastAsia="方正仿宋_GBK"/>
          <w:sz w:val="32"/>
          <w:szCs w:val="32"/>
        </w:rPr>
        <w:t>严格执行省、市重大行政决策责任追究办法，实行</w:t>
      </w:r>
      <w:r>
        <w:rPr>
          <w:rFonts w:eastAsia="方正仿宋_GBK"/>
          <w:spacing w:val="10"/>
          <w:kern w:val="2"/>
          <w:sz w:val="32"/>
          <w:szCs w:val="32"/>
        </w:rPr>
        <w:t>重大决策终身责任追究制度及责任倒查机制。</w:t>
      </w:r>
      <w:r>
        <w:rPr>
          <w:rFonts w:eastAsia="方正仿宋_GBK"/>
          <w:sz w:val="32"/>
          <w:szCs w:val="32"/>
        </w:rPr>
        <w:t>进一步加强政府法律顾问工作，巩固完善政府法律顾问全覆盖，推动政府法律顾问全面介入依法行政、依法决策和行政执法各领域、各环节，推动政府法律顾问在更大范围、更高层次发挥作用。</w:t>
      </w:r>
    </w:p>
    <w:p>
      <w:pPr>
        <w:ind w:firstLine="640" w:firstLineChars="200"/>
        <w:jc w:val="left"/>
        <w:rPr>
          <w:rFonts w:ascii="方正楷体_GBK" w:hAnsi="方正楷体_GBK" w:eastAsia="方正楷体_GBK" w:cs="方正楷体_GBK"/>
          <w:sz w:val="32"/>
          <w:szCs w:val="32"/>
        </w:rPr>
      </w:pPr>
      <w:r>
        <w:rPr>
          <w:rFonts w:hint="eastAsia" w:eastAsia="方正楷体_GBK"/>
          <w:sz w:val="32"/>
          <w:szCs w:val="32"/>
        </w:rPr>
        <w:t>5.</w:t>
      </w:r>
      <w:r>
        <w:rPr>
          <w:rFonts w:hint="eastAsia" w:ascii="方正楷体_GBK" w:hAnsi="方正楷体_GBK" w:eastAsia="方正楷体_GBK" w:cs="方正楷体_GBK"/>
          <w:sz w:val="32"/>
          <w:szCs w:val="32"/>
        </w:rPr>
        <w:t>强化行政执法监督，推动严格规范公正文明执法</w:t>
      </w:r>
    </w:p>
    <w:p>
      <w:pPr>
        <w:ind w:firstLine="640" w:firstLineChars="200"/>
        <w:jc w:val="left"/>
        <w:rPr>
          <w:rFonts w:eastAsia="方正仿宋_GBK"/>
          <w:sz w:val="32"/>
          <w:szCs w:val="32"/>
        </w:rPr>
      </w:pPr>
      <w:r>
        <w:rPr>
          <w:rFonts w:eastAsia="方正仿宋_GBK"/>
          <w:sz w:val="32"/>
          <w:szCs w:val="32"/>
        </w:rPr>
        <w:t>严格落实省、市重大行政执法决定法制审核办法，规范行政执法行为，坚持重大行政执法决定作出前进行法制审核</w:t>
      </w:r>
      <w:r>
        <w:rPr>
          <w:rFonts w:hint="eastAsia" w:eastAsia="方正仿宋_GBK"/>
          <w:sz w:val="32"/>
          <w:szCs w:val="32"/>
        </w:rPr>
        <w:t>并按规定报备</w:t>
      </w:r>
      <w:r>
        <w:rPr>
          <w:rFonts w:eastAsia="方正仿宋_GBK"/>
          <w:sz w:val="32"/>
          <w:szCs w:val="32"/>
        </w:rPr>
        <w:t>。积极参与城市管理、抚仙湖管理行政执法体制改革，积极推进环境资源、农林水利、交通运输等领域综合执法</w:t>
      </w:r>
      <w:r>
        <w:rPr>
          <w:rFonts w:hint="eastAsia" w:eastAsia="方正仿宋_GBK"/>
          <w:sz w:val="32"/>
          <w:szCs w:val="32"/>
        </w:rPr>
        <w:t>。强化</w:t>
      </w:r>
      <w:r>
        <w:rPr>
          <w:rFonts w:eastAsia="方正仿宋_GBK"/>
          <w:sz w:val="32"/>
          <w:szCs w:val="32"/>
        </w:rPr>
        <w:t>行政执法人员资格和行政执法证件管理，严格实行持证上岗、亮证执法。</w:t>
      </w:r>
      <w:r>
        <w:rPr>
          <w:rFonts w:hint="eastAsia" w:eastAsia="方正仿宋_GBK"/>
          <w:sz w:val="32"/>
          <w:szCs w:val="32"/>
        </w:rPr>
        <w:t>指导、督促各县区、市直各部门</w:t>
      </w:r>
      <w:r>
        <w:rPr>
          <w:rFonts w:eastAsia="方正仿宋_GBK"/>
          <w:sz w:val="32"/>
          <w:szCs w:val="32"/>
        </w:rPr>
        <w:t>做好网上执法主体执法人员信息查询系统建设管理</w:t>
      </w:r>
      <w:r>
        <w:rPr>
          <w:rFonts w:hint="eastAsia" w:eastAsia="方正仿宋_GBK"/>
          <w:sz w:val="32"/>
          <w:szCs w:val="32"/>
        </w:rPr>
        <w:t>，</w:t>
      </w:r>
      <w:r>
        <w:rPr>
          <w:rFonts w:eastAsia="方正仿宋_GBK"/>
          <w:sz w:val="32"/>
          <w:szCs w:val="32"/>
        </w:rPr>
        <w:t>组织开展</w:t>
      </w:r>
      <w:r>
        <w:rPr>
          <w:rFonts w:hint="eastAsia" w:eastAsia="方正仿宋_GBK"/>
          <w:sz w:val="32"/>
          <w:szCs w:val="32"/>
        </w:rPr>
        <w:t>全市</w:t>
      </w:r>
      <w:r>
        <w:rPr>
          <w:rFonts w:eastAsia="方正仿宋_GBK"/>
          <w:sz w:val="32"/>
          <w:szCs w:val="32"/>
        </w:rPr>
        <w:t>行政执法人员</w:t>
      </w:r>
      <w:r>
        <w:rPr>
          <w:rFonts w:hint="eastAsia" w:eastAsia="方正仿宋_GBK"/>
          <w:sz w:val="32"/>
          <w:szCs w:val="32"/>
        </w:rPr>
        <w:t>网上</w:t>
      </w:r>
      <w:r>
        <w:rPr>
          <w:rFonts w:eastAsia="方正仿宋_GBK"/>
          <w:sz w:val="32"/>
          <w:szCs w:val="32"/>
        </w:rPr>
        <w:t>考试工作，实现行政执法主体、行政执法人员管理、培训、监督网络化。认真组织开展年度行政执法案卷评查工作，切实提高行政执法水平和案件质量。</w:t>
      </w:r>
    </w:p>
    <w:p>
      <w:pPr>
        <w:autoSpaceDE w:val="0"/>
        <w:spacing w:line="570" w:lineRule="exact"/>
        <w:ind w:firstLine="624" w:firstLineChars="195"/>
        <w:rPr>
          <w:rFonts w:ascii="方正楷体_GBK" w:hAnsi="方正楷体_GBK" w:eastAsia="方正楷体_GBK" w:cs="方正楷体_GBK"/>
          <w:sz w:val="32"/>
          <w:szCs w:val="32"/>
        </w:rPr>
      </w:pPr>
      <w:r>
        <w:rPr>
          <w:rFonts w:hint="eastAsia" w:eastAsia="方正楷体_GBK"/>
          <w:sz w:val="32"/>
          <w:szCs w:val="32"/>
        </w:rPr>
        <w:t>6.</w:t>
      </w:r>
      <w:r>
        <w:rPr>
          <w:rFonts w:hint="eastAsia" w:ascii="方正楷体_GBK" w:hAnsi="方正楷体_GBK" w:eastAsia="方正楷体_GBK" w:cs="方正楷体_GBK"/>
          <w:sz w:val="32"/>
          <w:szCs w:val="32"/>
        </w:rPr>
        <w:t>加大行政复议和行政应诉能力建设</w:t>
      </w:r>
    </w:p>
    <w:p>
      <w:pPr>
        <w:autoSpaceDE w:val="0"/>
        <w:spacing w:line="570" w:lineRule="exact"/>
        <w:ind w:firstLine="624" w:firstLineChars="195"/>
        <w:rPr>
          <w:rFonts w:eastAsia="方正仿宋_GBK"/>
          <w:sz w:val="32"/>
          <w:szCs w:val="32"/>
        </w:rPr>
      </w:pPr>
      <w:r>
        <w:rPr>
          <w:rFonts w:eastAsia="方正仿宋_GBK"/>
          <w:sz w:val="32"/>
          <w:szCs w:val="32"/>
        </w:rPr>
        <w:t>继续推进行政复议工作规范化建设，充分发挥行政复议在化解矛盾、解决纠纷中的主渠道作用。依法受理办理行政复议案件，提升行政复议办案质量。积极做好行政应诉工作，支持人民法院依法受理行政案件，尊重并执行人民法院生效判决。</w:t>
      </w:r>
      <w:r>
        <w:rPr>
          <w:rFonts w:hint="eastAsia" w:eastAsia="方正仿宋_GBK"/>
          <w:sz w:val="32"/>
          <w:szCs w:val="32"/>
        </w:rPr>
        <w:t>自觉接受司法监督，认真落实《玉溪市行政机关负责人行政诉讼出庭应诉规定》和《玉溪市人民政府办公室关于加强和改进行政应诉工作的实施意见》，把行政机关负责人出庭应诉、尊重并执行人民法院生效判决等纳入行政权</w:t>
      </w:r>
      <w:r>
        <w:rPr>
          <w:rFonts w:hint="eastAsia" w:eastAsia="方正仿宋_GBK"/>
          <w:sz w:val="32"/>
          <w:szCs w:val="32"/>
          <w:lang w:eastAsia="zh-CN"/>
        </w:rPr>
        <w:t>力</w:t>
      </w:r>
      <w:r>
        <w:rPr>
          <w:rFonts w:hint="eastAsia" w:eastAsia="方正仿宋_GBK"/>
          <w:sz w:val="32"/>
          <w:szCs w:val="32"/>
        </w:rPr>
        <w:t>监督体系。</w:t>
      </w:r>
      <w:r>
        <w:rPr>
          <w:rFonts w:eastAsia="方正仿宋_GBK"/>
          <w:sz w:val="32"/>
          <w:szCs w:val="32"/>
        </w:rPr>
        <w:t>加强行政执法与刑事司法有效衔接，规范、畅通行政执法机关与司法机关的工作衔接渠道。</w:t>
      </w:r>
    </w:p>
    <w:p>
      <w:pPr>
        <w:autoSpaceDE w:val="0"/>
        <w:spacing w:line="580" w:lineRule="exact"/>
        <w:ind w:firstLine="624" w:firstLineChars="195"/>
        <w:rPr>
          <w:rFonts w:eastAsia="方正楷体_GBK"/>
          <w:sz w:val="32"/>
          <w:szCs w:val="32"/>
        </w:rPr>
      </w:pPr>
      <w:r>
        <w:rPr>
          <w:rFonts w:hint="eastAsia" w:eastAsia="方正楷体_GBK"/>
          <w:sz w:val="32"/>
          <w:szCs w:val="32"/>
        </w:rPr>
        <w:t>7.</w:t>
      </w:r>
      <w:r>
        <w:rPr>
          <w:rFonts w:eastAsia="方正楷体_GBK"/>
          <w:sz w:val="32"/>
          <w:szCs w:val="32"/>
        </w:rPr>
        <w:t>加强仲裁规范化建设，完善仲裁制度，提高仲裁公信力</w:t>
      </w:r>
    </w:p>
    <w:p>
      <w:pPr>
        <w:spacing w:line="570" w:lineRule="exact"/>
        <w:ind w:firstLine="640" w:firstLineChars="200"/>
        <w:rPr>
          <w:rFonts w:ascii="方正仿宋_GBK" w:eastAsia="方正仿宋_GBK"/>
          <w:sz w:val="32"/>
          <w:szCs w:val="32"/>
        </w:rPr>
      </w:pPr>
      <w:r>
        <w:rPr>
          <w:rFonts w:eastAsia="方正仿宋_GBK"/>
          <w:sz w:val="32"/>
          <w:szCs w:val="32"/>
        </w:rPr>
        <w:t>玉溪仲裁委将以“案件受理多样化、纠纷处理多元化”为仲裁的发展战略，</w:t>
      </w:r>
      <w:r>
        <w:rPr>
          <w:rFonts w:hint="eastAsia" w:eastAsia="方正仿宋_GBK"/>
          <w:sz w:val="32"/>
          <w:szCs w:val="32"/>
        </w:rPr>
        <w:t>以“完善仲裁制度，提高仲裁公信力”为目标，以机构体制改革为突破口，坚持变中求新、变中求进，主动</w:t>
      </w:r>
      <w:r>
        <w:rPr>
          <w:rFonts w:eastAsia="方正仿宋_GBK"/>
          <w:sz w:val="32"/>
          <w:szCs w:val="32"/>
        </w:rPr>
        <w:t>融入经济社会发展的各个领域，依法妥善处理人民群众日常生产生活中涉及财产权益的各类民事纠纷，维护玉溪市场经济的健康发展。</w:t>
      </w:r>
      <w:r>
        <w:rPr>
          <w:rFonts w:hint="eastAsia" w:eastAsia="方正仿宋_GBK"/>
          <w:sz w:val="32"/>
          <w:szCs w:val="32"/>
        </w:rPr>
        <w:t>完善相关工作、管理制度，注重提高仲裁人员专业素养，进一步规范办案程序，提高办案质量，加大宣传力度，开创玉溪仲裁工作新局面。</w:t>
      </w:r>
    </w:p>
    <w:p>
      <w:pPr>
        <w:spacing w:line="560" w:lineRule="exact"/>
        <w:ind w:firstLine="640" w:firstLineChars="200"/>
        <w:jc w:val="center"/>
        <w:rPr>
          <w:rFonts w:ascii="黑体" w:hAnsi="黑体" w:eastAsia="黑体"/>
          <w:sz w:val="32"/>
          <w:szCs w:val="32"/>
        </w:rPr>
      </w:pPr>
    </w:p>
    <w:p>
      <w:pPr>
        <w:spacing w:line="560" w:lineRule="exact"/>
        <w:ind w:firstLine="640" w:firstLineChars="200"/>
        <w:jc w:val="center"/>
        <w:rPr>
          <w:rFonts w:ascii="黑体" w:hAnsi="黑体" w:eastAsia="黑体"/>
          <w:sz w:val="32"/>
          <w:szCs w:val="32"/>
        </w:rPr>
      </w:pPr>
    </w:p>
    <w:p>
      <w:pPr>
        <w:spacing w:line="560" w:lineRule="exact"/>
        <w:ind w:firstLine="640" w:firstLineChars="200"/>
        <w:jc w:val="center"/>
        <w:rPr>
          <w:rFonts w:ascii="黑体" w:hAnsi="黑体" w:eastAsia="黑体"/>
          <w:sz w:val="32"/>
          <w:szCs w:val="32"/>
        </w:rPr>
      </w:pPr>
    </w:p>
    <w:p>
      <w:pPr>
        <w:spacing w:line="560" w:lineRule="exact"/>
        <w:ind w:firstLine="640" w:firstLineChars="200"/>
        <w:jc w:val="center"/>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numPr>
          <w:ilvl w:val="0"/>
          <w:numId w:val="3"/>
        </w:numPr>
        <w:spacing w:line="560" w:lineRule="exact"/>
        <w:ind w:left="640" w:hanging="640" w:hangingChars="200"/>
        <w:jc w:val="center"/>
        <w:rPr>
          <w:rFonts w:ascii="黑体" w:hAnsi="黑体" w:eastAsia="黑体"/>
          <w:sz w:val="32"/>
          <w:szCs w:val="32"/>
        </w:rPr>
      </w:pPr>
      <w:r>
        <w:rPr>
          <w:rFonts w:hint="eastAsia" w:ascii="黑体" w:hAnsi="黑体" w:eastAsia="黑体"/>
          <w:sz w:val="32"/>
          <w:szCs w:val="32"/>
        </w:rPr>
        <w:t>玉溪市人民政府法制办公室</w:t>
      </w:r>
      <w:r>
        <w:rPr>
          <w:rFonts w:ascii="黑体" w:hAnsi="黑体" w:eastAsia="黑体"/>
          <w:sz w:val="32"/>
          <w:szCs w:val="32"/>
        </w:rPr>
        <w:t>部门2019年部门</w:t>
      </w:r>
    </w:p>
    <w:p>
      <w:pPr>
        <w:spacing w:line="560" w:lineRule="exact"/>
        <w:ind w:left="-420" w:leftChars="-200" w:firstLine="1600" w:firstLineChars="500"/>
        <w:jc w:val="center"/>
        <w:rPr>
          <w:rFonts w:ascii="黑体" w:hAnsi="黑体" w:eastAsia="黑体"/>
          <w:sz w:val="32"/>
          <w:szCs w:val="32"/>
        </w:rPr>
      </w:pPr>
      <w:r>
        <w:rPr>
          <w:rFonts w:ascii="黑体" w:hAnsi="黑体" w:eastAsia="黑体"/>
          <w:sz w:val="32"/>
          <w:szCs w:val="32"/>
        </w:rPr>
        <w:t>预算编制说明</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一、</w:t>
      </w:r>
      <w:r>
        <w:rPr>
          <w:rFonts w:ascii="黑体" w:hAnsi="黑体" w:eastAsia="黑体"/>
          <w:kern w:val="0"/>
          <w:sz w:val="32"/>
          <w:szCs w:val="32"/>
        </w:rPr>
        <w:t>预算单位基本情况</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我部门编制2019年部门预算单位共2个。其中：财政全供给单位2个；部分供给单位0个；特殊供给单位0个；自收自支单位0个。财政全供给单位中行政单位1个；参公管理事业单位0个；非参公管理事业单位1个。截止201</w:t>
      </w:r>
      <w:r>
        <w:rPr>
          <w:rFonts w:eastAsia="仿宋_GB2312"/>
          <w:color w:val="000000" w:themeColor="text1"/>
          <w:kern w:val="0"/>
          <w:sz w:val="32"/>
          <w:szCs w:val="32"/>
        </w:rPr>
        <w:t>8</w:t>
      </w:r>
      <w:r>
        <w:rPr>
          <w:rFonts w:hint="eastAsia" w:eastAsia="仿宋_GB2312"/>
          <w:color w:val="000000" w:themeColor="text1"/>
          <w:kern w:val="0"/>
          <w:sz w:val="32"/>
          <w:szCs w:val="32"/>
        </w:rPr>
        <w:t>年1</w:t>
      </w:r>
      <w:r>
        <w:rPr>
          <w:rFonts w:eastAsia="仿宋_GB2312"/>
          <w:color w:val="000000" w:themeColor="text1"/>
          <w:kern w:val="0"/>
          <w:sz w:val="32"/>
          <w:szCs w:val="32"/>
        </w:rPr>
        <w:t>2</w:t>
      </w:r>
      <w:r>
        <w:rPr>
          <w:rFonts w:hint="eastAsia" w:eastAsia="仿宋_GB2312"/>
          <w:color w:val="000000" w:themeColor="text1"/>
          <w:kern w:val="0"/>
          <w:sz w:val="32"/>
          <w:szCs w:val="32"/>
        </w:rPr>
        <w:t>月统计，部门基本情况如下：</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在职人员编制13人（含仲裁委秘书处2人），其中：行政编制10人，事业编制3人。在职实有11人，其中：财政全供养11人，财政部分供养0人，非财政供养0人。</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离退休人员0人，其中：离休0人，退休0人。</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车辆编制1辆，实有车辆1辆。</w:t>
      </w:r>
    </w:p>
    <w:p>
      <w:pPr>
        <w:widowControl/>
        <w:spacing w:line="560" w:lineRule="exact"/>
        <w:ind w:firstLine="642" w:firstLineChars="200"/>
        <w:jc w:val="left"/>
        <w:rPr>
          <w:rFonts w:ascii="黑体" w:hAnsi="黑体" w:eastAsia="黑体"/>
          <w:kern w:val="0"/>
          <w:sz w:val="32"/>
          <w:szCs w:val="32"/>
        </w:rPr>
      </w:pPr>
      <w:r>
        <w:rPr>
          <w:rFonts w:hint="eastAsia" w:ascii="黑体" w:hAnsi="黑体" w:eastAsia="黑体"/>
          <w:b/>
          <w:bCs/>
          <w:kern w:val="0"/>
          <w:sz w:val="32"/>
          <w:szCs w:val="32"/>
        </w:rPr>
        <w:t>二</w:t>
      </w:r>
      <w:r>
        <w:rPr>
          <w:rFonts w:ascii="黑体" w:hAnsi="黑体" w:eastAsia="黑体"/>
          <w:b/>
          <w:bCs/>
          <w:kern w:val="0"/>
          <w:sz w:val="32"/>
          <w:szCs w:val="32"/>
        </w:rPr>
        <w:t>、</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年财政拨款收入预算单位收入情况说明</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（一）部门财务收入情况</w:t>
      </w:r>
    </w:p>
    <w:p>
      <w:pPr>
        <w:widowControl/>
        <w:spacing w:line="560" w:lineRule="exact"/>
        <w:ind w:firstLine="640" w:firstLineChars="200"/>
        <w:jc w:val="left"/>
        <w:rPr>
          <w:rFonts w:ascii="楷体_GB2312" w:eastAsia="楷体_GB2312"/>
          <w:kern w:val="0"/>
          <w:sz w:val="32"/>
          <w:szCs w:val="32"/>
        </w:rPr>
      </w:pPr>
      <w:r>
        <w:rPr>
          <w:rFonts w:hint="eastAsia" w:eastAsia="仿宋_GB2312"/>
          <w:kern w:val="0"/>
          <w:sz w:val="32"/>
          <w:szCs w:val="32"/>
        </w:rPr>
        <w:t>2019年部门财务总收入562.26万元，其中：一般公共预算562.26万元，政府性基金0万元，国有资本经营收益0万元，事业收入0万元，事业单位经营收入0万元，其他收入0万元。</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（二）财政拨款收入情况</w:t>
      </w:r>
    </w:p>
    <w:p>
      <w:pPr>
        <w:widowControl/>
        <w:spacing w:line="560" w:lineRule="exact"/>
        <w:ind w:firstLine="800" w:firstLineChars="250"/>
        <w:jc w:val="left"/>
        <w:rPr>
          <w:rFonts w:eastAsia="仿宋_GB2312"/>
          <w:kern w:val="0"/>
          <w:sz w:val="32"/>
          <w:szCs w:val="32"/>
        </w:rPr>
      </w:pPr>
      <w:r>
        <w:rPr>
          <w:rFonts w:hint="eastAsia" w:eastAsia="仿宋_GB2312"/>
          <w:kern w:val="0"/>
          <w:sz w:val="32"/>
          <w:szCs w:val="32"/>
        </w:rPr>
        <w:t>2019年部门财政拨款收入562.26万元，与上年同口径相比减少7.64万元，减少1.34 %，减少的主要原因是：项目支出减少169.49万元，新增二级预算单位玉溪仲裁委员会秘书处预算188.01万元，市法制办人员减少。</w:t>
      </w:r>
    </w:p>
    <w:p>
      <w:pPr>
        <w:widowControl/>
        <w:spacing w:line="560" w:lineRule="exact"/>
        <w:ind w:firstLine="800" w:firstLineChars="250"/>
        <w:jc w:val="left"/>
        <w:rPr>
          <w:rFonts w:eastAsia="仿宋_GB2312"/>
          <w:color w:val="FF0000"/>
          <w:kern w:val="0"/>
          <w:sz w:val="32"/>
          <w:szCs w:val="32"/>
        </w:rPr>
      </w:pPr>
      <w:r>
        <w:rPr>
          <w:rFonts w:hint="eastAsia" w:eastAsia="仿宋_GB2312"/>
          <w:kern w:val="0"/>
          <w:sz w:val="32"/>
          <w:szCs w:val="32"/>
        </w:rPr>
        <w:t>其中:本年收入562.26万元，上年结转收入0万元。本年收入中，一般公共预算财政拨款562.26万元（本级财力390.46万元，专项收入0万元，执法办案补助0万元，收费成本补偿0万元，财政专户管理的收入0万元，国有资源（资产）有偿使用收入171.80万元），政府性基金财政拨款0万元，国有资本经营收益财政拨款0万元。</w:t>
      </w:r>
    </w:p>
    <w:p>
      <w:pPr>
        <w:widowControl/>
        <w:numPr>
          <w:ilvl w:val="255"/>
          <w:numId w:val="0"/>
        </w:numPr>
        <w:spacing w:line="560" w:lineRule="exact"/>
        <w:ind w:firstLine="640" w:firstLineChars="200"/>
        <w:jc w:val="left"/>
        <w:rPr>
          <w:rFonts w:eastAsia="仿宋_GB2312"/>
          <w:b/>
          <w:bCs/>
          <w:kern w:val="0"/>
          <w:sz w:val="32"/>
          <w:szCs w:val="32"/>
        </w:rPr>
      </w:pPr>
      <w:r>
        <w:rPr>
          <w:rFonts w:hint="eastAsia" w:eastAsia="仿宋_GB2312"/>
          <w:kern w:val="0"/>
          <w:sz w:val="32"/>
          <w:szCs w:val="32"/>
        </w:rPr>
        <w:t>以上财政拨款收支预算，将根据机构改革情况，在执行中依法依规作相应调整。</w:t>
      </w:r>
    </w:p>
    <w:p>
      <w:pPr>
        <w:widowControl/>
        <w:spacing w:line="560" w:lineRule="exact"/>
        <w:ind w:firstLine="803" w:firstLineChars="250"/>
        <w:jc w:val="left"/>
        <w:rPr>
          <w:rFonts w:ascii="黑体" w:hAnsi="黑体" w:eastAsia="黑体"/>
          <w:kern w:val="0"/>
          <w:sz w:val="32"/>
          <w:szCs w:val="32"/>
        </w:rPr>
      </w:pPr>
      <w:r>
        <w:rPr>
          <w:rFonts w:hint="eastAsia" w:ascii="黑体" w:hAnsi="黑体" w:eastAsia="黑体"/>
          <w:b/>
          <w:bCs/>
          <w:color w:val="070707"/>
          <w:kern w:val="0"/>
          <w:sz w:val="32"/>
          <w:szCs w:val="32"/>
        </w:rPr>
        <w:t>三、</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年一般公共预算单位支出情况说明</w:t>
      </w:r>
    </w:p>
    <w:p>
      <w:pPr>
        <w:widowControl/>
        <w:numPr>
          <w:ilvl w:val="255"/>
          <w:numId w:val="0"/>
        </w:numPr>
        <w:spacing w:line="560" w:lineRule="exact"/>
        <w:ind w:firstLine="800" w:firstLineChars="250"/>
        <w:jc w:val="left"/>
        <w:rPr>
          <w:rFonts w:eastAsia="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年一般公共预算支出562.26万元</w:t>
      </w:r>
      <w:r>
        <w:rPr>
          <w:rFonts w:hint="eastAsia" w:eastAsia="仿宋_GB2312"/>
          <w:kern w:val="0"/>
          <w:sz w:val="32"/>
          <w:szCs w:val="32"/>
        </w:rPr>
        <w:t>。其中，基本支出531.75万元，项目支出30.51万元。本级财力安排支出562.26万元，与上年同口径相比减少7.64万元，减少1.34 %，减少的主要原因是：项目支出减少169.49万元，新增二级预算单位玉溪仲裁委员会秘书处预算188.01万元，市法制办人员减少。</w:t>
      </w:r>
    </w:p>
    <w:p>
      <w:pPr>
        <w:widowControl/>
        <w:spacing w:line="560" w:lineRule="exact"/>
        <w:ind w:firstLine="480" w:firstLineChars="150"/>
        <w:jc w:val="left"/>
        <w:rPr>
          <w:rFonts w:eastAsia="仿宋_GB2312"/>
          <w:kern w:val="0"/>
          <w:sz w:val="32"/>
          <w:szCs w:val="32"/>
        </w:rPr>
      </w:pPr>
      <w:r>
        <w:rPr>
          <w:rFonts w:hint="eastAsia" w:ascii="楷体_GB2312" w:eastAsia="楷体_GB2312"/>
          <w:kern w:val="0"/>
          <w:sz w:val="32"/>
          <w:szCs w:val="32"/>
        </w:rPr>
        <w:t>（一）本级财力支出按功能科目分类情况</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公共安全支出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司法</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行政运行（</w:t>
      </w:r>
      <w:r>
        <w:rPr>
          <w:rFonts w:ascii="楷体_GB2312" w:hAnsi="仿宋" w:eastAsia="楷体_GB2312" w:cs="楷体_GB2312"/>
          <w:kern w:val="0"/>
          <w:sz w:val="32"/>
          <w:szCs w:val="32"/>
        </w:rPr>
        <w:t>20</w:t>
      </w:r>
      <w:r>
        <w:rPr>
          <w:rFonts w:hint="eastAsia" w:ascii="楷体_GB2312" w:hAnsi="仿宋" w:eastAsia="楷体_GB2312" w:cs="楷体_GB2312"/>
          <w:kern w:val="0"/>
          <w:sz w:val="32"/>
          <w:szCs w:val="32"/>
        </w:rPr>
        <w:t>4</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6</w:t>
      </w:r>
      <w:r>
        <w:rPr>
          <w:rFonts w:ascii="楷体_GB2312" w:hAnsi="仿宋" w:eastAsia="楷体_GB2312" w:cs="楷体_GB2312"/>
          <w:kern w:val="0"/>
          <w:sz w:val="32"/>
          <w:szCs w:val="32"/>
        </w:rPr>
        <w:t>01</w:t>
      </w:r>
      <w:r>
        <w:rPr>
          <w:rFonts w:hint="eastAsia" w:ascii="楷体_GB2312" w:hAnsi="仿宋" w:eastAsia="楷体_GB2312" w:cs="楷体_GB2312"/>
          <w:kern w:val="0"/>
          <w:sz w:val="32"/>
          <w:szCs w:val="32"/>
        </w:rPr>
        <w:t>）228.29万元主要用于工资福利支出及商品服务支出；</w:t>
      </w:r>
    </w:p>
    <w:p>
      <w:pPr>
        <w:ind w:firstLine="640" w:firstLineChars="200"/>
        <w:rPr>
          <w:rFonts w:ascii="楷体_GB2312" w:hAnsi="仿宋" w:eastAsia="楷体_GB2312"/>
          <w:sz w:val="32"/>
          <w:szCs w:val="32"/>
        </w:rPr>
      </w:pPr>
      <w:r>
        <w:rPr>
          <w:rFonts w:hint="eastAsia" w:ascii="楷体_GB2312" w:hAnsi="仿宋" w:eastAsia="楷体_GB2312" w:cs="楷体_GB2312"/>
          <w:kern w:val="0"/>
          <w:sz w:val="32"/>
          <w:szCs w:val="32"/>
        </w:rPr>
        <w:t>公共安全支出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司法</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一般行政管理事务（</w:t>
      </w:r>
      <w:r>
        <w:rPr>
          <w:rFonts w:ascii="楷体_GB2312" w:hAnsi="仿宋" w:eastAsia="楷体_GB2312" w:cs="楷体_GB2312"/>
          <w:kern w:val="0"/>
          <w:sz w:val="32"/>
          <w:szCs w:val="32"/>
        </w:rPr>
        <w:t>20</w:t>
      </w:r>
      <w:r>
        <w:rPr>
          <w:rFonts w:hint="eastAsia" w:ascii="楷体_GB2312" w:hAnsi="仿宋" w:eastAsia="楷体_GB2312" w:cs="楷体_GB2312"/>
          <w:kern w:val="0"/>
          <w:sz w:val="32"/>
          <w:szCs w:val="32"/>
        </w:rPr>
        <w:t>4</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6</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2）71.50万元主要用于商品和服务支出和资本性支出</w:t>
      </w:r>
      <w:r>
        <w:rPr>
          <w:rFonts w:hint="eastAsia" w:ascii="楷体_GB2312" w:hAnsi="仿宋" w:eastAsia="楷体_GB2312" w:cs="楷体_GB2312"/>
          <w:sz w:val="32"/>
          <w:szCs w:val="32"/>
        </w:rPr>
        <w:t>；</w:t>
      </w:r>
    </w:p>
    <w:p>
      <w:pPr>
        <w:ind w:firstLine="640" w:firstLineChars="200"/>
        <w:rPr>
          <w:rFonts w:ascii="楷体_GB2312" w:hAnsi="仿宋" w:eastAsia="楷体_GB2312"/>
          <w:sz w:val="32"/>
          <w:szCs w:val="32"/>
        </w:rPr>
      </w:pPr>
      <w:r>
        <w:rPr>
          <w:rFonts w:hint="eastAsia" w:ascii="楷体_GB2312" w:hAnsi="仿宋" w:eastAsia="楷体_GB2312" w:cs="楷体_GB2312"/>
          <w:kern w:val="0"/>
          <w:sz w:val="32"/>
          <w:szCs w:val="32"/>
        </w:rPr>
        <w:t>公共安全支出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司法</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仲裁（</w:t>
      </w:r>
      <w:r>
        <w:rPr>
          <w:rFonts w:ascii="楷体_GB2312" w:hAnsi="仿宋" w:eastAsia="楷体_GB2312" w:cs="楷体_GB2312"/>
          <w:kern w:val="0"/>
          <w:sz w:val="32"/>
          <w:szCs w:val="32"/>
        </w:rPr>
        <w:t>20</w:t>
      </w:r>
      <w:r>
        <w:rPr>
          <w:rFonts w:hint="eastAsia" w:ascii="楷体_GB2312" w:hAnsi="仿宋" w:eastAsia="楷体_GB2312" w:cs="楷体_GB2312"/>
          <w:kern w:val="0"/>
          <w:sz w:val="32"/>
          <w:szCs w:val="32"/>
        </w:rPr>
        <w:t>4</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6</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9）171.8万元主要用于玉溪仲裁委员会秘书处工资福利支出及商品服务支出</w:t>
      </w:r>
      <w:r>
        <w:rPr>
          <w:rFonts w:hint="eastAsia" w:ascii="楷体_GB2312" w:hAnsi="仿宋" w:eastAsia="楷体_GB2312" w:cs="楷体_GB2312"/>
          <w:sz w:val="32"/>
          <w:szCs w:val="32"/>
        </w:rPr>
        <w:t>；</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公共安全支出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司法</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法制建设（</w:t>
      </w:r>
      <w:r>
        <w:rPr>
          <w:rFonts w:ascii="楷体_GB2312" w:hAnsi="仿宋" w:eastAsia="楷体_GB2312" w:cs="楷体_GB2312"/>
          <w:kern w:val="0"/>
          <w:sz w:val="32"/>
          <w:szCs w:val="32"/>
        </w:rPr>
        <w:t>20</w:t>
      </w:r>
      <w:r>
        <w:rPr>
          <w:rFonts w:hint="eastAsia" w:ascii="楷体_GB2312" w:hAnsi="仿宋" w:eastAsia="楷体_GB2312" w:cs="楷体_GB2312"/>
          <w:kern w:val="0"/>
          <w:sz w:val="32"/>
          <w:szCs w:val="32"/>
        </w:rPr>
        <w:t>4</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612）30.51万元主要用于行政执法培训支出；</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社会保障和就业支出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行政事业单位离退休</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机关事业单位基本养老保险缴费支出（</w:t>
      </w:r>
      <w:r>
        <w:rPr>
          <w:rFonts w:ascii="楷体_GB2312" w:hAnsi="仿宋" w:eastAsia="楷体_GB2312" w:cs="楷体_GB2312"/>
          <w:kern w:val="0"/>
          <w:sz w:val="32"/>
          <w:szCs w:val="32"/>
        </w:rPr>
        <w:t>2080505</w:t>
      </w:r>
      <w:r>
        <w:rPr>
          <w:rFonts w:hint="eastAsia" w:ascii="楷体_GB2312" w:hAnsi="仿宋" w:eastAsia="楷体_GB2312" w:cs="楷体_GB2312"/>
          <w:kern w:val="0"/>
          <w:sz w:val="32"/>
          <w:szCs w:val="32"/>
        </w:rPr>
        <w:t>）14.43万元主要用于在职人员基本养老保险缴交；</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社会保障和就业支出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财政对其他社会保险基金的补助</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财政对工伤保险基金的补助0.22万元主要用于在职人员工伤保险缴交；</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社会保障和就业支出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财政对其他社会保险基金的补助</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财政对生育保险基金的补助0.22万元主要用于在职人员生育保险缴交；</w:t>
      </w:r>
    </w:p>
    <w:p>
      <w:pPr>
        <w:ind w:firstLine="640" w:firstLineChars="200"/>
        <w:rPr>
          <w:rFonts w:ascii="楷体_GB2312" w:hAnsi="仿宋" w:eastAsia="楷体_GB2312" w:cs="楷体_GB2312"/>
          <w:kern w:val="0"/>
          <w:sz w:val="32"/>
          <w:szCs w:val="32"/>
        </w:rPr>
      </w:pPr>
      <w:r>
        <w:rPr>
          <w:rFonts w:hint="eastAsia" w:ascii="楷体_GB2312" w:hAnsi="仿宋" w:eastAsia="楷体_GB2312" w:cs="楷体_GB2312"/>
          <w:kern w:val="0"/>
          <w:sz w:val="32"/>
          <w:szCs w:val="32"/>
        </w:rPr>
        <w:t>卫生健康支出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行政事业单位医疗</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行政单位医疗（</w:t>
      </w:r>
      <w:r>
        <w:rPr>
          <w:rFonts w:ascii="楷体_GB2312" w:hAnsi="仿宋" w:eastAsia="楷体_GB2312" w:cs="楷体_GB2312"/>
          <w:kern w:val="0"/>
          <w:sz w:val="32"/>
          <w:szCs w:val="32"/>
        </w:rPr>
        <w:t>2101101</w:t>
      </w:r>
      <w:r>
        <w:rPr>
          <w:rFonts w:hint="eastAsia" w:ascii="楷体_GB2312" w:hAnsi="仿宋" w:eastAsia="楷体_GB2312" w:cs="楷体_GB2312"/>
          <w:kern w:val="0"/>
          <w:sz w:val="32"/>
          <w:szCs w:val="32"/>
        </w:rPr>
        <w:t>）8.06万元用于在职行政人员基本医疗保险缴交；</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卫生健康支出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行政事业单位医疗</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事业单位医疗（</w:t>
      </w:r>
      <w:r>
        <w:rPr>
          <w:rFonts w:ascii="楷体_GB2312" w:hAnsi="仿宋" w:eastAsia="楷体_GB2312" w:cs="楷体_GB2312"/>
          <w:kern w:val="0"/>
          <w:sz w:val="32"/>
          <w:szCs w:val="32"/>
        </w:rPr>
        <w:t>210110</w:t>
      </w:r>
      <w:r>
        <w:rPr>
          <w:rFonts w:hint="eastAsia" w:ascii="楷体_GB2312" w:hAnsi="仿宋" w:eastAsia="楷体_GB2312" w:cs="楷体_GB2312"/>
          <w:kern w:val="0"/>
          <w:sz w:val="32"/>
          <w:szCs w:val="32"/>
        </w:rPr>
        <w:t>2）1.79万元用于在职事业人员基本医疗保险缴交；</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卫生健康支出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行政事业单位医疗</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公务员医疗补助（</w:t>
      </w:r>
      <w:r>
        <w:rPr>
          <w:rFonts w:ascii="楷体_GB2312" w:hAnsi="仿宋" w:eastAsia="楷体_GB2312" w:cs="楷体_GB2312"/>
          <w:kern w:val="0"/>
          <w:sz w:val="32"/>
          <w:szCs w:val="32"/>
        </w:rPr>
        <w:t>2101103</w:t>
      </w:r>
      <w:r>
        <w:rPr>
          <w:rFonts w:hint="eastAsia" w:ascii="楷体_GB2312" w:hAnsi="仿宋" w:eastAsia="楷体_GB2312" w:cs="楷体_GB2312"/>
          <w:kern w:val="0"/>
          <w:sz w:val="32"/>
          <w:szCs w:val="32"/>
        </w:rPr>
        <w:t>）4.95万元用于在职人员公务员医疗补助缴交；</w:t>
      </w:r>
    </w:p>
    <w:p>
      <w:pPr>
        <w:ind w:firstLine="640" w:firstLineChars="200"/>
        <w:rPr>
          <w:rFonts w:ascii="楷体_GB2312" w:hAnsi="仿宋" w:eastAsia="楷体_GB2312"/>
          <w:kern w:val="0"/>
          <w:sz w:val="32"/>
          <w:szCs w:val="32"/>
        </w:rPr>
      </w:pPr>
      <w:r>
        <w:rPr>
          <w:rFonts w:hint="eastAsia" w:ascii="楷体_GB2312" w:hAnsi="仿宋" w:eastAsia="楷体_GB2312" w:cs="楷体_GB2312"/>
          <w:kern w:val="0"/>
          <w:sz w:val="32"/>
          <w:szCs w:val="32"/>
        </w:rPr>
        <w:t>住房保障支出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住房改革支出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住房公积金（</w:t>
      </w:r>
      <w:r>
        <w:rPr>
          <w:rFonts w:ascii="楷体_GB2312" w:hAnsi="仿宋" w:eastAsia="楷体_GB2312" w:cs="楷体_GB2312"/>
          <w:kern w:val="0"/>
          <w:sz w:val="32"/>
          <w:szCs w:val="32"/>
        </w:rPr>
        <w:t>2210201</w:t>
      </w:r>
      <w:r>
        <w:rPr>
          <w:rFonts w:hint="eastAsia" w:ascii="楷体_GB2312" w:hAnsi="仿宋" w:eastAsia="楷体_GB2312" w:cs="楷体_GB2312"/>
          <w:kern w:val="0"/>
          <w:sz w:val="32"/>
          <w:szCs w:val="32"/>
        </w:rPr>
        <w:t>）16.85万元主要用于在职人员住房公积金缴交；</w:t>
      </w:r>
    </w:p>
    <w:p>
      <w:pPr>
        <w:widowControl/>
        <w:spacing w:line="560" w:lineRule="exact"/>
        <w:ind w:firstLine="640" w:firstLineChars="200"/>
        <w:jc w:val="left"/>
        <w:rPr>
          <w:rFonts w:eastAsia="仿宋_GB2312"/>
          <w:kern w:val="0"/>
          <w:sz w:val="32"/>
          <w:szCs w:val="32"/>
        </w:rPr>
      </w:pPr>
      <w:r>
        <w:rPr>
          <w:rFonts w:hint="eastAsia" w:ascii="楷体_GB2312" w:hAnsi="仿宋" w:eastAsia="楷体_GB2312" w:cs="楷体_GB2312"/>
          <w:kern w:val="0"/>
          <w:sz w:val="32"/>
          <w:szCs w:val="32"/>
        </w:rPr>
        <w:t>住房保障支出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住房改革支出</w:t>
      </w:r>
      <w:r>
        <w:rPr>
          <w:rFonts w:ascii="楷体_GB2312" w:hAnsi="仿宋" w:eastAsia="楷体_GB2312" w:cs="楷体_GB2312"/>
          <w:kern w:val="0"/>
          <w:sz w:val="32"/>
          <w:szCs w:val="32"/>
        </w:rPr>
        <w:t>—</w:t>
      </w:r>
      <w:r>
        <w:rPr>
          <w:rFonts w:hint="eastAsia" w:ascii="楷体_GB2312" w:hAnsi="仿宋" w:eastAsia="楷体_GB2312" w:cs="楷体_GB2312"/>
          <w:kern w:val="0"/>
          <w:sz w:val="32"/>
          <w:szCs w:val="32"/>
        </w:rPr>
        <w:t>住房补贴（</w:t>
      </w:r>
      <w:r>
        <w:rPr>
          <w:rFonts w:ascii="楷体_GB2312" w:hAnsi="仿宋" w:eastAsia="楷体_GB2312" w:cs="楷体_GB2312"/>
          <w:kern w:val="0"/>
          <w:sz w:val="32"/>
          <w:szCs w:val="32"/>
        </w:rPr>
        <w:t>2210203</w:t>
      </w:r>
      <w:r>
        <w:rPr>
          <w:rFonts w:hint="eastAsia" w:ascii="楷体_GB2312" w:hAnsi="仿宋" w:eastAsia="楷体_GB2312" w:cs="楷体_GB2312"/>
          <w:kern w:val="0"/>
          <w:sz w:val="32"/>
          <w:szCs w:val="32"/>
        </w:rPr>
        <w:t>）1.67万元主要用于在职人员住房补贴。</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（二）本级财力支出按经济科目分类情况</w:t>
      </w:r>
    </w:p>
    <w:p>
      <w:pPr>
        <w:widowControl/>
        <w:spacing w:line="560" w:lineRule="exact"/>
        <w:ind w:firstLine="640" w:firstLineChars="200"/>
        <w:jc w:val="left"/>
        <w:rPr>
          <w:rFonts w:ascii="楷体_GB2312" w:hAnsi="仿宋" w:eastAsia="楷体_GB2312" w:cs="楷体_GB2312"/>
          <w:kern w:val="0"/>
          <w:sz w:val="32"/>
          <w:szCs w:val="32"/>
        </w:rPr>
      </w:pPr>
      <w:r>
        <w:rPr>
          <w:rFonts w:hint="eastAsia" w:ascii="楷体_GB2312" w:eastAsia="楷体_GB2312" w:cs="楷体_GB2312"/>
          <w:kern w:val="0"/>
          <w:sz w:val="32"/>
          <w:szCs w:val="32"/>
        </w:rPr>
        <w:t>按经济科目分类说明（其中：基本支出531.75万元，项目支出30.51万元）。</w:t>
      </w:r>
      <w:r>
        <w:rPr>
          <w:rFonts w:hint="eastAsia" w:ascii="楷体_GB2312" w:hAnsi="仿宋" w:eastAsia="楷体_GB2312" w:cs="楷体_GB2312"/>
          <w:kern w:val="0"/>
          <w:sz w:val="32"/>
          <w:szCs w:val="32"/>
        </w:rPr>
        <w:t>基本支出531.75万元，其中工资福利支出248.66万元（基本工资48.34万元、津贴补贴59.07万元，住房公积金16.85万元，奖金63.72万元、绩效工资26.61万元、社会保障性支出29.66万元、其他工资福利支出4.42万元；商品服务支出275.69万元（办公费12.23万元、印刷费3万元、水费</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5</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万元、电费2.00万元、邮电费1.30万元、差旅费7.60万元、维修（护）费1.6万元、租赁费52万元、会议费5.20万元、培训费11.</w:t>
      </w:r>
      <w:r>
        <w:rPr>
          <w:rFonts w:ascii="楷体_GB2312" w:hAnsi="仿宋" w:eastAsia="楷体_GB2312" w:cs="楷体_GB2312"/>
          <w:kern w:val="0"/>
          <w:sz w:val="32"/>
          <w:szCs w:val="32"/>
        </w:rPr>
        <w:t>00</w:t>
      </w:r>
      <w:r>
        <w:rPr>
          <w:rFonts w:hint="eastAsia" w:ascii="楷体_GB2312" w:hAnsi="仿宋" w:eastAsia="楷体_GB2312" w:cs="楷体_GB2312"/>
          <w:kern w:val="0"/>
          <w:sz w:val="32"/>
          <w:szCs w:val="32"/>
        </w:rPr>
        <w:t>万元、公务接待费</w:t>
      </w:r>
      <w:r>
        <w:rPr>
          <w:rFonts w:ascii="楷体_GB2312" w:hAnsi="仿宋" w:eastAsia="楷体_GB2312" w:cs="楷体_GB2312"/>
          <w:kern w:val="0"/>
          <w:sz w:val="32"/>
          <w:szCs w:val="32"/>
        </w:rPr>
        <w:t>3</w:t>
      </w:r>
      <w:r>
        <w:rPr>
          <w:rFonts w:hint="eastAsia" w:ascii="楷体_GB2312" w:hAnsi="仿宋" w:eastAsia="楷体_GB2312" w:cs="楷体_GB2312"/>
          <w:kern w:val="0"/>
          <w:sz w:val="32"/>
          <w:szCs w:val="32"/>
        </w:rPr>
        <w:t>.7</w:t>
      </w:r>
      <w:r>
        <w:rPr>
          <w:rFonts w:ascii="楷体_GB2312" w:hAnsi="仿宋" w:eastAsia="楷体_GB2312" w:cs="楷体_GB2312"/>
          <w:kern w:val="0"/>
          <w:sz w:val="32"/>
          <w:szCs w:val="32"/>
        </w:rPr>
        <w:t>0</w:t>
      </w:r>
      <w:r>
        <w:rPr>
          <w:rFonts w:hint="eastAsia" w:ascii="楷体_GB2312" w:hAnsi="仿宋" w:eastAsia="楷体_GB2312" w:cs="楷体_GB2312"/>
          <w:kern w:val="0"/>
          <w:sz w:val="32"/>
          <w:szCs w:val="32"/>
        </w:rPr>
        <w:t>万元、劳务费122.37万元、工会经费3.19万元、福利费</w:t>
      </w:r>
      <w:r>
        <w:rPr>
          <w:rFonts w:ascii="楷体_GB2312" w:hAnsi="仿宋" w:eastAsia="楷体_GB2312" w:cs="楷体_GB2312"/>
          <w:kern w:val="0"/>
          <w:sz w:val="32"/>
          <w:szCs w:val="32"/>
        </w:rPr>
        <w:t>3.</w:t>
      </w:r>
      <w:r>
        <w:rPr>
          <w:rFonts w:hint="eastAsia" w:ascii="楷体_GB2312" w:hAnsi="仿宋" w:eastAsia="楷体_GB2312" w:cs="楷体_GB2312"/>
          <w:kern w:val="0"/>
          <w:sz w:val="32"/>
          <w:szCs w:val="32"/>
        </w:rPr>
        <w:t>19万元、公务用车运行维护费</w:t>
      </w:r>
      <w:r>
        <w:rPr>
          <w:rFonts w:ascii="楷体_GB2312" w:hAnsi="仿宋" w:eastAsia="楷体_GB2312" w:cs="楷体_GB2312"/>
          <w:kern w:val="0"/>
          <w:sz w:val="32"/>
          <w:szCs w:val="32"/>
        </w:rPr>
        <w:t>2.</w:t>
      </w:r>
      <w:r>
        <w:rPr>
          <w:rFonts w:hint="eastAsia" w:ascii="楷体_GB2312" w:hAnsi="仿宋" w:eastAsia="楷体_GB2312" w:cs="楷体_GB2312"/>
          <w:kern w:val="0"/>
          <w:sz w:val="32"/>
          <w:szCs w:val="32"/>
        </w:rPr>
        <w:t>81万元、其他交通费用11.50万元、其他商品和服务支32.50万元；对个人和家庭的补助0.87万元（抚恤金0.87万元）；资本性支出6.52万元。</w:t>
      </w:r>
    </w:p>
    <w:p>
      <w:pPr>
        <w:widowControl/>
        <w:spacing w:line="560" w:lineRule="exact"/>
        <w:ind w:firstLine="640" w:firstLineChars="200"/>
        <w:jc w:val="left"/>
        <w:rPr>
          <w:rFonts w:eastAsia="仿宋_GB2312"/>
          <w:kern w:val="0"/>
          <w:sz w:val="32"/>
          <w:szCs w:val="32"/>
        </w:rPr>
      </w:pPr>
      <w:r>
        <w:rPr>
          <w:rFonts w:hint="eastAsia" w:ascii="楷体_GB2312" w:hAnsi="仿宋" w:eastAsia="楷体_GB2312" w:cs="楷体_GB2312"/>
          <w:kern w:val="0"/>
          <w:sz w:val="32"/>
          <w:szCs w:val="32"/>
        </w:rPr>
        <w:t>项目支出30.51万元，其中办公费19.01万元、租赁费7.00万元、委托业务费4.50万元。</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（三）本级财力安排列支本级项目情况</w:t>
      </w:r>
    </w:p>
    <w:p>
      <w:pPr>
        <w:widowControl/>
        <w:spacing w:line="560" w:lineRule="exact"/>
        <w:ind w:firstLine="480" w:firstLineChars="150"/>
        <w:jc w:val="left"/>
        <w:rPr>
          <w:rFonts w:ascii="楷体_GB2312" w:eastAsia="楷体_GB2312"/>
          <w:kern w:val="0"/>
          <w:sz w:val="32"/>
          <w:szCs w:val="32"/>
        </w:rPr>
      </w:pPr>
      <w:r>
        <w:rPr>
          <w:rFonts w:hint="eastAsia" w:ascii="楷体_GB2312" w:hAnsi="仿宋" w:eastAsia="楷体_GB2312" w:cs="楷体_GB2312"/>
          <w:kern w:val="0"/>
          <w:sz w:val="32"/>
          <w:szCs w:val="32"/>
        </w:rPr>
        <w:t>项目支出30.51万元，其中行政执法培训项目经费30.51万元，其中办公费19.01万元、租赁费7.00万元、委托业务费4.50万元。</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四</w:t>
      </w:r>
      <w:r>
        <w:rPr>
          <w:rFonts w:ascii="黑体" w:hAnsi="黑体" w:eastAsia="黑体"/>
          <w:kern w:val="0"/>
          <w:sz w:val="32"/>
          <w:szCs w:val="32"/>
        </w:rPr>
        <w:t>、</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年市</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r>
        <w:rPr>
          <w:rFonts w:hint="eastAsia" w:ascii="黑体" w:hAnsi="黑体" w:eastAsia="黑体"/>
          <w:kern w:val="0"/>
          <w:sz w:val="32"/>
          <w:szCs w:val="32"/>
        </w:rPr>
        <w:t>说明</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（一）列入市对下专项转移支付项目清单情况</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部门列入市对下专项转移支付项目清单为：0项目，金额0万元。</w:t>
      </w:r>
    </w:p>
    <w:p>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（二）与中央、省配套事项</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无</w:t>
      </w:r>
      <w:r>
        <w:rPr>
          <w:rFonts w:hint="eastAsia" w:ascii="楷体_GB2312" w:eastAsia="楷体_GB2312"/>
          <w:kern w:val="0"/>
          <w:sz w:val="32"/>
          <w:szCs w:val="32"/>
        </w:rPr>
        <w:t>与中央、省配套事项</w:t>
      </w:r>
      <w:r>
        <w:rPr>
          <w:rFonts w:hint="eastAsia" w:eastAsia="仿宋_GB2312"/>
          <w:kern w:val="0"/>
          <w:sz w:val="32"/>
          <w:szCs w:val="32"/>
        </w:rPr>
        <w:t>。</w:t>
      </w:r>
    </w:p>
    <w:p>
      <w:pPr>
        <w:widowControl/>
        <w:spacing w:line="560" w:lineRule="exact"/>
        <w:ind w:firstLine="642" w:firstLineChars="200"/>
        <w:jc w:val="left"/>
        <w:rPr>
          <w:rFonts w:eastAsia="仿宋_GB2312"/>
          <w:b/>
          <w:kern w:val="0"/>
          <w:sz w:val="32"/>
          <w:szCs w:val="32"/>
        </w:rPr>
      </w:pPr>
      <w:r>
        <w:rPr>
          <w:rFonts w:hint="eastAsia" w:eastAsia="仿宋_GB2312"/>
          <w:b/>
          <w:kern w:val="0"/>
          <w:sz w:val="32"/>
          <w:szCs w:val="32"/>
        </w:rPr>
        <w:t>（</w:t>
      </w:r>
      <w:r>
        <w:rPr>
          <w:rFonts w:hint="eastAsia" w:ascii="楷体_GB2312" w:eastAsia="楷体_GB2312"/>
          <w:kern w:val="0"/>
          <w:sz w:val="32"/>
          <w:szCs w:val="32"/>
        </w:rPr>
        <w:t>三）按既定政策标准测算补助事项</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无</w:t>
      </w:r>
      <w:r>
        <w:rPr>
          <w:rFonts w:hint="eastAsia" w:ascii="楷体_GB2312" w:eastAsia="楷体_GB2312"/>
          <w:kern w:val="0"/>
          <w:sz w:val="32"/>
          <w:szCs w:val="32"/>
        </w:rPr>
        <w:t>按既定政策标准测算补助事项</w:t>
      </w:r>
      <w:r>
        <w:rPr>
          <w:rFonts w:hint="eastAsia" w:eastAsia="仿宋_GB2312"/>
          <w:kern w:val="0"/>
          <w:sz w:val="32"/>
          <w:szCs w:val="32"/>
        </w:rPr>
        <w:t>。</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年政府性基金预算情况说明</w:t>
      </w:r>
    </w:p>
    <w:p>
      <w:pPr>
        <w:widowControl/>
        <w:spacing w:line="560" w:lineRule="exact"/>
        <w:ind w:firstLine="640"/>
        <w:jc w:val="left"/>
        <w:rPr>
          <w:rFonts w:ascii="黑体" w:hAnsi="黑体" w:eastAsia="黑体"/>
          <w:kern w:val="0"/>
          <w:sz w:val="32"/>
          <w:szCs w:val="32"/>
        </w:rPr>
      </w:pPr>
      <w:r>
        <w:rPr>
          <w:rFonts w:hint="eastAsia" w:ascii="楷体_GB2312" w:hAnsi="黑体" w:eastAsia="楷体_GB2312" w:cs="楷体_GB2312"/>
          <w:kern w:val="0"/>
          <w:sz w:val="32"/>
          <w:szCs w:val="32"/>
        </w:rPr>
        <w:t>无政府性基金预算。</w:t>
      </w:r>
    </w:p>
    <w:p>
      <w:pPr>
        <w:widowControl/>
        <w:numPr>
          <w:ilvl w:val="255"/>
          <w:numId w:val="0"/>
        </w:num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六、关于玉溪市人民政府法制办公室</w:t>
      </w:r>
      <w:r>
        <w:rPr>
          <w:rFonts w:ascii="黑体" w:hAnsi="黑体" w:eastAsia="黑体"/>
          <w:kern w:val="0"/>
          <w:sz w:val="32"/>
          <w:szCs w:val="32"/>
        </w:rPr>
        <w:t>2019</w:t>
      </w:r>
      <w:r>
        <w:rPr>
          <w:rFonts w:hint="eastAsia" w:ascii="黑体" w:hAnsi="黑体" w:eastAsia="黑体"/>
          <w:kern w:val="0"/>
          <w:sz w:val="32"/>
          <w:szCs w:val="32"/>
        </w:rPr>
        <w:t>年“三公经费”预算情况说明</w:t>
      </w:r>
    </w:p>
    <w:p>
      <w:pPr>
        <w:ind w:firstLine="640" w:firstLineChars="200"/>
        <w:rPr>
          <w:rFonts w:ascii="楷体_GB2312" w:eastAsia="楷体_GB2312"/>
          <w:sz w:val="32"/>
        </w:rPr>
      </w:pPr>
      <w:r>
        <w:rPr>
          <w:rFonts w:hint="eastAsia" w:ascii="楷体_GB2312" w:eastAsia="楷体_GB2312"/>
          <w:sz w:val="32"/>
        </w:rPr>
        <w:t>2019年“三公”经费预算合计5.95万元。其中：（1）因公出国（境）费用0万元；（2）公务接待费3.14万元；（3）公务用车购置及运行费2.81万元。其中，公务用车运行费2.81万元，公务用车购置0万元。</w:t>
      </w:r>
    </w:p>
    <w:p>
      <w:pPr>
        <w:ind w:firstLine="640" w:firstLineChars="200"/>
        <w:rPr>
          <w:rFonts w:ascii="楷体_GB2312" w:eastAsia="楷体_GB2312"/>
          <w:sz w:val="32"/>
        </w:rPr>
      </w:pPr>
      <w:r>
        <w:rPr>
          <w:rFonts w:hint="eastAsia" w:ascii="楷体_GB2312" w:eastAsia="楷体_GB2312"/>
          <w:sz w:val="32"/>
        </w:rPr>
        <w:t>与2018年“三公”经费预算合计5.71万元比增加0.24万元，增长4.2%。其中：（1）因公出国（境）费用0万元，增减0元，增长0%；（2）公务接待费2.90万元，增加0.24万元，增长8.28%；（3）公务用车购置及运行费2.81万元，增减0元，增长0%，其中，公务用车运行费2.81减少0元，增长0%，公务用车购置0万元，增减少0元，增长0%。</w:t>
      </w:r>
    </w:p>
    <w:p>
      <w:pPr>
        <w:widowControl/>
        <w:spacing w:line="560" w:lineRule="exact"/>
        <w:ind w:firstLine="600"/>
        <w:jc w:val="left"/>
        <w:rPr>
          <w:rFonts w:ascii="黑体" w:hAnsi="黑体" w:eastAsia="黑体"/>
          <w:kern w:val="0"/>
          <w:sz w:val="32"/>
          <w:szCs w:val="32"/>
        </w:rPr>
      </w:pPr>
      <w:r>
        <w:rPr>
          <w:rFonts w:hint="eastAsia" w:ascii="楷体_GB2312" w:eastAsia="楷体_GB2312"/>
          <w:kern w:val="0"/>
          <w:sz w:val="32"/>
          <w:szCs w:val="32"/>
        </w:rPr>
        <w:t>2019年</w:t>
      </w:r>
      <w:r>
        <w:rPr>
          <w:rFonts w:hint="eastAsia" w:ascii="楷体_GB2312" w:eastAsia="楷体_GB2312"/>
          <w:sz w:val="32"/>
        </w:rPr>
        <w:t>“三公”经费预算数比上年增加0.24万元，为</w:t>
      </w:r>
      <w:r>
        <w:rPr>
          <w:rFonts w:hint="eastAsia" w:eastAsia="仿宋_GB2312"/>
          <w:kern w:val="0"/>
          <w:sz w:val="32"/>
          <w:szCs w:val="32"/>
        </w:rPr>
        <w:t>新增二级预算单位玉溪仲裁委员会秘书处增加</w:t>
      </w:r>
      <w:r>
        <w:rPr>
          <w:rFonts w:hint="eastAsia" w:ascii="楷体_GB2312" w:eastAsia="楷体_GB2312"/>
          <w:kern w:val="0"/>
          <w:sz w:val="32"/>
          <w:szCs w:val="32"/>
        </w:rPr>
        <w:t>。</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七</w:t>
      </w:r>
      <w:r>
        <w:rPr>
          <w:rFonts w:ascii="黑体" w:hAnsi="黑体" w:eastAsia="黑体"/>
          <w:kern w:val="0"/>
          <w:sz w:val="32"/>
          <w:szCs w:val="32"/>
        </w:rPr>
        <w:t>、</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w:t>
      </w:r>
      <w:r>
        <w:rPr>
          <w:rFonts w:ascii="黑体" w:hAnsi="黑体" w:eastAsia="黑体"/>
          <w:kern w:val="0"/>
          <w:sz w:val="32"/>
          <w:szCs w:val="32"/>
        </w:rPr>
        <w:t>基本支出预算</w:t>
      </w:r>
      <w:r>
        <w:rPr>
          <w:rFonts w:hint="eastAsia" w:ascii="黑体" w:hAnsi="黑体" w:eastAsia="黑体"/>
          <w:kern w:val="0"/>
          <w:sz w:val="32"/>
          <w:szCs w:val="32"/>
        </w:rPr>
        <w:t>收支增减变化情况说明</w:t>
      </w:r>
    </w:p>
    <w:tbl>
      <w:tblPr>
        <w:tblStyle w:val="9"/>
        <w:tblW w:w="9117" w:type="dxa"/>
        <w:tblInd w:w="0" w:type="dxa"/>
        <w:tblLayout w:type="fixed"/>
        <w:tblCellMar>
          <w:top w:w="0" w:type="dxa"/>
          <w:left w:w="108" w:type="dxa"/>
          <w:bottom w:w="0" w:type="dxa"/>
          <w:right w:w="108" w:type="dxa"/>
        </w:tblCellMar>
      </w:tblPr>
      <w:tblGrid>
        <w:gridCol w:w="1265"/>
        <w:gridCol w:w="1110"/>
        <w:gridCol w:w="852"/>
        <w:gridCol w:w="992"/>
        <w:gridCol w:w="1419"/>
        <w:gridCol w:w="3479"/>
      </w:tblGrid>
      <w:tr>
        <w:trPr>
          <w:trHeight w:val="270" w:hRule="atLeast"/>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基本支出项目</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2018年</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2019年</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增减</w:t>
            </w:r>
          </w:p>
        </w:tc>
        <w:tc>
          <w:tcPr>
            <w:tcW w:w="14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增减比例</w:t>
            </w:r>
          </w:p>
        </w:tc>
        <w:tc>
          <w:tcPr>
            <w:tcW w:w="34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增减原因</w:t>
            </w:r>
          </w:p>
        </w:tc>
      </w:tr>
      <w:tr>
        <w:trPr>
          <w:trHeight w:val="270"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111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323.74</w:t>
            </w:r>
          </w:p>
        </w:tc>
        <w:tc>
          <w:tcPr>
            <w:tcW w:w="85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-323.740 </w:t>
            </w:r>
          </w:p>
        </w:tc>
        <w:tc>
          <w:tcPr>
            <w:tcW w:w="1419"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100.00%</w:t>
            </w:r>
          </w:p>
        </w:tc>
        <w:tc>
          <w:tcPr>
            <w:tcW w:w="34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功能科目调整增加</w:t>
            </w:r>
          </w:p>
        </w:tc>
      </w:tr>
      <w:tr>
        <w:trPr>
          <w:trHeight w:val="270"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111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5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514.08</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514.080 </w:t>
            </w:r>
          </w:p>
        </w:tc>
        <w:tc>
          <w:tcPr>
            <w:tcW w:w="1419"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-100.00%</w:t>
            </w:r>
          </w:p>
        </w:tc>
        <w:tc>
          <w:tcPr>
            <w:tcW w:w="34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功能科目调整减少</w:t>
            </w:r>
          </w:p>
        </w:tc>
      </w:tr>
      <w:tr>
        <w:trPr>
          <w:trHeight w:val="270"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111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18.44</w:t>
            </w:r>
          </w:p>
        </w:tc>
        <w:tc>
          <w:tcPr>
            <w:tcW w:w="85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14.86</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-3.580 </w:t>
            </w:r>
          </w:p>
        </w:tc>
        <w:tc>
          <w:tcPr>
            <w:tcW w:w="1419"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-19.41%</w:t>
            </w:r>
          </w:p>
        </w:tc>
        <w:tc>
          <w:tcPr>
            <w:tcW w:w="34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基数调整及新增二级预算单位玉溪仲裁委员会秘书处3人</w:t>
            </w:r>
          </w:p>
        </w:tc>
      </w:tr>
      <w:tr>
        <w:trPr>
          <w:trHeight w:val="270"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十、卫生健康支出</w:t>
            </w:r>
          </w:p>
        </w:tc>
        <w:tc>
          <w:tcPr>
            <w:tcW w:w="111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11.76</w:t>
            </w:r>
          </w:p>
        </w:tc>
        <w:tc>
          <w:tcPr>
            <w:tcW w:w="85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14.80</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3.040 </w:t>
            </w:r>
          </w:p>
        </w:tc>
        <w:tc>
          <w:tcPr>
            <w:tcW w:w="1419"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25.85%</w:t>
            </w:r>
          </w:p>
        </w:tc>
        <w:tc>
          <w:tcPr>
            <w:tcW w:w="34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新增二级预算单位玉溪仲裁委员会秘书处3人</w:t>
            </w:r>
          </w:p>
        </w:tc>
      </w:tr>
      <w:tr>
        <w:trPr>
          <w:trHeight w:val="270"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二十一、住房保障支出</w:t>
            </w:r>
          </w:p>
        </w:tc>
        <w:tc>
          <w:tcPr>
            <w:tcW w:w="111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15.96</w:t>
            </w:r>
          </w:p>
        </w:tc>
        <w:tc>
          <w:tcPr>
            <w:tcW w:w="85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18.52</w:t>
            </w:r>
          </w:p>
        </w:tc>
        <w:tc>
          <w:tcPr>
            <w:tcW w:w="992"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2.560 </w:t>
            </w:r>
          </w:p>
        </w:tc>
        <w:tc>
          <w:tcPr>
            <w:tcW w:w="1419"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16.04%</w:t>
            </w:r>
          </w:p>
        </w:tc>
        <w:tc>
          <w:tcPr>
            <w:tcW w:w="34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新增二级预算单位玉溪仲裁委员会秘书处3人</w:t>
            </w:r>
          </w:p>
        </w:tc>
      </w:tr>
    </w:tbl>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八</w:t>
      </w:r>
      <w:r>
        <w:rPr>
          <w:rFonts w:ascii="黑体" w:hAnsi="黑体" w:eastAsia="黑体"/>
          <w:kern w:val="0"/>
          <w:sz w:val="32"/>
          <w:szCs w:val="32"/>
        </w:rPr>
        <w:t>、</w:t>
      </w:r>
      <w:r>
        <w:rPr>
          <w:rFonts w:hint="eastAsia" w:ascii="黑体" w:hAnsi="黑体" w:eastAsia="黑体"/>
          <w:kern w:val="0"/>
          <w:sz w:val="32"/>
          <w:szCs w:val="32"/>
        </w:rPr>
        <w:t>关于玉溪市人民政府法制办公室</w:t>
      </w:r>
      <w:r>
        <w:rPr>
          <w:rFonts w:ascii="黑体" w:hAnsi="黑体" w:eastAsia="黑体"/>
          <w:kern w:val="0"/>
          <w:sz w:val="32"/>
          <w:szCs w:val="32"/>
        </w:rPr>
        <w:t>2019</w:t>
      </w:r>
      <w:r>
        <w:rPr>
          <w:rFonts w:hint="eastAsia" w:ascii="黑体" w:hAnsi="黑体" w:eastAsia="黑体"/>
          <w:kern w:val="0"/>
          <w:sz w:val="32"/>
          <w:szCs w:val="32"/>
        </w:rPr>
        <w:t>年</w:t>
      </w:r>
      <w:r>
        <w:rPr>
          <w:rFonts w:ascii="黑体" w:hAnsi="黑体" w:eastAsia="黑体"/>
          <w:kern w:val="0"/>
          <w:sz w:val="32"/>
          <w:szCs w:val="32"/>
        </w:rPr>
        <w:t>项目支出预算</w:t>
      </w:r>
      <w:r>
        <w:rPr>
          <w:rFonts w:hint="eastAsia" w:ascii="黑体" w:hAnsi="黑体" w:eastAsia="黑体"/>
          <w:kern w:val="0"/>
          <w:sz w:val="32"/>
          <w:szCs w:val="32"/>
        </w:rPr>
        <w:t>收支增减变化情况说明</w:t>
      </w:r>
    </w:p>
    <w:p>
      <w:pPr>
        <w:widowControl/>
        <w:spacing w:line="560" w:lineRule="exact"/>
        <w:ind w:firstLine="640" w:firstLineChars="200"/>
        <w:jc w:val="left"/>
        <w:rPr>
          <w:rFonts w:eastAsia="仿宋_GB2312"/>
          <w:color w:val="000000" w:themeColor="text1"/>
          <w:kern w:val="0"/>
          <w:sz w:val="32"/>
          <w:szCs w:val="32"/>
        </w:rPr>
      </w:pPr>
      <w:r>
        <w:rPr>
          <w:rFonts w:hint="eastAsia" w:eastAsia="仿宋_GB2312"/>
          <w:color w:val="000000" w:themeColor="text1"/>
          <w:kern w:val="0"/>
          <w:sz w:val="32"/>
          <w:szCs w:val="32"/>
        </w:rPr>
        <w:t>行政执法培训经费本年预算30.51万元，上年200万元，减少169.49万元，减少84.75%，主要是2019年不再统一组织到市委党校培训，改为组织开展网上执法培训考试，所以行政执法培训经费减少。</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九、关于玉溪市人民政府法制办公室</w:t>
      </w:r>
      <w:r>
        <w:rPr>
          <w:rFonts w:ascii="黑体" w:hAnsi="黑体" w:eastAsia="黑体"/>
          <w:kern w:val="0"/>
          <w:sz w:val="32"/>
          <w:szCs w:val="32"/>
        </w:rPr>
        <w:t>2019</w:t>
      </w:r>
      <w:r>
        <w:rPr>
          <w:rFonts w:hint="eastAsia" w:ascii="黑体" w:hAnsi="黑体" w:eastAsia="黑体"/>
          <w:kern w:val="0"/>
          <w:sz w:val="32"/>
          <w:szCs w:val="32"/>
        </w:rPr>
        <w:t>年项目预算绩效情况说明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为贯彻落实党的十九大关于“全面实施绩效管理”的战略部署，提高财政资源配置效率和使用效益，根据《玉溪市市级财政预算绩效目标管理暂行办法》（玉财债[2016]25号）要求，</w:t>
      </w:r>
      <w:r>
        <w:rPr>
          <w:rFonts w:hint="eastAsia" w:ascii="方正仿宋_GBK" w:hAnsi="方正仿宋_GBK" w:eastAsia="方正仿宋_GBK" w:cs="方正仿宋_GBK"/>
          <w:kern w:val="0"/>
          <w:sz w:val="32"/>
          <w:szCs w:val="32"/>
        </w:rPr>
        <w:t>玉溪市人民政府法制办公室</w:t>
      </w:r>
      <w:r>
        <w:rPr>
          <w:rFonts w:hint="eastAsia" w:eastAsia="仿宋_GB2312"/>
          <w:kern w:val="0"/>
          <w:sz w:val="32"/>
          <w:szCs w:val="32"/>
        </w:rPr>
        <w:t>2018年实行绩效目标管理一级项目1个，二级项目0个，涉及一般公共预算当年拨款200万元；纳入绩效评价试点的一级项目1个，涉及一般公共预算当年拨款200万元；纳入绩效评价试点的二级项目0个，涉及一般公共预算当年拨款0万元。2019年实行绩效目标管理一级项目1个，二级项目0个，涉及一般公共预算当年拨款30.51万元；纳入绩效评价试点的一级项目1个，涉及一般公共预算当年拨款30.51万元；纳入绩效评价试点的二级项目0个，涉及一般公共预算当年拨款0万元。</w:t>
      </w:r>
      <w:r>
        <w:rPr>
          <w:rFonts w:eastAsia="仿宋_GB2312"/>
          <w:kern w:val="0"/>
          <w:sz w:val="32"/>
          <w:szCs w:val="32"/>
        </w:rPr>
        <w:t>201</w:t>
      </w:r>
      <w:r>
        <w:rPr>
          <w:rFonts w:hint="eastAsia" w:eastAsia="仿宋_GB2312"/>
          <w:kern w:val="0"/>
          <w:sz w:val="32"/>
          <w:szCs w:val="32"/>
        </w:rPr>
        <w:t>9年与</w:t>
      </w:r>
      <w:r>
        <w:rPr>
          <w:rFonts w:eastAsia="仿宋_GB2312"/>
          <w:kern w:val="0"/>
          <w:sz w:val="32"/>
          <w:szCs w:val="32"/>
        </w:rPr>
        <w:t>201</w:t>
      </w:r>
      <w:r>
        <w:rPr>
          <w:rFonts w:hint="eastAsia" w:eastAsia="仿宋_GB2312"/>
          <w:kern w:val="0"/>
          <w:sz w:val="32"/>
          <w:szCs w:val="32"/>
        </w:rPr>
        <w:t>8年相比增减0个。</w:t>
      </w:r>
    </w:p>
    <w:p>
      <w:pPr>
        <w:widowControl/>
        <w:tabs>
          <w:tab w:val="left" w:pos="5745"/>
        </w:tabs>
        <w:spacing w:line="560" w:lineRule="exact"/>
        <w:ind w:firstLine="640" w:firstLineChars="200"/>
        <w:jc w:val="left"/>
        <w:rPr>
          <w:rFonts w:eastAsia="仿宋_GB2312"/>
          <w:kern w:val="0"/>
          <w:sz w:val="32"/>
          <w:szCs w:val="32"/>
        </w:rPr>
      </w:pPr>
      <w:r>
        <w:rPr>
          <w:rFonts w:hint="eastAsia" w:eastAsia="仿宋_GB2312"/>
          <w:kern w:val="0"/>
          <w:sz w:val="32"/>
          <w:szCs w:val="32"/>
        </w:rPr>
        <w:t>项目绩效预期达到的效果：行政执法人员持证上岗，有效推动全社会支持行政执法机关依法履职的氛围，提高了行政执法权威，健全了行政执法主体及人员管理制度。市级行政执法人员行政执法证件管理系统和行政执法人员网上考试系统由市法制办组织实施，县级行政执法人员行政执法证件管理系统和行政执法人员网上考试系统由县区法制办组织实施。</w:t>
      </w:r>
    </w:p>
    <w:p>
      <w:pPr>
        <w:widowControl/>
        <w:tabs>
          <w:tab w:val="left" w:pos="5745"/>
        </w:tabs>
        <w:spacing w:line="560" w:lineRule="exact"/>
        <w:ind w:firstLine="642" w:firstLineChars="200"/>
        <w:jc w:val="left"/>
        <w:rPr>
          <w:rFonts w:ascii="黑体" w:hAnsi="黑体" w:eastAsia="黑体"/>
          <w:kern w:val="0"/>
          <w:sz w:val="32"/>
          <w:szCs w:val="32"/>
        </w:rPr>
      </w:pPr>
      <w:r>
        <w:rPr>
          <w:rFonts w:hint="eastAsia" w:eastAsia="仿宋_GB2312"/>
          <w:b/>
          <w:kern w:val="0"/>
          <w:sz w:val="32"/>
          <w:szCs w:val="32"/>
        </w:rPr>
        <w:t>十、</w:t>
      </w:r>
      <w:r>
        <w:rPr>
          <w:rFonts w:hint="eastAsia" w:ascii="黑体" w:hAnsi="黑体" w:eastAsia="黑体"/>
          <w:kern w:val="0"/>
          <w:sz w:val="32"/>
          <w:szCs w:val="32"/>
        </w:rPr>
        <w:t>2019-2021年度部门整体支出绩效目标情况说明</w:t>
      </w:r>
    </w:p>
    <w:p>
      <w:pPr>
        <w:widowControl/>
        <w:spacing w:line="560" w:lineRule="exact"/>
        <w:ind w:firstLine="600"/>
        <w:jc w:val="left"/>
        <w:rPr>
          <w:rFonts w:ascii="仿宋_GB2312" w:hAnsi="黑体" w:eastAsia="仿宋_GB2312"/>
          <w:kern w:val="0"/>
          <w:sz w:val="32"/>
          <w:szCs w:val="32"/>
        </w:rPr>
      </w:pPr>
      <w:r>
        <w:rPr>
          <w:rFonts w:hint="eastAsia" w:ascii="仿宋_GB2312" w:hAnsi="黑体" w:eastAsia="仿宋_GB2312"/>
          <w:kern w:val="0"/>
          <w:sz w:val="32"/>
          <w:szCs w:val="32"/>
        </w:rPr>
        <w:t>坚持以邓小平理论和“三个代表”重要思想为指导，认真贯彻落实党的十九大精神，深入学习贯彻落实科学发展观，加强自身建设，强化行政绩效，以落实市委、市政府下达的年度工作任务及我办年度工作计划为重点，深入推进绩效管理，增强绩效意识，改进管理方式，提升工作实效，确保法治政府建设各项工作任务圆满完成。在2019年-2021年期间 每年全省申领、换领《云南省行政执法证》的人员信息，由各级行政执法机关在“行政执法证件管理系统”提交申领、换领申请，经逐级审查合格后，省法制办安排网上考试时间。参考人员经考试合格后方可申领、换领《云南省行政执法证》。考试不合格人员须重新提交申请安排补考或延期提交申领、换领申请。严格实行执法人员经考试持证上岗和资格管理制度，对当年申领行政执法证件的执法人员全部实行网上考试。</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十一</w:t>
      </w:r>
      <w:r>
        <w:rPr>
          <w:rFonts w:ascii="黑体" w:hAnsi="黑体" w:eastAsia="黑体"/>
          <w:kern w:val="0"/>
          <w:sz w:val="32"/>
          <w:szCs w:val="32"/>
        </w:rPr>
        <w:t>、其他公开信息</w:t>
      </w:r>
    </w:p>
    <w:p>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（一）机关运行经费安排</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2018年我</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一般公用经费</w:t>
      </w:r>
      <w:r>
        <w:rPr>
          <w:rFonts w:hint="eastAsia" w:ascii="方正仿宋_GBK" w:hAnsi="方正仿宋_GBK" w:eastAsia="方正仿宋_GBK" w:cs="方正仿宋_GBK"/>
          <w:sz w:val="32"/>
          <w:szCs w:val="32"/>
          <w:lang w:val="en-US" w:eastAsia="zh-CN"/>
        </w:rPr>
        <w:t>16.57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2019年我</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一般公用经费</w:t>
      </w:r>
      <w:r>
        <w:rPr>
          <w:rFonts w:hint="eastAsia" w:ascii="方正仿宋_GBK" w:hAnsi="方正仿宋_GBK" w:eastAsia="方正仿宋_GBK" w:cs="方正仿宋_GBK"/>
          <w:sz w:val="32"/>
          <w:szCs w:val="32"/>
          <w:lang w:val="en-US" w:eastAsia="zh-CN"/>
        </w:rPr>
        <w:t>13.44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2019年比2018年公用经费增加3.13万元。</w:t>
      </w:r>
      <w:r>
        <w:rPr>
          <w:rFonts w:hint="eastAsia" w:ascii="方正仿宋_GBK" w:hAnsi="方正仿宋_GBK" w:eastAsia="方正仿宋_GBK" w:cs="方正仿宋_GBK"/>
          <w:sz w:val="32"/>
          <w:szCs w:val="32"/>
        </w:rPr>
        <w:t>2018年工作业务经费</w:t>
      </w:r>
      <w:r>
        <w:rPr>
          <w:rFonts w:hint="eastAsia" w:ascii="方正仿宋_GBK" w:hAnsi="方正仿宋_GBK" w:eastAsia="方正仿宋_GBK" w:cs="方正仿宋_GBK"/>
          <w:sz w:val="32"/>
          <w:szCs w:val="32"/>
          <w:lang w:val="en-US" w:eastAsia="zh-CN"/>
        </w:rPr>
        <w:t>66.5万元，</w:t>
      </w:r>
      <w:r>
        <w:rPr>
          <w:rFonts w:hint="eastAsia" w:ascii="方正仿宋_GBK" w:hAnsi="方正仿宋_GBK" w:eastAsia="方正仿宋_GBK" w:cs="方正仿宋_GBK"/>
          <w:sz w:val="32"/>
          <w:szCs w:val="32"/>
        </w:rPr>
        <w:t>2019年工作业务经费预算</w:t>
      </w:r>
      <w:r>
        <w:rPr>
          <w:rFonts w:hint="eastAsia" w:ascii="方正仿宋_GBK" w:hAnsi="方正仿宋_GBK" w:eastAsia="方正仿宋_GBK" w:cs="方正仿宋_GBK"/>
          <w:sz w:val="32"/>
          <w:szCs w:val="32"/>
          <w:lang w:val="en-US" w:eastAsia="zh-CN"/>
        </w:rPr>
        <w:t>71.5</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2019年</w:t>
      </w:r>
      <w:r>
        <w:rPr>
          <w:rFonts w:hint="eastAsia" w:ascii="方正仿宋_GBK" w:hAnsi="方正仿宋_GBK" w:eastAsia="方正仿宋_GBK" w:cs="方正仿宋_GBK"/>
          <w:sz w:val="32"/>
          <w:szCs w:val="32"/>
        </w:rPr>
        <w:t>工作业务经费</w:t>
      </w:r>
      <w:r>
        <w:rPr>
          <w:rFonts w:hint="eastAsia" w:ascii="方正仿宋_GBK" w:hAnsi="方正仿宋_GBK" w:eastAsia="方正仿宋_GBK" w:cs="方正仿宋_GBK"/>
          <w:sz w:val="32"/>
          <w:szCs w:val="32"/>
          <w:lang w:eastAsia="zh-CN"/>
        </w:rPr>
        <w:t>比</w:t>
      </w:r>
      <w:r>
        <w:rPr>
          <w:rFonts w:hint="eastAsia" w:ascii="方正仿宋_GBK" w:hAnsi="方正仿宋_GBK" w:eastAsia="方正仿宋_GBK" w:cs="方正仿宋_GBK"/>
          <w:sz w:val="32"/>
          <w:szCs w:val="32"/>
          <w:lang w:val="en-US" w:eastAsia="zh-CN"/>
        </w:rPr>
        <w:t>2018年增加5万元。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楷体_GB2312" w:eastAsia="楷体_GB2312"/>
          <w:kern w:val="0"/>
          <w:sz w:val="32"/>
          <w:szCs w:val="32"/>
        </w:rPr>
        <w:t>（</w:t>
      </w:r>
      <w:r>
        <w:rPr>
          <w:rFonts w:hint="eastAsia" w:ascii="楷体_GB2312" w:eastAsia="楷体_GB2312"/>
          <w:kern w:val="0"/>
          <w:sz w:val="32"/>
          <w:szCs w:val="32"/>
          <w:lang w:eastAsia="zh-CN"/>
        </w:rPr>
        <w:t>二</w:t>
      </w:r>
      <w:r>
        <w:rPr>
          <w:rFonts w:hint="eastAsia" w:ascii="楷体_GB2312" w:eastAsia="楷体_GB2312"/>
          <w:kern w:val="0"/>
          <w:sz w:val="32"/>
          <w:szCs w:val="32"/>
        </w:rPr>
        <w:t>）</w:t>
      </w:r>
      <w:r>
        <w:rPr>
          <w:rFonts w:hint="eastAsia" w:ascii="方正仿宋_GBK" w:hAnsi="方正仿宋_GBK" w:eastAsia="方正仿宋_GBK" w:cs="方正仿宋_GBK"/>
          <w:sz w:val="32"/>
          <w:szCs w:val="32"/>
        </w:rPr>
        <w:t>机关运行经费增</w:t>
      </w:r>
      <w:r>
        <w:rPr>
          <w:rFonts w:hint="eastAsia" w:ascii="方正仿宋_GBK" w:hAnsi="方正仿宋_GBK" w:eastAsia="方正仿宋_GBK" w:cs="方正仿宋_GBK"/>
          <w:sz w:val="32"/>
          <w:szCs w:val="32"/>
          <w:lang w:eastAsia="zh-CN"/>
        </w:rPr>
        <w:t>加的</w:t>
      </w:r>
      <w:r>
        <w:rPr>
          <w:rFonts w:hint="eastAsia" w:ascii="方正仿宋_GBK" w:hAnsi="方正仿宋_GBK" w:eastAsia="方正仿宋_GBK" w:cs="方正仿宋_GBK"/>
          <w:sz w:val="32"/>
          <w:szCs w:val="32"/>
        </w:rPr>
        <w:t>原因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2018年我</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一般公用经费</w:t>
      </w:r>
      <w:r>
        <w:rPr>
          <w:rFonts w:hint="eastAsia" w:ascii="方正仿宋_GBK" w:hAnsi="方正仿宋_GBK" w:eastAsia="方正仿宋_GBK" w:cs="方正仿宋_GBK"/>
          <w:sz w:val="32"/>
          <w:szCs w:val="32"/>
          <w:lang w:val="en-US" w:eastAsia="zh-CN"/>
        </w:rPr>
        <w:t>16.57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2019年我</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一般公用经费</w:t>
      </w:r>
      <w:r>
        <w:rPr>
          <w:rFonts w:hint="eastAsia" w:ascii="方正仿宋_GBK" w:hAnsi="方正仿宋_GBK" w:eastAsia="方正仿宋_GBK" w:cs="方正仿宋_GBK"/>
          <w:sz w:val="32"/>
          <w:szCs w:val="32"/>
          <w:lang w:val="en-US" w:eastAsia="zh-CN"/>
        </w:rPr>
        <w:t>13.44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2019年比2018年公用经费增加3.13万元，增加原因人员增减变动所致。</w:t>
      </w:r>
      <w:r>
        <w:rPr>
          <w:rFonts w:hint="eastAsia" w:ascii="方正仿宋_GBK" w:hAnsi="方正仿宋_GBK" w:eastAsia="方正仿宋_GBK" w:cs="方正仿宋_GBK"/>
          <w:sz w:val="32"/>
          <w:szCs w:val="32"/>
        </w:rPr>
        <w:t>2018年工作业务经费</w:t>
      </w:r>
      <w:r>
        <w:rPr>
          <w:rFonts w:hint="eastAsia" w:ascii="方正仿宋_GBK" w:hAnsi="方正仿宋_GBK" w:eastAsia="方正仿宋_GBK" w:cs="方正仿宋_GBK"/>
          <w:sz w:val="32"/>
          <w:szCs w:val="32"/>
          <w:lang w:val="en-US" w:eastAsia="zh-CN"/>
        </w:rPr>
        <w:t>66.5万元，</w:t>
      </w:r>
      <w:r>
        <w:rPr>
          <w:rFonts w:hint="eastAsia" w:ascii="方正仿宋_GBK" w:hAnsi="方正仿宋_GBK" w:eastAsia="方正仿宋_GBK" w:cs="方正仿宋_GBK"/>
          <w:sz w:val="32"/>
          <w:szCs w:val="32"/>
        </w:rPr>
        <w:t>2019年工作业务经费预算</w:t>
      </w:r>
      <w:r>
        <w:rPr>
          <w:rFonts w:hint="eastAsia" w:ascii="方正仿宋_GBK" w:hAnsi="方正仿宋_GBK" w:eastAsia="方正仿宋_GBK" w:cs="方正仿宋_GBK"/>
          <w:sz w:val="32"/>
          <w:szCs w:val="32"/>
          <w:lang w:val="en-US" w:eastAsia="zh-CN"/>
        </w:rPr>
        <w:t>71.5</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2019年</w:t>
      </w:r>
      <w:r>
        <w:rPr>
          <w:rFonts w:hint="eastAsia" w:ascii="方正仿宋_GBK" w:hAnsi="方正仿宋_GBK" w:eastAsia="方正仿宋_GBK" w:cs="方正仿宋_GBK"/>
          <w:sz w:val="32"/>
          <w:szCs w:val="32"/>
        </w:rPr>
        <w:t>工作业务经费</w:t>
      </w:r>
      <w:r>
        <w:rPr>
          <w:rFonts w:hint="eastAsia" w:ascii="方正仿宋_GBK" w:hAnsi="方正仿宋_GBK" w:eastAsia="方正仿宋_GBK" w:cs="方正仿宋_GBK"/>
          <w:sz w:val="32"/>
          <w:szCs w:val="32"/>
          <w:lang w:eastAsia="zh-CN"/>
        </w:rPr>
        <w:t>比</w:t>
      </w:r>
      <w:r>
        <w:rPr>
          <w:rFonts w:hint="eastAsia" w:ascii="方正仿宋_GBK" w:hAnsi="方正仿宋_GBK" w:eastAsia="方正仿宋_GBK" w:cs="方正仿宋_GBK"/>
          <w:sz w:val="32"/>
          <w:szCs w:val="32"/>
          <w:lang w:val="en-US" w:eastAsia="zh-CN"/>
        </w:rPr>
        <w:t>2018年增加5万元（增加市政府法律顾问费用），增加原因业务工作增加，所以费用增加。</w:t>
      </w:r>
    </w:p>
    <w:p>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w:t>
      </w:r>
      <w:r>
        <w:rPr>
          <w:rFonts w:hint="eastAsia" w:ascii="楷体_GB2312" w:eastAsia="楷体_GB2312"/>
          <w:kern w:val="0"/>
          <w:sz w:val="32"/>
          <w:szCs w:val="32"/>
          <w:lang w:eastAsia="zh-CN"/>
        </w:rPr>
        <w:t>三</w:t>
      </w:r>
      <w:r>
        <w:rPr>
          <w:rFonts w:hint="eastAsia" w:ascii="楷体_GB2312" w:eastAsia="楷体_GB2312"/>
          <w:kern w:val="0"/>
          <w:sz w:val="32"/>
          <w:szCs w:val="32"/>
        </w:rPr>
        <w:t>）国有资产占用情况</w:t>
      </w:r>
    </w:p>
    <w:p>
      <w:pPr>
        <w:spacing w:line="560" w:lineRule="exact"/>
        <w:ind w:firstLine="640" w:firstLineChars="200"/>
        <w:rPr>
          <w:rFonts w:eastAsia="仿宋_GB2312"/>
          <w:kern w:val="0"/>
          <w:sz w:val="32"/>
          <w:szCs w:val="32"/>
        </w:rPr>
      </w:pPr>
      <w:r>
        <w:rPr>
          <w:rFonts w:hint="eastAsia" w:eastAsia="仿宋_GB2312"/>
          <w:kern w:val="0"/>
          <w:sz w:val="32"/>
          <w:szCs w:val="32"/>
        </w:rPr>
        <w:t>截止2018年12月31日，</w:t>
      </w:r>
      <w:r>
        <w:rPr>
          <w:rFonts w:hint="eastAsia" w:ascii="方正仿宋_GBK" w:hAnsi="方正仿宋_GBK" w:eastAsia="方正仿宋_GBK" w:cs="方正仿宋_GBK"/>
          <w:kern w:val="0"/>
          <w:sz w:val="32"/>
          <w:szCs w:val="32"/>
        </w:rPr>
        <w:t>玉溪市人民政府法制办公室</w:t>
      </w:r>
      <w:r>
        <w:rPr>
          <w:rFonts w:hint="eastAsia" w:eastAsia="仿宋_GB2312"/>
          <w:kern w:val="0"/>
          <w:sz w:val="32"/>
          <w:szCs w:val="32"/>
        </w:rPr>
        <w:t>资产总额0万元（市政府法制办资产账目前还并在市政府办），其中，流动资产0万元，固定资产0万元（具体内容详见附表），上年未独立核算没有资产占用情况数据。201</w:t>
      </w:r>
      <w:r>
        <w:rPr>
          <w:rFonts w:eastAsia="仿宋_GB2312"/>
          <w:kern w:val="0"/>
          <w:sz w:val="32"/>
          <w:szCs w:val="32"/>
        </w:rPr>
        <w:t>9</w:t>
      </w:r>
      <w:r>
        <w:rPr>
          <w:rFonts w:hint="eastAsia" w:eastAsia="仿宋_GB2312"/>
          <w:kern w:val="0"/>
          <w:sz w:val="32"/>
          <w:szCs w:val="32"/>
        </w:rPr>
        <w:t>年部门预算安排政府采购4.52万元，其中固定资产采购4.52万元。</w:t>
      </w:r>
    </w:p>
    <w:p>
      <w:pPr>
        <w:spacing w:line="560" w:lineRule="exact"/>
        <w:ind w:left="640"/>
        <w:rPr>
          <w:rFonts w:ascii="黑体" w:hAnsi="黑体" w:eastAsia="黑体"/>
          <w:kern w:val="0"/>
          <w:sz w:val="32"/>
          <w:szCs w:val="32"/>
        </w:rPr>
      </w:pPr>
      <w:r>
        <w:rPr>
          <w:rFonts w:hint="eastAsia" w:ascii="楷体_GB2312" w:eastAsia="楷体_GB2312"/>
          <w:kern w:val="0"/>
          <w:sz w:val="32"/>
          <w:szCs w:val="32"/>
        </w:rPr>
        <w:t>（</w:t>
      </w:r>
      <w:r>
        <w:rPr>
          <w:rFonts w:hint="eastAsia" w:ascii="楷体_GB2312" w:eastAsia="楷体_GB2312"/>
          <w:kern w:val="0"/>
          <w:sz w:val="32"/>
          <w:szCs w:val="32"/>
          <w:lang w:eastAsia="zh-CN"/>
        </w:rPr>
        <w:t>四</w:t>
      </w:r>
      <w:r>
        <w:rPr>
          <w:rFonts w:hint="eastAsia" w:ascii="楷体_GB2312" w:eastAsia="楷体_GB2312"/>
          <w:kern w:val="0"/>
          <w:sz w:val="32"/>
          <w:szCs w:val="32"/>
        </w:rPr>
        <w:t>）政</w:t>
      </w:r>
      <w:r>
        <w:rPr>
          <w:rFonts w:ascii="楷体_GB2312" w:eastAsia="楷体_GB2312"/>
          <w:kern w:val="0"/>
          <w:sz w:val="32"/>
          <w:szCs w:val="32"/>
        </w:rPr>
        <w:t>府采购预算情况</w:t>
      </w:r>
    </w:p>
    <w:p>
      <w:pPr>
        <w:spacing w:line="560" w:lineRule="exact"/>
        <w:ind w:firstLine="640" w:firstLineChars="200"/>
        <w:rPr>
          <w:rFonts w:eastAsia="仿宋_GB2312"/>
          <w:kern w:val="0"/>
          <w:sz w:val="32"/>
          <w:szCs w:val="32"/>
        </w:rPr>
      </w:pPr>
      <w:r>
        <w:rPr>
          <w:rFonts w:hint="eastAsia" w:eastAsia="仿宋_GB2312"/>
          <w:kern w:val="0"/>
          <w:sz w:val="32"/>
          <w:szCs w:val="32"/>
        </w:rPr>
        <w:t>根据《中华人民共和国政府采购法》的有关规定，编制了政府采购预算，共涉及采购项目5个，采购预算资金4.52万元。与上年同口径相比，增加4.52万元，主要原因是玉溪仲裁委员会秘书处新采购办公家具2.03万元，打印机2台0.51万元，会议音视频系统1.46万元，计算机0.52万元。</w:t>
      </w:r>
    </w:p>
    <w:p>
      <w:pPr>
        <w:widowControl/>
        <w:spacing w:line="560" w:lineRule="exact"/>
        <w:jc w:val="center"/>
        <w:rPr>
          <w:rFonts w:ascii="黑体" w:hAnsi="黑体" w:eastAsia="黑体"/>
          <w:kern w:val="0"/>
          <w:sz w:val="32"/>
          <w:szCs w:val="32"/>
        </w:rPr>
      </w:pPr>
      <w:r>
        <w:rPr>
          <w:rFonts w:hint="eastAsia" w:ascii="黑体" w:hAnsi="黑体" w:eastAsia="黑体"/>
          <w:kern w:val="0"/>
          <w:sz w:val="32"/>
          <w:szCs w:val="32"/>
        </w:rPr>
        <w:t>第三部分：名词解释</w:t>
      </w:r>
    </w:p>
    <w:p>
      <w:pPr>
        <w:pStyle w:val="7"/>
        <w:spacing w:beforeAutospacing="0" w:afterAutospacing="0" w:line="560" w:lineRule="atLeast"/>
        <w:ind w:firstLine="600"/>
        <w:jc w:val="both"/>
        <w:rPr>
          <w:rFonts w:ascii="楷体_GB2312" w:hAnsi="仿宋" w:eastAsia="楷体_GB2312"/>
          <w:b/>
          <w:bCs/>
          <w:sz w:val="28"/>
          <w:szCs w:val="28"/>
        </w:rPr>
      </w:pPr>
      <w:r>
        <w:rPr>
          <w:rFonts w:hint="eastAsia" w:ascii="楷体_GB2312" w:hAnsi="仿宋" w:eastAsia="楷体_GB2312" w:cs="楷体_GB2312"/>
          <w:b/>
          <w:bCs/>
          <w:sz w:val="28"/>
          <w:szCs w:val="28"/>
        </w:rPr>
        <w:t>【一般公共预算收入】</w:t>
      </w:r>
    </w:p>
    <w:p>
      <w:pPr>
        <w:pStyle w:val="7"/>
        <w:spacing w:beforeAutospacing="0" w:afterAutospacing="0"/>
        <w:ind w:firstLine="600"/>
        <w:rPr>
          <w:rFonts w:ascii="楷体_GB2312" w:hAnsi="仿宋" w:eastAsia="楷体_GB2312"/>
          <w:sz w:val="28"/>
          <w:szCs w:val="28"/>
        </w:rPr>
      </w:pPr>
      <w:r>
        <w:rPr>
          <w:rFonts w:hint="eastAsia" w:ascii="楷体_GB2312" w:hAnsi="仿宋" w:eastAsia="楷体_GB2312" w:cs="楷体_GB2312"/>
          <w:sz w:val="28"/>
          <w:szCs w:val="28"/>
        </w:rPr>
        <w:t>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pPr>
        <w:pStyle w:val="7"/>
        <w:spacing w:beforeAutospacing="0" w:afterAutospacing="0"/>
        <w:rPr>
          <w:rFonts w:ascii="楷体_GB2312" w:hAnsi="仿宋" w:eastAsia="楷体_GB2312"/>
          <w:b/>
          <w:bCs/>
          <w:sz w:val="28"/>
          <w:szCs w:val="28"/>
        </w:rPr>
      </w:pPr>
      <w:r>
        <w:rPr>
          <w:rFonts w:hint="eastAsia" w:ascii="楷体_GB2312" w:hAnsi="仿宋" w:eastAsia="楷体_GB2312" w:cs="楷体_GB2312"/>
          <w:b/>
          <w:bCs/>
          <w:sz w:val="28"/>
          <w:szCs w:val="28"/>
        </w:rPr>
        <w:t xml:space="preserve">    【一般公共预算支出】</w:t>
      </w:r>
    </w:p>
    <w:p>
      <w:pPr>
        <w:pStyle w:val="7"/>
        <w:spacing w:beforeAutospacing="0" w:afterAutospacing="0" w:line="560" w:lineRule="atLeast"/>
        <w:jc w:val="both"/>
        <w:rPr>
          <w:rFonts w:ascii="楷体_GB2312" w:hAnsi="仿宋" w:eastAsia="楷体_GB2312"/>
          <w:sz w:val="28"/>
          <w:szCs w:val="28"/>
        </w:rPr>
      </w:pPr>
      <w:r>
        <w:rPr>
          <w:rFonts w:hint="eastAsia" w:ascii="楷体_GB2312" w:hAnsi="仿宋" w:eastAsia="楷体_GB2312" w:cs="楷体_GB2312"/>
          <w:sz w:val="28"/>
          <w:szCs w:val="28"/>
        </w:rPr>
        <w:t xml:space="preserve">    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pPr>
        <w:pStyle w:val="7"/>
        <w:spacing w:beforeAutospacing="0" w:afterAutospacing="0" w:line="560" w:lineRule="atLeast"/>
        <w:jc w:val="both"/>
        <w:rPr>
          <w:rFonts w:ascii="楷体_GB2312" w:hAnsi="仿宋" w:eastAsia="楷体_GB2312"/>
          <w:b/>
          <w:bCs/>
          <w:sz w:val="28"/>
          <w:szCs w:val="28"/>
        </w:rPr>
      </w:pPr>
      <w:r>
        <w:rPr>
          <w:rFonts w:hint="eastAsia" w:ascii="楷体_GB2312" w:hAnsi="仿宋" w:eastAsia="楷体_GB2312" w:cs="楷体_GB2312"/>
          <w:b/>
          <w:bCs/>
          <w:sz w:val="28"/>
          <w:szCs w:val="28"/>
        </w:rPr>
        <w:t xml:space="preserve">    【三公经费】</w:t>
      </w:r>
    </w:p>
    <w:p>
      <w:pPr>
        <w:rPr>
          <w:rFonts w:ascii="楷体_GB2312" w:hAnsi="仿宋" w:eastAsia="楷体_GB2312" w:cs="楷体_GB2312"/>
          <w:sz w:val="28"/>
          <w:szCs w:val="28"/>
        </w:rPr>
      </w:pPr>
      <w:r>
        <w:rPr>
          <w:rFonts w:hint="eastAsia" w:ascii="楷体_GB2312" w:hAnsi="仿宋" w:eastAsia="楷体_GB2312" w:cs="楷体_GB2312"/>
          <w:sz w:val="28"/>
          <w:szCs w:val="28"/>
        </w:rPr>
        <w:t xml:space="preserve">    “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ind w:firstLine="281" w:firstLineChars="100"/>
        <w:rPr>
          <w:rFonts w:ascii="楷体_GB2312" w:eastAsia="楷体_GB2312"/>
          <w:b/>
          <w:bCs/>
          <w:sz w:val="28"/>
          <w:szCs w:val="28"/>
        </w:rPr>
      </w:pPr>
      <w:r>
        <w:rPr>
          <w:rFonts w:hint="eastAsia" w:ascii="楷体_GB2312" w:eastAsia="楷体_GB2312"/>
          <w:b/>
          <w:bCs/>
          <w:sz w:val="28"/>
          <w:szCs w:val="28"/>
        </w:rPr>
        <w:t xml:space="preserve">  【政府采购】</w:t>
      </w:r>
    </w:p>
    <w:p>
      <w:pPr>
        <w:rPr>
          <w:rFonts w:ascii="楷体_GB2312" w:eastAsia="楷体_GB2312"/>
          <w:sz w:val="28"/>
          <w:szCs w:val="28"/>
        </w:rPr>
      </w:pPr>
      <w:r>
        <w:rPr>
          <w:rFonts w:hint="eastAsia" w:ascii="楷体_GB2312" w:eastAsia="楷体_GB2312"/>
          <w:sz w:val="28"/>
          <w:szCs w:val="28"/>
        </w:rPr>
        <w:t>　　政府采购也称公共采购，是指各级国家机关、实行预算管理的事业单位和社会团体，采取竞争、择优、公开的形式，使用财政性资金，以购买、租赁、委托或雇佣等方法取得货物、工程和服务的行为。政府采购制度则是采购政策、采购方式、采购程序和组织形式等一系列政府采购管理规范的总称。</w:t>
      </w:r>
    </w:p>
    <w:p>
      <w:pPr>
        <w:rPr>
          <w:rFonts w:ascii="楷体_GB2312" w:eastAsia="楷体_GB2312"/>
          <w:b/>
          <w:bCs/>
          <w:sz w:val="28"/>
          <w:szCs w:val="28"/>
        </w:rPr>
      </w:pPr>
      <w:r>
        <w:rPr>
          <w:rFonts w:hint="eastAsia" w:ascii="楷体_GB2312" w:eastAsia="楷体_GB2312"/>
          <w:sz w:val="28"/>
          <w:szCs w:val="28"/>
        </w:rPr>
        <w:t>　　</w:t>
      </w:r>
      <w:r>
        <w:rPr>
          <w:rFonts w:hint="eastAsia" w:ascii="楷体_GB2312" w:eastAsia="楷体_GB2312"/>
          <w:b/>
          <w:bCs/>
          <w:sz w:val="28"/>
          <w:szCs w:val="28"/>
        </w:rPr>
        <w:t>【预算绩效管理】</w:t>
      </w:r>
    </w:p>
    <w:p>
      <w:pPr>
        <w:widowControl/>
        <w:spacing w:line="560" w:lineRule="exact"/>
        <w:ind w:firstLine="560" w:firstLineChars="200"/>
        <w:jc w:val="left"/>
        <w:rPr>
          <w:rFonts w:eastAsia="仿宋_GB2312"/>
          <w:b/>
          <w:kern w:val="0"/>
          <w:sz w:val="32"/>
          <w:szCs w:val="32"/>
        </w:rPr>
      </w:pPr>
      <w:r>
        <w:rPr>
          <w:rFonts w:hint="eastAsia" w:ascii="楷体_GB2312" w:eastAsia="楷体_GB2312"/>
          <w:sz w:val="28"/>
          <w:szCs w:val="28"/>
        </w:rPr>
        <w:t>是以“预算”为对象开展的绩效管理，也就是将绩效管理理念和绩效管理方法贯穿于预算编制、执行、监督的全过程，并实现与预算管理有机融合的一种预算管理模式。预算绩效管理是政府绩效管理的重要组成部分，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预算绩效管理的表现形式是四个环节紧密相连，即绩效目标管理、绩效跟踪监控、绩效评价实施、评价结果运用的有机统一，一环扣一环，形成封闭运行的预算管理闭环。</w:t>
      </w:r>
    </w:p>
    <w:p>
      <w:pPr>
        <w:widowControl/>
        <w:ind w:firstLine="600"/>
        <w:jc w:val="left"/>
        <w:rPr>
          <w:rFonts w:eastAsia="仿宋_GB2312"/>
          <w:kern w:val="0"/>
          <w:sz w:val="32"/>
          <w:szCs w:val="32"/>
        </w:rPr>
      </w:pPr>
    </w:p>
    <w:p>
      <w:pPr>
        <w:widowControl/>
        <w:spacing w:line="560" w:lineRule="exact"/>
        <w:ind w:firstLine="640" w:firstLineChars="200"/>
        <w:jc w:val="center"/>
        <w:rPr>
          <w:rFonts w:ascii="黑体" w:hAnsi="黑体" w:eastAsia="黑体"/>
          <w:sz w:val="32"/>
          <w:szCs w:val="32"/>
        </w:rPr>
      </w:pPr>
      <w:r>
        <w:rPr>
          <w:rFonts w:hint="eastAsia" w:ascii="黑体" w:hAnsi="黑体" w:eastAsia="黑体"/>
          <w:kern w:val="0"/>
          <w:sz w:val="32"/>
          <w:szCs w:val="32"/>
        </w:rPr>
        <w:t>第四部分：玉溪市人民政府法制办公室</w:t>
      </w:r>
      <w:r>
        <w:rPr>
          <w:rFonts w:ascii="黑体" w:hAnsi="黑体" w:eastAsia="黑体"/>
          <w:sz w:val="32"/>
          <w:szCs w:val="32"/>
        </w:rPr>
        <w:t>2019年部门预算表</w:t>
      </w:r>
    </w:p>
    <w:p>
      <w:pPr>
        <w:widowControl/>
        <w:spacing w:line="560" w:lineRule="exact"/>
        <w:ind w:firstLine="640" w:firstLineChars="200"/>
        <w:jc w:val="center"/>
        <w:rPr>
          <w:rFonts w:ascii="黑体" w:hAnsi="黑体" w:eastAsia="黑体"/>
          <w:sz w:val="32"/>
          <w:szCs w:val="32"/>
        </w:rPr>
      </w:pPr>
    </w:p>
    <w:p>
      <w:pPr>
        <w:spacing w:line="560" w:lineRule="exact"/>
        <w:ind w:firstLine="640" w:firstLineChars="200"/>
        <w:jc w:val="left"/>
        <w:rPr>
          <w:rFonts w:eastAsia="仿宋_GB2312"/>
          <w:sz w:val="32"/>
          <w:szCs w:val="32"/>
        </w:rPr>
      </w:pPr>
      <w:r>
        <w:rPr>
          <w:rFonts w:hint="eastAsia" w:eastAsia="仿宋_GB2312"/>
          <w:sz w:val="32"/>
          <w:szCs w:val="32"/>
        </w:rPr>
        <w:t>一、部门财政拨款收支预算总表</w:t>
      </w:r>
    </w:p>
    <w:p>
      <w:pPr>
        <w:spacing w:line="560" w:lineRule="exact"/>
        <w:ind w:firstLine="640" w:firstLineChars="200"/>
        <w:jc w:val="left"/>
        <w:rPr>
          <w:rFonts w:eastAsia="仿宋_GB2312"/>
          <w:sz w:val="32"/>
          <w:szCs w:val="32"/>
        </w:rPr>
      </w:pPr>
      <w:r>
        <w:rPr>
          <w:rFonts w:hint="eastAsia" w:eastAsia="仿宋_GB2312"/>
          <w:sz w:val="32"/>
          <w:szCs w:val="32"/>
        </w:rPr>
        <w:t>二、部门一般公共预算支出表</w:t>
      </w:r>
    </w:p>
    <w:p>
      <w:pPr>
        <w:spacing w:line="560" w:lineRule="exact"/>
        <w:ind w:firstLine="640" w:firstLineChars="200"/>
        <w:jc w:val="left"/>
        <w:rPr>
          <w:rFonts w:eastAsia="仿宋_GB2312"/>
          <w:sz w:val="32"/>
          <w:szCs w:val="32"/>
        </w:rPr>
      </w:pPr>
      <w:r>
        <w:rPr>
          <w:rFonts w:hint="eastAsia" w:eastAsia="仿宋_GB2312"/>
          <w:sz w:val="32"/>
          <w:szCs w:val="32"/>
        </w:rPr>
        <w:t>三、部门基本支出预算表</w:t>
      </w:r>
    </w:p>
    <w:p>
      <w:pPr>
        <w:spacing w:line="560" w:lineRule="exact"/>
        <w:ind w:firstLine="640" w:firstLineChars="200"/>
        <w:jc w:val="left"/>
        <w:rPr>
          <w:rFonts w:eastAsia="仿宋_GB2312"/>
          <w:sz w:val="32"/>
          <w:szCs w:val="32"/>
        </w:rPr>
      </w:pPr>
      <w:r>
        <w:rPr>
          <w:rFonts w:hint="eastAsia" w:eastAsia="仿宋_GB2312"/>
          <w:sz w:val="32"/>
          <w:szCs w:val="32"/>
        </w:rPr>
        <w:t>四、政府性基金预算支出表</w:t>
      </w:r>
    </w:p>
    <w:p>
      <w:pPr>
        <w:spacing w:line="560" w:lineRule="exact"/>
        <w:ind w:firstLine="640" w:firstLineChars="200"/>
        <w:jc w:val="left"/>
        <w:rPr>
          <w:rFonts w:eastAsia="仿宋_GB2312"/>
          <w:sz w:val="32"/>
          <w:szCs w:val="32"/>
        </w:rPr>
      </w:pPr>
      <w:r>
        <w:rPr>
          <w:rFonts w:hint="eastAsia" w:eastAsia="仿宋_GB2312"/>
          <w:sz w:val="32"/>
          <w:szCs w:val="32"/>
        </w:rPr>
        <w:t>五、部门财务收支预算总表</w:t>
      </w:r>
    </w:p>
    <w:p>
      <w:pPr>
        <w:spacing w:line="560" w:lineRule="exact"/>
        <w:ind w:firstLine="640" w:firstLineChars="200"/>
        <w:jc w:val="left"/>
        <w:rPr>
          <w:rFonts w:eastAsia="仿宋_GB2312"/>
          <w:sz w:val="32"/>
          <w:szCs w:val="32"/>
        </w:rPr>
      </w:pPr>
      <w:r>
        <w:rPr>
          <w:rFonts w:hint="eastAsia" w:eastAsia="仿宋_GB2312"/>
          <w:sz w:val="32"/>
          <w:szCs w:val="32"/>
        </w:rPr>
        <w:t>六、部门收入总表</w:t>
      </w:r>
    </w:p>
    <w:p>
      <w:pPr>
        <w:spacing w:line="560" w:lineRule="exact"/>
        <w:ind w:firstLine="640" w:firstLineChars="200"/>
        <w:jc w:val="left"/>
        <w:rPr>
          <w:rFonts w:eastAsia="仿宋_GB2312"/>
          <w:sz w:val="32"/>
          <w:szCs w:val="32"/>
        </w:rPr>
      </w:pPr>
      <w:r>
        <w:rPr>
          <w:rFonts w:hint="eastAsia" w:eastAsia="仿宋_GB2312"/>
          <w:sz w:val="32"/>
          <w:szCs w:val="32"/>
        </w:rPr>
        <w:t>七、部门支出总表</w:t>
      </w:r>
    </w:p>
    <w:p>
      <w:pPr>
        <w:spacing w:line="560" w:lineRule="exact"/>
        <w:ind w:firstLine="640" w:firstLineChars="200"/>
        <w:jc w:val="left"/>
        <w:rPr>
          <w:rFonts w:eastAsia="仿宋_GB2312"/>
          <w:sz w:val="32"/>
          <w:szCs w:val="32"/>
        </w:rPr>
      </w:pPr>
      <w:r>
        <w:rPr>
          <w:rFonts w:hint="eastAsia" w:eastAsia="仿宋_GB2312"/>
          <w:sz w:val="32"/>
          <w:szCs w:val="32"/>
        </w:rPr>
        <w:t>八、部门财政拨款支出明细表（按经济科目分类）</w:t>
      </w:r>
    </w:p>
    <w:p>
      <w:pPr>
        <w:spacing w:line="560" w:lineRule="exact"/>
        <w:ind w:firstLine="640" w:firstLineChars="200"/>
        <w:jc w:val="left"/>
        <w:rPr>
          <w:rFonts w:eastAsia="仿宋_GB2312"/>
          <w:sz w:val="32"/>
          <w:szCs w:val="32"/>
        </w:rPr>
      </w:pPr>
      <w:r>
        <w:rPr>
          <w:rFonts w:hint="eastAsia" w:eastAsia="仿宋_GB2312"/>
          <w:sz w:val="32"/>
          <w:szCs w:val="32"/>
        </w:rPr>
        <w:t>九、部门“三公”经费预算财政拨款情况表</w:t>
      </w:r>
    </w:p>
    <w:p>
      <w:pPr>
        <w:spacing w:line="560" w:lineRule="exact"/>
        <w:ind w:firstLine="640" w:firstLineChars="200"/>
        <w:jc w:val="left"/>
        <w:rPr>
          <w:rFonts w:eastAsia="仿宋_GB2312"/>
          <w:sz w:val="32"/>
          <w:szCs w:val="32"/>
        </w:rPr>
      </w:pPr>
      <w:r>
        <w:rPr>
          <w:rFonts w:hint="eastAsia" w:eastAsia="仿宋_GB2312"/>
          <w:sz w:val="32"/>
          <w:szCs w:val="32"/>
        </w:rPr>
        <w:t>十、项目年度绩效目标批复表</w:t>
      </w:r>
    </w:p>
    <w:p>
      <w:pPr>
        <w:spacing w:line="560" w:lineRule="exact"/>
        <w:ind w:firstLine="640" w:firstLineChars="200"/>
        <w:jc w:val="left"/>
        <w:rPr>
          <w:rFonts w:eastAsia="仿宋_GB2312"/>
          <w:sz w:val="32"/>
          <w:szCs w:val="32"/>
        </w:rPr>
      </w:pPr>
      <w:r>
        <w:rPr>
          <w:rFonts w:hint="eastAsia" w:eastAsia="仿宋_GB2312"/>
          <w:sz w:val="32"/>
          <w:szCs w:val="32"/>
        </w:rPr>
        <w:t>十一、部门政府采购预算表</w:t>
      </w:r>
    </w:p>
    <w:p>
      <w:pPr>
        <w:spacing w:line="560" w:lineRule="exact"/>
        <w:ind w:firstLine="640" w:firstLineChars="200"/>
        <w:jc w:val="left"/>
        <w:rPr>
          <w:rFonts w:eastAsia="仿宋_GB2312"/>
          <w:sz w:val="32"/>
          <w:szCs w:val="32"/>
        </w:rPr>
      </w:pPr>
      <w:r>
        <w:rPr>
          <w:rFonts w:hint="eastAsia" w:eastAsia="仿宋_GB2312"/>
          <w:sz w:val="32"/>
          <w:szCs w:val="32"/>
        </w:rPr>
        <w:t>十二、行政事业单位国有资产占有使用情况表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十三、2019-2021年度部门整体支出绩效目标表</w:t>
      </w:r>
    </w:p>
    <w:p>
      <w:pPr>
        <w:widowControl/>
        <w:numPr>
          <w:ilvl w:val="255"/>
          <w:numId w:val="0"/>
        </w:numPr>
        <w:ind w:firstLine="640"/>
        <w:jc w:val="left"/>
        <w:rPr>
          <w:rFonts w:ascii="仿宋_GB2312" w:hAnsi="黑体" w:eastAsia="仿宋_GB2312"/>
          <w:kern w:val="0"/>
          <w:sz w:val="32"/>
          <w:szCs w:val="32"/>
        </w:rPr>
      </w:pPr>
      <w:r>
        <w:rPr>
          <w:rFonts w:hint="eastAsia" w:ascii="仿宋_GB2312" w:hAnsi="方正仿宋_GBK" w:eastAsia="仿宋_GB2312" w:cs="方正仿宋_GBK"/>
          <w:sz w:val="32"/>
          <w:szCs w:val="32"/>
        </w:rPr>
        <w:t>十四、对下绩效目标表</w:t>
      </w:r>
    </w:p>
    <w:p>
      <w:pPr>
        <w:widowControl/>
        <w:ind w:firstLine="640" w:firstLineChars="200"/>
        <w:jc w:val="left"/>
        <w:rPr>
          <w:rFonts w:ascii="仿宋_GB2312" w:eastAsia="仿宋_GB2312"/>
          <w:kern w:val="0"/>
          <w:sz w:val="32"/>
          <w:szCs w:val="32"/>
        </w:rPr>
      </w:pPr>
    </w:p>
    <w:p>
      <w:pPr>
        <w:widowControl/>
        <w:ind w:firstLine="640" w:firstLineChars="200"/>
        <w:jc w:val="left"/>
        <w:rPr>
          <w:rFonts w:eastAsia="仿宋_GB2312"/>
          <w:sz w:val="32"/>
          <w:szCs w:val="32"/>
        </w:rPr>
      </w:pPr>
    </w:p>
    <w:p>
      <w:pPr>
        <w:widowControl/>
        <w:ind w:firstLine="640" w:firstLineChars="200"/>
        <w:jc w:val="left"/>
        <w:rPr>
          <w:rFonts w:ascii="黑体" w:hAnsi="黑体" w:eastAsia="黑体"/>
          <w:kern w:val="0"/>
          <w:sz w:val="32"/>
          <w:szCs w:val="32"/>
        </w:rPr>
      </w:pPr>
    </w:p>
    <w:p>
      <w:pPr>
        <w:rPr>
          <w:rFonts w:ascii="Arial" w:hAnsi="Arial" w:eastAsia="Arial" w:cs="Arial"/>
          <w:b/>
          <w:sz w:val="36"/>
        </w:rPr>
      </w:pPr>
      <w:r>
        <w:rPr>
          <w:rFonts w:ascii="Arial" w:hAnsi="Arial" w:eastAsia="Arial" w:cs="Arial"/>
          <w:b/>
          <w:sz w:val="36"/>
        </w:rPr>
        <w:t>监督索引号53040000471700111</w:t>
      </w:r>
    </w:p>
    <w:sectPr>
      <w:headerReference r:id="rId3" w:type="default"/>
      <w:footerReference r:id="rId5" w:type="default"/>
      <w:headerReference r:id="rId4" w:type="even"/>
      <w:pgSz w:w="11906" w:h="16838"/>
      <w:pgMar w:top="2098" w:right="1474" w:bottom="1587"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color="#FFFFFF" filled="f" stroked="f" coordsize="21600,21600">
          <v:path/>
          <v:fill on="f" focussize="0,0"/>
          <v:stroke on="f" weight="0.5pt" joinstyle="miter"/>
          <v:imagedata o:title=""/>
          <o:lock v:ext="edit"/>
          <v:textbox inset="0mm,0mm,0mm,0mm" style="mso-fit-shape-to-text:t;">
            <w:txbxContent>
              <w:p>
                <w:pPr>
                  <w:snapToGrid w:val="0"/>
                  <w:rPr>
                    <w:sz w:val="18"/>
                  </w:rPr>
                </w:pPr>
                <w:r>
                  <w:rPr>
                    <w:rFonts w:hint="eastAsia" w:asciiTheme="majorEastAsia" w:hAnsiTheme="majorEastAsia" w:eastAsiaTheme="majorEastAsia" w:cstheme="majorEastAsia"/>
                    <w:sz w:val="32"/>
                    <w:szCs w:val="32"/>
                  </w:rPr>
                  <w:fldChar w:fldCharType="begin"/>
                </w:r>
                <w:r>
                  <w:rPr>
                    <w:rFonts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- 13 -</w:t>
                </w:r>
                <w:r>
                  <w:rPr>
                    <w:rFonts w:hint="eastAsia" w:asciiTheme="majorEastAsia" w:hAnsiTheme="majorEastAsia" w:eastAsiaTheme="majorEastAsia" w:cstheme="majorEastAsia"/>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A3984"/>
    <w:multiLevelType w:val="singleLevel"/>
    <w:tmpl w:val="999A3984"/>
    <w:lvl w:ilvl="0" w:tentative="0">
      <w:start w:val="2"/>
      <w:numFmt w:val="chineseCounting"/>
      <w:suff w:val="space"/>
      <w:lvlText w:val="第%1部分"/>
      <w:lvlJc w:val="left"/>
      <w:rPr>
        <w:rFonts w:hint="eastAsia"/>
      </w:rPr>
    </w:lvl>
  </w:abstractNum>
  <w:abstractNum w:abstractNumId="1">
    <w:nsid w:val="2744AD73"/>
    <w:multiLevelType w:val="singleLevel"/>
    <w:tmpl w:val="2744AD73"/>
    <w:lvl w:ilvl="0" w:tentative="0">
      <w:start w:val="2"/>
      <w:numFmt w:val="decimal"/>
      <w:suff w:val="nothing"/>
      <w:lvlText w:val="%1、"/>
      <w:lvlJc w:val="left"/>
    </w:lvl>
  </w:abstractNum>
  <w:abstractNum w:abstractNumId="2">
    <w:nsid w:val="5C4FF404"/>
    <w:multiLevelType w:val="singleLevel"/>
    <w:tmpl w:val="5C4FF404"/>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492D"/>
    <w:rsid w:val="00085843"/>
    <w:rsid w:val="000860FB"/>
    <w:rsid w:val="000919EE"/>
    <w:rsid w:val="000952C1"/>
    <w:rsid w:val="00096A53"/>
    <w:rsid w:val="000A07EA"/>
    <w:rsid w:val="000A1122"/>
    <w:rsid w:val="000A582A"/>
    <w:rsid w:val="000A74AF"/>
    <w:rsid w:val="000A7B19"/>
    <w:rsid w:val="000B0125"/>
    <w:rsid w:val="000B59B5"/>
    <w:rsid w:val="000B5BAB"/>
    <w:rsid w:val="000B7EA9"/>
    <w:rsid w:val="000C3AE5"/>
    <w:rsid w:val="000C5123"/>
    <w:rsid w:val="000D4394"/>
    <w:rsid w:val="000E530D"/>
    <w:rsid w:val="000F4C86"/>
    <w:rsid w:val="001046C0"/>
    <w:rsid w:val="00104701"/>
    <w:rsid w:val="001116F3"/>
    <w:rsid w:val="00114FB7"/>
    <w:rsid w:val="00122B32"/>
    <w:rsid w:val="00123DF3"/>
    <w:rsid w:val="00126D02"/>
    <w:rsid w:val="00126F40"/>
    <w:rsid w:val="00127A6B"/>
    <w:rsid w:val="001341D1"/>
    <w:rsid w:val="0013430D"/>
    <w:rsid w:val="0013484F"/>
    <w:rsid w:val="00134BE4"/>
    <w:rsid w:val="0013549C"/>
    <w:rsid w:val="00140624"/>
    <w:rsid w:val="0014446D"/>
    <w:rsid w:val="001446A5"/>
    <w:rsid w:val="0014486B"/>
    <w:rsid w:val="00144CF1"/>
    <w:rsid w:val="0014558B"/>
    <w:rsid w:val="00146960"/>
    <w:rsid w:val="001528E5"/>
    <w:rsid w:val="00155639"/>
    <w:rsid w:val="00155D5E"/>
    <w:rsid w:val="00157BA7"/>
    <w:rsid w:val="001704E4"/>
    <w:rsid w:val="00174F53"/>
    <w:rsid w:val="00175223"/>
    <w:rsid w:val="00175B2E"/>
    <w:rsid w:val="00176F17"/>
    <w:rsid w:val="001804E3"/>
    <w:rsid w:val="0018058B"/>
    <w:rsid w:val="00180C9A"/>
    <w:rsid w:val="00182D13"/>
    <w:rsid w:val="00183B42"/>
    <w:rsid w:val="00186C54"/>
    <w:rsid w:val="00192C05"/>
    <w:rsid w:val="00197CAA"/>
    <w:rsid w:val="00197E5D"/>
    <w:rsid w:val="001A1B3A"/>
    <w:rsid w:val="001A22B9"/>
    <w:rsid w:val="001A3CEE"/>
    <w:rsid w:val="001A784A"/>
    <w:rsid w:val="001B045D"/>
    <w:rsid w:val="001B32BA"/>
    <w:rsid w:val="001B77DD"/>
    <w:rsid w:val="001C1C89"/>
    <w:rsid w:val="001C55D5"/>
    <w:rsid w:val="001C6CD7"/>
    <w:rsid w:val="001D120C"/>
    <w:rsid w:val="001E03BD"/>
    <w:rsid w:val="001E684A"/>
    <w:rsid w:val="001F1F6E"/>
    <w:rsid w:val="00200BD6"/>
    <w:rsid w:val="00216177"/>
    <w:rsid w:val="00221193"/>
    <w:rsid w:val="002247D0"/>
    <w:rsid w:val="00224F80"/>
    <w:rsid w:val="0022507C"/>
    <w:rsid w:val="00226979"/>
    <w:rsid w:val="00242E76"/>
    <w:rsid w:val="00243464"/>
    <w:rsid w:val="00243DB7"/>
    <w:rsid w:val="002462A8"/>
    <w:rsid w:val="00247731"/>
    <w:rsid w:val="00253C74"/>
    <w:rsid w:val="00262BAD"/>
    <w:rsid w:val="002726B1"/>
    <w:rsid w:val="002727D0"/>
    <w:rsid w:val="00272BC6"/>
    <w:rsid w:val="002749C8"/>
    <w:rsid w:val="00275325"/>
    <w:rsid w:val="00280E26"/>
    <w:rsid w:val="00281C06"/>
    <w:rsid w:val="00285DC4"/>
    <w:rsid w:val="00294AE7"/>
    <w:rsid w:val="002A7BAE"/>
    <w:rsid w:val="002B11FA"/>
    <w:rsid w:val="002B2CA6"/>
    <w:rsid w:val="002B37A7"/>
    <w:rsid w:val="002B4342"/>
    <w:rsid w:val="002B56EB"/>
    <w:rsid w:val="002B6D47"/>
    <w:rsid w:val="002C7D21"/>
    <w:rsid w:val="002D27CD"/>
    <w:rsid w:val="002D2D18"/>
    <w:rsid w:val="002D307F"/>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0290"/>
    <w:rsid w:val="003244C9"/>
    <w:rsid w:val="0032468B"/>
    <w:rsid w:val="00327119"/>
    <w:rsid w:val="003333E4"/>
    <w:rsid w:val="00336580"/>
    <w:rsid w:val="0034184B"/>
    <w:rsid w:val="003535EB"/>
    <w:rsid w:val="00354D29"/>
    <w:rsid w:val="00356356"/>
    <w:rsid w:val="003576A5"/>
    <w:rsid w:val="00360593"/>
    <w:rsid w:val="00360EF7"/>
    <w:rsid w:val="00361A07"/>
    <w:rsid w:val="003710A2"/>
    <w:rsid w:val="00376707"/>
    <w:rsid w:val="0037788A"/>
    <w:rsid w:val="0038029B"/>
    <w:rsid w:val="00383096"/>
    <w:rsid w:val="00392AA8"/>
    <w:rsid w:val="003931E6"/>
    <w:rsid w:val="003A324A"/>
    <w:rsid w:val="003A42A7"/>
    <w:rsid w:val="003A5387"/>
    <w:rsid w:val="003A73EF"/>
    <w:rsid w:val="003B2514"/>
    <w:rsid w:val="003B54C2"/>
    <w:rsid w:val="003B5BA8"/>
    <w:rsid w:val="003B6753"/>
    <w:rsid w:val="003C1BE1"/>
    <w:rsid w:val="003C6315"/>
    <w:rsid w:val="003D1204"/>
    <w:rsid w:val="003D160D"/>
    <w:rsid w:val="003D34B5"/>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3FAE"/>
    <w:rsid w:val="00467CD2"/>
    <w:rsid w:val="004718A9"/>
    <w:rsid w:val="00476EC1"/>
    <w:rsid w:val="00480582"/>
    <w:rsid w:val="0048694C"/>
    <w:rsid w:val="004911B1"/>
    <w:rsid w:val="00495E43"/>
    <w:rsid w:val="004A0AB6"/>
    <w:rsid w:val="004A362F"/>
    <w:rsid w:val="004A742B"/>
    <w:rsid w:val="004B29ED"/>
    <w:rsid w:val="004C064B"/>
    <w:rsid w:val="004C7E48"/>
    <w:rsid w:val="004D26D3"/>
    <w:rsid w:val="004D3A59"/>
    <w:rsid w:val="004F0C64"/>
    <w:rsid w:val="004F2C44"/>
    <w:rsid w:val="004F4F9F"/>
    <w:rsid w:val="004F5C1B"/>
    <w:rsid w:val="005054B5"/>
    <w:rsid w:val="00505533"/>
    <w:rsid w:val="00506344"/>
    <w:rsid w:val="005148D7"/>
    <w:rsid w:val="00521069"/>
    <w:rsid w:val="005248EA"/>
    <w:rsid w:val="0052572D"/>
    <w:rsid w:val="005431C8"/>
    <w:rsid w:val="005463F4"/>
    <w:rsid w:val="00550766"/>
    <w:rsid w:val="00552BA8"/>
    <w:rsid w:val="0055409A"/>
    <w:rsid w:val="00561EAC"/>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045E"/>
    <w:rsid w:val="005D245F"/>
    <w:rsid w:val="005D3061"/>
    <w:rsid w:val="005D6260"/>
    <w:rsid w:val="005D6D58"/>
    <w:rsid w:val="005E6A58"/>
    <w:rsid w:val="005F310F"/>
    <w:rsid w:val="005F6DA3"/>
    <w:rsid w:val="00602B8A"/>
    <w:rsid w:val="0060314C"/>
    <w:rsid w:val="006073BA"/>
    <w:rsid w:val="00607CB6"/>
    <w:rsid w:val="00614B12"/>
    <w:rsid w:val="006150EC"/>
    <w:rsid w:val="006164DB"/>
    <w:rsid w:val="0061679D"/>
    <w:rsid w:val="006253D8"/>
    <w:rsid w:val="00626153"/>
    <w:rsid w:val="00632FEB"/>
    <w:rsid w:val="006374A1"/>
    <w:rsid w:val="00644EE6"/>
    <w:rsid w:val="006540CB"/>
    <w:rsid w:val="00660B2A"/>
    <w:rsid w:val="00662269"/>
    <w:rsid w:val="00672708"/>
    <w:rsid w:val="00682553"/>
    <w:rsid w:val="0068515C"/>
    <w:rsid w:val="0068667C"/>
    <w:rsid w:val="006A26A0"/>
    <w:rsid w:val="006A4FDA"/>
    <w:rsid w:val="006B1C07"/>
    <w:rsid w:val="006B35FC"/>
    <w:rsid w:val="006B3DA5"/>
    <w:rsid w:val="006B5B25"/>
    <w:rsid w:val="006B7827"/>
    <w:rsid w:val="006C01A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0C69"/>
    <w:rsid w:val="0074138A"/>
    <w:rsid w:val="007455C4"/>
    <w:rsid w:val="00750940"/>
    <w:rsid w:val="00751AB4"/>
    <w:rsid w:val="0076269B"/>
    <w:rsid w:val="00765E00"/>
    <w:rsid w:val="00766131"/>
    <w:rsid w:val="0077005A"/>
    <w:rsid w:val="00772DB4"/>
    <w:rsid w:val="00773AD0"/>
    <w:rsid w:val="00776EA7"/>
    <w:rsid w:val="00780AAD"/>
    <w:rsid w:val="0078371A"/>
    <w:rsid w:val="00783A4C"/>
    <w:rsid w:val="00794375"/>
    <w:rsid w:val="007A05BD"/>
    <w:rsid w:val="007A725D"/>
    <w:rsid w:val="007B4A0F"/>
    <w:rsid w:val="007C05CB"/>
    <w:rsid w:val="007C3153"/>
    <w:rsid w:val="007C7656"/>
    <w:rsid w:val="007D066F"/>
    <w:rsid w:val="007D1AE5"/>
    <w:rsid w:val="007D57A1"/>
    <w:rsid w:val="007D5A91"/>
    <w:rsid w:val="007E3441"/>
    <w:rsid w:val="007E460F"/>
    <w:rsid w:val="007E68C9"/>
    <w:rsid w:val="007E6C1F"/>
    <w:rsid w:val="007E76F1"/>
    <w:rsid w:val="007F1DA0"/>
    <w:rsid w:val="00803F6B"/>
    <w:rsid w:val="00805901"/>
    <w:rsid w:val="0081058D"/>
    <w:rsid w:val="00811B53"/>
    <w:rsid w:val="00813D49"/>
    <w:rsid w:val="0081508D"/>
    <w:rsid w:val="00816BAB"/>
    <w:rsid w:val="00817514"/>
    <w:rsid w:val="00825E03"/>
    <w:rsid w:val="00827ECC"/>
    <w:rsid w:val="0083106D"/>
    <w:rsid w:val="0083313F"/>
    <w:rsid w:val="00834D98"/>
    <w:rsid w:val="00835730"/>
    <w:rsid w:val="0084210A"/>
    <w:rsid w:val="00845657"/>
    <w:rsid w:val="0084624C"/>
    <w:rsid w:val="00851C1D"/>
    <w:rsid w:val="00851E94"/>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4DA"/>
    <w:rsid w:val="008D1AD8"/>
    <w:rsid w:val="008D2E7D"/>
    <w:rsid w:val="008D5FED"/>
    <w:rsid w:val="008E0519"/>
    <w:rsid w:val="008E0B11"/>
    <w:rsid w:val="008E2734"/>
    <w:rsid w:val="008F35F1"/>
    <w:rsid w:val="008F3FB1"/>
    <w:rsid w:val="009008F4"/>
    <w:rsid w:val="00901A1A"/>
    <w:rsid w:val="009020BF"/>
    <w:rsid w:val="00905BB4"/>
    <w:rsid w:val="00907813"/>
    <w:rsid w:val="00911B9D"/>
    <w:rsid w:val="00921C07"/>
    <w:rsid w:val="00930A10"/>
    <w:rsid w:val="0093199F"/>
    <w:rsid w:val="00932958"/>
    <w:rsid w:val="00947CC7"/>
    <w:rsid w:val="00951519"/>
    <w:rsid w:val="009535AF"/>
    <w:rsid w:val="00956B4E"/>
    <w:rsid w:val="009613F9"/>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1A56"/>
    <w:rsid w:val="009B3ED3"/>
    <w:rsid w:val="009B4ADC"/>
    <w:rsid w:val="009C1730"/>
    <w:rsid w:val="009C6C8C"/>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4F65"/>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A135E"/>
    <w:rsid w:val="00AA50D6"/>
    <w:rsid w:val="00AA5A95"/>
    <w:rsid w:val="00AA7480"/>
    <w:rsid w:val="00AB1481"/>
    <w:rsid w:val="00AB2ABB"/>
    <w:rsid w:val="00AB5C67"/>
    <w:rsid w:val="00AB7C98"/>
    <w:rsid w:val="00AC3623"/>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743EE"/>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3000"/>
    <w:rsid w:val="00BD6EC1"/>
    <w:rsid w:val="00BE25AF"/>
    <w:rsid w:val="00BE3F11"/>
    <w:rsid w:val="00C00420"/>
    <w:rsid w:val="00C01D14"/>
    <w:rsid w:val="00C04DD5"/>
    <w:rsid w:val="00C073D6"/>
    <w:rsid w:val="00C12785"/>
    <w:rsid w:val="00C14D2D"/>
    <w:rsid w:val="00C15327"/>
    <w:rsid w:val="00C205DD"/>
    <w:rsid w:val="00C22B04"/>
    <w:rsid w:val="00C242B2"/>
    <w:rsid w:val="00C25140"/>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C51AE"/>
    <w:rsid w:val="00CD0085"/>
    <w:rsid w:val="00CD213F"/>
    <w:rsid w:val="00CE1BDC"/>
    <w:rsid w:val="00CE708C"/>
    <w:rsid w:val="00CF3E52"/>
    <w:rsid w:val="00D00043"/>
    <w:rsid w:val="00D003BE"/>
    <w:rsid w:val="00D03468"/>
    <w:rsid w:val="00D03E18"/>
    <w:rsid w:val="00D06094"/>
    <w:rsid w:val="00D110CC"/>
    <w:rsid w:val="00D1310A"/>
    <w:rsid w:val="00D165B0"/>
    <w:rsid w:val="00D21814"/>
    <w:rsid w:val="00D249EC"/>
    <w:rsid w:val="00D30CFE"/>
    <w:rsid w:val="00D314BC"/>
    <w:rsid w:val="00D319FC"/>
    <w:rsid w:val="00D37964"/>
    <w:rsid w:val="00D40468"/>
    <w:rsid w:val="00D41BD8"/>
    <w:rsid w:val="00D45FD5"/>
    <w:rsid w:val="00D501E4"/>
    <w:rsid w:val="00D51F3A"/>
    <w:rsid w:val="00D51FB5"/>
    <w:rsid w:val="00D62340"/>
    <w:rsid w:val="00D63F18"/>
    <w:rsid w:val="00D6527D"/>
    <w:rsid w:val="00D6795D"/>
    <w:rsid w:val="00D729EC"/>
    <w:rsid w:val="00D74B92"/>
    <w:rsid w:val="00D841C1"/>
    <w:rsid w:val="00D93010"/>
    <w:rsid w:val="00D946E9"/>
    <w:rsid w:val="00D9604F"/>
    <w:rsid w:val="00D9737C"/>
    <w:rsid w:val="00DA4096"/>
    <w:rsid w:val="00DB3D0C"/>
    <w:rsid w:val="00DB4D49"/>
    <w:rsid w:val="00DB767D"/>
    <w:rsid w:val="00DC07E5"/>
    <w:rsid w:val="00DC395D"/>
    <w:rsid w:val="00DC634D"/>
    <w:rsid w:val="00DC6FEA"/>
    <w:rsid w:val="00DC7204"/>
    <w:rsid w:val="00DC7AA7"/>
    <w:rsid w:val="00DD0FFA"/>
    <w:rsid w:val="00DD202C"/>
    <w:rsid w:val="00DD3863"/>
    <w:rsid w:val="00DD795C"/>
    <w:rsid w:val="00DE5376"/>
    <w:rsid w:val="00DE60D1"/>
    <w:rsid w:val="00DF050A"/>
    <w:rsid w:val="00DF59BD"/>
    <w:rsid w:val="00DF6FC3"/>
    <w:rsid w:val="00DF751A"/>
    <w:rsid w:val="00DF7A31"/>
    <w:rsid w:val="00E00C94"/>
    <w:rsid w:val="00E05A1C"/>
    <w:rsid w:val="00E062CC"/>
    <w:rsid w:val="00E07333"/>
    <w:rsid w:val="00E129EE"/>
    <w:rsid w:val="00E12BAD"/>
    <w:rsid w:val="00E13411"/>
    <w:rsid w:val="00E14AC6"/>
    <w:rsid w:val="00E30F62"/>
    <w:rsid w:val="00E36ECE"/>
    <w:rsid w:val="00E46B69"/>
    <w:rsid w:val="00E573AC"/>
    <w:rsid w:val="00E57B94"/>
    <w:rsid w:val="00E60CD5"/>
    <w:rsid w:val="00E62839"/>
    <w:rsid w:val="00E62E85"/>
    <w:rsid w:val="00E64EE1"/>
    <w:rsid w:val="00E65C1E"/>
    <w:rsid w:val="00E75F13"/>
    <w:rsid w:val="00E76022"/>
    <w:rsid w:val="00E83456"/>
    <w:rsid w:val="00E8673B"/>
    <w:rsid w:val="00EA25E4"/>
    <w:rsid w:val="00EA3E87"/>
    <w:rsid w:val="00EA7A22"/>
    <w:rsid w:val="00EA7DE2"/>
    <w:rsid w:val="00EB004F"/>
    <w:rsid w:val="00EB6AC3"/>
    <w:rsid w:val="00EC2723"/>
    <w:rsid w:val="00EC384D"/>
    <w:rsid w:val="00EC6D59"/>
    <w:rsid w:val="00EC703C"/>
    <w:rsid w:val="00ED0777"/>
    <w:rsid w:val="00ED2DE0"/>
    <w:rsid w:val="00ED6645"/>
    <w:rsid w:val="00ED6F4E"/>
    <w:rsid w:val="00EE37EE"/>
    <w:rsid w:val="00EE6EB1"/>
    <w:rsid w:val="00EF39A0"/>
    <w:rsid w:val="00EF43D5"/>
    <w:rsid w:val="00EF4E23"/>
    <w:rsid w:val="00EF670C"/>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29AB"/>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49A8"/>
    <w:rsid w:val="00F95BCB"/>
    <w:rsid w:val="00F96634"/>
    <w:rsid w:val="00F96A5C"/>
    <w:rsid w:val="00FA1FBC"/>
    <w:rsid w:val="00FA2C97"/>
    <w:rsid w:val="00FA2FC5"/>
    <w:rsid w:val="00FA32D0"/>
    <w:rsid w:val="00FB35BE"/>
    <w:rsid w:val="00FC43B8"/>
    <w:rsid w:val="00FC4E58"/>
    <w:rsid w:val="00FC7004"/>
    <w:rsid w:val="00FD06A0"/>
    <w:rsid w:val="00FD13FB"/>
    <w:rsid w:val="00FD228E"/>
    <w:rsid w:val="00FD4E9B"/>
    <w:rsid w:val="00FD5389"/>
    <w:rsid w:val="00FE1A2F"/>
    <w:rsid w:val="00FE5F50"/>
    <w:rsid w:val="00FF1B25"/>
    <w:rsid w:val="00FF7A85"/>
    <w:rsid w:val="11F26C37"/>
    <w:rsid w:val="1BA53FCA"/>
    <w:rsid w:val="20026070"/>
    <w:rsid w:val="321F271B"/>
    <w:rsid w:val="3265137C"/>
    <w:rsid w:val="36A7113E"/>
    <w:rsid w:val="4D1F2179"/>
    <w:rsid w:val="587152E7"/>
    <w:rsid w:val="5C86081A"/>
    <w:rsid w:val="5E4C32BC"/>
    <w:rsid w:val="619F6289"/>
    <w:rsid w:val="63D51849"/>
    <w:rsid w:val="6BF70A03"/>
    <w:rsid w:val="76314A4A"/>
    <w:rsid w:val="765073A2"/>
    <w:rsid w:val="7A0D4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spacing w:before="100" w:beforeAutospacing="1" w:after="100" w:afterAutospacing="1"/>
      <w:outlineLvl w:val="2"/>
    </w:pPr>
    <w:rPr>
      <w:b/>
      <w:bCs/>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kern w:val="0"/>
      <w:sz w:val="24"/>
    </w:rPr>
  </w:style>
  <w:style w:type="paragraph" w:styleId="8">
    <w:name w:val="annotation subject"/>
    <w:basedOn w:val="3"/>
    <w:next w:val="3"/>
    <w:semiHidden/>
    <w:qFormat/>
    <w:uiPriority w:val="0"/>
    <w:rPr>
      <w:b/>
      <w:bCs/>
    </w:rPr>
  </w:style>
  <w:style w:type="character" w:styleId="11">
    <w:name w:val="Strong"/>
    <w:basedOn w:val="10"/>
    <w:qFormat/>
    <w:uiPriority w:val="0"/>
    <w:rPr>
      <w:b/>
    </w:rPr>
  </w:style>
  <w:style w:type="character" w:styleId="12">
    <w:name w:val="annotation reference"/>
    <w:semiHidden/>
    <w:qFormat/>
    <w:uiPriority w:val="0"/>
    <w:rPr>
      <w:sz w:val="21"/>
      <w:szCs w:val="21"/>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19</Pages>
  <Words>1404</Words>
  <Characters>8006</Characters>
  <Lines>66</Lines>
  <Paragraphs>18</Paragraphs>
  <TotalTime>2</TotalTime>
  <ScaleCrop>false</ScaleCrop>
  <LinksUpToDate>false</LinksUpToDate>
  <CharactersWithSpaces>9392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2012-01-07T19:13:00Z</dcterms:created>
  <dc:creator>lx</dc:creator>
  <dc:description>ZHGenApp().GetProperty("Certification")</dc:description>
  <cp:lastModifiedBy>user</cp:lastModifiedBy>
  <cp:lastPrinted>2018-01-10T09:08:00Z</cp:lastPrinted>
  <dcterms:modified xsi:type="dcterms:W3CDTF">2026-03-16T15:09:58Z</dcterms:modified>
  <dc:title>年部门预算编制说明</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