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95BE11">
      <w:pPr>
        <w:rPr>
          <w:rFonts w:hint="eastAsia" w:ascii="仿宋_GB2312" w:hAnsi="仿宋_GB2312" w:eastAsia="仿宋_GB2312" w:cs="仿宋_GB2312"/>
          <w:color w:val="auto"/>
          <w:sz w:val="36"/>
          <w:szCs w:val="36"/>
          <w:lang w:val="en-US" w:eastAsia="zh-CN"/>
        </w:rPr>
      </w:pPr>
    </w:p>
    <w:p w14:paraId="2548FAF1">
      <w:pPr>
        <w:rPr>
          <w:rFonts w:ascii="仿宋_GB2312" w:hAnsi="仿宋_GB2312" w:eastAsia="仿宋_GB2312" w:cs="仿宋_GB2312"/>
          <w:color w:val="auto"/>
          <w:sz w:val="36"/>
          <w:szCs w:val="36"/>
        </w:rPr>
      </w:pPr>
    </w:p>
    <w:p w14:paraId="3579D31A">
      <w:pPr>
        <w:rPr>
          <w:rFonts w:ascii="仿宋_GB2312" w:hAnsi="仿宋_GB2312" w:eastAsia="仿宋_GB2312" w:cs="仿宋_GB2312"/>
          <w:color w:val="auto"/>
          <w:sz w:val="36"/>
          <w:szCs w:val="36"/>
        </w:rPr>
      </w:pPr>
    </w:p>
    <w:p w14:paraId="19163A0C">
      <w:pPr>
        <w:rPr>
          <w:rFonts w:ascii="仿宋_GB2312" w:hAnsi="仿宋_GB2312" w:eastAsia="仿宋_GB2312" w:cs="仿宋_GB2312"/>
          <w:color w:val="auto"/>
          <w:sz w:val="36"/>
          <w:szCs w:val="36"/>
        </w:rPr>
      </w:pPr>
    </w:p>
    <w:p w14:paraId="0A773A16">
      <w:pPr>
        <w:rPr>
          <w:rFonts w:hint="eastAsia" w:ascii="仿宋_GB2312" w:hAnsi="仿宋_GB2312" w:eastAsia="仿宋_GB2312" w:cs="仿宋_GB2312"/>
          <w:color w:val="auto"/>
          <w:sz w:val="36"/>
          <w:szCs w:val="36"/>
        </w:rPr>
      </w:pPr>
    </w:p>
    <w:p w14:paraId="03D97A38">
      <w:pPr>
        <w:adjustRightInd w:val="0"/>
        <w:snapToGrid w:val="0"/>
        <w:jc w:val="center"/>
        <w:outlineLvl w:val="9"/>
        <w:rPr>
          <w:rFonts w:hint="eastAsia"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14:paraId="797037E8">
      <w:pPr>
        <w:adjustRightInd w:val="0"/>
        <w:snapToGrid w:val="0"/>
        <w:spacing w:before="192" w:beforeLines="80"/>
        <w:jc w:val="center"/>
        <w:rPr>
          <w:rFonts w:hint="eastAsia" w:ascii="楷体_GB2312" w:eastAsia="楷体_GB2312"/>
          <w:bCs/>
          <w:color w:val="auto"/>
          <w:sz w:val="48"/>
          <w:szCs w:val="48"/>
        </w:rPr>
      </w:pPr>
      <w:r>
        <w:rPr>
          <w:rFonts w:hint="eastAsia" w:ascii="楷体_GB2312" w:eastAsia="楷体_GB2312"/>
          <w:bCs/>
          <w:color w:val="auto"/>
          <w:sz w:val="48"/>
          <w:szCs w:val="48"/>
        </w:rPr>
        <w:t>（污染影响类）</w:t>
      </w:r>
    </w:p>
    <w:p w14:paraId="6AAEAA1D">
      <w:pPr>
        <w:adjustRightInd w:val="0"/>
        <w:snapToGrid w:val="0"/>
        <w:spacing w:line="288" w:lineRule="auto"/>
        <w:jc w:val="center"/>
        <w:outlineLvl w:val="9"/>
        <w:rPr>
          <w:rFonts w:ascii="华文仿宋" w:hAnsi="华文仿宋" w:eastAsia="华文仿宋" w:cs="华文仿宋"/>
          <w:color w:val="auto"/>
          <w:kern w:val="44"/>
          <w:sz w:val="44"/>
          <w:szCs w:val="44"/>
        </w:rPr>
      </w:pPr>
    </w:p>
    <w:p w14:paraId="293FC2EB">
      <w:pPr>
        <w:jc w:val="center"/>
        <w:rPr>
          <w:rFonts w:eastAsia="仿宋"/>
          <w:color w:val="auto"/>
          <w:sz w:val="52"/>
          <w:szCs w:val="52"/>
        </w:rPr>
      </w:pPr>
      <w:bookmarkStart w:id="16" w:name="_GoBack"/>
      <w:bookmarkEnd w:id="16"/>
    </w:p>
    <w:p w14:paraId="3C632426">
      <w:pPr>
        <w:ind w:firstLine="1040"/>
        <w:rPr>
          <w:rFonts w:eastAsia="仿宋"/>
          <w:color w:val="auto"/>
          <w:sz w:val="44"/>
          <w:szCs w:val="44"/>
        </w:rPr>
      </w:pPr>
    </w:p>
    <w:p w14:paraId="098546F2">
      <w:pPr>
        <w:ind w:firstLine="1040"/>
        <w:rPr>
          <w:rFonts w:eastAsia="仿宋"/>
          <w:color w:val="auto"/>
          <w:sz w:val="44"/>
          <w:szCs w:val="44"/>
        </w:rPr>
      </w:pPr>
    </w:p>
    <w:p w14:paraId="68D26A1A">
      <w:pPr>
        <w:ind w:firstLine="1040"/>
        <w:rPr>
          <w:rFonts w:eastAsia="仿宋"/>
          <w:color w:val="auto"/>
          <w:sz w:val="44"/>
          <w:szCs w:val="44"/>
        </w:rPr>
      </w:pPr>
    </w:p>
    <w:p w14:paraId="57C48DDE">
      <w:pPr>
        <w:ind w:firstLine="1040"/>
        <w:rPr>
          <w:rFonts w:eastAsia="仿宋"/>
          <w:color w:val="auto"/>
          <w:sz w:val="44"/>
          <w:szCs w:val="44"/>
        </w:rPr>
      </w:pP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74"/>
        <w:gridCol w:w="5886"/>
      </w:tblGrid>
      <w:tr w14:paraId="72338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74" w:type="dxa"/>
            <w:tcBorders>
              <w:tl2br w:val="nil"/>
              <w:tr2bl w:val="nil"/>
            </w:tcBorders>
            <w:noWrap w:val="0"/>
            <w:vAlign w:val="center"/>
          </w:tcPr>
          <w:p w14:paraId="26342651">
            <w:pPr>
              <w:adjustRightInd w:val="0"/>
              <w:snapToGrid w:val="0"/>
              <w:spacing w:line="288" w:lineRule="auto"/>
              <w:jc w:val="distribute"/>
              <w:rPr>
                <w:rFonts w:eastAsia="仿宋_GB2312"/>
                <w:bCs/>
                <w:color w:val="auto"/>
                <w:sz w:val="36"/>
                <w:szCs w:val="36"/>
                <w:vertAlign w:val="baseline"/>
              </w:rPr>
            </w:pPr>
            <w:bookmarkStart w:id="0" w:name="_Hlk57884087"/>
            <w:r>
              <w:rPr>
                <w:rFonts w:eastAsia="仿宋_GB2312"/>
                <w:bCs/>
                <w:color w:val="auto"/>
                <w:sz w:val="36"/>
                <w:szCs w:val="36"/>
              </w:rPr>
              <w:t>项目名称：</w:t>
            </w:r>
          </w:p>
        </w:tc>
        <w:tc>
          <w:tcPr>
            <w:tcW w:w="5886" w:type="dxa"/>
            <w:tcBorders>
              <w:tl2br w:val="nil"/>
              <w:tr2bl w:val="nil"/>
            </w:tcBorders>
            <w:noWrap w:val="0"/>
            <w:vAlign w:val="center"/>
          </w:tcPr>
          <w:p w14:paraId="770B73C4">
            <w:pPr>
              <w:keepNext w:val="0"/>
              <w:keepLines w:val="0"/>
              <w:suppressLineNumbers w:val="0"/>
              <w:adjustRightInd w:val="0"/>
              <w:snapToGrid w:val="0"/>
              <w:spacing w:before="0" w:beforeAutospacing="0" w:after="0" w:afterAutospacing="0" w:line="288" w:lineRule="auto"/>
              <w:ind w:left="0" w:right="0"/>
              <w:jc w:val="center"/>
              <w:rPr>
                <w:rFonts w:hint="default" w:ascii="Times New Roman" w:hAnsi="Times New Roman" w:eastAsia="宋体" w:cs="Times New Roman"/>
                <w:bCs/>
                <w:color w:val="auto"/>
                <w:sz w:val="36"/>
                <w:szCs w:val="36"/>
                <w:u w:val="single"/>
                <w:lang w:val="en-US" w:eastAsia="zh-CN"/>
              </w:rPr>
            </w:pPr>
            <w:r>
              <w:rPr>
                <w:rFonts w:hint="eastAsia" w:cs="Times New Roman"/>
                <w:bCs/>
                <w:color w:val="auto"/>
                <w:sz w:val="36"/>
                <w:szCs w:val="36"/>
                <w:u w:val="single"/>
                <w:lang w:val="en-US" w:eastAsia="zh-CN"/>
              </w:rPr>
              <w:t>华宁县白塔山陶器厂年产900万件建筑陶器项目</w:t>
            </w:r>
          </w:p>
        </w:tc>
      </w:tr>
      <w:tr w14:paraId="3B5F0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74" w:type="dxa"/>
            <w:tcBorders>
              <w:tl2br w:val="nil"/>
              <w:tr2bl w:val="nil"/>
            </w:tcBorders>
            <w:noWrap w:val="0"/>
            <w:vAlign w:val="center"/>
          </w:tcPr>
          <w:p w14:paraId="4D4662E7">
            <w:pPr>
              <w:adjustRightInd w:val="0"/>
              <w:snapToGrid w:val="0"/>
              <w:spacing w:line="288" w:lineRule="auto"/>
              <w:jc w:val="distribute"/>
              <w:rPr>
                <w:rFonts w:eastAsia="仿宋_GB2312"/>
                <w:bCs/>
                <w:color w:val="auto"/>
                <w:sz w:val="36"/>
                <w:szCs w:val="36"/>
                <w:vertAlign w:val="baseline"/>
              </w:rPr>
            </w:pPr>
            <w:r>
              <w:rPr>
                <w:rFonts w:eastAsia="仿宋_GB2312"/>
                <w:bCs/>
                <w:color w:val="auto"/>
                <w:sz w:val="36"/>
                <w:szCs w:val="36"/>
              </w:rPr>
              <w:t>建设单位（盖章）：</w:t>
            </w:r>
          </w:p>
        </w:tc>
        <w:tc>
          <w:tcPr>
            <w:tcW w:w="5886" w:type="dxa"/>
            <w:tcBorders>
              <w:tl2br w:val="nil"/>
              <w:tr2bl w:val="nil"/>
            </w:tcBorders>
            <w:noWrap w:val="0"/>
            <w:vAlign w:val="center"/>
          </w:tcPr>
          <w:p w14:paraId="35A9674E">
            <w:pPr>
              <w:keepNext w:val="0"/>
              <w:keepLines w:val="0"/>
              <w:suppressLineNumbers w:val="0"/>
              <w:adjustRightInd w:val="0"/>
              <w:snapToGrid w:val="0"/>
              <w:spacing w:before="0" w:beforeAutospacing="0" w:after="0" w:afterAutospacing="0" w:line="288" w:lineRule="auto"/>
              <w:ind w:left="0" w:right="0"/>
              <w:jc w:val="center"/>
              <w:rPr>
                <w:rFonts w:hint="default" w:ascii="Times New Roman" w:hAnsi="Times New Roman" w:eastAsia="宋体" w:cs="Times New Roman"/>
                <w:bCs/>
                <w:color w:val="auto"/>
                <w:sz w:val="36"/>
                <w:szCs w:val="36"/>
                <w:u w:val="single"/>
                <w:lang w:val="en-US" w:eastAsia="zh-CN"/>
              </w:rPr>
            </w:pPr>
            <w:r>
              <w:rPr>
                <w:rFonts w:hint="eastAsia" w:cs="Times New Roman"/>
                <w:bCs/>
                <w:color w:val="auto"/>
                <w:sz w:val="36"/>
                <w:szCs w:val="36"/>
                <w:u w:val="single"/>
                <w:lang w:val="en-US" w:eastAsia="zh-CN"/>
              </w:rPr>
              <w:t>华宁县白塔山陶器厂</w:t>
            </w:r>
          </w:p>
        </w:tc>
      </w:tr>
      <w:tr w14:paraId="0229F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74" w:type="dxa"/>
            <w:tcBorders>
              <w:tl2br w:val="nil"/>
              <w:tr2bl w:val="nil"/>
            </w:tcBorders>
            <w:noWrap w:val="0"/>
            <w:vAlign w:val="center"/>
          </w:tcPr>
          <w:p w14:paraId="46F62BF9">
            <w:pPr>
              <w:adjustRightInd w:val="0"/>
              <w:snapToGrid w:val="0"/>
              <w:spacing w:line="288" w:lineRule="auto"/>
              <w:jc w:val="distribute"/>
              <w:rPr>
                <w:rFonts w:eastAsia="仿宋_GB2312"/>
                <w:bCs/>
                <w:color w:val="auto"/>
                <w:sz w:val="36"/>
                <w:szCs w:val="36"/>
                <w:vertAlign w:val="baseline"/>
              </w:rPr>
            </w:pPr>
            <w:r>
              <w:rPr>
                <w:rFonts w:eastAsia="仿宋_GB2312"/>
                <w:bCs/>
                <w:color w:val="auto"/>
                <w:sz w:val="36"/>
                <w:szCs w:val="36"/>
              </w:rPr>
              <w:t>编制日期：</w:t>
            </w:r>
          </w:p>
        </w:tc>
        <w:tc>
          <w:tcPr>
            <w:tcW w:w="5886" w:type="dxa"/>
            <w:tcBorders>
              <w:tl2br w:val="nil"/>
              <w:tr2bl w:val="nil"/>
            </w:tcBorders>
            <w:noWrap w:val="0"/>
            <w:vAlign w:val="center"/>
          </w:tcPr>
          <w:p w14:paraId="4BECB4AD">
            <w:pPr>
              <w:keepNext w:val="0"/>
              <w:keepLines w:val="0"/>
              <w:suppressLineNumbers w:val="0"/>
              <w:adjustRightInd w:val="0"/>
              <w:snapToGrid w:val="0"/>
              <w:spacing w:before="0" w:beforeAutospacing="0" w:after="0" w:afterAutospacing="0" w:line="288" w:lineRule="auto"/>
              <w:ind w:left="0" w:right="0"/>
              <w:jc w:val="center"/>
              <w:rPr>
                <w:rFonts w:hint="default" w:ascii="Times New Roman" w:hAnsi="Times New Roman" w:eastAsia="宋体" w:cs="Times New Roman"/>
                <w:bCs/>
                <w:color w:val="auto"/>
                <w:sz w:val="36"/>
                <w:szCs w:val="36"/>
                <w:u w:val="single"/>
                <w:lang w:val="en-US" w:eastAsia="zh-CN"/>
              </w:rPr>
            </w:pPr>
            <w:r>
              <w:rPr>
                <w:rFonts w:hint="eastAsia" w:cs="Times New Roman"/>
                <w:bCs/>
                <w:color w:val="auto"/>
                <w:sz w:val="36"/>
                <w:szCs w:val="36"/>
                <w:u w:val="single"/>
                <w:lang w:val="en-US" w:eastAsia="zh-CN"/>
              </w:rPr>
              <w:t>2025</w:t>
            </w:r>
            <w:r>
              <w:rPr>
                <w:rFonts w:hint="default" w:ascii="Times New Roman" w:hAnsi="Times New Roman" w:eastAsia="宋体" w:cs="Times New Roman"/>
                <w:bCs/>
                <w:color w:val="auto"/>
                <w:sz w:val="36"/>
                <w:szCs w:val="36"/>
                <w:u w:val="single"/>
                <w:lang w:val="en-US" w:eastAsia="zh-CN"/>
              </w:rPr>
              <w:t>年</w:t>
            </w:r>
            <w:r>
              <w:rPr>
                <w:rFonts w:hint="eastAsia" w:cs="Times New Roman"/>
                <w:bCs/>
                <w:color w:val="auto"/>
                <w:sz w:val="36"/>
                <w:szCs w:val="36"/>
                <w:u w:val="single"/>
                <w:lang w:val="en-US" w:eastAsia="zh-CN"/>
              </w:rPr>
              <w:t>12</w:t>
            </w:r>
            <w:r>
              <w:rPr>
                <w:rFonts w:hint="default" w:ascii="Times New Roman" w:hAnsi="Times New Roman" w:eastAsia="宋体" w:cs="Times New Roman"/>
                <w:bCs/>
                <w:color w:val="auto"/>
                <w:sz w:val="36"/>
                <w:szCs w:val="36"/>
                <w:u w:val="single"/>
                <w:lang w:val="en-US" w:eastAsia="zh-CN"/>
              </w:rPr>
              <w:t>月</w:t>
            </w:r>
          </w:p>
        </w:tc>
      </w:tr>
    </w:tbl>
    <w:p w14:paraId="5A97D313">
      <w:pPr>
        <w:adjustRightInd w:val="0"/>
        <w:snapToGrid w:val="0"/>
        <w:spacing w:line="288" w:lineRule="auto"/>
        <w:ind w:firstLine="1040"/>
        <w:rPr>
          <w:rFonts w:ascii="仿宋_GB2312" w:eastAsia="仿宋_GB2312"/>
          <w:color w:val="auto"/>
          <w:sz w:val="36"/>
          <w:szCs w:val="36"/>
          <w:u w:val="single"/>
        </w:rPr>
      </w:pPr>
    </w:p>
    <w:p w14:paraId="09757477">
      <w:pPr>
        <w:adjustRightInd w:val="0"/>
        <w:snapToGrid w:val="0"/>
        <w:spacing w:line="288" w:lineRule="auto"/>
        <w:ind w:firstLine="1040"/>
        <w:rPr>
          <w:rFonts w:ascii="仿宋_GB2312" w:eastAsia="仿宋_GB2312"/>
          <w:color w:val="auto"/>
          <w:sz w:val="36"/>
          <w:szCs w:val="36"/>
        </w:rPr>
      </w:pPr>
    </w:p>
    <w:p w14:paraId="591ACF87">
      <w:pPr>
        <w:adjustRightInd w:val="0"/>
        <w:snapToGrid w:val="0"/>
        <w:spacing w:line="288" w:lineRule="auto"/>
        <w:ind w:firstLine="1040"/>
        <w:rPr>
          <w:rFonts w:ascii="仿宋_GB2312" w:eastAsia="仿宋_GB2312"/>
          <w:color w:val="auto"/>
          <w:sz w:val="36"/>
          <w:szCs w:val="36"/>
        </w:rPr>
      </w:pPr>
    </w:p>
    <w:p w14:paraId="22F5A29E">
      <w:pPr>
        <w:adjustRightInd w:val="0"/>
        <w:snapToGrid w:val="0"/>
        <w:spacing w:line="288" w:lineRule="auto"/>
        <w:ind w:firstLine="1040"/>
        <w:rPr>
          <w:rFonts w:hint="eastAsia" w:ascii="仿宋_GB2312" w:eastAsia="仿宋_GB2312"/>
          <w:color w:val="auto"/>
          <w:sz w:val="36"/>
          <w:szCs w:val="36"/>
        </w:rPr>
      </w:pPr>
    </w:p>
    <w:p w14:paraId="59B942AF">
      <w:pPr>
        <w:adjustRightInd w:val="0"/>
        <w:snapToGrid w:val="0"/>
        <w:spacing w:line="288" w:lineRule="auto"/>
        <w:ind w:firstLine="1040"/>
        <w:rPr>
          <w:rFonts w:hint="eastAsia" w:ascii="仿宋_GB2312" w:eastAsia="仿宋_GB2312"/>
          <w:color w:val="auto"/>
          <w:sz w:val="36"/>
          <w:szCs w:val="36"/>
        </w:rPr>
      </w:pPr>
    </w:p>
    <w:bookmarkEnd w:id="0"/>
    <w:p w14:paraId="42BC73DE">
      <w:pPr>
        <w:adjustRightInd w:val="0"/>
        <w:snapToGrid w:val="0"/>
        <w:spacing w:line="288" w:lineRule="auto"/>
        <w:jc w:val="center"/>
        <w:outlineLvl w:val="9"/>
        <w:rPr>
          <w:rFonts w:hint="eastAsia" w:ascii="楷体_GB2312" w:eastAsia="楷体_GB2312"/>
          <w:color w:val="auto"/>
          <w:sz w:val="36"/>
          <w:szCs w:val="36"/>
        </w:rPr>
      </w:pPr>
      <w:r>
        <w:rPr>
          <w:rFonts w:hint="eastAsia" w:ascii="楷体_GB2312" w:eastAsia="楷体_GB2312"/>
          <w:color w:val="auto"/>
          <w:sz w:val="36"/>
          <w:szCs w:val="36"/>
        </w:rPr>
        <w:t>中华人民共和国生态环境部制</w:t>
      </w:r>
    </w:p>
    <w:p w14:paraId="39133393">
      <w:pPr>
        <w:adjustRightInd w:val="0"/>
        <w:snapToGrid w:val="0"/>
        <w:spacing w:line="288" w:lineRule="auto"/>
        <w:ind w:firstLine="1040"/>
        <w:rPr>
          <w:rFonts w:ascii="仿宋_GB2312" w:eastAsia="仿宋_GB2312"/>
          <w:color w:val="auto"/>
          <w:sz w:val="36"/>
          <w:szCs w:val="36"/>
        </w:rPr>
        <w:sectPr>
          <w:headerReference r:id="rId3" w:type="default"/>
          <w:footerReference r:id="rId4" w:type="default"/>
          <w:footerReference r:id="rId5" w:type="even"/>
          <w:pgSz w:w="11906" w:h="16838"/>
          <w:pgMar w:top="1701" w:right="1531" w:bottom="1701" w:left="1531" w:header="851" w:footer="1077" w:gutter="0"/>
          <w:pgNumType w:start="3"/>
          <w:cols w:space="720" w:num="1"/>
          <w:docGrid w:linePitch="312" w:charSpace="0"/>
        </w:sectPr>
      </w:pPr>
    </w:p>
    <w:p w14:paraId="588C53F2">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643" w:firstLineChars="200"/>
        <w:jc w:val="center"/>
        <w:textAlignment w:val="auto"/>
        <w:rPr>
          <w:rFonts w:hint="default" w:ascii="Times New Roman" w:hAnsi="Times New Roman" w:eastAsia="宋体" w:cs="Times New Roman"/>
          <w:b/>
          <w:bCs/>
          <w:color w:val="auto"/>
          <w:sz w:val="32"/>
          <w:szCs w:val="32"/>
          <w:lang w:val="en-US" w:eastAsia="zh-CN"/>
        </w:rPr>
      </w:pPr>
      <w:r>
        <w:rPr>
          <w:rFonts w:hint="eastAsia" w:cs="Times New Roman"/>
          <w:b/>
          <w:bCs/>
          <w:color w:val="auto"/>
          <w:sz w:val="32"/>
          <w:szCs w:val="32"/>
          <w:lang w:val="en-US" w:eastAsia="zh-CN"/>
        </w:rPr>
        <w:t>前言</w:t>
      </w:r>
    </w:p>
    <w:p w14:paraId="5309EEF3">
      <w:pPr>
        <w:keepNext w:val="0"/>
        <w:keepLines w:val="0"/>
        <w:pageBreakBefore w:val="0"/>
        <w:widowControl w:val="0"/>
        <w:kinsoku/>
        <w:wordWrap/>
        <w:overflowPunct/>
        <w:topLinePunct w:val="0"/>
        <w:autoSpaceDE/>
        <w:autoSpaceDN/>
        <w:bidi w:val="0"/>
        <w:adjustRightInd/>
        <w:snapToGrid w:val="0"/>
        <w:spacing w:line="360" w:lineRule="auto"/>
        <w:ind w:firstLine="482" w:firstLineChars="200"/>
        <w:jc w:val="both"/>
        <w:textAlignment w:val="auto"/>
        <w:rPr>
          <w:rFonts w:hint="default"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一、项目由来</w:t>
      </w:r>
    </w:p>
    <w:p w14:paraId="06E43A9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cs="Times New Roman"/>
          <w:color w:val="auto"/>
          <w:kern w:val="2"/>
          <w:sz w:val="24"/>
          <w:szCs w:val="24"/>
          <w:lang w:val="en-US" w:eastAsia="zh-CN" w:bidi="ar-SA"/>
        </w:rPr>
      </w:pPr>
      <w:r>
        <w:rPr>
          <w:rFonts w:hint="eastAsia" w:cs="Times New Roman"/>
          <w:color w:val="auto"/>
          <w:kern w:val="2"/>
          <w:sz w:val="24"/>
          <w:szCs w:val="24"/>
          <w:lang w:val="en-US" w:eastAsia="zh-CN" w:bidi="ar-SA"/>
        </w:rPr>
        <w:t>华宁县白塔山陶器厂</w:t>
      </w:r>
      <w:r>
        <w:rPr>
          <w:rFonts w:hint="default" w:ascii="Times New Roman" w:hAnsi="Times New Roman" w:eastAsia="宋体" w:cs="Times New Roman"/>
          <w:color w:val="auto"/>
          <w:kern w:val="2"/>
          <w:sz w:val="24"/>
          <w:szCs w:val="24"/>
          <w:lang w:val="en-US" w:eastAsia="zh-CN" w:bidi="ar-SA"/>
        </w:rPr>
        <w:t>是一家</w:t>
      </w:r>
      <w:r>
        <w:rPr>
          <w:rFonts w:hint="eastAsia" w:cs="Times New Roman"/>
          <w:color w:val="auto"/>
          <w:kern w:val="2"/>
          <w:sz w:val="24"/>
          <w:szCs w:val="24"/>
          <w:lang w:val="en-US" w:eastAsia="zh-CN" w:bidi="ar-SA"/>
        </w:rPr>
        <w:t>从事日用生活陶、工艺建筑陶、砖瓦制造、销售</w:t>
      </w:r>
      <w:r>
        <w:rPr>
          <w:rFonts w:hint="default" w:ascii="Times New Roman" w:hAnsi="Times New Roman" w:eastAsia="宋体" w:cs="Times New Roman"/>
          <w:color w:val="auto"/>
          <w:kern w:val="2"/>
          <w:sz w:val="24"/>
          <w:szCs w:val="24"/>
          <w:lang w:val="en-US" w:eastAsia="zh-CN" w:bidi="ar-SA"/>
        </w:rPr>
        <w:t>的企业。</w:t>
      </w:r>
      <w:r>
        <w:rPr>
          <w:rFonts w:hint="eastAsia" w:cs="Times New Roman"/>
          <w:color w:val="auto"/>
          <w:sz w:val="24"/>
          <w:szCs w:val="24"/>
          <w:lang w:val="en-US" w:eastAsia="zh-CN"/>
        </w:rPr>
        <w:t>华宁县白塔山陶器厂（新厂）位于云南省玉溪市华宁县</w:t>
      </w:r>
      <w:r>
        <w:rPr>
          <w:rFonts w:hint="default" w:ascii="Times New Roman" w:hAnsi="Times New Roman" w:cs="Times New Roman"/>
          <w:color w:val="auto"/>
          <w:sz w:val="24"/>
          <w:szCs w:val="24"/>
          <w:lang w:val="en-US" w:eastAsia="zh-CN"/>
        </w:rPr>
        <w:t>宁州街道上村社区松树地</w:t>
      </w:r>
      <w:r>
        <w:rPr>
          <w:rFonts w:hint="eastAsia" w:cs="Times New Roman"/>
          <w:color w:val="auto"/>
          <w:sz w:val="24"/>
          <w:szCs w:val="24"/>
          <w:lang w:val="en-US" w:eastAsia="zh-CN"/>
        </w:rPr>
        <w:t>，</w:t>
      </w:r>
      <w:r>
        <w:rPr>
          <w:rFonts w:hint="default" w:ascii="Times New Roman" w:hAnsi="Times New Roman" w:eastAsia="宋体" w:cs="Times New Roman"/>
          <w:color w:val="auto"/>
          <w:kern w:val="2"/>
          <w:sz w:val="24"/>
          <w:szCs w:val="24"/>
          <w:lang w:val="en-US" w:eastAsia="zh-CN" w:bidi="ar-SA"/>
        </w:rPr>
        <w:t>于</w:t>
      </w:r>
      <w:r>
        <w:rPr>
          <w:rFonts w:hint="eastAsia" w:cs="Times New Roman"/>
          <w:color w:val="auto"/>
          <w:kern w:val="2"/>
          <w:sz w:val="24"/>
          <w:szCs w:val="24"/>
          <w:lang w:val="en-US" w:eastAsia="zh-CN" w:bidi="ar-SA"/>
        </w:rPr>
        <w:t>2018年底建成年产</w:t>
      </w:r>
      <w:r>
        <w:rPr>
          <w:rFonts w:hint="eastAsia" w:cs="Times New Roman"/>
          <w:color w:val="auto"/>
          <w:kern w:val="2"/>
          <w:sz w:val="24"/>
          <w:szCs w:val="24"/>
          <w:lang w:val="en-US" w:eastAsia="zh-CN" w:bidi="ar-SA"/>
        </w:rPr>
        <w:t>900万件陶瓷器的产能。</w:t>
      </w:r>
      <w:r>
        <w:rPr>
          <w:rFonts w:hint="default" w:ascii="Times New Roman" w:hAnsi="Times New Roman" w:eastAsia="宋体" w:cs="Times New Roman"/>
          <w:color w:val="auto"/>
          <w:kern w:val="2"/>
          <w:sz w:val="24"/>
          <w:szCs w:val="24"/>
          <w:lang w:val="en-US" w:eastAsia="zh-CN" w:bidi="ar-SA"/>
        </w:rPr>
        <w:t>20</w:t>
      </w:r>
      <w:r>
        <w:rPr>
          <w:rFonts w:hint="eastAsia" w:cs="Times New Roman"/>
          <w:color w:val="auto"/>
          <w:kern w:val="2"/>
          <w:sz w:val="24"/>
          <w:szCs w:val="24"/>
          <w:lang w:val="en-US" w:eastAsia="zh-CN" w:bidi="ar-SA"/>
        </w:rPr>
        <w:t>20</w:t>
      </w:r>
      <w:r>
        <w:rPr>
          <w:rFonts w:hint="default" w:ascii="Times New Roman" w:hAnsi="Times New Roman" w:eastAsia="宋体" w:cs="Times New Roman"/>
          <w:color w:val="auto"/>
          <w:kern w:val="2"/>
          <w:sz w:val="24"/>
          <w:szCs w:val="24"/>
          <w:lang w:val="en-US" w:eastAsia="zh-CN" w:bidi="ar-SA"/>
        </w:rPr>
        <w:t>年</w:t>
      </w:r>
      <w:r>
        <w:rPr>
          <w:rFonts w:hint="eastAsia" w:cs="Times New Roman"/>
          <w:color w:val="auto"/>
          <w:kern w:val="2"/>
          <w:sz w:val="24"/>
          <w:szCs w:val="24"/>
          <w:lang w:val="en-US" w:eastAsia="zh-CN" w:bidi="ar-SA"/>
        </w:rPr>
        <w:t>7</w:t>
      </w:r>
      <w:r>
        <w:rPr>
          <w:rFonts w:hint="default" w:ascii="Times New Roman" w:hAnsi="Times New Roman" w:eastAsia="宋体" w:cs="Times New Roman"/>
          <w:color w:val="auto"/>
          <w:kern w:val="2"/>
          <w:sz w:val="24"/>
          <w:szCs w:val="24"/>
          <w:lang w:val="en-US" w:eastAsia="zh-CN" w:bidi="ar-SA"/>
        </w:rPr>
        <w:t>月</w:t>
      </w:r>
      <w:r>
        <w:rPr>
          <w:rFonts w:hint="eastAsia" w:cs="Times New Roman"/>
          <w:color w:val="auto"/>
          <w:kern w:val="2"/>
          <w:sz w:val="24"/>
          <w:szCs w:val="24"/>
          <w:lang w:val="en-US" w:eastAsia="zh-CN" w:bidi="ar-SA"/>
        </w:rPr>
        <w:t>20日被华宁县环境监测大队查处，在未办理环境影响评价手续的情况下，擅自开工建设，建有厂房和3座土窑；2020年10月9日玉溪市生态环境局华宁分局对华宁县白塔山陶器厂下达《行政处罚决定书》，文号：华环罚[2020]8号，停止厂房建设并罚款15万元整；华宁县白塔山陶器厂于2020年10月22日缴纳罚款15万元整。</w:t>
      </w:r>
    </w:p>
    <w:p w14:paraId="69AB0ED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cs="Times New Roman"/>
          <w:color w:val="auto"/>
          <w:kern w:val="2"/>
          <w:sz w:val="24"/>
          <w:szCs w:val="24"/>
          <w:lang w:val="en-US" w:eastAsia="zh-CN" w:bidi="ar-SA"/>
        </w:rPr>
      </w:pPr>
      <w:r>
        <w:rPr>
          <w:rFonts w:hint="eastAsia" w:cs="Times New Roman"/>
          <w:color w:val="auto"/>
          <w:kern w:val="2"/>
          <w:sz w:val="24"/>
          <w:szCs w:val="24"/>
          <w:lang w:val="en-US" w:eastAsia="zh-CN" w:bidi="ar-SA"/>
        </w:rPr>
        <w:t>根据</w:t>
      </w:r>
      <w:r>
        <w:rPr>
          <w:rFonts w:hint="eastAsia" w:ascii="Times New Roman" w:hAnsi="Times New Roman" w:eastAsia="宋体" w:cs="Times New Roman"/>
          <w:color w:val="auto"/>
          <w:kern w:val="2"/>
          <w:sz w:val="24"/>
          <w:szCs w:val="24"/>
          <w:lang w:val="en-US" w:eastAsia="zh-CN" w:bidi="ar-SA"/>
        </w:rPr>
        <w:t>2022年10月2日华宁县人民政府办公室发布的《华宁县人民政府办公室关于印发华宁县青砖瓦生产企业整治工作方案的通知》（华政办通〔2022〕38号），</w:t>
      </w:r>
      <w:r>
        <w:rPr>
          <w:rFonts w:hint="eastAsia" w:cs="Times New Roman"/>
          <w:color w:val="auto"/>
          <w:sz w:val="24"/>
          <w:szCs w:val="24"/>
          <w:lang w:val="en-US" w:eastAsia="zh-CN"/>
        </w:rPr>
        <w:t>华宁县白塔山陶器厂（老厂）已经依法关闭退出</w:t>
      </w:r>
      <w:r>
        <w:rPr>
          <w:rFonts w:hint="eastAsia" w:cs="Times New Roman"/>
          <w:color w:val="auto"/>
          <w:kern w:val="2"/>
          <w:sz w:val="24"/>
          <w:szCs w:val="24"/>
          <w:lang w:val="en-US" w:eastAsia="zh-CN" w:bidi="ar-SA"/>
        </w:rPr>
        <w:t>；</w:t>
      </w:r>
      <w:r>
        <w:rPr>
          <w:rFonts w:hint="eastAsia" w:cs="Times New Roman"/>
          <w:color w:val="auto"/>
          <w:sz w:val="24"/>
          <w:szCs w:val="24"/>
          <w:lang w:val="en-US" w:eastAsia="zh-CN"/>
        </w:rPr>
        <w:t>华宁县白塔山陶器厂（新厂）</w:t>
      </w:r>
      <w:r>
        <w:rPr>
          <w:rFonts w:hint="eastAsia" w:cs="Times New Roman"/>
          <w:color w:val="auto"/>
          <w:kern w:val="2"/>
          <w:sz w:val="24"/>
          <w:szCs w:val="24"/>
          <w:lang w:val="en-US" w:eastAsia="zh-CN" w:bidi="ar-SA"/>
        </w:rPr>
        <w:t>属于需要巩固提升的青砖瓦企业，</w:t>
      </w:r>
      <w:r>
        <w:rPr>
          <w:rFonts w:hint="eastAsia" w:ascii="Times New Roman" w:hAnsi="Times New Roman" w:eastAsia="宋体" w:cs="Times New Roman"/>
          <w:color w:val="auto"/>
          <w:kern w:val="2"/>
          <w:sz w:val="24"/>
          <w:szCs w:val="24"/>
          <w:lang w:val="en-US" w:eastAsia="zh-CN" w:bidi="ar-SA"/>
        </w:rPr>
        <w:t>需按照要求安装环保设施设备并正常运行，确保排放达标后方可生产，</w:t>
      </w:r>
      <w:r>
        <w:rPr>
          <w:rFonts w:hint="eastAsia" w:cs="Times New Roman"/>
          <w:color w:val="auto"/>
          <w:kern w:val="2"/>
          <w:sz w:val="24"/>
          <w:szCs w:val="24"/>
          <w:lang w:val="en-US" w:eastAsia="zh-CN" w:bidi="ar-SA"/>
        </w:rPr>
        <w:t>产能为900万件建筑用陶器，</w:t>
      </w:r>
      <w:r>
        <w:rPr>
          <w:rFonts w:hint="eastAsia"/>
          <w:b w:val="0"/>
          <w:bCs/>
          <w:color w:val="auto"/>
          <w:sz w:val="24"/>
          <w:szCs w:val="24"/>
          <w:lang w:val="en-US" w:eastAsia="zh-CN"/>
        </w:rPr>
        <w:t>项目性质为改建</w:t>
      </w:r>
      <w:r>
        <w:rPr>
          <w:rFonts w:hint="eastAsia" w:cs="Times New Roman"/>
          <w:color w:val="auto"/>
          <w:kern w:val="2"/>
          <w:sz w:val="24"/>
          <w:szCs w:val="24"/>
          <w:lang w:val="en-US" w:eastAsia="zh-CN" w:bidi="ar-SA"/>
        </w:rPr>
        <w:t>；</w:t>
      </w:r>
      <w:r>
        <w:rPr>
          <w:rFonts w:hint="eastAsia" w:cs="Times New Roman"/>
          <w:color w:val="auto"/>
          <w:sz w:val="24"/>
          <w:szCs w:val="24"/>
          <w:lang w:val="en-US" w:eastAsia="zh-CN"/>
        </w:rPr>
        <w:t>本次评价的范围为华宁县白塔山陶器厂（新厂），位于云南省玉溪市华宁县</w:t>
      </w:r>
      <w:r>
        <w:rPr>
          <w:rFonts w:hint="default" w:ascii="Times New Roman" w:hAnsi="Times New Roman" w:cs="Times New Roman"/>
          <w:color w:val="auto"/>
          <w:sz w:val="24"/>
          <w:szCs w:val="24"/>
          <w:lang w:val="en-US" w:eastAsia="zh-CN"/>
        </w:rPr>
        <w:t>宁州街道上村社区松树地</w:t>
      </w:r>
      <w:r>
        <w:rPr>
          <w:rFonts w:hint="eastAsia" w:cs="Times New Roman"/>
          <w:color w:val="auto"/>
          <w:kern w:val="2"/>
          <w:sz w:val="24"/>
          <w:szCs w:val="24"/>
          <w:lang w:val="en-US" w:eastAsia="zh-CN" w:bidi="ar-SA"/>
        </w:rPr>
        <w:t>。</w:t>
      </w:r>
    </w:p>
    <w:p w14:paraId="13755368">
      <w:pPr>
        <w:keepNext w:val="0"/>
        <w:keepLines w:val="0"/>
        <w:pageBreakBefore w:val="0"/>
        <w:widowControl w:val="0"/>
        <w:kinsoku/>
        <w:wordWrap/>
        <w:overflowPunct/>
        <w:topLinePunct w:val="0"/>
        <w:autoSpaceDE/>
        <w:autoSpaceDN/>
        <w:bidi w:val="0"/>
        <w:adjustRightInd/>
        <w:snapToGrid w:val="0"/>
        <w:spacing w:line="360" w:lineRule="auto"/>
        <w:ind w:firstLine="482" w:firstLineChars="200"/>
        <w:jc w:val="both"/>
        <w:textAlignment w:val="auto"/>
        <w:rPr>
          <w:rFonts w:hint="default"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二、企业土地使用手续办理</w:t>
      </w:r>
    </w:p>
    <w:p w14:paraId="65A5E0B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企业于2021年通过国有土地出让，取得《不动产权证》，文号：云（2021）华宁县不动产权第0000286号，厂区规划工业用地10624.66㎡；2025年2月21日取得了华宁县自然资源局出具的《华宁县2025年度第一批次村庄建设用地》的缴费通知，企业依法缴纳费用，取得了0.8928公顷的建设用地使用权；全厂合计占地面积为19552.66㎡。2025年8月25日取得了华宁自然资源局出具的《关于华宁县白塔山陶器厂年产900万件建筑陶器项目“三区三线”的查询情况》，本项目不占用生态红线、永久基本农田；项目不在城镇开发边界范围内。</w:t>
      </w:r>
    </w:p>
    <w:p w14:paraId="0274B74C">
      <w:pPr>
        <w:keepNext w:val="0"/>
        <w:keepLines w:val="0"/>
        <w:pageBreakBefore w:val="0"/>
        <w:widowControl w:val="0"/>
        <w:kinsoku/>
        <w:wordWrap/>
        <w:overflowPunct/>
        <w:topLinePunct w:val="0"/>
        <w:autoSpaceDE/>
        <w:autoSpaceDN/>
        <w:bidi w:val="0"/>
        <w:adjustRightInd/>
        <w:snapToGrid w:val="0"/>
        <w:spacing w:line="360" w:lineRule="auto"/>
        <w:ind w:firstLine="482" w:firstLineChars="200"/>
        <w:jc w:val="both"/>
        <w:textAlignment w:val="auto"/>
        <w:rPr>
          <w:rFonts w:hint="default" w:ascii="Times New Roman" w:hAnsi="Times New Roman" w:eastAsia="宋体"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三、项目立项</w:t>
      </w:r>
    </w:p>
    <w:p w14:paraId="6B2D7DA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202</w:t>
      </w:r>
      <w:r>
        <w:rPr>
          <w:rFonts w:hint="eastAsia" w:cs="Times New Roman"/>
          <w:color w:val="auto"/>
          <w:kern w:val="2"/>
          <w:sz w:val="24"/>
          <w:szCs w:val="24"/>
          <w:lang w:val="en-US" w:eastAsia="zh-CN" w:bidi="ar-SA"/>
        </w:rPr>
        <w:t>4</w:t>
      </w:r>
      <w:r>
        <w:rPr>
          <w:rFonts w:hint="default" w:ascii="Times New Roman" w:hAnsi="Times New Roman" w:eastAsia="宋体" w:cs="Times New Roman"/>
          <w:color w:val="auto"/>
          <w:kern w:val="2"/>
          <w:sz w:val="24"/>
          <w:szCs w:val="24"/>
          <w:lang w:val="en-US" w:eastAsia="zh-CN" w:bidi="ar-SA"/>
        </w:rPr>
        <w:t>年</w:t>
      </w:r>
      <w:r>
        <w:rPr>
          <w:rFonts w:hint="eastAsia" w:cs="Times New Roman"/>
          <w:color w:val="auto"/>
          <w:kern w:val="2"/>
          <w:sz w:val="24"/>
          <w:szCs w:val="24"/>
          <w:lang w:val="en-US" w:eastAsia="zh-CN" w:bidi="ar-SA"/>
        </w:rPr>
        <w:t>9</w:t>
      </w:r>
      <w:r>
        <w:rPr>
          <w:rFonts w:hint="default" w:ascii="Times New Roman" w:hAnsi="Times New Roman" w:eastAsia="宋体" w:cs="Times New Roman"/>
          <w:color w:val="auto"/>
          <w:kern w:val="2"/>
          <w:sz w:val="24"/>
          <w:szCs w:val="24"/>
          <w:lang w:val="en-US" w:eastAsia="zh-CN" w:bidi="ar-SA"/>
        </w:rPr>
        <w:t>月</w:t>
      </w:r>
      <w:r>
        <w:rPr>
          <w:rFonts w:hint="eastAsia" w:ascii="Times New Roman" w:hAnsi="Times New Roman" w:eastAsia="宋体" w:cs="Times New Roman"/>
          <w:color w:val="auto"/>
          <w:kern w:val="2"/>
          <w:sz w:val="24"/>
          <w:szCs w:val="24"/>
          <w:lang w:val="en-US" w:eastAsia="zh-CN" w:bidi="ar-SA"/>
        </w:rPr>
        <w:t>2</w:t>
      </w:r>
      <w:r>
        <w:rPr>
          <w:rFonts w:hint="eastAsia" w:cs="Times New Roman"/>
          <w:color w:val="auto"/>
          <w:kern w:val="2"/>
          <w:sz w:val="24"/>
          <w:szCs w:val="24"/>
          <w:lang w:val="en-US" w:eastAsia="zh-CN" w:bidi="ar-SA"/>
        </w:rPr>
        <w:t>5</w:t>
      </w:r>
      <w:r>
        <w:rPr>
          <w:rFonts w:hint="default" w:ascii="Times New Roman" w:hAnsi="Times New Roman" w:eastAsia="宋体" w:cs="Times New Roman"/>
          <w:color w:val="auto"/>
          <w:kern w:val="2"/>
          <w:sz w:val="24"/>
          <w:szCs w:val="24"/>
          <w:lang w:val="en-US" w:eastAsia="zh-CN" w:bidi="ar-SA"/>
        </w:rPr>
        <w:t>日，</w:t>
      </w:r>
      <w:r>
        <w:rPr>
          <w:rFonts w:hint="eastAsia" w:cs="Times New Roman"/>
          <w:color w:val="auto"/>
          <w:kern w:val="2"/>
          <w:sz w:val="24"/>
          <w:szCs w:val="24"/>
          <w:lang w:val="en-US" w:eastAsia="zh-CN" w:bidi="ar-SA"/>
        </w:rPr>
        <w:t>华宁县白塔山陶器厂取得了华宁县发展和改革局出具的</w:t>
      </w:r>
      <w:r>
        <w:rPr>
          <w:rFonts w:hint="default" w:ascii="Times New Roman" w:hAnsi="Times New Roman" w:eastAsia="宋体" w:cs="Times New Roman"/>
          <w:color w:val="auto"/>
          <w:kern w:val="2"/>
          <w:sz w:val="24"/>
          <w:szCs w:val="24"/>
          <w:lang w:val="en-US" w:eastAsia="zh-CN" w:bidi="ar-SA"/>
        </w:rPr>
        <w:t>《华宁县发展和改革局投资项目备案证》，项目代码：</w:t>
      </w:r>
      <w:r>
        <w:rPr>
          <w:rFonts w:hint="eastAsia" w:cs="Times New Roman"/>
          <w:color w:val="auto"/>
          <w:kern w:val="2"/>
          <w:sz w:val="24"/>
          <w:szCs w:val="24"/>
          <w:lang w:val="en-US" w:eastAsia="zh-CN" w:bidi="ar-SA"/>
        </w:rPr>
        <w:t>2409-530424-04-01-798553</w:t>
      </w:r>
      <w:r>
        <w:rPr>
          <w:rFonts w:hint="default" w:ascii="Times New Roman" w:hAnsi="Times New Roman" w:eastAsia="宋体" w:cs="Times New Roman"/>
          <w:color w:val="auto"/>
          <w:kern w:val="2"/>
          <w:sz w:val="24"/>
          <w:szCs w:val="24"/>
          <w:lang w:val="en-US" w:eastAsia="zh-CN" w:bidi="ar-SA"/>
        </w:rPr>
        <w:t>。</w:t>
      </w:r>
    </w:p>
    <w:p w14:paraId="7E02F208">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cs="Times New Roman"/>
          <w:color w:val="auto"/>
          <w:kern w:val="2"/>
          <w:sz w:val="24"/>
          <w:szCs w:val="24"/>
          <w:lang w:val="en-US" w:eastAsia="zh-CN" w:bidi="ar-SA"/>
        </w:rPr>
      </w:pPr>
      <w:r>
        <w:rPr>
          <w:rFonts w:hint="eastAsia" w:cs="Times New Roman"/>
          <w:color w:val="auto"/>
          <w:kern w:val="2"/>
          <w:sz w:val="24"/>
          <w:szCs w:val="24"/>
          <w:lang w:val="en-US" w:eastAsia="zh-CN" w:bidi="ar-SA"/>
        </w:rPr>
        <w:t>华宁县白塔山陶器厂</w:t>
      </w:r>
      <w:r>
        <w:rPr>
          <w:rFonts w:hint="default" w:ascii="Times New Roman" w:hAnsi="Times New Roman" w:eastAsia="宋体" w:cs="Times New Roman"/>
          <w:color w:val="auto"/>
          <w:kern w:val="2"/>
          <w:sz w:val="24"/>
          <w:szCs w:val="24"/>
          <w:lang w:val="en-US" w:eastAsia="zh-CN" w:bidi="ar-SA"/>
        </w:rPr>
        <w:t>拟投资建设</w:t>
      </w:r>
      <w:r>
        <w:rPr>
          <w:rFonts w:hint="eastAsia" w:cs="Times New Roman"/>
          <w:color w:val="auto"/>
          <w:kern w:val="2"/>
          <w:sz w:val="24"/>
          <w:szCs w:val="24"/>
          <w:lang w:val="en-US" w:eastAsia="zh-CN" w:bidi="ar-SA"/>
        </w:rPr>
        <w:t>6座</w:t>
      </w:r>
      <w:r>
        <w:rPr>
          <w:rFonts w:hint="default" w:ascii="Times New Roman" w:hAnsi="Times New Roman" w:eastAsia="宋体" w:cs="Times New Roman"/>
          <w:color w:val="auto"/>
          <w:kern w:val="2"/>
          <w:sz w:val="24"/>
          <w:szCs w:val="24"/>
          <w:lang w:val="en-US" w:eastAsia="zh-CN" w:bidi="ar-SA"/>
        </w:rPr>
        <w:t>梭式窑生产仿古砖瓦，规划建设</w:t>
      </w:r>
      <w:r>
        <w:rPr>
          <w:rFonts w:hint="eastAsia" w:cs="Times New Roman"/>
          <w:color w:val="auto"/>
          <w:kern w:val="2"/>
          <w:sz w:val="24"/>
          <w:szCs w:val="24"/>
          <w:lang w:val="en-US" w:eastAsia="zh-CN" w:bidi="ar-SA"/>
        </w:rPr>
        <w:t>原料车间、陈化</w:t>
      </w:r>
      <w:r>
        <w:rPr>
          <w:rFonts w:hint="default" w:ascii="Times New Roman" w:hAnsi="Times New Roman" w:eastAsia="宋体" w:cs="Times New Roman"/>
          <w:color w:val="auto"/>
          <w:kern w:val="2"/>
          <w:sz w:val="24"/>
          <w:szCs w:val="24"/>
          <w:lang w:val="en-US" w:eastAsia="zh-CN" w:bidi="ar-SA"/>
        </w:rPr>
        <w:t>车间、</w:t>
      </w:r>
      <w:r>
        <w:rPr>
          <w:rFonts w:hint="eastAsia" w:cs="Times New Roman"/>
          <w:color w:val="auto"/>
          <w:kern w:val="2"/>
          <w:sz w:val="24"/>
          <w:szCs w:val="24"/>
          <w:lang w:val="en-US" w:eastAsia="zh-CN" w:bidi="ar-SA"/>
        </w:rPr>
        <w:t>制坯车间、</w:t>
      </w:r>
      <w:r>
        <w:rPr>
          <w:rFonts w:hint="default" w:ascii="Times New Roman" w:hAnsi="Times New Roman" w:eastAsia="宋体" w:cs="Times New Roman"/>
          <w:color w:val="auto"/>
          <w:kern w:val="2"/>
          <w:sz w:val="24"/>
          <w:szCs w:val="24"/>
          <w:lang w:val="en-US" w:eastAsia="zh-CN" w:bidi="ar-SA"/>
        </w:rPr>
        <w:t>烧成车间、</w:t>
      </w:r>
      <w:r>
        <w:rPr>
          <w:rFonts w:hint="eastAsia" w:cs="Times New Roman"/>
          <w:color w:val="auto"/>
          <w:kern w:val="2"/>
          <w:sz w:val="24"/>
          <w:szCs w:val="24"/>
          <w:lang w:val="en-US" w:eastAsia="zh-CN" w:bidi="ar-SA"/>
        </w:rPr>
        <w:t>晾干车间</w:t>
      </w:r>
      <w:r>
        <w:rPr>
          <w:rFonts w:hint="default" w:cs="Times New Roman"/>
          <w:color w:val="auto"/>
          <w:kern w:val="2"/>
          <w:sz w:val="24"/>
          <w:szCs w:val="24"/>
          <w:lang w:val="en-US" w:eastAsia="zh-CN" w:bidi="ar-SA"/>
        </w:rPr>
        <w:t>、成品</w:t>
      </w:r>
      <w:r>
        <w:rPr>
          <w:rFonts w:hint="eastAsia" w:cs="Times New Roman"/>
          <w:color w:val="auto"/>
          <w:kern w:val="2"/>
          <w:sz w:val="24"/>
          <w:szCs w:val="24"/>
          <w:lang w:val="en-US" w:eastAsia="zh-CN" w:bidi="ar-SA"/>
        </w:rPr>
        <w:t>车间</w:t>
      </w:r>
      <w:r>
        <w:rPr>
          <w:rFonts w:hint="default" w:cs="Times New Roman"/>
          <w:color w:val="auto"/>
          <w:kern w:val="2"/>
          <w:sz w:val="24"/>
          <w:szCs w:val="24"/>
          <w:lang w:val="en-US" w:eastAsia="zh-CN" w:bidi="ar-SA"/>
        </w:rPr>
        <w:t>及配套的环保设施</w:t>
      </w:r>
      <w:r>
        <w:rPr>
          <w:rFonts w:hint="eastAsia" w:cs="Times New Roman"/>
          <w:color w:val="auto"/>
          <w:kern w:val="2"/>
          <w:sz w:val="24"/>
          <w:szCs w:val="24"/>
          <w:lang w:val="en-US" w:eastAsia="zh-CN" w:bidi="ar-SA"/>
        </w:rPr>
        <w:t>等，</w:t>
      </w:r>
      <w:r>
        <w:rPr>
          <w:rFonts w:hint="default" w:cs="Times New Roman"/>
          <w:color w:val="auto"/>
          <w:kern w:val="2"/>
          <w:sz w:val="24"/>
          <w:szCs w:val="24"/>
          <w:lang w:val="en-US" w:eastAsia="zh-CN" w:bidi="ar-SA"/>
        </w:rPr>
        <w:t>其中烧成车间设置6个梭式窑</w:t>
      </w:r>
      <w:r>
        <w:rPr>
          <w:rFonts w:hint="eastAsia" w:cs="Times New Roman"/>
          <w:color w:val="auto"/>
          <w:kern w:val="2"/>
          <w:sz w:val="24"/>
          <w:szCs w:val="24"/>
          <w:lang w:val="en-US" w:eastAsia="zh-CN" w:bidi="ar-SA"/>
        </w:rPr>
        <w:t>，</w:t>
      </w:r>
      <w:r>
        <w:rPr>
          <w:rFonts w:hint="default" w:cs="Times New Roman"/>
          <w:color w:val="auto"/>
          <w:kern w:val="2"/>
          <w:sz w:val="24"/>
          <w:szCs w:val="24"/>
          <w:lang w:val="en-US" w:eastAsia="zh-CN" w:bidi="ar-SA"/>
        </w:rPr>
        <w:t>采用</w:t>
      </w:r>
      <w:r>
        <w:rPr>
          <w:rFonts w:hint="eastAsia" w:cs="Times New Roman"/>
          <w:color w:val="auto"/>
          <w:kern w:val="2"/>
          <w:sz w:val="24"/>
          <w:szCs w:val="24"/>
          <w:lang w:val="en-US" w:eastAsia="zh-CN" w:bidi="ar-SA"/>
        </w:rPr>
        <w:t>低硫煤炭</w:t>
      </w:r>
      <w:r>
        <w:rPr>
          <w:rFonts w:hint="default" w:cs="Times New Roman"/>
          <w:color w:val="auto"/>
          <w:kern w:val="2"/>
          <w:sz w:val="24"/>
          <w:szCs w:val="24"/>
          <w:lang w:val="en-US" w:eastAsia="zh-CN" w:bidi="ar-SA"/>
        </w:rPr>
        <w:t>作为燃料供热</w:t>
      </w:r>
      <w:r>
        <w:rPr>
          <w:rFonts w:hint="eastAsia" w:cs="Times New Roman"/>
          <w:color w:val="auto"/>
          <w:kern w:val="2"/>
          <w:sz w:val="24"/>
          <w:szCs w:val="24"/>
          <w:lang w:val="en-US" w:eastAsia="zh-CN" w:bidi="ar-SA"/>
        </w:rPr>
        <w:t>，建议企业在经济条件及配套设施成熟时，及时实施煤改气。本</w:t>
      </w:r>
      <w:r>
        <w:rPr>
          <w:rFonts w:hint="default" w:cs="Times New Roman"/>
          <w:color w:val="auto"/>
          <w:kern w:val="2"/>
          <w:sz w:val="24"/>
          <w:szCs w:val="24"/>
          <w:lang w:val="en-US" w:eastAsia="zh-CN" w:bidi="ar-SA"/>
        </w:rPr>
        <w:t>项目建成后年产仿古砖</w:t>
      </w:r>
      <w:r>
        <w:rPr>
          <w:rFonts w:hint="eastAsia" w:cs="Times New Roman"/>
          <w:color w:val="auto"/>
          <w:kern w:val="2"/>
          <w:sz w:val="24"/>
          <w:szCs w:val="24"/>
          <w:lang w:val="en-US" w:eastAsia="zh-CN" w:bidi="ar-SA"/>
        </w:rPr>
        <w:t>35</w:t>
      </w:r>
      <w:r>
        <w:rPr>
          <w:rFonts w:hint="default" w:cs="Times New Roman"/>
          <w:color w:val="auto"/>
          <w:kern w:val="2"/>
          <w:sz w:val="24"/>
          <w:szCs w:val="24"/>
          <w:lang w:val="en-US" w:eastAsia="zh-CN" w:bidi="ar-SA"/>
        </w:rPr>
        <w:t>0万块</w:t>
      </w:r>
      <w:r>
        <w:rPr>
          <w:rFonts w:hint="eastAsia" w:cs="Times New Roman"/>
          <w:color w:val="auto"/>
          <w:kern w:val="2"/>
          <w:sz w:val="24"/>
          <w:szCs w:val="24"/>
          <w:lang w:val="en-US" w:eastAsia="zh-CN" w:bidi="ar-SA"/>
        </w:rPr>
        <w:t>，</w:t>
      </w:r>
      <w:r>
        <w:rPr>
          <w:rFonts w:hint="default" w:cs="Times New Roman"/>
          <w:color w:val="auto"/>
          <w:kern w:val="2"/>
          <w:sz w:val="24"/>
          <w:szCs w:val="24"/>
          <w:lang w:val="en-US" w:eastAsia="zh-CN" w:bidi="ar-SA"/>
        </w:rPr>
        <w:t>仿古瓦</w:t>
      </w:r>
      <w:r>
        <w:rPr>
          <w:rFonts w:hint="eastAsia" w:cs="Times New Roman"/>
          <w:color w:val="auto"/>
          <w:kern w:val="2"/>
          <w:sz w:val="24"/>
          <w:szCs w:val="24"/>
          <w:lang w:val="en-US" w:eastAsia="zh-CN" w:bidi="ar-SA"/>
        </w:rPr>
        <w:t>550</w:t>
      </w:r>
      <w:r>
        <w:rPr>
          <w:rFonts w:hint="default" w:cs="Times New Roman"/>
          <w:color w:val="auto"/>
          <w:kern w:val="2"/>
          <w:sz w:val="24"/>
          <w:szCs w:val="24"/>
          <w:lang w:val="en-US" w:eastAsia="zh-CN" w:bidi="ar-SA"/>
        </w:rPr>
        <w:t>万块</w:t>
      </w:r>
      <w:r>
        <w:rPr>
          <w:rFonts w:hint="eastAsia" w:cs="Times New Roman"/>
          <w:color w:val="auto"/>
          <w:kern w:val="2"/>
          <w:sz w:val="24"/>
          <w:szCs w:val="24"/>
          <w:lang w:val="en-US" w:eastAsia="zh-CN" w:bidi="ar-SA"/>
        </w:rPr>
        <w:t>，合计900万件，与原计划产能不发生改变。</w:t>
      </w:r>
    </w:p>
    <w:p w14:paraId="5EA21B2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eastAsia="宋体"/>
          <w:color w:val="auto"/>
          <w:sz w:val="24"/>
          <w:szCs w:val="24"/>
          <w:lang w:val="en-US" w:eastAsia="zh-CN"/>
        </w:rPr>
      </w:pPr>
      <w:r>
        <w:rPr>
          <w:rFonts w:hint="eastAsia"/>
          <w:color w:val="auto"/>
          <w:sz w:val="24"/>
          <w:szCs w:val="24"/>
          <w:lang w:val="en-US" w:eastAsia="zh-CN"/>
        </w:rPr>
        <w:t>四、环境影响评价手续履行</w:t>
      </w:r>
    </w:p>
    <w:p w14:paraId="5777B6D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cs="Times New Roman"/>
          <w:color w:val="auto"/>
          <w:sz w:val="24"/>
          <w:szCs w:val="24"/>
          <w:lang w:val="en-US" w:eastAsia="zh-CN"/>
        </w:rPr>
      </w:pPr>
      <w:r>
        <w:rPr>
          <w:rFonts w:hint="eastAsia" w:cs="Times New Roman"/>
          <w:color w:val="auto"/>
          <w:sz w:val="24"/>
          <w:szCs w:val="24"/>
          <w:lang w:val="en-US" w:eastAsia="zh-CN"/>
        </w:rPr>
        <w:t>华宁县白塔山陶器厂（新厂）</w:t>
      </w:r>
      <w:r>
        <w:rPr>
          <w:rFonts w:hint="eastAsia" w:cs="Times New Roman"/>
          <w:color w:val="auto"/>
          <w:kern w:val="2"/>
          <w:sz w:val="24"/>
          <w:szCs w:val="24"/>
          <w:lang w:val="en-US" w:eastAsia="zh-CN" w:bidi="ar-SA"/>
        </w:rPr>
        <w:t>属于“未批先建”项目，已被玉溪市生态环境局华宁分局处罚，企业缴纳罚金后，依法履行环境影响评价手续。</w:t>
      </w:r>
    </w:p>
    <w:p w14:paraId="338DD5F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cs="Times New Roman"/>
          <w:color w:val="auto"/>
          <w:sz w:val="24"/>
          <w:szCs w:val="24"/>
          <w:lang w:val="en-US" w:eastAsia="zh-CN"/>
        </w:rPr>
      </w:pPr>
      <w:r>
        <w:rPr>
          <w:color w:val="auto"/>
          <w:sz w:val="24"/>
          <w:szCs w:val="24"/>
        </w:rPr>
        <w:t>根据《中华人民共和国环境影响评价法》、《建设项目环境保护管理条例》（国务院令第682号令），建设项目应履行环境影响评价制度。依据《建设项目环境影响评价分类管理名录》</w:t>
      </w:r>
      <w:r>
        <w:rPr>
          <w:rFonts w:hint="eastAsia" w:ascii="宋体" w:hAnsi="宋体" w:cs="宋体"/>
          <w:color w:val="auto"/>
          <w:sz w:val="24"/>
          <w:szCs w:val="24"/>
        </w:rPr>
        <w:t>(</w:t>
      </w:r>
      <w:r>
        <w:rPr>
          <w:color w:val="auto"/>
          <w:sz w:val="24"/>
          <w:szCs w:val="24"/>
        </w:rPr>
        <w:t>2021版</w:t>
      </w:r>
      <w:r>
        <w:rPr>
          <w:rFonts w:hint="eastAsia" w:ascii="宋体" w:hAnsi="宋体" w:cs="宋体"/>
          <w:color w:val="auto"/>
          <w:sz w:val="24"/>
          <w:szCs w:val="24"/>
        </w:rPr>
        <w:t>)，本项目属于“</w:t>
      </w:r>
      <w:r>
        <w:rPr>
          <w:rFonts w:hint="eastAsia"/>
          <w:color w:val="auto"/>
          <w:sz w:val="24"/>
          <w:szCs w:val="24"/>
          <w:lang w:val="zh-CN" w:bidi="zh-CN"/>
        </w:rPr>
        <w:t>二十七、非金属矿物制品业，56、砖瓦、石材等建筑材料制造</w:t>
      </w:r>
      <w:r>
        <w:rPr>
          <w:rFonts w:hint="eastAsia"/>
          <w:color w:val="auto"/>
          <w:sz w:val="24"/>
          <w:szCs w:val="24"/>
          <w:lang w:val="en-US" w:bidi="zh-CN"/>
        </w:rPr>
        <w:t>303</w:t>
      </w:r>
      <w:r>
        <w:rPr>
          <w:rFonts w:hint="eastAsia"/>
          <w:color w:val="auto"/>
          <w:sz w:val="24"/>
          <w:szCs w:val="24"/>
          <w:lang w:val="zh-CN" w:bidi="zh-CN"/>
        </w:rPr>
        <w:t>，粘土砖瓦及建筑砌块制造</w:t>
      </w:r>
      <w:r>
        <w:rPr>
          <w:rFonts w:hint="eastAsia" w:ascii="宋体" w:hAnsi="宋体" w:cs="宋体"/>
          <w:color w:val="auto"/>
          <w:sz w:val="24"/>
          <w:szCs w:val="24"/>
        </w:rPr>
        <w:t>”，</w:t>
      </w:r>
      <w:r>
        <w:rPr>
          <w:color w:val="auto"/>
          <w:sz w:val="24"/>
          <w:szCs w:val="24"/>
        </w:rPr>
        <w:t>应编制环境影响报告表</w:t>
      </w:r>
      <w:r>
        <w:rPr>
          <w:rFonts w:hint="default" w:ascii="Times New Roman" w:hAnsi="Times New Roman" w:eastAsia="宋体" w:cs="Times New Roman"/>
          <w:color w:val="auto"/>
          <w:kern w:val="2"/>
          <w:sz w:val="24"/>
          <w:szCs w:val="24"/>
          <w:lang w:val="en-US" w:eastAsia="zh-CN" w:bidi="ar-SA"/>
        </w:rPr>
        <w:t>。受</w:t>
      </w:r>
      <w:r>
        <w:rPr>
          <w:rFonts w:hint="eastAsia" w:cs="Times New Roman"/>
          <w:color w:val="auto"/>
          <w:kern w:val="2"/>
          <w:sz w:val="24"/>
          <w:szCs w:val="24"/>
          <w:lang w:val="en-US" w:eastAsia="zh-CN" w:bidi="ar-SA"/>
        </w:rPr>
        <w:t>华宁县白塔山陶器厂</w:t>
      </w:r>
      <w:r>
        <w:rPr>
          <w:rFonts w:hint="default" w:ascii="Times New Roman" w:hAnsi="Times New Roman" w:eastAsia="宋体" w:cs="Times New Roman"/>
          <w:color w:val="auto"/>
          <w:kern w:val="2"/>
          <w:sz w:val="24"/>
          <w:szCs w:val="24"/>
          <w:lang w:val="en-US" w:eastAsia="zh-CN" w:bidi="ar-SA"/>
        </w:rPr>
        <w:t>委托，</w:t>
      </w:r>
      <w:r>
        <w:rPr>
          <w:color w:val="auto"/>
          <w:sz w:val="24"/>
          <w:szCs w:val="24"/>
        </w:rPr>
        <w:t>我方</w:t>
      </w:r>
      <w:r>
        <w:rPr>
          <w:rFonts w:hint="eastAsia"/>
          <w:color w:val="auto"/>
          <w:sz w:val="24"/>
          <w:szCs w:val="24"/>
          <w:lang w:val="en-US" w:eastAsia="zh-CN"/>
        </w:rPr>
        <w:t>编制单位</w:t>
      </w:r>
      <w:r>
        <w:rPr>
          <w:rFonts w:hint="eastAsia"/>
          <w:color w:val="auto"/>
          <w:sz w:val="24"/>
          <w:szCs w:val="24"/>
        </w:rPr>
        <w:t>在</w:t>
      </w:r>
      <w:r>
        <w:rPr>
          <w:color w:val="auto"/>
          <w:sz w:val="24"/>
          <w:szCs w:val="24"/>
        </w:rPr>
        <w:t>进行了现场踏勘、环境状况调查、资料收集以及认真分析工程内容等工作基础上，编制</w:t>
      </w:r>
      <w:r>
        <w:rPr>
          <w:rFonts w:hint="eastAsia"/>
          <w:color w:val="auto"/>
          <w:sz w:val="24"/>
          <w:szCs w:val="24"/>
        </w:rPr>
        <w:t>完成</w:t>
      </w:r>
      <w:r>
        <w:rPr>
          <w:color w:val="auto"/>
          <w:sz w:val="24"/>
          <w:szCs w:val="24"/>
        </w:rPr>
        <w:t>了本项目环境影响报告表，作为建设项目环境保护文件上报</w:t>
      </w:r>
      <w:r>
        <w:rPr>
          <w:rFonts w:hint="eastAsia"/>
          <w:color w:val="auto"/>
          <w:sz w:val="24"/>
          <w:szCs w:val="24"/>
        </w:rPr>
        <w:t>生态环境</w:t>
      </w:r>
      <w:r>
        <w:rPr>
          <w:color w:val="auto"/>
          <w:sz w:val="24"/>
          <w:szCs w:val="24"/>
        </w:rPr>
        <w:t>行政管理部门审批</w:t>
      </w:r>
      <w:r>
        <w:rPr>
          <w:rFonts w:hint="default" w:ascii="Times New Roman" w:hAnsi="Times New Roman" w:eastAsia="宋体" w:cs="Times New Roman"/>
          <w:color w:val="auto"/>
          <w:kern w:val="2"/>
          <w:sz w:val="24"/>
          <w:szCs w:val="24"/>
          <w:lang w:val="en-US" w:eastAsia="zh-CN" w:bidi="ar-SA"/>
        </w:rPr>
        <w:t>。</w:t>
      </w:r>
    </w:p>
    <w:p w14:paraId="48C2010E">
      <w:pPr>
        <w:pStyle w:val="27"/>
        <w:rPr>
          <w:color w:val="auto"/>
        </w:rPr>
        <w:sectPr>
          <w:footerReference r:id="rId6" w:type="default"/>
          <w:pgSz w:w="11906" w:h="16838"/>
          <w:pgMar w:top="1701" w:right="1531" w:bottom="1701" w:left="1531" w:header="851" w:footer="1077" w:gutter="0"/>
          <w:pgNumType w:start="1"/>
          <w:cols w:space="720" w:num="1"/>
          <w:docGrid w:linePitch="312" w:charSpace="0"/>
        </w:sectPr>
      </w:pPr>
    </w:p>
    <w:p w14:paraId="6F95E432">
      <w:pPr>
        <w:spacing w:before="0" w:beforeLines="0" w:after="0" w:afterLines="0" w:line="240" w:lineRule="auto"/>
        <w:ind w:left="0" w:leftChars="0" w:right="0" w:rightChars="0" w:firstLine="0" w:firstLineChars="0"/>
        <w:jc w:val="center"/>
        <w:rPr>
          <w:color w:val="auto"/>
          <w:sz w:val="44"/>
          <w:szCs w:val="44"/>
        </w:rPr>
      </w:pPr>
      <w:r>
        <w:rPr>
          <w:rFonts w:ascii="宋体" w:hAnsi="宋体" w:eastAsia="宋体"/>
          <w:color w:val="auto"/>
          <w:sz w:val="44"/>
          <w:szCs w:val="44"/>
        </w:rPr>
        <w:t>目录</w:t>
      </w:r>
    </w:p>
    <w:p w14:paraId="081BC3BF">
      <w:pPr>
        <w:pStyle w:val="21"/>
        <w:tabs>
          <w:tab w:val="right" w:leader="dot" w:pos="8844"/>
        </w:tabs>
        <w:spacing w:line="360" w:lineRule="auto"/>
        <w:rPr>
          <w:rFonts w:ascii="Times New Roman" w:hAnsi="Times New Roman" w:eastAsia="宋体"/>
          <w:color w:val="auto"/>
          <w:sz w:val="28"/>
          <w:szCs w:val="28"/>
        </w:rPr>
      </w:pPr>
      <w:r>
        <w:rPr>
          <w:color w:val="auto"/>
        </w:rPr>
        <w:fldChar w:fldCharType="begin"/>
      </w:r>
      <w:r>
        <w:rPr>
          <w:color w:val="auto"/>
        </w:rPr>
        <w:instrText xml:space="preserve">TOC \o "1-1" \h \u </w:instrText>
      </w:r>
      <w:r>
        <w:rPr>
          <w:color w:val="auto"/>
        </w:rPr>
        <w:fldChar w:fldCharType="separate"/>
      </w:r>
      <w:r>
        <w:rPr>
          <w:rFonts w:ascii="Times New Roman" w:hAnsi="Times New Roman" w:eastAsia="宋体"/>
          <w:color w:val="auto"/>
          <w:sz w:val="28"/>
          <w:szCs w:val="28"/>
        </w:rPr>
        <w:fldChar w:fldCharType="begin"/>
      </w:r>
      <w:r>
        <w:rPr>
          <w:rFonts w:ascii="Times New Roman" w:hAnsi="Times New Roman" w:eastAsia="宋体"/>
          <w:color w:val="auto"/>
          <w:sz w:val="28"/>
          <w:szCs w:val="28"/>
        </w:rPr>
        <w:instrText xml:space="preserve"> HYPERLINK \l _Toc14826 </w:instrText>
      </w:r>
      <w:r>
        <w:rPr>
          <w:rFonts w:ascii="Times New Roman" w:hAnsi="Times New Roman" w:eastAsia="宋体"/>
          <w:color w:val="auto"/>
          <w:sz w:val="28"/>
          <w:szCs w:val="28"/>
        </w:rPr>
        <w:fldChar w:fldCharType="separate"/>
      </w:r>
      <w:r>
        <w:rPr>
          <w:rFonts w:hint="eastAsia" w:ascii="Times New Roman" w:hAnsi="Times New Roman" w:eastAsia="宋体"/>
          <w:snapToGrid w:val="0"/>
          <w:color w:val="auto"/>
          <w:sz w:val="28"/>
          <w:szCs w:val="28"/>
        </w:rPr>
        <w:t>一、建设项目基本情况</w:t>
      </w:r>
      <w:r>
        <w:rPr>
          <w:rFonts w:ascii="Times New Roman" w:hAnsi="Times New Roman" w:eastAsia="宋体"/>
          <w:color w:val="auto"/>
          <w:sz w:val="28"/>
          <w:szCs w:val="28"/>
        </w:rPr>
        <w:tab/>
      </w:r>
      <w:r>
        <w:rPr>
          <w:rFonts w:ascii="Times New Roman" w:hAnsi="Times New Roman" w:eastAsia="宋体"/>
          <w:color w:val="auto"/>
          <w:sz w:val="28"/>
          <w:szCs w:val="28"/>
        </w:rPr>
        <w:fldChar w:fldCharType="begin"/>
      </w:r>
      <w:r>
        <w:rPr>
          <w:rFonts w:ascii="Times New Roman" w:hAnsi="Times New Roman" w:eastAsia="宋体"/>
          <w:color w:val="auto"/>
          <w:sz w:val="28"/>
          <w:szCs w:val="28"/>
        </w:rPr>
        <w:instrText xml:space="preserve"> PAGEREF _Toc14826 \h </w:instrText>
      </w:r>
      <w:r>
        <w:rPr>
          <w:rFonts w:ascii="Times New Roman" w:hAnsi="Times New Roman" w:eastAsia="宋体"/>
          <w:color w:val="auto"/>
          <w:sz w:val="28"/>
          <w:szCs w:val="28"/>
        </w:rPr>
        <w:fldChar w:fldCharType="separate"/>
      </w:r>
      <w:r>
        <w:rPr>
          <w:rFonts w:ascii="Times New Roman" w:hAnsi="Times New Roman" w:eastAsia="宋体"/>
          <w:color w:val="auto"/>
          <w:sz w:val="28"/>
          <w:szCs w:val="28"/>
        </w:rPr>
        <w:t>1</w:t>
      </w:r>
      <w:r>
        <w:rPr>
          <w:rFonts w:ascii="Times New Roman" w:hAnsi="Times New Roman" w:eastAsia="宋体"/>
          <w:color w:val="auto"/>
          <w:sz w:val="28"/>
          <w:szCs w:val="28"/>
        </w:rPr>
        <w:fldChar w:fldCharType="end"/>
      </w:r>
      <w:r>
        <w:rPr>
          <w:rFonts w:ascii="Times New Roman" w:hAnsi="Times New Roman" w:eastAsia="宋体"/>
          <w:color w:val="auto"/>
          <w:sz w:val="28"/>
          <w:szCs w:val="28"/>
        </w:rPr>
        <w:fldChar w:fldCharType="end"/>
      </w:r>
    </w:p>
    <w:p w14:paraId="7297524C">
      <w:pPr>
        <w:pStyle w:val="21"/>
        <w:tabs>
          <w:tab w:val="right" w:leader="dot" w:pos="8844"/>
        </w:tabs>
        <w:spacing w:line="360" w:lineRule="auto"/>
        <w:rPr>
          <w:rFonts w:ascii="Times New Roman" w:hAnsi="Times New Roman" w:eastAsia="宋体"/>
          <w:color w:val="auto"/>
          <w:sz w:val="28"/>
          <w:szCs w:val="28"/>
        </w:rPr>
      </w:pPr>
      <w:r>
        <w:rPr>
          <w:rFonts w:ascii="Times New Roman" w:hAnsi="Times New Roman" w:eastAsia="宋体"/>
          <w:color w:val="auto"/>
          <w:sz w:val="28"/>
          <w:szCs w:val="28"/>
        </w:rPr>
        <w:fldChar w:fldCharType="begin"/>
      </w:r>
      <w:r>
        <w:rPr>
          <w:rFonts w:ascii="Times New Roman" w:hAnsi="Times New Roman" w:eastAsia="宋体"/>
          <w:color w:val="auto"/>
          <w:sz w:val="28"/>
          <w:szCs w:val="28"/>
        </w:rPr>
        <w:instrText xml:space="preserve"> HYPERLINK \l _Toc24414 </w:instrText>
      </w:r>
      <w:r>
        <w:rPr>
          <w:rFonts w:ascii="Times New Roman" w:hAnsi="Times New Roman" w:eastAsia="宋体"/>
          <w:color w:val="auto"/>
          <w:sz w:val="28"/>
          <w:szCs w:val="28"/>
        </w:rPr>
        <w:fldChar w:fldCharType="separate"/>
      </w:r>
      <w:r>
        <w:rPr>
          <w:rFonts w:hint="eastAsia" w:ascii="Times New Roman" w:hAnsi="Times New Roman" w:eastAsia="宋体"/>
          <w:snapToGrid w:val="0"/>
          <w:color w:val="auto"/>
          <w:sz w:val="28"/>
          <w:szCs w:val="28"/>
        </w:rPr>
        <w:t>二、建设项目工程分析</w:t>
      </w:r>
      <w:r>
        <w:rPr>
          <w:rFonts w:ascii="Times New Roman" w:hAnsi="Times New Roman" w:eastAsia="宋体"/>
          <w:color w:val="auto"/>
          <w:sz w:val="28"/>
          <w:szCs w:val="28"/>
        </w:rPr>
        <w:tab/>
      </w:r>
      <w:r>
        <w:rPr>
          <w:rFonts w:ascii="Times New Roman" w:hAnsi="Times New Roman" w:eastAsia="宋体"/>
          <w:color w:val="auto"/>
          <w:sz w:val="28"/>
          <w:szCs w:val="28"/>
        </w:rPr>
        <w:fldChar w:fldCharType="begin"/>
      </w:r>
      <w:r>
        <w:rPr>
          <w:rFonts w:ascii="Times New Roman" w:hAnsi="Times New Roman" w:eastAsia="宋体"/>
          <w:color w:val="auto"/>
          <w:sz w:val="28"/>
          <w:szCs w:val="28"/>
        </w:rPr>
        <w:instrText xml:space="preserve"> PAGEREF _Toc24414 \h </w:instrText>
      </w:r>
      <w:r>
        <w:rPr>
          <w:rFonts w:ascii="Times New Roman" w:hAnsi="Times New Roman" w:eastAsia="宋体"/>
          <w:color w:val="auto"/>
          <w:sz w:val="28"/>
          <w:szCs w:val="28"/>
        </w:rPr>
        <w:fldChar w:fldCharType="separate"/>
      </w:r>
      <w:r>
        <w:rPr>
          <w:rFonts w:ascii="Times New Roman" w:hAnsi="Times New Roman" w:eastAsia="宋体"/>
          <w:color w:val="auto"/>
          <w:sz w:val="28"/>
          <w:szCs w:val="28"/>
        </w:rPr>
        <w:t>28</w:t>
      </w:r>
      <w:r>
        <w:rPr>
          <w:rFonts w:ascii="Times New Roman" w:hAnsi="Times New Roman" w:eastAsia="宋体"/>
          <w:color w:val="auto"/>
          <w:sz w:val="28"/>
          <w:szCs w:val="28"/>
        </w:rPr>
        <w:fldChar w:fldCharType="end"/>
      </w:r>
      <w:r>
        <w:rPr>
          <w:rFonts w:ascii="Times New Roman" w:hAnsi="Times New Roman" w:eastAsia="宋体"/>
          <w:color w:val="auto"/>
          <w:sz w:val="28"/>
          <w:szCs w:val="28"/>
        </w:rPr>
        <w:fldChar w:fldCharType="end"/>
      </w:r>
    </w:p>
    <w:p w14:paraId="267FA820">
      <w:pPr>
        <w:pStyle w:val="21"/>
        <w:tabs>
          <w:tab w:val="right" w:leader="dot" w:pos="8844"/>
        </w:tabs>
        <w:spacing w:line="360" w:lineRule="auto"/>
        <w:rPr>
          <w:rFonts w:ascii="Times New Roman" w:hAnsi="Times New Roman" w:eastAsia="宋体"/>
          <w:color w:val="auto"/>
          <w:sz w:val="28"/>
          <w:szCs w:val="28"/>
        </w:rPr>
      </w:pPr>
      <w:r>
        <w:rPr>
          <w:rFonts w:ascii="Times New Roman" w:hAnsi="Times New Roman" w:eastAsia="宋体"/>
          <w:color w:val="auto"/>
          <w:sz w:val="28"/>
          <w:szCs w:val="28"/>
        </w:rPr>
        <w:fldChar w:fldCharType="begin"/>
      </w:r>
      <w:r>
        <w:rPr>
          <w:rFonts w:ascii="Times New Roman" w:hAnsi="Times New Roman" w:eastAsia="宋体"/>
          <w:color w:val="auto"/>
          <w:sz w:val="28"/>
          <w:szCs w:val="28"/>
        </w:rPr>
        <w:instrText xml:space="preserve"> HYPERLINK \l _Toc7385 </w:instrText>
      </w:r>
      <w:r>
        <w:rPr>
          <w:rFonts w:ascii="Times New Roman" w:hAnsi="Times New Roman" w:eastAsia="宋体"/>
          <w:color w:val="auto"/>
          <w:sz w:val="28"/>
          <w:szCs w:val="28"/>
        </w:rPr>
        <w:fldChar w:fldCharType="separate"/>
      </w:r>
      <w:r>
        <w:rPr>
          <w:rFonts w:hint="eastAsia" w:ascii="Times New Roman" w:hAnsi="Times New Roman" w:eastAsia="宋体"/>
          <w:snapToGrid w:val="0"/>
          <w:color w:val="auto"/>
          <w:sz w:val="28"/>
          <w:szCs w:val="28"/>
        </w:rPr>
        <w:t>三、区域环境质量现状、环境保护目标及评价标准</w:t>
      </w:r>
      <w:r>
        <w:rPr>
          <w:rFonts w:ascii="Times New Roman" w:hAnsi="Times New Roman" w:eastAsia="宋体"/>
          <w:color w:val="auto"/>
          <w:sz w:val="28"/>
          <w:szCs w:val="28"/>
        </w:rPr>
        <w:tab/>
      </w:r>
      <w:r>
        <w:rPr>
          <w:rFonts w:ascii="Times New Roman" w:hAnsi="Times New Roman" w:eastAsia="宋体"/>
          <w:color w:val="auto"/>
          <w:sz w:val="28"/>
          <w:szCs w:val="28"/>
        </w:rPr>
        <w:fldChar w:fldCharType="begin"/>
      </w:r>
      <w:r>
        <w:rPr>
          <w:rFonts w:ascii="Times New Roman" w:hAnsi="Times New Roman" w:eastAsia="宋体"/>
          <w:color w:val="auto"/>
          <w:sz w:val="28"/>
          <w:szCs w:val="28"/>
        </w:rPr>
        <w:instrText xml:space="preserve"> PAGEREF _Toc7385 \h </w:instrText>
      </w:r>
      <w:r>
        <w:rPr>
          <w:rFonts w:ascii="Times New Roman" w:hAnsi="Times New Roman" w:eastAsia="宋体"/>
          <w:color w:val="auto"/>
          <w:sz w:val="28"/>
          <w:szCs w:val="28"/>
        </w:rPr>
        <w:fldChar w:fldCharType="separate"/>
      </w:r>
      <w:r>
        <w:rPr>
          <w:rFonts w:ascii="Times New Roman" w:hAnsi="Times New Roman" w:eastAsia="宋体"/>
          <w:color w:val="auto"/>
          <w:sz w:val="28"/>
          <w:szCs w:val="28"/>
        </w:rPr>
        <w:t>42</w:t>
      </w:r>
      <w:r>
        <w:rPr>
          <w:rFonts w:ascii="Times New Roman" w:hAnsi="Times New Roman" w:eastAsia="宋体"/>
          <w:color w:val="auto"/>
          <w:sz w:val="28"/>
          <w:szCs w:val="28"/>
        </w:rPr>
        <w:fldChar w:fldCharType="end"/>
      </w:r>
      <w:r>
        <w:rPr>
          <w:rFonts w:ascii="Times New Roman" w:hAnsi="Times New Roman" w:eastAsia="宋体"/>
          <w:color w:val="auto"/>
          <w:sz w:val="28"/>
          <w:szCs w:val="28"/>
        </w:rPr>
        <w:fldChar w:fldCharType="end"/>
      </w:r>
    </w:p>
    <w:p w14:paraId="2961A0CC">
      <w:pPr>
        <w:pStyle w:val="21"/>
        <w:tabs>
          <w:tab w:val="right" w:leader="dot" w:pos="8844"/>
        </w:tabs>
        <w:spacing w:line="360" w:lineRule="auto"/>
        <w:rPr>
          <w:rFonts w:ascii="Times New Roman" w:hAnsi="Times New Roman" w:eastAsia="宋体"/>
          <w:color w:val="auto"/>
          <w:sz w:val="28"/>
          <w:szCs w:val="28"/>
        </w:rPr>
      </w:pPr>
      <w:r>
        <w:rPr>
          <w:rFonts w:ascii="Times New Roman" w:hAnsi="Times New Roman" w:eastAsia="宋体"/>
          <w:color w:val="auto"/>
          <w:sz w:val="28"/>
          <w:szCs w:val="28"/>
        </w:rPr>
        <w:fldChar w:fldCharType="begin"/>
      </w:r>
      <w:r>
        <w:rPr>
          <w:rFonts w:ascii="Times New Roman" w:hAnsi="Times New Roman" w:eastAsia="宋体"/>
          <w:color w:val="auto"/>
          <w:sz w:val="28"/>
          <w:szCs w:val="28"/>
        </w:rPr>
        <w:instrText xml:space="preserve"> HYPERLINK \l _Toc14359 </w:instrText>
      </w:r>
      <w:r>
        <w:rPr>
          <w:rFonts w:ascii="Times New Roman" w:hAnsi="Times New Roman" w:eastAsia="宋体"/>
          <w:color w:val="auto"/>
          <w:sz w:val="28"/>
          <w:szCs w:val="28"/>
        </w:rPr>
        <w:fldChar w:fldCharType="separate"/>
      </w:r>
      <w:r>
        <w:rPr>
          <w:rFonts w:hint="eastAsia" w:ascii="Times New Roman" w:hAnsi="Times New Roman" w:eastAsia="宋体"/>
          <w:snapToGrid w:val="0"/>
          <w:color w:val="auto"/>
          <w:sz w:val="28"/>
          <w:szCs w:val="28"/>
        </w:rPr>
        <w:t>四、主要环境影响和保护措施</w:t>
      </w:r>
      <w:r>
        <w:rPr>
          <w:rFonts w:ascii="Times New Roman" w:hAnsi="Times New Roman" w:eastAsia="宋体"/>
          <w:color w:val="auto"/>
          <w:sz w:val="28"/>
          <w:szCs w:val="28"/>
        </w:rPr>
        <w:tab/>
      </w:r>
      <w:r>
        <w:rPr>
          <w:rFonts w:ascii="Times New Roman" w:hAnsi="Times New Roman" w:eastAsia="宋体"/>
          <w:color w:val="auto"/>
          <w:sz w:val="28"/>
          <w:szCs w:val="28"/>
        </w:rPr>
        <w:fldChar w:fldCharType="begin"/>
      </w:r>
      <w:r>
        <w:rPr>
          <w:rFonts w:ascii="Times New Roman" w:hAnsi="Times New Roman" w:eastAsia="宋体"/>
          <w:color w:val="auto"/>
          <w:sz w:val="28"/>
          <w:szCs w:val="28"/>
        </w:rPr>
        <w:instrText xml:space="preserve"> PAGEREF _Toc14359 \h </w:instrText>
      </w:r>
      <w:r>
        <w:rPr>
          <w:rFonts w:ascii="Times New Roman" w:hAnsi="Times New Roman" w:eastAsia="宋体"/>
          <w:color w:val="auto"/>
          <w:sz w:val="28"/>
          <w:szCs w:val="28"/>
        </w:rPr>
        <w:fldChar w:fldCharType="separate"/>
      </w:r>
      <w:r>
        <w:rPr>
          <w:rFonts w:ascii="Times New Roman" w:hAnsi="Times New Roman" w:eastAsia="宋体"/>
          <w:color w:val="auto"/>
          <w:sz w:val="28"/>
          <w:szCs w:val="28"/>
        </w:rPr>
        <w:t>49</w:t>
      </w:r>
      <w:r>
        <w:rPr>
          <w:rFonts w:ascii="Times New Roman" w:hAnsi="Times New Roman" w:eastAsia="宋体"/>
          <w:color w:val="auto"/>
          <w:sz w:val="28"/>
          <w:szCs w:val="28"/>
        </w:rPr>
        <w:fldChar w:fldCharType="end"/>
      </w:r>
      <w:r>
        <w:rPr>
          <w:rFonts w:ascii="Times New Roman" w:hAnsi="Times New Roman" w:eastAsia="宋体"/>
          <w:color w:val="auto"/>
          <w:sz w:val="28"/>
          <w:szCs w:val="28"/>
        </w:rPr>
        <w:fldChar w:fldCharType="end"/>
      </w:r>
    </w:p>
    <w:p w14:paraId="4B3829B5">
      <w:pPr>
        <w:pStyle w:val="21"/>
        <w:tabs>
          <w:tab w:val="right" w:leader="dot" w:pos="8844"/>
        </w:tabs>
        <w:spacing w:line="360" w:lineRule="auto"/>
        <w:rPr>
          <w:rFonts w:ascii="Times New Roman" w:hAnsi="Times New Roman" w:eastAsia="宋体"/>
          <w:color w:val="auto"/>
          <w:sz w:val="28"/>
          <w:szCs w:val="28"/>
        </w:rPr>
      </w:pPr>
      <w:r>
        <w:rPr>
          <w:rFonts w:ascii="Times New Roman" w:hAnsi="Times New Roman" w:eastAsia="宋体"/>
          <w:color w:val="auto"/>
          <w:sz w:val="28"/>
          <w:szCs w:val="28"/>
        </w:rPr>
        <w:fldChar w:fldCharType="begin"/>
      </w:r>
      <w:r>
        <w:rPr>
          <w:rFonts w:ascii="Times New Roman" w:hAnsi="Times New Roman" w:eastAsia="宋体"/>
          <w:color w:val="auto"/>
          <w:sz w:val="28"/>
          <w:szCs w:val="28"/>
        </w:rPr>
        <w:instrText xml:space="preserve"> HYPERLINK \l _Toc5054 </w:instrText>
      </w:r>
      <w:r>
        <w:rPr>
          <w:rFonts w:ascii="Times New Roman" w:hAnsi="Times New Roman" w:eastAsia="宋体"/>
          <w:color w:val="auto"/>
          <w:sz w:val="28"/>
          <w:szCs w:val="28"/>
        </w:rPr>
        <w:fldChar w:fldCharType="separate"/>
      </w:r>
      <w:r>
        <w:rPr>
          <w:rFonts w:hint="eastAsia" w:ascii="Times New Roman" w:hAnsi="Times New Roman" w:eastAsia="宋体"/>
          <w:snapToGrid w:val="0"/>
          <w:color w:val="auto"/>
          <w:sz w:val="28"/>
          <w:szCs w:val="28"/>
        </w:rPr>
        <w:t>五、环境保护措施监督检查清单</w:t>
      </w:r>
      <w:r>
        <w:rPr>
          <w:rFonts w:ascii="Times New Roman" w:hAnsi="Times New Roman" w:eastAsia="宋体"/>
          <w:color w:val="auto"/>
          <w:sz w:val="28"/>
          <w:szCs w:val="28"/>
        </w:rPr>
        <w:tab/>
      </w:r>
      <w:r>
        <w:rPr>
          <w:rFonts w:ascii="Times New Roman" w:hAnsi="Times New Roman" w:eastAsia="宋体"/>
          <w:color w:val="auto"/>
          <w:sz w:val="28"/>
          <w:szCs w:val="28"/>
        </w:rPr>
        <w:fldChar w:fldCharType="begin"/>
      </w:r>
      <w:r>
        <w:rPr>
          <w:rFonts w:ascii="Times New Roman" w:hAnsi="Times New Roman" w:eastAsia="宋体"/>
          <w:color w:val="auto"/>
          <w:sz w:val="28"/>
          <w:szCs w:val="28"/>
        </w:rPr>
        <w:instrText xml:space="preserve"> PAGEREF _Toc5054 \h </w:instrText>
      </w:r>
      <w:r>
        <w:rPr>
          <w:rFonts w:ascii="Times New Roman" w:hAnsi="Times New Roman" w:eastAsia="宋体"/>
          <w:color w:val="auto"/>
          <w:sz w:val="28"/>
          <w:szCs w:val="28"/>
        </w:rPr>
        <w:fldChar w:fldCharType="separate"/>
      </w:r>
      <w:r>
        <w:rPr>
          <w:rFonts w:ascii="Times New Roman" w:hAnsi="Times New Roman" w:eastAsia="宋体"/>
          <w:color w:val="auto"/>
          <w:sz w:val="28"/>
          <w:szCs w:val="28"/>
        </w:rPr>
        <w:t>89</w:t>
      </w:r>
      <w:r>
        <w:rPr>
          <w:rFonts w:ascii="Times New Roman" w:hAnsi="Times New Roman" w:eastAsia="宋体"/>
          <w:color w:val="auto"/>
          <w:sz w:val="28"/>
          <w:szCs w:val="28"/>
        </w:rPr>
        <w:fldChar w:fldCharType="end"/>
      </w:r>
      <w:r>
        <w:rPr>
          <w:rFonts w:ascii="Times New Roman" w:hAnsi="Times New Roman" w:eastAsia="宋体"/>
          <w:color w:val="auto"/>
          <w:sz w:val="28"/>
          <w:szCs w:val="28"/>
        </w:rPr>
        <w:fldChar w:fldCharType="end"/>
      </w:r>
    </w:p>
    <w:p w14:paraId="2F7C5507">
      <w:pPr>
        <w:pStyle w:val="21"/>
        <w:tabs>
          <w:tab w:val="right" w:leader="dot" w:pos="8844"/>
        </w:tabs>
        <w:spacing w:line="360" w:lineRule="auto"/>
        <w:rPr>
          <w:color w:val="auto"/>
        </w:rPr>
      </w:pPr>
      <w:r>
        <w:rPr>
          <w:rFonts w:ascii="Times New Roman" w:hAnsi="Times New Roman" w:eastAsia="宋体"/>
          <w:color w:val="auto"/>
          <w:sz w:val="28"/>
          <w:szCs w:val="28"/>
        </w:rPr>
        <w:fldChar w:fldCharType="begin"/>
      </w:r>
      <w:r>
        <w:rPr>
          <w:rFonts w:ascii="Times New Roman" w:hAnsi="Times New Roman" w:eastAsia="宋体"/>
          <w:color w:val="auto"/>
          <w:sz w:val="28"/>
          <w:szCs w:val="28"/>
        </w:rPr>
        <w:instrText xml:space="preserve"> HYPERLINK \l _Toc16211 </w:instrText>
      </w:r>
      <w:r>
        <w:rPr>
          <w:rFonts w:ascii="Times New Roman" w:hAnsi="Times New Roman" w:eastAsia="宋体"/>
          <w:color w:val="auto"/>
          <w:sz w:val="28"/>
          <w:szCs w:val="28"/>
        </w:rPr>
        <w:fldChar w:fldCharType="separate"/>
      </w:r>
      <w:r>
        <w:rPr>
          <w:rFonts w:hint="eastAsia" w:ascii="Times New Roman" w:hAnsi="Times New Roman" w:eastAsia="宋体"/>
          <w:snapToGrid w:val="0"/>
          <w:color w:val="auto"/>
          <w:sz w:val="28"/>
          <w:szCs w:val="28"/>
        </w:rPr>
        <w:t>六、结论</w:t>
      </w:r>
      <w:r>
        <w:rPr>
          <w:rFonts w:ascii="Times New Roman" w:hAnsi="Times New Roman" w:eastAsia="宋体"/>
          <w:color w:val="auto"/>
          <w:sz w:val="28"/>
          <w:szCs w:val="28"/>
        </w:rPr>
        <w:tab/>
      </w:r>
      <w:r>
        <w:rPr>
          <w:rFonts w:ascii="Times New Roman" w:hAnsi="Times New Roman" w:eastAsia="宋体"/>
          <w:color w:val="auto"/>
          <w:sz w:val="28"/>
          <w:szCs w:val="28"/>
        </w:rPr>
        <w:fldChar w:fldCharType="begin"/>
      </w:r>
      <w:r>
        <w:rPr>
          <w:rFonts w:ascii="Times New Roman" w:hAnsi="Times New Roman" w:eastAsia="宋体"/>
          <w:color w:val="auto"/>
          <w:sz w:val="28"/>
          <w:szCs w:val="28"/>
        </w:rPr>
        <w:instrText xml:space="preserve"> PAGEREF _Toc16211 \h </w:instrText>
      </w:r>
      <w:r>
        <w:rPr>
          <w:rFonts w:ascii="Times New Roman" w:hAnsi="Times New Roman" w:eastAsia="宋体"/>
          <w:color w:val="auto"/>
          <w:sz w:val="28"/>
          <w:szCs w:val="28"/>
        </w:rPr>
        <w:fldChar w:fldCharType="separate"/>
      </w:r>
      <w:r>
        <w:rPr>
          <w:rFonts w:ascii="Times New Roman" w:hAnsi="Times New Roman" w:eastAsia="宋体"/>
          <w:color w:val="auto"/>
          <w:sz w:val="28"/>
          <w:szCs w:val="28"/>
        </w:rPr>
        <w:t>91</w:t>
      </w:r>
      <w:r>
        <w:rPr>
          <w:rFonts w:ascii="Times New Roman" w:hAnsi="Times New Roman" w:eastAsia="宋体"/>
          <w:color w:val="auto"/>
          <w:sz w:val="28"/>
          <w:szCs w:val="28"/>
        </w:rPr>
        <w:fldChar w:fldCharType="end"/>
      </w:r>
      <w:r>
        <w:rPr>
          <w:rFonts w:ascii="Times New Roman" w:hAnsi="Times New Roman" w:eastAsia="宋体"/>
          <w:color w:val="auto"/>
          <w:sz w:val="28"/>
          <w:szCs w:val="28"/>
        </w:rPr>
        <w:fldChar w:fldCharType="end"/>
      </w:r>
    </w:p>
    <w:p w14:paraId="7E27B167">
      <w:pPr>
        <w:pStyle w:val="27"/>
        <w:rPr>
          <w:rFonts w:hint="eastAsia" w:ascii="Times New Roman" w:hAnsi="Times New Roman" w:eastAsia="宋体" w:cs="Times New Roman"/>
          <w:b/>
          <w:bCs/>
          <w:snapToGrid w:val="0"/>
          <w:color w:val="auto"/>
          <w:kern w:val="0"/>
          <w:position w:val="0"/>
          <w:sz w:val="24"/>
          <w:szCs w:val="24"/>
          <w:lang w:val="en-US" w:eastAsia="zh-CN" w:bidi="ar-SA"/>
        </w:rPr>
      </w:pPr>
      <w:r>
        <w:rPr>
          <w:color w:val="auto"/>
        </w:rPr>
        <w:fldChar w:fldCharType="end"/>
      </w:r>
      <w:r>
        <w:rPr>
          <w:rFonts w:hint="eastAsia"/>
          <w:color w:val="auto"/>
          <w:lang w:val="en-US" w:eastAsia="zh-CN"/>
        </w:rPr>
        <w:t xml:space="preserve">   </w:t>
      </w:r>
      <w:r>
        <w:rPr>
          <w:rFonts w:hint="eastAsia" w:ascii="Times New Roman" w:hAnsi="Times New Roman" w:eastAsia="宋体" w:cs="Times New Roman"/>
          <w:b/>
          <w:bCs/>
          <w:snapToGrid w:val="0"/>
          <w:color w:val="auto"/>
          <w:kern w:val="0"/>
          <w:position w:val="0"/>
          <w:sz w:val="24"/>
          <w:szCs w:val="24"/>
          <w:lang w:val="en-US" w:eastAsia="zh-CN" w:bidi="ar-SA"/>
        </w:rPr>
        <w:t>附图</w:t>
      </w:r>
    </w:p>
    <w:p w14:paraId="0AD1398D">
      <w:pPr>
        <w:pStyle w:val="25"/>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auto"/>
        <w:rPr>
          <w:rFonts w:hint="eastAsia" w:ascii="Times New Roman" w:hAnsi="Times New Roman" w:eastAsia="宋体" w:cs="Times New Roman"/>
          <w:b w:val="0"/>
          <w:bCs w:val="0"/>
          <w:snapToGrid w:val="0"/>
          <w:color w:val="auto"/>
          <w:szCs w:val="24"/>
          <w:lang w:val="en-US" w:eastAsia="zh-CN"/>
        </w:rPr>
      </w:pPr>
      <w:r>
        <w:rPr>
          <w:rFonts w:hint="eastAsia" w:ascii="Times New Roman" w:hAnsi="Times New Roman" w:eastAsia="宋体" w:cs="Times New Roman"/>
          <w:b w:val="0"/>
          <w:bCs w:val="0"/>
          <w:snapToGrid w:val="0"/>
          <w:color w:val="auto"/>
          <w:szCs w:val="24"/>
          <w:lang w:val="en-US" w:eastAsia="zh-CN"/>
        </w:rPr>
        <w:t>附图1  项目地理位置图</w:t>
      </w:r>
    </w:p>
    <w:p w14:paraId="63514266">
      <w:pPr>
        <w:pStyle w:val="25"/>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auto"/>
        <w:rPr>
          <w:rFonts w:hint="eastAsia" w:ascii="Times New Roman" w:hAnsi="Times New Roman" w:eastAsia="宋体" w:cs="Times New Roman"/>
          <w:b w:val="0"/>
          <w:bCs w:val="0"/>
          <w:snapToGrid w:val="0"/>
          <w:color w:val="auto"/>
          <w:szCs w:val="24"/>
          <w:lang w:val="en-US" w:eastAsia="zh-CN"/>
        </w:rPr>
      </w:pPr>
      <w:r>
        <w:rPr>
          <w:rFonts w:hint="eastAsia" w:ascii="Times New Roman" w:hAnsi="Times New Roman" w:eastAsia="宋体" w:cs="Times New Roman"/>
          <w:b w:val="0"/>
          <w:bCs w:val="0"/>
          <w:snapToGrid w:val="0"/>
          <w:color w:val="auto"/>
          <w:szCs w:val="24"/>
          <w:lang w:val="en-US" w:eastAsia="zh-CN"/>
        </w:rPr>
        <w:t>附图2  项目平面布置图</w:t>
      </w:r>
    </w:p>
    <w:p w14:paraId="7EA2445C">
      <w:pPr>
        <w:pStyle w:val="25"/>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auto"/>
        <w:rPr>
          <w:rFonts w:hint="eastAsia" w:ascii="Times New Roman" w:hAnsi="Times New Roman" w:eastAsia="宋体" w:cs="Times New Roman"/>
          <w:b w:val="0"/>
          <w:bCs w:val="0"/>
          <w:snapToGrid w:val="0"/>
          <w:color w:val="auto"/>
          <w:szCs w:val="24"/>
          <w:lang w:val="en-US" w:eastAsia="zh-CN"/>
        </w:rPr>
      </w:pPr>
      <w:r>
        <w:rPr>
          <w:rFonts w:hint="eastAsia" w:ascii="Times New Roman" w:hAnsi="Times New Roman" w:eastAsia="宋体" w:cs="Times New Roman"/>
          <w:b w:val="0"/>
          <w:bCs w:val="0"/>
          <w:snapToGrid w:val="0"/>
          <w:color w:val="auto"/>
          <w:szCs w:val="24"/>
          <w:lang w:val="en-US" w:eastAsia="zh-CN"/>
        </w:rPr>
        <w:t>附图3  项目周边关系图</w:t>
      </w:r>
    </w:p>
    <w:p w14:paraId="3FE7F06C">
      <w:pPr>
        <w:pStyle w:val="25"/>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auto"/>
        <w:rPr>
          <w:rFonts w:hint="eastAsia" w:ascii="Times New Roman" w:hAnsi="Times New Roman" w:eastAsia="宋体" w:cs="Times New Roman"/>
          <w:b w:val="0"/>
          <w:bCs w:val="0"/>
          <w:snapToGrid w:val="0"/>
          <w:color w:val="auto"/>
          <w:szCs w:val="24"/>
          <w:lang w:val="en-US" w:eastAsia="zh-CN"/>
        </w:rPr>
      </w:pPr>
      <w:r>
        <w:rPr>
          <w:rFonts w:hint="eastAsia" w:ascii="Times New Roman" w:hAnsi="Times New Roman" w:eastAsia="宋体" w:cs="Times New Roman"/>
          <w:b w:val="0"/>
          <w:bCs w:val="0"/>
          <w:snapToGrid w:val="0"/>
          <w:color w:val="auto"/>
          <w:szCs w:val="24"/>
          <w:lang w:val="en-US" w:eastAsia="zh-CN"/>
        </w:rPr>
        <w:t>附图4  项目水系图</w:t>
      </w:r>
    </w:p>
    <w:p w14:paraId="50D3AF00">
      <w:pPr>
        <w:pStyle w:val="25"/>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auto"/>
        <w:rPr>
          <w:rFonts w:hint="eastAsia" w:ascii="Times New Roman" w:hAnsi="Times New Roman" w:eastAsia="宋体" w:cs="Times New Roman"/>
          <w:b w:val="0"/>
          <w:bCs w:val="0"/>
          <w:snapToGrid w:val="0"/>
          <w:color w:val="auto"/>
          <w:szCs w:val="24"/>
          <w:lang w:val="en-US" w:eastAsia="zh-CN"/>
        </w:rPr>
      </w:pPr>
      <w:r>
        <w:rPr>
          <w:rFonts w:hint="eastAsia" w:ascii="Times New Roman" w:hAnsi="Times New Roman" w:eastAsia="宋体" w:cs="Times New Roman"/>
          <w:b w:val="0"/>
          <w:bCs w:val="0"/>
          <w:snapToGrid w:val="0"/>
          <w:color w:val="auto"/>
          <w:szCs w:val="24"/>
          <w:lang w:val="en-US" w:eastAsia="zh-CN"/>
        </w:rPr>
        <w:t xml:space="preserve">附图5  </w:t>
      </w:r>
      <w:r>
        <w:rPr>
          <w:rFonts w:hint="eastAsia" w:ascii="Times New Roman" w:hAnsi="Times New Roman" w:cs="Times New Roman"/>
          <w:b w:val="0"/>
          <w:bCs w:val="0"/>
          <w:snapToGrid w:val="0"/>
          <w:color w:val="auto"/>
          <w:szCs w:val="24"/>
          <w:lang w:val="en-US" w:eastAsia="zh-CN"/>
        </w:rPr>
        <w:t>华宁县中心城区禁燃区划定范围图</w:t>
      </w:r>
    </w:p>
    <w:p w14:paraId="13E51A02">
      <w:pPr>
        <w:pStyle w:val="25"/>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b w:val="0"/>
          <w:bCs w:val="0"/>
          <w:snapToGrid w:val="0"/>
          <w:color w:val="auto"/>
          <w:szCs w:val="24"/>
          <w:lang w:val="en-US" w:eastAsia="zh-CN"/>
        </w:rPr>
      </w:pPr>
      <w:r>
        <w:rPr>
          <w:rFonts w:hint="eastAsia" w:ascii="Times New Roman" w:hAnsi="Times New Roman" w:cs="Times New Roman"/>
          <w:b w:val="0"/>
          <w:bCs w:val="0"/>
          <w:snapToGrid w:val="0"/>
          <w:color w:val="auto"/>
          <w:szCs w:val="24"/>
          <w:lang w:val="en-US" w:eastAsia="zh-CN"/>
        </w:rPr>
        <w:t>附图6  项目雨污分流图</w:t>
      </w:r>
    </w:p>
    <w:p w14:paraId="38B1F4B1">
      <w:pPr>
        <w:pStyle w:val="25"/>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firstLine="482" w:firstLineChars="200"/>
        <w:jc w:val="both"/>
        <w:textAlignment w:val="auto"/>
        <w:rPr>
          <w:rFonts w:hint="eastAsia" w:ascii="Times New Roman" w:hAnsi="Times New Roman" w:eastAsia="宋体" w:cs="Times New Roman"/>
          <w:b/>
          <w:bCs/>
          <w:snapToGrid w:val="0"/>
          <w:color w:val="auto"/>
          <w:szCs w:val="24"/>
          <w:lang w:val="en-US" w:eastAsia="zh-CN"/>
        </w:rPr>
      </w:pPr>
      <w:r>
        <w:rPr>
          <w:rFonts w:hint="eastAsia" w:ascii="Times New Roman" w:hAnsi="Times New Roman" w:eastAsia="宋体" w:cs="Times New Roman"/>
          <w:b/>
          <w:bCs/>
          <w:snapToGrid w:val="0"/>
          <w:color w:val="auto"/>
          <w:szCs w:val="24"/>
          <w:lang w:val="en-US" w:eastAsia="zh-CN"/>
        </w:rPr>
        <w:t>附件</w:t>
      </w:r>
    </w:p>
    <w:p w14:paraId="70976272">
      <w:pPr>
        <w:pStyle w:val="25"/>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auto"/>
        <w:rPr>
          <w:rFonts w:hint="eastAsia" w:ascii="Times New Roman" w:hAnsi="Times New Roman" w:eastAsia="宋体" w:cs="Times New Roman"/>
          <w:b w:val="0"/>
          <w:bCs w:val="0"/>
          <w:snapToGrid w:val="0"/>
          <w:color w:val="auto"/>
          <w:szCs w:val="24"/>
          <w:lang w:val="en-US" w:eastAsia="zh-CN"/>
        </w:rPr>
      </w:pPr>
      <w:r>
        <w:rPr>
          <w:rFonts w:hint="eastAsia" w:ascii="Times New Roman" w:hAnsi="Times New Roman" w:eastAsia="宋体" w:cs="Times New Roman"/>
          <w:b w:val="0"/>
          <w:bCs w:val="0"/>
          <w:snapToGrid w:val="0"/>
          <w:color w:val="auto"/>
          <w:szCs w:val="24"/>
          <w:lang w:val="en-US" w:eastAsia="zh-CN"/>
        </w:rPr>
        <w:t>附件1  委托书</w:t>
      </w:r>
    </w:p>
    <w:p w14:paraId="5F4D738A">
      <w:pPr>
        <w:pStyle w:val="25"/>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auto"/>
        <w:rPr>
          <w:rFonts w:hint="eastAsia" w:ascii="Times New Roman" w:hAnsi="Times New Roman" w:eastAsia="宋体" w:cs="Times New Roman"/>
          <w:b w:val="0"/>
          <w:bCs w:val="0"/>
          <w:snapToGrid w:val="0"/>
          <w:color w:val="auto"/>
          <w:szCs w:val="24"/>
          <w:lang w:val="en-US" w:eastAsia="zh-CN"/>
        </w:rPr>
      </w:pPr>
      <w:r>
        <w:rPr>
          <w:rFonts w:hint="eastAsia" w:ascii="Times New Roman" w:hAnsi="Times New Roman" w:eastAsia="宋体" w:cs="Times New Roman"/>
          <w:b w:val="0"/>
          <w:bCs w:val="0"/>
          <w:snapToGrid w:val="0"/>
          <w:color w:val="auto"/>
          <w:szCs w:val="24"/>
          <w:lang w:val="en-US" w:eastAsia="zh-CN"/>
        </w:rPr>
        <w:t>附件2  投资项目备案证</w:t>
      </w:r>
    </w:p>
    <w:p w14:paraId="45698212">
      <w:pPr>
        <w:pStyle w:val="25"/>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b w:val="0"/>
          <w:bCs w:val="0"/>
          <w:snapToGrid w:val="0"/>
          <w:color w:val="auto"/>
          <w:szCs w:val="24"/>
          <w:lang w:val="en-US" w:eastAsia="zh-CN"/>
        </w:rPr>
      </w:pPr>
      <w:r>
        <w:rPr>
          <w:rFonts w:hint="eastAsia" w:ascii="Times New Roman" w:hAnsi="Times New Roman" w:eastAsia="宋体" w:cs="Times New Roman"/>
          <w:b w:val="0"/>
          <w:bCs w:val="0"/>
          <w:snapToGrid w:val="0"/>
          <w:color w:val="auto"/>
          <w:szCs w:val="24"/>
          <w:lang w:val="en-US" w:eastAsia="zh-CN"/>
        </w:rPr>
        <w:t xml:space="preserve">附件3  </w:t>
      </w:r>
      <w:r>
        <w:rPr>
          <w:rFonts w:hint="eastAsia" w:ascii="Times New Roman" w:hAnsi="Times New Roman" w:cs="Times New Roman"/>
          <w:b w:val="0"/>
          <w:bCs w:val="0"/>
          <w:snapToGrid w:val="0"/>
          <w:color w:val="auto"/>
          <w:szCs w:val="24"/>
          <w:lang w:val="en-US" w:eastAsia="zh-CN"/>
        </w:rPr>
        <w:t>不动产权证</w:t>
      </w:r>
    </w:p>
    <w:p w14:paraId="4190D5C0">
      <w:pPr>
        <w:pStyle w:val="25"/>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auto"/>
        <w:rPr>
          <w:rFonts w:hint="eastAsia" w:ascii="Times New Roman" w:hAnsi="Times New Roman" w:eastAsia="宋体" w:cs="Times New Roman"/>
          <w:b w:val="0"/>
          <w:bCs w:val="0"/>
          <w:snapToGrid w:val="0"/>
          <w:color w:val="auto"/>
          <w:szCs w:val="24"/>
          <w:lang w:val="en-US" w:eastAsia="zh-CN"/>
        </w:rPr>
      </w:pPr>
      <w:r>
        <w:rPr>
          <w:rFonts w:hint="eastAsia" w:ascii="Times New Roman" w:hAnsi="Times New Roman" w:eastAsia="宋体" w:cs="Times New Roman"/>
          <w:b w:val="0"/>
          <w:bCs w:val="0"/>
          <w:snapToGrid w:val="0"/>
          <w:color w:val="auto"/>
          <w:szCs w:val="24"/>
          <w:lang w:val="en-US" w:eastAsia="zh-CN"/>
        </w:rPr>
        <w:t xml:space="preserve">附件4  </w:t>
      </w:r>
      <w:r>
        <w:rPr>
          <w:rFonts w:hint="eastAsia" w:ascii="Times New Roman" w:hAnsi="Times New Roman" w:cs="Times New Roman"/>
          <w:b w:val="0"/>
          <w:bCs w:val="0"/>
          <w:snapToGrid w:val="0"/>
          <w:color w:val="auto"/>
          <w:szCs w:val="24"/>
          <w:lang w:val="en-US" w:eastAsia="zh-CN"/>
        </w:rPr>
        <w:t>煤质</w:t>
      </w:r>
      <w:r>
        <w:rPr>
          <w:rFonts w:hint="eastAsia" w:ascii="Times New Roman" w:hAnsi="Times New Roman" w:eastAsia="宋体" w:cs="Times New Roman"/>
          <w:b w:val="0"/>
          <w:bCs w:val="0"/>
          <w:snapToGrid w:val="0"/>
          <w:color w:val="auto"/>
          <w:szCs w:val="24"/>
          <w:lang w:val="en-US" w:eastAsia="zh-CN"/>
        </w:rPr>
        <w:t>分析单</w:t>
      </w:r>
    </w:p>
    <w:p w14:paraId="4C812B8B">
      <w:pPr>
        <w:pStyle w:val="25"/>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b w:val="0"/>
          <w:bCs w:val="0"/>
          <w:snapToGrid w:val="0"/>
          <w:color w:val="auto"/>
          <w:szCs w:val="24"/>
          <w:lang w:val="en-US" w:eastAsia="zh-CN"/>
        </w:rPr>
      </w:pPr>
      <w:r>
        <w:rPr>
          <w:rFonts w:hint="eastAsia" w:ascii="Times New Roman" w:hAnsi="Times New Roman" w:eastAsia="宋体" w:cs="Times New Roman"/>
          <w:b w:val="0"/>
          <w:bCs w:val="0"/>
          <w:snapToGrid w:val="0"/>
          <w:color w:val="auto"/>
          <w:szCs w:val="24"/>
          <w:lang w:val="en-US" w:eastAsia="zh-CN"/>
        </w:rPr>
        <w:t xml:space="preserve">附件5  </w:t>
      </w:r>
      <w:r>
        <w:rPr>
          <w:rFonts w:hint="eastAsia" w:ascii="Times New Roman" w:hAnsi="Times New Roman" w:cs="Times New Roman"/>
          <w:b w:val="0"/>
          <w:bCs w:val="0"/>
          <w:snapToGrid w:val="0"/>
          <w:color w:val="auto"/>
          <w:szCs w:val="24"/>
          <w:lang w:val="en-US" w:eastAsia="zh-CN"/>
        </w:rPr>
        <w:t>项目引用的现状监测报告</w:t>
      </w:r>
    </w:p>
    <w:p w14:paraId="539EDF86">
      <w:pPr>
        <w:pStyle w:val="25"/>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b w:val="0"/>
          <w:bCs w:val="0"/>
          <w:snapToGrid w:val="0"/>
          <w:color w:val="auto"/>
          <w:szCs w:val="24"/>
          <w:lang w:val="en-US" w:eastAsia="zh-CN"/>
        </w:rPr>
      </w:pPr>
      <w:r>
        <w:rPr>
          <w:rFonts w:hint="eastAsia" w:ascii="Times New Roman" w:hAnsi="Times New Roman" w:eastAsia="宋体" w:cs="Times New Roman"/>
          <w:b w:val="0"/>
          <w:bCs w:val="0"/>
          <w:snapToGrid w:val="0"/>
          <w:color w:val="auto"/>
          <w:szCs w:val="24"/>
          <w:lang w:val="en-US" w:eastAsia="zh-CN"/>
        </w:rPr>
        <w:t>附件</w:t>
      </w:r>
      <w:r>
        <w:rPr>
          <w:rFonts w:hint="eastAsia" w:ascii="Times New Roman" w:hAnsi="Times New Roman" w:cs="Times New Roman"/>
          <w:b w:val="0"/>
          <w:bCs w:val="0"/>
          <w:snapToGrid w:val="0"/>
          <w:color w:val="auto"/>
          <w:szCs w:val="24"/>
          <w:lang w:val="en-US" w:eastAsia="zh-CN"/>
        </w:rPr>
        <w:t>6</w:t>
      </w:r>
      <w:r>
        <w:rPr>
          <w:rFonts w:hint="eastAsia" w:ascii="Times New Roman" w:hAnsi="Times New Roman" w:eastAsia="宋体" w:cs="Times New Roman"/>
          <w:b w:val="0"/>
          <w:bCs w:val="0"/>
          <w:snapToGrid w:val="0"/>
          <w:color w:val="auto"/>
          <w:szCs w:val="24"/>
          <w:lang w:val="en-US" w:eastAsia="zh-CN"/>
        </w:rPr>
        <w:t xml:space="preserve">  华政办通〔2022〕38号</w:t>
      </w:r>
    </w:p>
    <w:p w14:paraId="1E9ED599">
      <w:pPr>
        <w:pStyle w:val="25"/>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b w:val="0"/>
          <w:bCs w:val="0"/>
          <w:snapToGrid w:val="0"/>
          <w:color w:val="auto"/>
          <w:szCs w:val="24"/>
          <w:lang w:val="en-US" w:eastAsia="zh-CN"/>
        </w:rPr>
      </w:pPr>
      <w:r>
        <w:rPr>
          <w:rFonts w:hint="eastAsia" w:ascii="Times New Roman" w:hAnsi="Times New Roman" w:cs="Times New Roman"/>
          <w:b w:val="0"/>
          <w:bCs w:val="0"/>
          <w:snapToGrid w:val="0"/>
          <w:color w:val="auto"/>
          <w:szCs w:val="24"/>
          <w:lang w:val="en-US" w:eastAsia="zh-CN"/>
        </w:rPr>
        <w:t>附件7</w:t>
      </w:r>
      <w:r>
        <w:rPr>
          <w:rFonts w:hint="eastAsia" w:ascii="Times New Roman" w:hAnsi="Times New Roman" w:eastAsia="宋体" w:cs="Times New Roman"/>
          <w:b w:val="0"/>
          <w:bCs w:val="0"/>
          <w:snapToGrid w:val="0"/>
          <w:color w:val="auto"/>
          <w:szCs w:val="24"/>
          <w:lang w:val="en-US" w:eastAsia="zh-CN"/>
        </w:rPr>
        <w:t xml:space="preserve">  华办通〔2023〕37号</w:t>
      </w:r>
    </w:p>
    <w:p w14:paraId="5B284ED3">
      <w:pPr>
        <w:pStyle w:val="25"/>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b w:val="0"/>
          <w:bCs w:val="0"/>
          <w:snapToGrid w:val="0"/>
          <w:color w:val="auto"/>
          <w:szCs w:val="24"/>
          <w:lang w:val="en-US" w:eastAsia="zh-CN"/>
        </w:rPr>
      </w:pPr>
      <w:r>
        <w:rPr>
          <w:rFonts w:hint="eastAsia" w:ascii="Times New Roman" w:hAnsi="Times New Roman" w:cs="Times New Roman"/>
          <w:b w:val="0"/>
          <w:bCs w:val="0"/>
          <w:snapToGrid w:val="0"/>
          <w:color w:val="auto"/>
          <w:szCs w:val="24"/>
          <w:lang w:val="en-US" w:eastAsia="zh-CN"/>
        </w:rPr>
        <w:t xml:space="preserve">附件8  </w:t>
      </w:r>
      <w:r>
        <w:rPr>
          <w:rFonts w:hint="default" w:ascii="Times New Roman" w:hAnsi="Times New Roman" w:cs="Times New Roman"/>
          <w:b w:val="0"/>
          <w:bCs w:val="0"/>
          <w:snapToGrid w:val="0"/>
          <w:color w:val="auto"/>
          <w:szCs w:val="24"/>
          <w:lang w:val="en-US" w:eastAsia="zh-CN"/>
        </w:rPr>
        <w:t>华发改联发〔2024〕377号</w:t>
      </w:r>
    </w:p>
    <w:p w14:paraId="09FD7F46">
      <w:pPr>
        <w:pStyle w:val="25"/>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auto"/>
        <w:rPr>
          <w:rFonts w:hint="eastAsia" w:ascii="Times New Roman" w:hAnsi="Times New Roman" w:eastAsia="宋体" w:cs="Times New Roman"/>
          <w:b w:val="0"/>
          <w:bCs w:val="0"/>
          <w:snapToGrid w:val="0"/>
          <w:color w:val="auto"/>
          <w:szCs w:val="24"/>
          <w:lang w:val="en-US" w:eastAsia="zh-CN"/>
        </w:rPr>
      </w:pPr>
      <w:r>
        <w:rPr>
          <w:rFonts w:hint="eastAsia" w:ascii="Times New Roman" w:hAnsi="Times New Roman" w:eastAsia="宋体" w:cs="Times New Roman"/>
          <w:b w:val="0"/>
          <w:bCs w:val="0"/>
          <w:snapToGrid w:val="0"/>
          <w:color w:val="auto"/>
          <w:szCs w:val="24"/>
          <w:lang w:val="en-US" w:eastAsia="zh-CN"/>
        </w:rPr>
        <w:t>附件</w:t>
      </w:r>
      <w:r>
        <w:rPr>
          <w:rFonts w:hint="eastAsia" w:ascii="Times New Roman" w:hAnsi="Times New Roman" w:cs="Times New Roman"/>
          <w:b w:val="0"/>
          <w:bCs w:val="0"/>
          <w:snapToGrid w:val="0"/>
          <w:color w:val="auto"/>
          <w:szCs w:val="24"/>
          <w:lang w:val="en-US" w:eastAsia="zh-CN"/>
        </w:rPr>
        <w:t>9</w:t>
      </w:r>
      <w:r>
        <w:rPr>
          <w:rFonts w:hint="eastAsia" w:ascii="Times New Roman" w:hAnsi="Times New Roman" w:eastAsia="宋体" w:cs="Times New Roman"/>
          <w:b w:val="0"/>
          <w:bCs w:val="0"/>
          <w:snapToGrid w:val="0"/>
          <w:color w:val="auto"/>
          <w:szCs w:val="24"/>
          <w:lang w:val="en-US" w:eastAsia="zh-CN"/>
        </w:rPr>
        <w:t xml:space="preserve">  </w:t>
      </w:r>
      <w:r>
        <w:rPr>
          <w:rFonts w:hint="default" w:ascii="Times New Roman" w:hAnsi="Times New Roman" w:cs="Times New Roman"/>
          <w:b w:val="0"/>
          <w:bCs w:val="0"/>
          <w:snapToGrid w:val="0"/>
          <w:color w:val="auto"/>
          <w:szCs w:val="24"/>
          <w:lang w:val="en-US" w:eastAsia="zh-CN"/>
        </w:rPr>
        <w:t>华宁县人民政府关于划定高污染燃料禁燃区的公告</w:t>
      </w:r>
    </w:p>
    <w:p w14:paraId="2E20E48C">
      <w:pPr>
        <w:pStyle w:val="25"/>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auto"/>
        <w:rPr>
          <w:rFonts w:hint="eastAsia" w:ascii="Times New Roman" w:hAnsi="Times New Roman" w:cs="Times New Roman"/>
          <w:b w:val="0"/>
          <w:bCs w:val="0"/>
          <w:snapToGrid w:val="0"/>
          <w:color w:val="auto"/>
          <w:szCs w:val="24"/>
          <w:lang w:val="en-US" w:eastAsia="zh-CN"/>
        </w:rPr>
      </w:pPr>
      <w:r>
        <w:rPr>
          <w:rFonts w:hint="default" w:ascii="Times New Roman" w:hAnsi="Times New Roman" w:eastAsia="宋体" w:cs="Times New Roman"/>
          <w:b w:val="0"/>
          <w:bCs w:val="0"/>
          <w:snapToGrid w:val="0"/>
          <w:color w:val="auto"/>
          <w:szCs w:val="24"/>
          <w:lang w:val="en-US" w:eastAsia="zh-CN"/>
        </w:rPr>
        <w:t>附件</w:t>
      </w:r>
      <w:r>
        <w:rPr>
          <w:rFonts w:hint="eastAsia" w:ascii="Times New Roman" w:hAnsi="Times New Roman" w:cs="Times New Roman"/>
          <w:b w:val="0"/>
          <w:bCs w:val="0"/>
          <w:snapToGrid w:val="0"/>
          <w:color w:val="auto"/>
          <w:szCs w:val="24"/>
          <w:lang w:val="en-US" w:eastAsia="zh-CN"/>
        </w:rPr>
        <w:t>10</w:t>
      </w:r>
      <w:r>
        <w:rPr>
          <w:rFonts w:hint="default" w:ascii="Times New Roman" w:hAnsi="Times New Roman" w:eastAsia="宋体" w:cs="Times New Roman"/>
          <w:b w:val="0"/>
          <w:bCs w:val="0"/>
          <w:snapToGrid w:val="0"/>
          <w:color w:val="auto"/>
          <w:szCs w:val="24"/>
          <w:lang w:val="en-US" w:eastAsia="zh-CN"/>
        </w:rPr>
        <w:t xml:space="preserve">  </w:t>
      </w:r>
      <w:r>
        <w:rPr>
          <w:rFonts w:hint="eastAsia" w:ascii="Times New Roman" w:hAnsi="Times New Roman" w:cs="Times New Roman"/>
          <w:b w:val="0"/>
          <w:bCs w:val="0"/>
          <w:snapToGrid w:val="0"/>
          <w:color w:val="auto"/>
          <w:szCs w:val="24"/>
          <w:lang w:val="en-US" w:eastAsia="zh-CN"/>
        </w:rPr>
        <w:t>项目选址意见</w:t>
      </w:r>
    </w:p>
    <w:p w14:paraId="4EE08403">
      <w:pPr>
        <w:pStyle w:val="25"/>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auto"/>
        <w:rPr>
          <w:rFonts w:hint="eastAsia" w:ascii="Times New Roman" w:hAnsi="Times New Roman" w:cs="Times New Roman"/>
          <w:b w:val="0"/>
          <w:bCs w:val="0"/>
          <w:snapToGrid w:val="0"/>
          <w:color w:val="auto"/>
          <w:szCs w:val="24"/>
          <w:lang w:val="en-US" w:eastAsia="zh-CN"/>
        </w:rPr>
      </w:pPr>
      <w:r>
        <w:rPr>
          <w:rFonts w:hint="eastAsia" w:ascii="Times New Roman" w:hAnsi="Times New Roman" w:cs="Times New Roman"/>
          <w:b w:val="0"/>
          <w:bCs w:val="0"/>
          <w:snapToGrid w:val="0"/>
          <w:color w:val="auto"/>
          <w:szCs w:val="24"/>
          <w:lang w:val="en-US" w:eastAsia="zh-CN"/>
        </w:rPr>
        <w:t>附件11</w:t>
      </w:r>
      <w:r>
        <w:rPr>
          <w:rFonts w:hint="default" w:ascii="Times New Roman" w:hAnsi="Times New Roman" w:eastAsia="宋体" w:cs="Times New Roman"/>
          <w:b w:val="0"/>
          <w:bCs w:val="0"/>
          <w:snapToGrid w:val="0"/>
          <w:color w:val="auto"/>
          <w:szCs w:val="24"/>
          <w:lang w:val="en-US" w:eastAsia="zh-CN"/>
        </w:rPr>
        <w:t xml:space="preserve">  </w:t>
      </w:r>
      <w:r>
        <w:rPr>
          <w:rFonts w:hint="eastAsia" w:ascii="Times New Roman" w:hAnsi="Times New Roman" w:cs="Times New Roman"/>
          <w:b w:val="0"/>
          <w:bCs w:val="0"/>
          <w:snapToGrid w:val="0"/>
          <w:color w:val="auto"/>
          <w:szCs w:val="24"/>
          <w:lang w:val="en-US" w:eastAsia="zh-CN"/>
        </w:rPr>
        <w:t>项目分区管控单元查询结果</w:t>
      </w:r>
    </w:p>
    <w:p w14:paraId="4CAC44F3">
      <w:pPr>
        <w:pStyle w:val="25"/>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auto"/>
        <w:ind w:firstLine="480" w:firstLineChars="200"/>
        <w:jc w:val="both"/>
        <w:textAlignment w:val="auto"/>
        <w:rPr>
          <w:rFonts w:hint="default" w:ascii="Times New Roman" w:hAnsi="Times New Roman" w:cs="Times New Roman"/>
          <w:b w:val="0"/>
          <w:bCs w:val="0"/>
          <w:snapToGrid w:val="0"/>
          <w:color w:val="auto"/>
          <w:szCs w:val="24"/>
          <w:lang w:val="en-US" w:eastAsia="zh-CN"/>
        </w:rPr>
      </w:pPr>
      <w:r>
        <w:rPr>
          <w:rFonts w:hint="eastAsia" w:ascii="Times New Roman" w:hAnsi="Times New Roman" w:cs="Times New Roman"/>
          <w:b w:val="0"/>
          <w:bCs w:val="0"/>
          <w:snapToGrid w:val="0"/>
          <w:color w:val="auto"/>
          <w:szCs w:val="24"/>
          <w:lang w:val="en-US" w:eastAsia="zh-CN"/>
        </w:rPr>
        <w:t>附件12  项目“三区三线”查询结果</w:t>
      </w:r>
    </w:p>
    <w:p w14:paraId="00718537">
      <w:pPr>
        <w:pStyle w:val="27"/>
        <w:ind w:left="0" w:leftChars="0" w:firstLine="0" w:firstLineChars="0"/>
        <w:rPr>
          <w:color w:val="auto"/>
        </w:rPr>
        <w:sectPr>
          <w:footerReference r:id="rId7" w:type="default"/>
          <w:pgSz w:w="11906" w:h="16838"/>
          <w:pgMar w:top="1701" w:right="1531" w:bottom="1701" w:left="1531" w:header="851" w:footer="1077" w:gutter="0"/>
          <w:pgNumType w:start="3"/>
          <w:cols w:space="720" w:num="1"/>
          <w:docGrid w:linePitch="312" w:charSpace="0"/>
        </w:sectPr>
      </w:pPr>
    </w:p>
    <w:p w14:paraId="197FC8F9">
      <w:pPr>
        <w:pStyle w:val="25"/>
        <w:jc w:val="center"/>
        <w:outlineLvl w:val="0"/>
        <w:rPr>
          <w:rFonts w:hint="eastAsia" w:ascii="黑体" w:hAnsi="黑体" w:eastAsia="黑体"/>
          <w:snapToGrid w:val="0"/>
          <w:color w:val="auto"/>
          <w:sz w:val="30"/>
          <w:szCs w:val="30"/>
        </w:rPr>
      </w:pPr>
      <w:bookmarkStart w:id="1" w:name="_Toc14826"/>
      <w:r>
        <w:rPr>
          <w:rFonts w:hint="eastAsia" w:ascii="黑体" w:hAnsi="黑体" w:eastAsia="黑体"/>
          <w:snapToGrid w:val="0"/>
          <w:color w:val="auto"/>
          <w:sz w:val="30"/>
          <w:szCs w:val="30"/>
        </w:rPr>
        <w:t>一、建设项目基本情况</w:t>
      </w:r>
      <w:bookmarkEnd w:id="1"/>
    </w:p>
    <w:tbl>
      <w:tblPr>
        <w:tblStyle w:val="29"/>
        <w:tblW w:w="951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78"/>
        <w:gridCol w:w="1074"/>
        <w:gridCol w:w="2468"/>
        <w:gridCol w:w="2011"/>
        <w:gridCol w:w="3285"/>
      </w:tblGrid>
      <w:tr w14:paraId="1A3EA9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52" w:type="dxa"/>
            <w:gridSpan w:val="2"/>
            <w:noWrap w:val="0"/>
            <w:tcMar>
              <w:top w:w="16" w:type="dxa"/>
              <w:left w:w="16" w:type="dxa"/>
              <w:right w:w="16" w:type="dxa"/>
            </w:tcMar>
            <w:vAlign w:val="center"/>
          </w:tcPr>
          <w:p w14:paraId="07B7D844">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建设项目名称</w:t>
            </w:r>
          </w:p>
        </w:tc>
        <w:tc>
          <w:tcPr>
            <w:tcW w:w="7764" w:type="dxa"/>
            <w:gridSpan w:val="3"/>
            <w:noWrap w:val="0"/>
            <w:vAlign w:val="center"/>
          </w:tcPr>
          <w:p w14:paraId="79CE6669">
            <w:pPr>
              <w:adjustRightInd w:val="0"/>
              <w:snapToGrid w:val="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华宁县白塔山陶器厂年产900万件建筑陶器项目</w:t>
            </w:r>
          </w:p>
        </w:tc>
      </w:tr>
      <w:tr w14:paraId="047016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52" w:type="dxa"/>
            <w:gridSpan w:val="2"/>
            <w:noWrap w:val="0"/>
            <w:tcMar>
              <w:top w:w="16" w:type="dxa"/>
              <w:left w:w="16" w:type="dxa"/>
              <w:right w:w="16" w:type="dxa"/>
            </w:tcMar>
            <w:vAlign w:val="center"/>
          </w:tcPr>
          <w:p w14:paraId="0E4C3E1C">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项目代码</w:t>
            </w:r>
          </w:p>
        </w:tc>
        <w:tc>
          <w:tcPr>
            <w:tcW w:w="7764" w:type="dxa"/>
            <w:gridSpan w:val="3"/>
            <w:noWrap w:val="0"/>
            <w:vAlign w:val="center"/>
          </w:tcPr>
          <w:p w14:paraId="75D6B60B">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2409-530424-04-01-798553</w:t>
            </w:r>
          </w:p>
        </w:tc>
      </w:tr>
      <w:tr w14:paraId="209DDF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52" w:type="dxa"/>
            <w:gridSpan w:val="2"/>
            <w:noWrap w:val="0"/>
            <w:tcMar>
              <w:top w:w="16" w:type="dxa"/>
              <w:left w:w="16" w:type="dxa"/>
              <w:right w:w="16" w:type="dxa"/>
            </w:tcMar>
            <w:vAlign w:val="center"/>
          </w:tcPr>
          <w:p w14:paraId="569C5624">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建设单位联系人</w:t>
            </w:r>
          </w:p>
        </w:tc>
        <w:tc>
          <w:tcPr>
            <w:tcW w:w="2468" w:type="dxa"/>
            <w:noWrap w:val="0"/>
            <w:vAlign w:val="center"/>
          </w:tcPr>
          <w:p w14:paraId="7C96E7E8">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王玉华</w:t>
            </w:r>
          </w:p>
        </w:tc>
        <w:tc>
          <w:tcPr>
            <w:tcW w:w="2011" w:type="dxa"/>
            <w:noWrap w:val="0"/>
            <w:vAlign w:val="center"/>
          </w:tcPr>
          <w:p w14:paraId="4EBF7448">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联系方式</w:t>
            </w:r>
          </w:p>
        </w:tc>
        <w:tc>
          <w:tcPr>
            <w:tcW w:w="3285" w:type="dxa"/>
            <w:noWrap w:val="0"/>
            <w:vAlign w:val="center"/>
          </w:tcPr>
          <w:p w14:paraId="03042E1D">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15187713478</w:t>
            </w:r>
          </w:p>
        </w:tc>
      </w:tr>
      <w:tr w14:paraId="2DBB94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52" w:type="dxa"/>
            <w:gridSpan w:val="2"/>
            <w:noWrap w:val="0"/>
            <w:tcMar>
              <w:top w:w="16" w:type="dxa"/>
              <w:left w:w="16" w:type="dxa"/>
              <w:right w:w="16" w:type="dxa"/>
            </w:tcMar>
            <w:vAlign w:val="center"/>
          </w:tcPr>
          <w:p w14:paraId="471BC189">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建设地点</w:t>
            </w:r>
          </w:p>
        </w:tc>
        <w:tc>
          <w:tcPr>
            <w:tcW w:w="7764" w:type="dxa"/>
            <w:gridSpan w:val="3"/>
            <w:noWrap w:val="0"/>
            <w:vAlign w:val="center"/>
          </w:tcPr>
          <w:p w14:paraId="04085558">
            <w:pPr>
              <w:adjustRightInd w:val="0"/>
              <w:snapToGrid w:val="0"/>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云南省玉溪市华宁县</w:t>
            </w:r>
            <w:r>
              <w:rPr>
                <w:rFonts w:hint="default" w:ascii="Times New Roman" w:hAnsi="Times New Roman" w:cs="Times New Roman"/>
                <w:color w:val="auto"/>
                <w:sz w:val="21"/>
                <w:szCs w:val="21"/>
                <w:lang w:val="en-US" w:eastAsia="zh-CN"/>
              </w:rPr>
              <w:t>宁州街道上村社区松树地</w:t>
            </w:r>
            <w:r>
              <w:rPr>
                <w:rFonts w:hint="eastAsia" w:cs="Times New Roman"/>
                <w:color w:val="auto"/>
                <w:sz w:val="21"/>
                <w:szCs w:val="21"/>
                <w:lang w:val="en-US" w:eastAsia="zh-CN"/>
              </w:rPr>
              <w:t>华宁县白塔山陶器厂</w:t>
            </w:r>
            <w:r>
              <w:rPr>
                <w:rFonts w:hint="default" w:ascii="Times New Roman" w:hAnsi="Times New Roman" w:cs="Times New Roman"/>
                <w:color w:val="auto"/>
                <w:sz w:val="21"/>
                <w:szCs w:val="21"/>
                <w:lang w:val="en-US" w:eastAsia="zh-CN"/>
              </w:rPr>
              <w:t>厂区内</w:t>
            </w:r>
          </w:p>
        </w:tc>
      </w:tr>
      <w:tr w14:paraId="4922D9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52" w:type="dxa"/>
            <w:gridSpan w:val="2"/>
            <w:noWrap w:val="0"/>
            <w:tcMar>
              <w:top w:w="16" w:type="dxa"/>
              <w:left w:w="16" w:type="dxa"/>
              <w:right w:w="16" w:type="dxa"/>
            </w:tcMar>
            <w:vAlign w:val="center"/>
          </w:tcPr>
          <w:p w14:paraId="1C9E8E3C">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地理坐标</w:t>
            </w:r>
          </w:p>
        </w:tc>
        <w:tc>
          <w:tcPr>
            <w:tcW w:w="7764" w:type="dxa"/>
            <w:gridSpan w:val="3"/>
            <w:noWrap w:val="0"/>
            <w:vAlign w:val="center"/>
          </w:tcPr>
          <w:p w14:paraId="0AFA740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东经</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102°55'12.916"</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北纬</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24°12'19.624"</w:t>
            </w:r>
          </w:p>
        </w:tc>
      </w:tr>
      <w:tr w14:paraId="2F3851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52" w:type="dxa"/>
            <w:gridSpan w:val="2"/>
            <w:noWrap w:val="0"/>
            <w:tcMar>
              <w:top w:w="16" w:type="dxa"/>
              <w:left w:w="16" w:type="dxa"/>
              <w:right w:w="16" w:type="dxa"/>
            </w:tcMar>
            <w:vAlign w:val="center"/>
          </w:tcPr>
          <w:p w14:paraId="583650F6">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国民经济</w:t>
            </w:r>
          </w:p>
          <w:p w14:paraId="2401C0E1">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行业类别</w:t>
            </w:r>
          </w:p>
        </w:tc>
        <w:tc>
          <w:tcPr>
            <w:tcW w:w="2468" w:type="dxa"/>
            <w:noWrap w:val="0"/>
            <w:vAlign w:val="center"/>
          </w:tcPr>
          <w:p w14:paraId="3D94BC7A">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w:t>
            </w:r>
            <w:r>
              <w:rPr>
                <w:rFonts w:hint="eastAsia" w:cs="Times New Roman"/>
                <w:color w:val="auto"/>
                <w:sz w:val="21"/>
                <w:szCs w:val="21"/>
                <w:lang w:val="en-US" w:eastAsia="zh-CN"/>
              </w:rPr>
              <w:t>3031粘土砖瓦及建筑砌块制造</w:t>
            </w:r>
          </w:p>
        </w:tc>
        <w:tc>
          <w:tcPr>
            <w:tcW w:w="2011" w:type="dxa"/>
            <w:noWrap w:val="0"/>
            <w:vAlign w:val="center"/>
          </w:tcPr>
          <w:p w14:paraId="3B6AA5D3">
            <w:pPr>
              <w:adjustRightInd w:val="0"/>
              <w:snapToGrid w:val="0"/>
              <w:jc w:val="center"/>
              <w:rPr>
                <w:rFonts w:hint="default" w:ascii="Times New Roman" w:hAnsi="Times New Roman" w:cs="Times New Roman"/>
                <w:color w:val="auto"/>
                <w:sz w:val="21"/>
                <w:szCs w:val="21"/>
              </w:rPr>
            </w:pPr>
            <w:bookmarkStart w:id="2" w:name="_Hlk49843745"/>
            <w:r>
              <w:rPr>
                <w:rFonts w:hint="default" w:ascii="Times New Roman" w:hAnsi="Times New Roman" w:cs="Times New Roman"/>
                <w:color w:val="auto"/>
                <w:sz w:val="21"/>
                <w:szCs w:val="21"/>
              </w:rPr>
              <w:t>建设项目</w:t>
            </w:r>
          </w:p>
          <w:p w14:paraId="3F1B4B9C">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行业类别</w:t>
            </w:r>
            <w:bookmarkEnd w:id="2"/>
          </w:p>
        </w:tc>
        <w:tc>
          <w:tcPr>
            <w:tcW w:w="3285" w:type="dxa"/>
            <w:noWrap w:val="0"/>
            <w:vAlign w:val="center"/>
          </w:tcPr>
          <w:p w14:paraId="25A9DA83">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二十七</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非金属矿物制品</w:t>
            </w:r>
            <w:r>
              <w:rPr>
                <w:rFonts w:hint="default" w:ascii="Times New Roman" w:hAnsi="Times New Roman" w:eastAsia="宋体" w:cs="Times New Roman"/>
                <w:color w:val="auto"/>
                <w:sz w:val="21"/>
                <w:szCs w:val="21"/>
                <w:lang w:val="en-US" w:eastAsia="zh-CN"/>
              </w:rPr>
              <w:t>业-</w:t>
            </w:r>
            <w:r>
              <w:rPr>
                <w:rFonts w:hint="eastAsia" w:cs="Times New Roman"/>
                <w:color w:val="auto"/>
                <w:sz w:val="21"/>
                <w:szCs w:val="21"/>
                <w:lang w:val="en-US" w:eastAsia="zh-CN"/>
              </w:rPr>
              <w:t>砖瓦、石材等建筑材料制造303-粘土砖瓦及建筑砌块制造；</w:t>
            </w:r>
          </w:p>
        </w:tc>
      </w:tr>
      <w:tr w14:paraId="54A9EB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52" w:type="dxa"/>
            <w:gridSpan w:val="2"/>
            <w:noWrap w:val="0"/>
            <w:tcMar>
              <w:top w:w="16" w:type="dxa"/>
              <w:left w:w="16" w:type="dxa"/>
              <w:right w:w="16" w:type="dxa"/>
            </w:tcMar>
            <w:vAlign w:val="center"/>
          </w:tcPr>
          <w:p w14:paraId="0860CF0E">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建设性质</w:t>
            </w:r>
          </w:p>
        </w:tc>
        <w:tc>
          <w:tcPr>
            <w:tcW w:w="2468" w:type="dxa"/>
            <w:noWrap w:val="0"/>
            <w:vAlign w:val="center"/>
          </w:tcPr>
          <w:p w14:paraId="30AA49D5">
            <w:pPr>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sym w:font="Wingdings 2" w:char="00A3"/>
            </w:r>
            <w:r>
              <w:rPr>
                <w:rFonts w:hint="default" w:ascii="Times New Roman" w:hAnsi="Times New Roman" w:cs="Times New Roman"/>
                <w:color w:val="auto"/>
                <w:sz w:val="21"/>
                <w:szCs w:val="21"/>
              </w:rPr>
              <w:t>新建（迁建）</w:t>
            </w:r>
          </w:p>
          <w:p w14:paraId="24E1B8DC">
            <w:pPr>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sym w:font="Wingdings 2" w:char="0052"/>
            </w:r>
            <w:r>
              <w:rPr>
                <w:rFonts w:hint="default" w:ascii="Times New Roman" w:hAnsi="Times New Roman" w:cs="Times New Roman"/>
                <w:color w:val="auto"/>
                <w:sz w:val="21"/>
                <w:szCs w:val="21"/>
              </w:rPr>
              <w:t>改建</w:t>
            </w:r>
          </w:p>
          <w:p w14:paraId="0AF56075">
            <w:pPr>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sym w:font="Wingdings 2" w:char="00A3"/>
            </w:r>
            <w:r>
              <w:rPr>
                <w:rFonts w:hint="default" w:ascii="Times New Roman" w:hAnsi="Times New Roman" w:cs="Times New Roman"/>
                <w:color w:val="auto"/>
                <w:sz w:val="21"/>
                <w:szCs w:val="21"/>
              </w:rPr>
              <w:t>扩建</w:t>
            </w:r>
          </w:p>
          <w:p w14:paraId="254F3A88">
            <w:pPr>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sym w:font="Wingdings 2" w:char="00A3"/>
            </w:r>
            <w:r>
              <w:rPr>
                <w:rFonts w:hint="default" w:ascii="Times New Roman" w:hAnsi="Times New Roman" w:cs="Times New Roman"/>
                <w:color w:val="auto"/>
                <w:sz w:val="21"/>
                <w:szCs w:val="21"/>
              </w:rPr>
              <w:t>技术改造</w:t>
            </w:r>
          </w:p>
        </w:tc>
        <w:tc>
          <w:tcPr>
            <w:tcW w:w="2011" w:type="dxa"/>
            <w:noWrap w:val="0"/>
            <w:vAlign w:val="center"/>
          </w:tcPr>
          <w:p w14:paraId="3E63E947">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建设项目</w:t>
            </w:r>
          </w:p>
          <w:p w14:paraId="77218B65">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申报情形</w:t>
            </w:r>
          </w:p>
        </w:tc>
        <w:tc>
          <w:tcPr>
            <w:tcW w:w="3285" w:type="dxa"/>
            <w:noWrap w:val="0"/>
            <w:vAlign w:val="center"/>
          </w:tcPr>
          <w:p w14:paraId="3AAFE4FF">
            <w:pPr>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sym w:font="Wingdings 2" w:char="0052"/>
            </w:r>
            <w:r>
              <w:rPr>
                <w:rFonts w:hint="default" w:ascii="Times New Roman" w:hAnsi="Times New Roman" w:cs="Times New Roman"/>
                <w:color w:val="auto"/>
                <w:sz w:val="21"/>
                <w:szCs w:val="21"/>
              </w:rPr>
              <w:t xml:space="preserve">首次申报项目             </w:t>
            </w:r>
          </w:p>
          <w:p w14:paraId="178B6EEC">
            <w:pPr>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sym w:font="Wingdings 2" w:char="00A3"/>
            </w:r>
            <w:r>
              <w:rPr>
                <w:rFonts w:hint="default" w:ascii="Times New Roman" w:hAnsi="Times New Roman" w:cs="Times New Roman"/>
                <w:color w:val="auto"/>
                <w:sz w:val="21"/>
                <w:szCs w:val="21"/>
              </w:rPr>
              <w:t>不予批准后再次申报项目</w:t>
            </w:r>
          </w:p>
          <w:p w14:paraId="2653ACCB">
            <w:pPr>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sym w:font="Wingdings 2" w:char="00A3"/>
            </w:r>
            <w:r>
              <w:rPr>
                <w:rFonts w:hint="default" w:ascii="Times New Roman" w:hAnsi="Times New Roman" w:cs="Times New Roman"/>
                <w:color w:val="auto"/>
                <w:sz w:val="21"/>
                <w:szCs w:val="21"/>
              </w:rPr>
              <w:t xml:space="preserve">超五年重新审核项目     </w:t>
            </w:r>
          </w:p>
          <w:p w14:paraId="2111F22A">
            <w:pPr>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rPr>
              <w:sym w:font="Wingdings 2" w:char="00A3"/>
            </w:r>
            <w:r>
              <w:rPr>
                <w:rFonts w:hint="default" w:ascii="Times New Roman" w:hAnsi="Times New Roman" w:cs="Times New Roman"/>
                <w:color w:val="auto"/>
                <w:sz w:val="21"/>
                <w:szCs w:val="21"/>
              </w:rPr>
              <w:t>重大变动重新报批项目</w:t>
            </w:r>
          </w:p>
        </w:tc>
      </w:tr>
      <w:tr w14:paraId="77055A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52" w:type="dxa"/>
            <w:gridSpan w:val="2"/>
            <w:noWrap w:val="0"/>
            <w:tcMar>
              <w:top w:w="16" w:type="dxa"/>
              <w:left w:w="16" w:type="dxa"/>
              <w:right w:w="16" w:type="dxa"/>
            </w:tcMar>
            <w:vAlign w:val="center"/>
          </w:tcPr>
          <w:p w14:paraId="6EEBB217">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项目审批（核准/</w:t>
            </w:r>
          </w:p>
          <w:p w14:paraId="0966B9B8">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备案）部门（选填）</w:t>
            </w:r>
          </w:p>
        </w:tc>
        <w:tc>
          <w:tcPr>
            <w:tcW w:w="2468" w:type="dxa"/>
            <w:noWrap w:val="0"/>
            <w:vAlign w:val="center"/>
          </w:tcPr>
          <w:p w14:paraId="69A4C7C1">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华宁县发展和改革局</w:t>
            </w:r>
          </w:p>
        </w:tc>
        <w:tc>
          <w:tcPr>
            <w:tcW w:w="2011" w:type="dxa"/>
            <w:noWrap w:val="0"/>
            <w:vAlign w:val="center"/>
          </w:tcPr>
          <w:p w14:paraId="51E0863A">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项目审批（核准/</w:t>
            </w:r>
          </w:p>
          <w:p w14:paraId="719B9913">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备案）文号（选填）</w:t>
            </w:r>
          </w:p>
        </w:tc>
        <w:tc>
          <w:tcPr>
            <w:tcW w:w="3285" w:type="dxa"/>
            <w:noWrap w:val="0"/>
            <w:vAlign w:val="center"/>
          </w:tcPr>
          <w:p w14:paraId="2EC928D7">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华发改投资〔2024〕</w:t>
            </w:r>
            <w:r>
              <w:rPr>
                <w:rFonts w:hint="eastAsia" w:cs="Times New Roman"/>
                <w:color w:val="auto"/>
                <w:sz w:val="21"/>
                <w:szCs w:val="21"/>
                <w:lang w:val="en-US" w:eastAsia="zh-CN"/>
              </w:rPr>
              <w:t>339</w:t>
            </w:r>
            <w:r>
              <w:rPr>
                <w:rFonts w:hint="default" w:ascii="Times New Roman" w:hAnsi="Times New Roman" w:eastAsia="宋体" w:cs="Times New Roman"/>
                <w:color w:val="auto"/>
                <w:sz w:val="21"/>
                <w:szCs w:val="21"/>
                <w:lang w:val="en-US" w:eastAsia="zh-CN"/>
              </w:rPr>
              <w:t>号</w:t>
            </w:r>
          </w:p>
        </w:tc>
      </w:tr>
      <w:tr w14:paraId="01F2BE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52" w:type="dxa"/>
            <w:gridSpan w:val="2"/>
            <w:noWrap w:val="0"/>
            <w:tcMar>
              <w:top w:w="16" w:type="dxa"/>
              <w:left w:w="16" w:type="dxa"/>
              <w:right w:w="16" w:type="dxa"/>
            </w:tcMar>
            <w:vAlign w:val="center"/>
          </w:tcPr>
          <w:p w14:paraId="4900DF68">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总投资（万元）</w:t>
            </w:r>
          </w:p>
        </w:tc>
        <w:tc>
          <w:tcPr>
            <w:tcW w:w="2468" w:type="dxa"/>
            <w:noWrap w:val="0"/>
            <w:vAlign w:val="center"/>
          </w:tcPr>
          <w:p w14:paraId="59EE2DB0">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737</w:t>
            </w:r>
          </w:p>
        </w:tc>
        <w:tc>
          <w:tcPr>
            <w:tcW w:w="2011" w:type="dxa"/>
            <w:noWrap w:val="0"/>
            <w:tcMar>
              <w:top w:w="16" w:type="dxa"/>
              <w:left w:w="16" w:type="dxa"/>
              <w:right w:w="16" w:type="dxa"/>
            </w:tcMar>
            <w:vAlign w:val="center"/>
          </w:tcPr>
          <w:p w14:paraId="6D04F923">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环保投资（万元）</w:t>
            </w:r>
          </w:p>
        </w:tc>
        <w:tc>
          <w:tcPr>
            <w:tcW w:w="3285" w:type="dxa"/>
            <w:noWrap w:val="0"/>
            <w:vAlign w:val="center"/>
          </w:tcPr>
          <w:p w14:paraId="41C79FE9">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85</w:t>
            </w:r>
          </w:p>
        </w:tc>
      </w:tr>
      <w:tr w14:paraId="32A286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52" w:type="dxa"/>
            <w:gridSpan w:val="2"/>
            <w:noWrap w:val="0"/>
            <w:tcMar>
              <w:top w:w="16" w:type="dxa"/>
              <w:left w:w="16" w:type="dxa"/>
              <w:right w:w="16" w:type="dxa"/>
            </w:tcMar>
            <w:vAlign w:val="center"/>
          </w:tcPr>
          <w:p w14:paraId="7FFB3C14">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环保投资占比（%）</w:t>
            </w:r>
          </w:p>
        </w:tc>
        <w:tc>
          <w:tcPr>
            <w:tcW w:w="2468" w:type="dxa"/>
            <w:noWrap w:val="0"/>
            <w:vAlign w:val="center"/>
          </w:tcPr>
          <w:p w14:paraId="7D5343E6">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11.53</w:t>
            </w:r>
          </w:p>
        </w:tc>
        <w:tc>
          <w:tcPr>
            <w:tcW w:w="2011" w:type="dxa"/>
            <w:noWrap w:val="0"/>
            <w:tcMar>
              <w:top w:w="16" w:type="dxa"/>
              <w:left w:w="16" w:type="dxa"/>
              <w:right w:w="16" w:type="dxa"/>
            </w:tcMar>
            <w:vAlign w:val="center"/>
          </w:tcPr>
          <w:p w14:paraId="1E96BB10">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施工工期</w:t>
            </w:r>
          </w:p>
        </w:tc>
        <w:tc>
          <w:tcPr>
            <w:tcW w:w="3285" w:type="dxa"/>
            <w:noWrap w:val="0"/>
            <w:vAlign w:val="center"/>
          </w:tcPr>
          <w:p w14:paraId="0510CA85">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6个月</w:t>
            </w:r>
          </w:p>
        </w:tc>
      </w:tr>
      <w:tr w14:paraId="11A721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52" w:type="dxa"/>
            <w:gridSpan w:val="2"/>
            <w:noWrap w:val="0"/>
            <w:tcMar>
              <w:top w:w="16" w:type="dxa"/>
              <w:left w:w="16" w:type="dxa"/>
              <w:right w:w="16" w:type="dxa"/>
            </w:tcMar>
            <w:vAlign w:val="center"/>
          </w:tcPr>
          <w:p w14:paraId="7E0ACE97">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是否开工建设</w:t>
            </w:r>
          </w:p>
        </w:tc>
        <w:tc>
          <w:tcPr>
            <w:tcW w:w="2468" w:type="dxa"/>
            <w:noWrap w:val="0"/>
            <w:vAlign w:val="center"/>
          </w:tcPr>
          <w:p w14:paraId="60DFE3FD">
            <w:pPr>
              <w:adjustRightInd w:val="0"/>
              <w:snapToGrid w:val="0"/>
              <w:rPr>
                <w:rFonts w:hint="default" w:ascii="Times New Roman" w:hAnsi="Times New Roman" w:cs="Times New Roman"/>
                <w:color w:val="auto"/>
                <w:sz w:val="21"/>
                <w:szCs w:val="21"/>
              </w:rPr>
            </w:pPr>
            <w:r>
              <w:rPr>
                <w:rFonts w:hint="default" w:ascii="Times New Roman" w:hAnsi="Times New Roman" w:cs="Times New Roman"/>
                <w:color w:val="auto"/>
                <w:sz w:val="21"/>
                <w:szCs w:val="21"/>
              </w:rPr>
              <w:sym w:font="Wingdings 2" w:char="0052"/>
            </w:r>
            <w:r>
              <w:rPr>
                <w:rFonts w:hint="default" w:ascii="Times New Roman" w:hAnsi="Times New Roman" w:cs="Times New Roman"/>
                <w:color w:val="auto"/>
                <w:sz w:val="21"/>
                <w:szCs w:val="21"/>
              </w:rPr>
              <w:t>否</w:t>
            </w:r>
          </w:p>
          <w:p w14:paraId="6A79298A">
            <w:pPr>
              <w:adjustRightInd w:val="0"/>
              <w:snapToGrid w:val="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FF0000"/>
                <w:sz w:val="21"/>
                <w:szCs w:val="21"/>
              </w:rPr>
              <w:sym w:font="Wingdings 2" w:char="00A3"/>
            </w:r>
            <w:r>
              <w:rPr>
                <w:rFonts w:hint="default" w:ascii="Times New Roman" w:hAnsi="Times New Roman" w:cs="Times New Roman"/>
                <w:color w:val="FF0000"/>
                <w:sz w:val="21"/>
                <w:szCs w:val="21"/>
              </w:rPr>
              <w:t>是：</w:t>
            </w:r>
            <w:r>
              <w:rPr>
                <w:rFonts w:hint="eastAsia" w:cs="Times New Roman"/>
                <w:color w:val="FF0000"/>
                <w:sz w:val="21"/>
                <w:szCs w:val="21"/>
                <w:u w:val="single"/>
                <w:lang w:val="en-US" w:eastAsia="zh-CN"/>
              </w:rPr>
              <w:t xml:space="preserve">     </w:t>
            </w:r>
            <w:r>
              <w:rPr>
                <w:rFonts w:hint="default" w:ascii="Times New Roman" w:hAnsi="Times New Roman" w:cs="Times New Roman"/>
                <w:color w:val="FF0000"/>
                <w:sz w:val="21"/>
                <w:szCs w:val="21"/>
                <w:u w:val="single"/>
              </w:rPr>
              <w:t xml:space="preserve"> </w:t>
            </w:r>
          </w:p>
        </w:tc>
        <w:tc>
          <w:tcPr>
            <w:tcW w:w="2011" w:type="dxa"/>
            <w:noWrap w:val="0"/>
            <w:tcMar>
              <w:top w:w="16" w:type="dxa"/>
              <w:left w:w="16" w:type="dxa"/>
              <w:right w:w="16" w:type="dxa"/>
            </w:tcMar>
            <w:vAlign w:val="center"/>
          </w:tcPr>
          <w:p w14:paraId="6DE5A9D6">
            <w:pPr>
              <w:adjustRightInd w:val="0"/>
              <w:snapToGrid w:val="0"/>
              <w:jc w:val="center"/>
              <w:rPr>
                <w:rFonts w:hint="default" w:ascii="Times New Roman" w:hAnsi="Times New Roman" w:cs="Times New Roman"/>
                <w:color w:val="auto"/>
                <w:spacing w:val="-6"/>
                <w:sz w:val="21"/>
                <w:szCs w:val="21"/>
              </w:rPr>
            </w:pPr>
            <w:r>
              <w:rPr>
                <w:rFonts w:hint="default" w:ascii="Times New Roman" w:hAnsi="Times New Roman" w:cs="Times New Roman"/>
                <w:color w:val="auto"/>
                <w:spacing w:val="-6"/>
                <w:sz w:val="21"/>
                <w:szCs w:val="21"/>
              </w:rPr>
              <w:t>用地（用海）</w:t>
            </w:r>
          </w:p>
          <w:p w14:paraId="5128780E">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pacing w:val="-6"/>
                <w:sz w:val="21"/>
                <w:szCs w:val="21"/>
              </w:rPr>
              <w:t>面积（m</w:t>
            </w:r>
            <w:r>
              <w:rPr>
                <w:rFonts w:hint="default" w:ascii="Times New Roman" w:hAnsi="Times New Roman" w:cs="Times New Roman"/>
                <w:color w:val="auto"/>
                <w:spacing w:val="-6"/>
                <w:sz w:val="21"/>
                <w:szCs w:val="21"/>
                <w:vertAlign w:val="superscript"/>
              </w:rPr>
              <w:t>2</w:t>
            </w:r>
            <w:r>
              <w:rPr>
                <w:rFonts w:hint="default" w:ascii="Times New Roman" w:hAnsi="Times New Roman" w:cs="Times New Roman"/>
                <w:color w:val="auto"/>
                <w:spacing w:val="-6"/>
                <w:sz w:val="21"/>
                <w:szCs w:val="21"/>
              </w:rPr>
              <w:t>）</w:t>
            </w:r>
          </w:p>
        </w:tc>
        <w:tc>
          <w:tcPr>
            <w:tcW w:w="3285" w:type="dxa"/>
            <w:noWrap w:val="0"/>
            <w:vAlign w:val="center"/>
          </w:tcPr>
          <w:p w14:paraId="6FA11A2D">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19552.66</w:t>
            </w:r>
          </w:p>
        </w:tc>
      </w:tr>
      <w:tr w14:paraId="7F6BC2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6" w:hRule="atLeast"/>
          <w:jc w:val="center"/>
        </w:trPr>
        <w:tc>
          <w:tcPr>
            <w:tcW w:w="678" w:type="dxa"/>
            <w:noWrap w:val="0"/>
            <w:vAlign w:val="center"/>
          </w:tcPr>
          <w:p w14:paraId="52A1BCCA">
            <w:pPr>
              <w:autoSpaceDE w:val="0"/>
              <w:autoSpaceDN w:val="0"/>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专项评价设置情况</w:t>
            </w:r>
          </w:p>
        </w:tc>
        <w:tc>
          <w:tcPr>
            <w:tcW w:w="8838" w:type="dxa"/>
            <w:gridSpan w:val="4"/>
            <w:noWrap w:val="0"/>
            <w:vAlign w:val="center"/>
          </w:tcPr>
          <w:p w14:paraId="72B81DB4">
            <w:pPr>
              <w:autoSpaceDE w:val="0"/>
              <w:autoSpaceDN w:val="0"/>
              <w:adjustRightInd w:val="0"/>
              <w:snapToGrid w:val="0"/>
              <w:spacing w:line="360" w:lineRule="auto"/>
              <w:ind w:firstLine="420" w:firstLineChars="200"/>
              <w:rPr>
                <w:color w:val="auto"/>
                <w:sz w:val="21"/>
                <w:szCs w:val="21"/>
              </w:rPr>
            </w:pPr>
            <w:r>
              <w:rPr>
                <w:color w:val="auto"/>
                <w:sz w:val="21"/>
                <w:szCs w:val="21"/>
              </w:rPr>
              <w:t>根据《建设项目环境影响报告表编制技术指南（污染影响类）（试行）》，专项设置原则及本项目专项设置情况如下：</w:t>
            </w:r>
          </w:p>
          <w:p w14:paraId="11053DAA">
            <w:pPr>
              <w:pStyle w:val="65"/>
              <w:keepNext w:val="0"/>
              <w:keepLines w:val="0"/>
              <w:pageBreakBefore w:val="0"/>
              <w:widowControl w:val="0"/>
              <w:kinsoku/>
              <w:wordWrap/>
              <w:overflowPunct/>
              <w:topLinePunct w:val="0"/>
              <w:autoSpaceDE/>
              <w:autoSpaceDN/>
              <w:bidi w:val="0"/>
              <w:adjustRightInd w:val="0"/>
              <w:snapToGrid w:val="0"/>
              <w:spacing w:line="240" w:lineRule="auto"/>
              <w:ind w:firstLine="413"/>
              <w:textAlignment w:val="auto"/>
              <w:rPr>
                <w:rFonts w:eastAsia="宋体"/>
                <w:b/>
                <w:bCs/>
                <w:color w:val="auto"/>
                <w:sz w:val="21"/>
                <w:szCs w:val="21"/>
              </w:rPr>
            </w:pPr>
            <w:r>
              <w:rPr>
                <w:rFonts w:eastAsia="宋体"/>
                <w:b/>
                <w:bCs/>
                <w:color w:val="auto"/>
                <w:sz w:val="21"/>
                <w:szCs w:val="21"/>
              </w:rPr>
              <w:t>表1-1专项设置原则及本项目专项设置情况一览表</w:t>
            </w:r>
          </w:p>
          <w:tbl>
            <w:tblPr>
              <w:tblStyle w:val="29"/>
              <w:tblW w:w="86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3462"/>
              <w:gridCol w:w="3055"/>
              <w:gridCol w:w="1291"/>
            </w:tblGrid>
            <w:tr w14:paraId="4B060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noWrap w:val="0"/>
                  <w:vAlign w:val="center"/>
                </w:tcPr>
                <w:p w14:paraId="1B57A507">
                  <w:pPr>
                    <w:autoSpaceDE w:val="0"/>
                    <w:autoSpaceDN w:val="0"/>
                    <w:adjustRightInd w:val="0"/>
                    <w:snapToGrid w:val="0"/>
                    <w:jc w:val="center"/>
                    <w:rPr>
                      <w:color w:val="auto"/>
                      <w:sz w:val="21"/>
                      <w:szCs w:val="21"/>
                    </w:rPr>
                  </w:pPr>
                  <w:r>
                    <w:rPr>
                      <w:color w:val="auto"/>
                      <w:sz w:val="21"/>
                      <w:szCs w:val="21"/>
                    </w:rPr>
                    <w:t>专项评价类别</w:t>
                  </w:r>
                </w:p>
              </w:tc>
              <w:tc>
                <w:tcPr>
                  <w:tcW w:w="3462" w:type="dxa"/>
                  <w:noWrap w:val="0"/>
                  <w:vAlign w:val="center"/>
                </w:tcPr>
                <w:p w14:paraId="50646381">
                  <w:pPr>
                    <w:autoSpaceDE w:val="0"/>
                    <w:autoSpaceDN w:val="0"/>
                    <w:adjustRightInd w:val="0"/>
                    <w:snapToGrid w:val="0"/>
                    <w:jc w:val="center"/>
                    <w:rPr>
                      <w:color w:val="auto"/>
                      <w:sz w:val="21"/>
                      <w:szCs w:val="21"/>
                    </w:rPr>
                  </w:pPr>
                  <w:r>
                    <w:rPr>
                      <w:color w:val="auto"/>
                      <w:sz w:val="21"/>
                      <w:szCs w:val="21"/>
                    </w:rPr>
                    <w:t>设置原则</w:t>
                  </w:r>
                </w:p>
              </w:tc>
              <w:tc>
                <w:tcPr>
                  <w:tcW w:w="3055" w:type="dxa"/>
                  <w:noWrap w:val="0"/>
                  <w:vAlign w:val="center"/>
                </w:tcPr>
                <w:p w14:paraId="036AAF1F">
                  <w:pPr>
                    <w:autoSpaceDE w:val="0"/>
                    <w:autoSpaceDN w:val="0"/>
                    <w:adjustRightInd w:val="0"/>
                    <w:snapToGrid w:val="0"/>
                    <w:jc w:val="center"/>
                    <w:rPr>
                      <w:color w:val="auto"/>
                      <w:sz w:val="21"/>
                      <w:szCs w:val="21"/>
                    </w:rPr>
                  </w:pPr>
                  <w:r>
                    <w:rPr>
                      <w:color w:val="auto"/>
                      <w:sz w:val="21"/>
                      <w:szCs w:val="21"/>
                    </w:rPr>
                    <w:t>本项目情况</w:t>
                  </w:r>
                </w:p>
              </w:tc>
              <w:tc>
                <w:tcPr>
                  <w:tcW w:w="1291" w:type="dxa"/>
                  <w:noWrap w:val="0"/>
                  <w:vAlign w:val="center"/>
                </w:tcPr>
                <w:p w14:paraId="0B165FBE">
                  <w:pPr>
                    <w:autoSpaceDE w:val="0"/>
                    <w:autoSpaceDN w:val="0"/>
                    <w:adjustRightInd w:val="0"/>
                    <w:snapToGrid w:val="0"/>
                    <w:jc w:val="center"/>
                    <w:rPr>
                      <w:color w:val="auto"/>
                      <w:sz w:val="21"/>
                      <w:szCs w:val="21"/>
                    </w:rPr>
                  </w:pPr>
                  <w:r>
                    <w:rPr>
                      <w:color w:val="auto"/>
                      <w:sz w:val="21"/>
                      <w:szCs w:val="21"/>
                    </w:rPr>
                    <w:t>本项目是否设置专项</w:t>
                  </w:r>
                </w:p>
              </w:tc>
            </w:tr>
            <w:tr w14:paraId="69C8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noWrap w:val="0"/>
                  <w:vAlign w:val="center"/>
                </w:tcPr>
                <w:p w14:paraId="67B989D5">
                  <w:pPr>
                    <w:widowControl/>
                    <w:jc w:val="center"/>
                    <w:rPr>
                      <w:color w:val="auto"/>
                      <w:sz w:val="21"/>
                      <w:szCs w:val="21"/>
                    </w:rPr>
                  </w:pPr>
                  <w:r>
                    <w:rPr>
                      <w:color w:val="auto"/>
                      <w:sz w:val="21"/>
                      <w:szCs w:val="21"/>
                    </w:rPr>
                    <w:t>大气</w:t>
                  </w:r>
                </w:p>
              </w:tc>
              <w:tc>
                <w:tcPr>
                  <w:tcW w:w="3462" w:type="dxa"/>
                  <w:noWrap w:val="0"/>
                  <w:vAlign w:val="center"/>
                </w:tcPr>
                <w:p w14:paraId="46006F66">
                  <w:pPr>
                    <w:keepNext w:val="0"/>
                    <w:keepLines w:val="0"/>
                    <w:pageBreakBefore w:val="0"/>
                    <w:widowControl/>
                    <w:kinsoku/>
                    <w:wordWrap/>
                    <w:overflowPunct/>
                    <w:topLinePunct w:val="0"/>
                    <w:autoSpaceDE/>
                    <w:autoSpaceDN/>
                    <w:bidi w:val="0"/>
                    <w:adjustRightInd/>
                    <w:snapToGrid w:val="0"/>
                    <w:ind w:firstLine="420" w:firstLineChars="200"/>
                    <w:jc w:val="left"/>
                    <w:textAlignment w:val="auto"/>
                    <w:rPr>
                      <w:color w:val="auto"/>
                      <w:sz w:val="21"/>
                      <w:szCs w:val="21"/>
                    </w:rPr>
                  </w:pPr>
                  <w:r>
                    <w:rPr>
                      <w:color w:val="auto"/>
                      <w:sz w:val="21"/>
                      <w:szCs w:val="21"/>
                    </w:rPr>
                    <w:t>排放废气含有毒有害污染物</w:t>
                  </w:r>
                  <w:r>
                    <w:rPr>
                      <w:color w:val="auto"/>
                      <w:sz w:val="21"/>
                      <w:szCs w:val="21"/>
                      <w:vertAlign w:val="superscript"/>
                    </w:rPr>
                    <w:t>1</w:t>
                  </w:r>
                  <w:r>
                    <w:rPr>
                      <w:color w:val="auto"/>
                      <w:sz w:val="21"/>
                      <w:szCs w:val="21"/>
                    </w:rPr>
                    <w:t>、二噁英、苯并[a]芘、氰化物、氯气且厂界外500米范围内有环境空气保护目标</w:t>
                  </w:r>
                  <w:r>
                    <w:rPr>
                      <w:color w:val="auto"/>
                      <w:sz w:val="21"/>
                      <w:szCs w:val="21"/>
                      <w:vertAlign w:val="superscript"/>
                    </w:rPr>
                    <w:t>2</w:t>
                  </w:r>
                  <w:r>
                    <w:rPr>
                      <w:color w:val="auto"/>
                      <w:sz w:val="21"/>
                      <w:szCs w:val="21"/>
                    </w:rPr>
                    <w:t>的建设项目</w:t>
                  </w:r>
                </w:p>
              </w:tc>
              <w:tc>
                <w:tcPr>
                  <w:tcW w:w="3055" w:type="dxa"/>
                  <w:noWrap w:val="0"/>
                  <w:vAlign w:val="center"/>
                </w:tcPr>
                <w:p w14:paraId="2F1E7E8A">
                  <w:pPr>
                    <w:autoSpaceDE w:val="0"/>
                    <w:autoSpaceDN w:val="0"/>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本项目不涉及</w:t>
                  </w:r>
                </w:p>
              </w:tc>
              <w:tc>
                <w:tcPr>
                  <w:tcW w:w="1291" w:type="dxa"/>
                  <w:noWrap w:val="0"/>
                  <w:vAlign w:val="center"/>
                </w:tcPr>
                <w:p w14:paraId="5772CCC3">
                  <w:pPr>
                    <w:autoSpaceDE w:val="0"/>
                    <w:autoSpaceDN w:val="0"/>
                    <w:adjustRightInd w:val="0"/>
                    <w:snapToGrid w:val="0"/>
                    <w:jc w:val="center"/>
                    <w:rPr>
                      <w:rFonts w:hint="eastAsia" w:eastAsia="宋体"/>
                      <w:color w:val="auto"/>
                      <w:sz w:val="21"/>
                      <w:szCs w:val="21"/>
                      <w:lang w:eastAsia="zh-CN"/>
                    </w:rPr>
                  </w:pPr>
                  <w:r>
                    <w:rPr>
                      <w:rFonts w:hint="eastAsia"/>
                      <w:color w:val="auto"/>
                      <w:sz w:val="21"/>
                      <w:szCs w:val="21"/>
                      <w:lang w:val="en-US" w:eastAsia="zh-CN"/>
                    </w:rPr>
                    <w:t>否</w:t>
                  </w:r>
                </w:p>
              </w:tc>
            </w:tr>
            <w:tr w14:paraId="559B1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noWrap w:val="0"/>
                  <w:vAlign w:val="center"/>
                </w:tcPr>
                <w:p w14:paraId="495CD241">
                  <w:pPr>
                    <w:widowControl/>
                    <w:jc w:val="center"/>
                    <w:rPr>
                      <w:color w:val="auto"/>
                      <w:sz w:val="21"/>
                      <w:szCs w:val="21"/>
                    </w:rPr>
                  </w:pPr>
                  <w:r>
                    <w:rPr>
                      <w:color w:val="auto"/>
                      <w:sz w:val="21"/>
                      <w:szCs w:val="21"/>
                    </w:rPr>
                    <w:t>地表水</w:t>
                  </w:r>
                </w:p>
              </w:tc>
              <w:tc>
                <w:tcPr>
                  <w:tcW w:w="3462" w:type="dxa"/>
                  <w:noWrap w:val="0"/>
                  <w:vAlign w:val="center"/>
                </w:tcPr>
                <w:p w14:paraId="2BD0DEC4">
                  <w:pPr>
                    <w:keepNext w:val="0"/>
                    <w:keepLines w:val="0"/>
                    <w:pageBreakBefore w:val="0"/>
                    <w:widowControl/>
                    <w:kinsoku/>
                    <w:wordWrap/>
                    <w:overflowPunct/>
                    <w:topLinePunct w:val="0"/>
                    <w:autoSpaceDE/>
                    <w:autoSpaceDN/>
                    <w:bidi w:val="0"/>
                    <w:adjustRightInd/>
                    <w:snapToGrid w:val="0"/>
                    <w:ind w:firstLine="420" w:firstLineChars="200"/>
                    <w:jc w:val="left"/>
                    <w:textAlignment w:val="auto"/>
                    <w:rPr>
                      <w:color w:val="auto"/>
                      <w:sz w:val="21"/>
                      <w:szCs w:val="21"/>
                    </w:rPr>
                  </w:pPr>
                  <w:r>
                    <w:rPr>
                      <w:color w:val="auto"/>
                      <w:sz w:val="21"/>
                      <w:szCs w:val="21"/>
                    </w:rPr>
                    <w:t>新增工业废水直排建设项目（槽罐车外送污水处理厂的除外）；新增废水直排的污水集中处理厂</w:t>
                  </w:r>
                </w:p>
              </w:tc>
              <w:tc>
                <w:tcPr>
                  <w:tcW w:w="3055" w:type="dxa"/>
                  <w:noWrap w:val="0"/>
                  <w:vAlign w:val="center"/>
                </w:tcPr>
                <w:p w14:paraId="18A94EC2">
                  <w:pPr>
                    <w:autoSpaceDE w:val="0"/>
                    <w:autoSpaceDN w:val="0"/>
                    <w:adjustRightInd w:val="0"/>
                    <w:snapToGrid w:val="0"/>
                    <w:jc w:val="center"/>
                    <w:rPr>
                      <w:color w:val="auto"/>
                      <w:sz w:val="21"/>
                      <w:szCs w:val="21"/>
                    </w:rPr>
                  </w:pPr>
                  <w:r>
                    <w:rPr>
                      <w:rFonts w:hint="default" w:ascii="Times New Roman" w:hAnsi="Times New Roman" w:cs="Times New Roman"/>
                      <w:b w:val="0"/>
                      <w:bCs/>
                      <w:color w:val="auto"/>
                      <w:sz w:val="21"/>
                      <w:szCs w:val="21"/>
                      <w:lang w:val="en-US" w:eastAsia="zh-CN"/>
                    </w:rPr>
                    <w:t>本项目</w:t>
                  </w:r>
                  <w:r>
                    <w:rPr>
                      <w:rFonts w:hint="eastAsia" w:cs="Times New Roman"/>
                      <w:b w:val="0"/>
                      <w:bCs/>
                      <w:color w:val="auto"/>
                      <w:sz w:val="21"/>
                      <w:szCs w:val="21"/>
                      <w:lang w:val="en-US" w:eastAsia="zh-CN"/>
                    </w:rPr>
                    <w:t>生产废水为脱硫塔循环水，100%循环使用不外排；生活污水经化粪池预处理</w:t>
                  </w:r>
                  <w:r>
                    <w:rPr>
                      <w:rFonts w:hint="eastAsia"/>
                      <w:b w:val="0"/>
                      <w:bCs/>
                      <w:color w:val="auto"/>
                      <w:sz w:val="21"/>
                      <w:szCs w:val="21"/>
                      <w:lang w:eastAsia="zh-CN"/>
                    </w:rPr>
                    <w:t>后，</w:t>
                  </w:r>
                  <w:r>
                    <w:rPr>
                      <w:rFonts w:hint="eastAsia"/>
                      <w:b w:val="0"/>
                      <w:bCs/>
                      <w:color w:val="auto"/>
                      <w:sz w:val="21"/>
                      <w:szCs w:val="21"/>
                      <w:lang w:val="en-US" w:eastAsia="zh-CN"/>
                    </w:rPr>
                    <w:t>委托环卫车辆运送至华宁北控环保水务有限公司管理运营的华宁县城污水处理厂处理</w:t>
                  </w:r>
                  <w:r>
                    <w:rPr>
                      <w:rFonts w:hint="eastAsia"/>
                      <w:b w:val="0"/>
                      <w:bCs/>
                      <w:color w:val="auto"/>
                      <w:sz w:val="21"/>
                      <w:szCs w:val="21"/>
                      <w:lang w:eastAsia="zh-CN"/>
                    </w:rPr>
                    <w:t>。</w:t>
                  </w:r>
                </w:p>
              </w:tc>
              <w:tc>
                <w:tcPr>
                  <w:tcW w:w="1291" w:type="dxa"/>
                  <w:noWrap w:val="0"/>
                  <w:vAlign w:val="center"/>
                </w:tcPr>
                <w:p w14:paraId="5CD212CA">
                  <w:pPr>
                    <w:autoSpaceDE w:val="0"/>
                    <w:autoSpaceDN w:val="0"/>
                    <w:adjustRightInd w:val="0"/>
                    <w:snapToGrid w:val="0"/>
                    <w:jc w:val="center"/>
                    <w:rPr>
                      <w:color w:val="auto"/>
                      <w:sz w:val="21"/>
                      <w:szCs w:val="21"/>
                    </w:rPr>
                  </w:pPr>
                  <w:r>
                    <w:rPr>
                      <w:color w:val="auto"/>
                      <w:sz w:val="21"/>
                      <w:szCs w:val="21"/>
                    </w:rPr>
                    <w:t>否</w:t>
                  </w:r>
                </w:p>
              </w:tc>
            </w:tr>
            <w:tr w14:paraId="084FC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noWrap w:val="0"/>
                  <w:vAlign w:val="center"/>
                </w:tcPr>
                <w:p w14:paraId="67594600">
                  <w:pPr>
                    <w:widowControl/>
                    <w:jc w:val="center"/>
                    <w:rPr>
                      <w:color w:val="auto"/>
                      <w:sz w:val="21"/>
                      <w:szCs w:val="21"/>
                    </w:rPr>
                  </w:pPr>
                  <w:r>
                    <w:rPr>
                      <w:color w:val="auto"/>
                      <w:sz w:val="21"/>
                      <w:szCs w:val="21"/>
                    </w:rPr>
                    <w:t>环境风险</w:t>
                  </w:r>
                </w:p>
              </w:tc>
              <w:tc>
                <w:tcPr>
                  <w:tcW w:w="3462" w:type="dxa"/>
                  <w:noWrap w:val="0"/>
                  <w:vAlign w:val="center"/>
                </w:tcPr>
                <w:p w14:paraId="42C89C08">
                  <w:pPr>
                    <w:keepNext w:val="0"/>
                    <w:keepLines w:val="0"/>
                    <w:pageBreakBefore w:val="0"/>
                    <w:widowControl/>
                    <w:kinsoku/>
                    <w:wordWrap/>
                    <w:overflowPunct/>
                    <w:topLinePunct w:val="0"/>
                    <w:autoSpaceDE/>
                    <w:autoSpaceDN/>
                    <w:bidi w:val="0"/>
                    <w:adjustRightInd/>
                    <w:snapToGrid w:val="0"/>
                    <w:ind w:firstLine="420" w:firstLineChars="200"/>
                    <w:jc w:val="left"/>
                    <w:textAlignment w:val="auto"/>
                    <w:rPr>
                      <w:color w:val="auto"/>
                      <w:sz w:val="21"/>
                      <w:szCs w:val="21"/>
                    </w:rPr>
                  </w:pPr>
                  <w:r>
                    <w:rPr>
                      <w:color w:val="auto"/>
                      <w:sz w:val="21"/>
                      <w:szCs w:val="21"/>
                    </w:rPr>
                    <w:t>有毒有害和易燃易爆危险物质存储量超过临界量</w:t>
                  </w:r>
                  <w:r>
                    <w:rPr>
                      <w:color w:val="auto"/>
                      <w:sz w:val="21"/>
                      <w:szCs w:val="21"/>
                      <w:vertAlign w:val="superscript"/>
                    </w:rPr>
                    <w:t>3</w:t>
                  </w:r>
                  <w:r>
                    <w:rPr>
                      <w:color w:val="auto"/>
                      <w:sz w:val="21"/>
                      <w:szCs w:val="21"/>
                    </w:rPr>
                    <w:t>的建设项目</w:t>
                  </w:r>
                </w:p>
              </w:tc>
              <w:tc>
                <w:tcPr>
                  <w:tcW w:w="3055" w:type="dxa"/>
                  <w:noWrap w:val="0"/>
                  <w:vAlign w:val="center"/>
                </w:tcPr>
                <w:p w14:paraId="007A8AC9">
                  <w:pPr>
                    <w:autoSpaceDE w:val="0"/>
                    <w:autoSpaceDN w:val="0"/>
                    <w:adjustRightInd w:val="0"/>
                    <w:snapToGrid w:val="0"/>
                    <w:jc w:val="center"/>
                    <w:rPr>
                      <w:color w:val="auto"/>
                      <w:sz w:val="21"/>
                      <w:szCs w:val="21"/>
                    </w:rPr>
                  </w:pPr>
                  <w:r>
                    <w:rPr>
                      <w:color w:val="auto"/>
                      <w:sz w:val="21"/>
                      <w:szCs w:val="21"/>
                    </w:rPr>
                    <w:t>项目有毒有害和易燃易爆危险物质存储量未超过临界量</w:t>
                  </w:r>
                  <w:r>
                    <w:rPr>
                      <w:color w:val="auto"/>
                      <w:sz w:val="21"/>
                      <w:szCs w:val="21"/>
                      <w:vertAlign w:val="superscript"/>
                    </w:rPr>
                    <w:t>3</w:t>
                  </w:r>
                </w:p>
              </w:tc>
              <w:tc>
                <w:tcPr>
                  <w:tcW w:w="1291" w:type="dxa"/>
                  <w:noWrap w:val="0"/>
                  <w:vAlign w:val="center"/>
                </w:tcPr>
                <w:p w14:paraId="5F2ACC06">
                  <w:pPr>
                    <w:autoSpaceDE w:val="0"/>
                    <w:autoSpaceDN w:val="0"/>
                    <w:adjustRightInd w:val="0"/>
                    <w:snapToGrid w:val="0"/>
                    <w:jc w:val="center"/>
                    <w:rPr>
                      <w:color w:val="auto"/>
                      <w:sz w:val="21"/>
                      <w:szCs w:val="21"/>
                    </w:rPr>
                  </w:pPr>
                  <w:r>
                    <w:rPr>
                      <w:color w:val="auto"/>
                      <w:sz w:val="21"/>
                      <w:szCs w:val="21"/>
                    </w:rPr>
                    <w:t>否</w:t>
                  </w:r>
                </w:p>
              </w:tc>
            </w:tr>
            <w:tr w14:paraId="14B3B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noWrap w:val="0"/>
                  <w:vAlign w:val="center"/>
                </w:tcPr>
                <w:p w14:paraId="78260201">
                  <w:pPr>
                    <w:widowControl/>
                    <w:jc w:val="center"/>
                    <w:rPr>
                      <w:color w:val="auto"/>
                      <w:sz w:val="21"/>
                      <w:szCs w:val="21"/>
                    </w:rPr>
                  </w:pPr>
                  <w:r>
                    <w:rPr>
                      <w:color w:val="auto"/>
                      <w:sz w:val="21"/>
                      <w:szCs w:val="21"/>
                    </w:rPr>
                    <w:t>生态</w:t>
                  </w:r>
                </w:p>
              </w:tc>
              <w:tc>
                <w:tcPr>
                  <w:tcW w:w="3462" w:type="dxa"/>
                  <w:noWrap w:val="0"/>
                  <w:vAlign w:val="center"/>
                </w:tcPr>
                <w:p w14:paraId="518689E9">
                  <w:pPr>
                    <w:keepNext w:val="0"/>
                    <w:keepLines w:val="0"/>
                    <w:pageBreakBefore w:val="0"/>
                    <w:widowControl/>
                    <w:kinsoku/>
                    <w:wordWrap/>
                    <w:overflowPunct/>
                    <w:topLinePunct w:val="0"/>
                    <w:autoSpaceDE/>
                    <w:autoSpaceDN/>
                    <w:bidi w:val="0"/>
                    <w:adjustRightInd/>
                    <w:snapToGrid w:val="0"/>
                    <w:ind w:firstLine="420" w:firstLineChars="200"/>
                    <w:jc w:val="left"/>
                    <w:textAlignment w:val="auto"/>
                    <w:rPr>
                      <w:color w:val="auto"/>
                      <w:sz w:val="21"/>
                      <w:szCs w:val="21"/>
                    </w:rPr>
                  </w:pPr>
                  <w:r>
                    <w:rPr>
                      <w:color w:val="auto"/>
                      <w:sz w:val="21"/>
                      <w:szCs w:val="21"/>
                    </w:rPr>
                    <w:t>取水口下游500米范围内有重要水生生物的自然产卵场、索饵场、越冬场和洄游通道的新增河道取水的污染类建设项目</w:t>
                  </w:r>
                </w:p>
              </w:tc>
              <w:tc>
                <w:tcPr>
                  <w:tcW w:w="3055" w:type="dxa"/>
                  <w:noWrap w:val="0"/>
                  <w:vAlign w:val="center"/>
                </w:tcPr>
                <w:p w14:paraId="36A551A8">
                  <w:pPr>
                    <w:autoSpaceDE w:val="0"/>
                    <w:autoSpaceDN w:val="0"/>
                    <w:adjustRightInd w:val="0"/>
                    <w:snapToGrid w:val="0"/>
                    <w:jc w:val="center"/>
                    <w:rPr>
                      <w:color w:val="auto"/>
                      <w:sz w:val="21"/>
                      <w:szCs w:val="21"/>
                    </w:rPr>
                  </w:pPr>
                  <w:r>
                    <w:rPr>
                      <w:color w:val="auto"/>
                      <w:sz w:val="21"/>
                      <w:szCs w:val="21"/>
                    </w:rPr>
                    <w:t>项目不涉及</w:t>
                  </w:r>
                </w:p>
              </w:tc>
              <w:tc>
                <w:tcPr>
                  <w:tcW w:w="1291" w:type="dxa"/>
                  <w:noWrap w:val="0"/>
                  <w:vAlign w:val="center"/>
                </w:tcPr>
                <w:p w14:paraId="0D6C5512">
                  <w:pPr>
                    <w:autoSpaceDE w:val="0"/>
                    <w:autoSpaceDN w:val="0"/>
                    <w:adjustRightInd w:val="0"/>
                    <w:snapToGrid w:val="0"/>
                    <w:jc w:val="center"/>
                    <w:rPr>
                      <w:color w:val="auto"/>
                      <w:sz w:val="21"/>
                      <w:szCs w:val="21"/>
                    </w:rPr>
                  </w:pPr>
                  <w:r>
                    <w:rPr>
                      <w:color w:val="auto"/>
                      <w:sz w:val="21"/>
                      <w:szCs w:val="21"/>
                    </w:rPr>
                    <w:t>否</w:t>
                  </w:r>
                </w:p>
              </w:tc>
            </w:tr>
            <w:tr w14:paraId="47F38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noWrap w:val="0"/>
                  <w:vAlign w:val="center"/>
                </w:tcPr>
                <w:p w14:paraId="7C1C4330">
                  <w:pPr>
                    <w:widowControl/>
                    <w:jc w:val="center"/>
                    <w:rPr>
                      <w:color w:val="auto"/>
                      <w:sz w:val="21"/>
                      <w:szCs w:val="21"/>
                    </w:rPr>
                  </w:pPr>
                  <w:r>
                    <w:rPr>
                      <w:color w:val="auto"/>
                      <w:sz w:val="21"/>
                      <w:szCs w:val="21"/>
                    </w:rPr>
                    <w:t>海洋</w:t>
                  </w:r>
                </w:p>
              </w:tc>
              <w:tc>
                <w:tcPr>
                  <w:tcW w:w="3462" w:type="dxa"/>
                  <w:noWrap w:val="0"/>
                  <w:vAlign w:val="center"/>
                </w:tcPr>
                <w:p w14:paraId="775858D9">
                  <w:pPr>
                    <w:keepNext w:val="0"/>
                    <w:keepLines w:val="0"/>
                    <w:pageBreakBefore w:val="0"/>
                    <w:widowControl/>
                    <w:kinsoku/>
                    <w:wordWrap/>
                    <w:overflowPunct/>
                    <w:topLinePunct w:val="0"/>
                    <w:autoSpaceDE/>
                    <w:autoSpaceDN/>
                    <w:bidi w:val="0"/>
                    <w:adjustRightInd/>
                    <w:snapToGrid w:val="0"/>
                    <w:ind w:firstLine="420" w:firstLineChars="200"/>
                    <w:jc w:val="left"/>
                    <w:textAlignment w:val="auto"/>
                    <w:rPr>
                      <w:color w:val="auto"/>
                      <w:sz w:val="21"/>
                      <w:szCs w:val="21"/>
                    </w:rPr>
                  </w:pPr>
                  <w:r>
                    <w:rPr>
                      <w:color w:val="auto"/>
                      <w:sz w:val="21"/>
                      <w:szCs w:val="21"/>
                    </w:rPr>
                    <w:t>直接向海排放污染物的海洋工程建设项目</w:t>
                  </w:r>
                </w:p>
              </w:tc>
              <w:tc>
                <w:tcPr>
                  <w:tcW w:w="3055" w:type="dxa"/>
                  <w:noWrap w:val="0"/>
                  <w:vAlign w:val="center"/>
                </w:tcPr>
                <w:p w14:paraId="7B6C5EA8">
                  <w:pPr>
                    <w:autoSpaceDE w:val="0"/>
                    <w:autoSpaceDN w:val="0"/>
                    <w:adjustRightInd w:val="0"/>
                    <w:snapToGrid w:val="0"/>
                    <w:jc w:val="center"/>
                    <w:rPr>
                      <w:color w:val="auto"/>
                      <w:sz w:val="21"/>
                      <w:szCs w:val="21"/>
                    </w:rPr>
                  </w:pPr>
                  <w:r>
                    <w:rPr>
                      <w:color w:val="auto"/>
                      <w:sz w:val="21"/>
                      <w:szCs w:val="21"/>
                    </w:rPr>
                    <w:t>项目不涉及</w:t>
                  </w:r>
                </w:p>
              </w:tc>
              <w:tc>
                <w:tcPr>
                  <w:tcW w:w="1291" w:type="dxa"/>
                  <w:noWrap w:val="0"/>
                  <w:vAlign w:val="center"/>
                </w:tcPr>
                <w:p w14:paraId="144F4985">
                  <w:pPr>
                    <w:autoSpaceDE w:val="0"/>
                    <w:autoSpaceDN w:val="0"/>
                    <w:adjustRightInd w:val="0"/>
                    <w:snapToGrid w:val="0"/>
                    <w:jc w:val="center"/>
                    <w:rPr>
                      <w:color w:val="auto"/>
                      <w:sz w:val="21"/>
                      <w:szCs w:val="21"/>
                    </w:rPr>
                  </w:pPr>
                  <w:r>
                    <w:rPr>
                      <w:color w:val="auto"/>
                      <w:sz w:val="21"/>
                      <w:szCs w:val="21"/>
                    </w:rPr>
                    <w:t>否</w:t>
                  </w:r>
                </w:p>
              </w:tc>
            </w:tr>
            <w:tr w14:paraId="760C0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95" w:type="dxa"/>
                  <w:gridSpan w:val="4"/>
                  <w:noWrap w:val="0"/>
                  <w:vAlign w:val="top"/>
                </w:tcPr>
                <w:p w14:paraId="0875CD38">
                  <w:pPr>
                    <w:widowControl/>
                    <w:jc w:val="left"/>
                    <w:rPr>
                      <w:rFonts w:hint="eastAsia" w:eastAsia="宋体"/>
                      <w:color w:val="auto"/>
                      <w:sz w:val="21"/>
                      <w:szCs w:val="21"/>
                      <w:lang w:eastAsia="zh-CN"/>
                    </w:rPr>
                  </w:pPr>
                  <w:r>
                    <w:rPr>
                      <w:color w:val="auto"/>
                      <w:sz w:val="21"/>
                      <w:szCs w:val="21"/>
                    </w:rPr>
                    <w:t>注：</w:t>
                  </w:r>
                  <w:r>
                    <w:rPr>
                      <w:color w:val="auto"/>
                      <w:sz w:val="21"/>
                      <w:szCs w:val="21"/>
                      <w:vertAlign w:val="superscript"/>
                    </w:rPr>
                    <w:t>1</w:t>
                  </w:r>
                  <w:r>
                    <w:rPr>
                      <w:rFonts w:hint="eastAsia"/>
                      <w:color w:val="auto"/>
                      <w:sz w:val="21"/>
                      <w:szCs w:val="21"/>
                      <w:lang w:eastAsia="zh-CN"/>
                    </w:rPr>
                    <w:t>：</w:t>
                  </w:r>
                  <w:r>
                    <w:rPr>
                      <w:color w:val="auto"/>
                      <w:sz w:val="21"/>
                      <w:szCs w:val="21"/>
                    </w:rPr>
                    <w:t>废气中有毒有害污染物指纳入《有毒有害大气污染物名录》的污染物（不包括无排放标准的污染物）。</w:t>
                  </w:r>
                </w:p>
                <w:p w14:paraId="23F51B3E">
                  <w:pPr>
                    <w:widowControl/>
                    <w:jc w:val="left"/>
                    <w:rPr>
                      <w:color w:val="auto"/>
                      <w:sz w:val="21"/>
                      <w:szCs w:val="21"/>
                    </w:rPr>
                  </w:pPr>
                  <w:r>
                    <w:rPr>
                      <w:color w:val="auto"/>
                      <w:sz w:val="21"/>
                      <w:szCs w:val="21"/>
                      <w:vertAlign w:val="superscript"/>
                    </w:rPr>
                    <w:t>2</w:t>
                  </w:r>
                  <w:r>
                    <w:rPr>
                      <w:rFonts w:hint="eastAsia"/>
                      <w:color w:val="auto"/>
                      <w:sz w:val="21"/>
                      <w:szCs w:val="21"/>
                      <w:lang w:eastAsia="zh-CN"/>
                    </w:rPr>
                    <w:t>：</w:t>
                  </w:r>
                  <w:r>
                    <w:rPr>
                      <w:color w:val="auto"/>
                      <w:sz w:val="21"/>
                      <w:szCs w:val="21"/>
                    </w:rPr>
                    <w:t>环境空气保护目标指自然保护区、风景名胜区、居住区、文化区和农村地区中人群较集中的区域。</w:t>
                  </w:r>
                </w:p>
                <w:p w14:paraId="1766D7FD">
                  <w:pPr>
                    <w:widowControl/>
                    <w:jc w:val="left"/>
                    <w:rPr>
                      <w:rFonts w:hint="eastAsia"/>
                      <w:color w:val="auto"/>
                      <w:sz w:val="21"/>
                      <w:szCs w:val="21"/>
                    </w:rPr>
                  </w:pPr>
                  <w:r>
                    <w:rPr>
                      <w:color w:val="auto"/>
                      <w:sz w:val="21"/>
                      <w:szCs w:val="21"/>
                      <w:vertAlign w:val="superscript"/>
                    </w:rPr>
                    <w:t>3</w:t>
                  </w:r>
                  <w:r>
                    <w:rPr>
                      <w:rFonts w:hint="eastAsia"/>
                      <w:color w:val="auto"/>
                      <w:sz w:val="21"/>
                      <w:szCs w:val="21"/>
                      <w:lang w:eastAsia="zh-CN"/>
                    </w:rPr>
                    <w:t>：</w:t>
                  </w:r>
                  <w:r>
                    <w:rPr>
                      <w:color w:val="auto"/>
                      <w:sz w:val="21"/>
                      <w:szCs w:val="21"/>
                    </w:rPr>
                    <w:t>临界量及其计算方法可参考《建设项目环境风险评价技术导则》（HJ169）附录B、附录C</w:t>
                  </w:r>
                  <w:r>
                    <w:rPr>
                      <w:rFonts w:hint="eastAsia"/>
                      <w:color w:val="auto"/>
                      <w:sz w:val="21"/>
                      <w:szCs w:val="21"/>
                    </w:rPr>
                    <w:t>。</w:t>
                  </w:r>
                </w:p>
              </w:tc>
            </w:tr>
          </w:tbl>
          <w:p w14:paraId="6FC2B3D0">
            <w:pPr>
              <w:autoSpaceDE w:val="0"/>
              <w:autoSpaceDN w:val="0"/>
              <w:adjustRightInd w:val="0"/>
              <w:snapToGrid w:val="0"/>
              <w:ind w:firstLine="420" w:firstLineChars="200"/>
              <w:jc w:val="both"/>
              <w:rPr>
                <w:rFonts w:hint="default"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综上所述，本项目不设置专项评价 。</w:t>
            </w:r>
          </w:p>
        </w:tc>
      </w:tr>
      <w:tr w14:paraId="5CD3FD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678" w:type="dxa"/>
            <w:noWrap w:val="0"/>
            <w:vAlign w:val="center"/>
          </w:tcPr>
          <w:p w14:paraId="680B0864">
            <w:pPr>
              <w:autoSpaceDE w:val="0"/>
              <w:autoSpaceDN w:val="0"/>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规划情况</w:t>
            </w:r>
          </w:p>
        </w:tc>
        <w:tc>
          <w:tcPr>
            <w:tcW w:w="8838" w:type="dxa"/>
            <w:gridSpan w:val="4"/>
            <w:noWrap w:val="0"/>
            <w:vAlign w:val="center"/>
          </w:tcPr>
          <w:p w14:paraId="7DBA2AB3">
            <w:pPr>
              <w:autoSpaceDE w:val="0"/>
              <w:autoSpaceDN w:val="0"/>
              <w:adjustRightInd w:val="0"/>
              <w:snapToGrid w:val="0"/>
              <w:jc w:val="center"/>
              <w:rPr>
                <w:rFonts w:hint="eastAsia"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 w:val="21"/>
                <w:szCs w:val="21"/>
                <w:lang w:val="en-US" w:eastAsia="zh-CN"/>
              </w:rPr>
              <w:t>无</w:t>
            </w:r>
          </w:p>
        </w:tc>
      </w:tr>
      <w:tr w14:paraId="69D945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678" w:type="dxa"/>
            <w:noWrap w:val="0"/>
            <w:vAlign w:val="center"/>
          </w:tcPr>
          <w:p w14:paraId="2ACB8194">
            <w:pPr>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规划环境影响评价情况</w:t>
            </w:r>
          </w:p>
        </w:tc>
        <w:tc>
          <w:tcPr>
            <w:tcW w:w="8838" w:type="dxa"/>
            <w:gridSpan w:val="4"/>
            <w:noWrap w:val="0"/>
            <w:vAlign w:val="center"/>
          </w:tcPr>
          <w:p w14:paraId="1EAD70FC">
            <w:pPr>
              <w:autoSpaceDE w:val="0"/>
              <w:autoSpaceDN w:val="0"/>
              <w:adjustRightInd w:val="0"/>
              <w:snapToGrid w:val="0"/>
              <w:jc w:val="center"/>
              <w:rPr>
                <w:rFonts w:hint="eastAsia"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 w:val="21"/>
                <w:szCs w:val="21"/>
                <w:lang w:val="en-US" w:eastAsia="zh-CN"/>
              </w:rPr>
              <w:t>无</w:t>
            </w:r>
          </w:p>
        </w:tc>
      </w:tr>
      <w:tr w14:paraId="6166CE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678" w:type="dxa"/>
            <w:noWrap w:val="0"/>
            <w:vAlign w:val="center"/>
          </w:tcPr>
          <w:p w14:paraId="2AC7D750">
            <w:pPr>
              <w:autoSpaceDE w:val="0"/>
              <w:autoSpaceDN w:val="0"/>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规划及规划环境影响评价符合性分析</w:t>
            </w:r>
          </w:p>
        </w:tc>
        <w:tc>
          <w:tcPr>
            <w:tcW w:w="8838" w:type="dxa"/>
            <w:gridSpan w:val="4"/>
            <w:noWrap w:val="0"/>
            <w:vAlign w:val="center"/>
          </w:tcPr>
          <w:p w14:paraId="6EE874F0">
            <w:pPr>
              <w:autoSpaceDE w:val="0"/>
              <w:autoSpaceDN w:val="0"/>
              <w:adjustRightInd w:val="0"/>
              <w:snapToGrid w:val="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cs="Times New Roman"/>
                <w:color w:val="auto"/>
                <w:kern w:val="0"/>
                <w:sz w:val="21"/>
                <w:szCs w:val="21"/>
                <w:lang w:val="en-US" w:eastAsia="zh-CN"/>
              </w:rPr>
              <w:t>无</w:t>
            </w:r>
          </w:p>
        </w:tc>
      </w:tr>
      <w:tr w14:paraId="1BB223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44" w:hRule="atLeast"/>
          <w:jc w:val="center"/>
        </w:trPr>
        <w:tc>
          <w:tcPr>
            <w:tcW w:w="678" w:type="dxa"/>
            <w:noWrap w:val="0"/>
            <w:vAlign w:val="center"/>
          </w:tcPr>
          <w:p w14:paraId="1A0F5A6A">
            <w:pPr>
              <w:autoSpaceDE w:val="0"/>
              <w:autoSpaceDN w:val="0"/>
              <w:adjustRightInd w:val="0"/>
              <w:snapToGrid w:val="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其他符合性分析</w:t>
            </w:r>
          </w:p>
        </w:tc>
        <w:tc>
          <w:tcPr>
            <w:tcW w:w="8838" w:type="dxa"/>
            <w:gridSpan w:val="4"/>
            <w:noWrap w:val="0"/>
            <w:vAlign w:val="center"/>
          </w:tcPr>
          <w:p w14:paraId="6E706C3A">
            <w:pPr>
              <w:keepNext w:val="0"/>
              <w:keepLines w:val="0"/>
              <w:pageBreakBefore w:val="0"/>
              <w:widowControl w:val="0"/>
              <w:kinsoku/>
              <w:wordWrap/>
              <w:overflowPunct/>
              <w:topLinePunct w:val="0"/>
              <w:bidi w:val="0"/>
              <w:snapToGrid w:val="0"/>
              <w:spacing w:line="360" w:lineRule="auto"/>
              <w:ind w:firstLine="382" w:firstLineChars="200"/>
              <w:textAlignment w:val="auto"/>
              <w:rPr>
                <w:b/>
                <w:color w:val="auto"/>
                <w:spacing w:val="-10"/>
                <w:szCs w:val="21"/>
              </w:rPr>
            </w:pPr>
            <w:r>
              <w:rPr>
                <w:rFonts w:hint="eastAsia"/>
                <w:b/>
                <w:color w:val="auto"/>
                <w:spacing w:val="-10"/>
                <w:szCs w:val="21"/>
                <w:lang w:val="en-US" w:eastAsia="zh-CN"/>
              </w:rPr>
              <w:t>1</w:t>
            </w:r>
            <w:r>
              <w:rPr>
                <w:b/>
                <w:color w:val="auto"/>
                <w:spacing w:val="-10"/>
                <w:szCs w:val="21"/>
              </w:rPr>
              <w:t>、产业政策符合性分析</w:t>
            </w:r>
          </w:p>
          <w:p w14:paraId="4DAF7B01">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ascii="Times New Roman" w:hAnsi="Times New Roman" w:cs="Times New Roman"/>
                <w:color w:val="auto"/>
                <w:sz w:val="21"/>
                <w:szCs w:val="21"/>
                <w:lang w:val="en-US" w:eastAsia="zh-CN"/>
              </w:rPr>
            </w:pPr>
            <w:r>
              <w:rPr>
                <w:rFonts w:hint="eastAsia" w:cs="Times New Roman"/>
                <w:snapToGrid w:val="0"/>
                <w:color w:val="auto"/>
                <w:kern w:val="0"/>
                <w:sz w:val="21"/>
                <w:szCs w:val="21"/>
              </w:rPr>
              <w:t>本项目为仿古砖瓦生产项目，属于《产业结构调整指导目录（2024年本）》中“鼓励类——十二、建材：3.适用于装配式建筑、折叠式建筑、海绵城市、地下管廊、生态修复的部品化建材产品及生产设备；......功能型、集成化装饰装修材料及制品，超薄陶瓷板、绿色无醛人造板，路面砖（板）、透水砖（板）、装饰砖（砌块）、仿古砖瓦、水工及护坡生态砖（砌块）等产品及绿色低碳建材产品技术开发与生产应用”和“四十二、环境保护与资源节约综合利用-8．煤矸石、粉煤渣、尾矿（共伴生矿）、冶炼渣、赤泥、建筑垃圾等工业废弃物循环利用，项目为鼓励类；同时对照《市场准入负面清单（2022年版）》，本项目不属于禁止事项，符合国家产业政策。项目于2024年9月25日取得华宁县发展和改革局出具的投资项目备案证，项目代码2409-530424-04-01-798553</w:t>
            </w:r>
            <w:r>
              <w:rPr>
                <w:rFonts w:hint="eastAsia" w:ascii="Times New Roman" w:hAnsi="Times New Roman" w:cs="Times New Roman"/>
                <w:color w:val="auto"/>
                <w:sz w:val="21"/>
                <w:szCs w:val="21"/>
                <w:lang w:val="en-US" w:eastAsia="zh-CN"/>
              </w:rPr>
              <w:t>。</w:t>
            </w:r>
          </w:p>
          <w:p w14:paraId="45545121">
            <w:pPr>
              <w:keepNext w:val="0"/>
              <w:keepLines w:val="0"/>
              <w:pageBreakBefore w:val="0"/>
              <w:widowControl w:val="0"/>
              <w:kinsoku/>
              <w:wordWrap/>
              <w:overflowPunct/>
              <w:topLinePunct w:val="0"/>
              <w:bidi w:val="0"/>
              <w:snapToGrid w:val="0"/>
              <w:spacing w:line="360" w:lineRule="auto"/>
              <w:ind w:firstLine="482"/>
              <w:textAlignment w:val="auto"/>
              <w:rPr>
                <w:rFonts w:hint="eastAsia"/>
                <w:b/>
                <w:bCs/>
                <w:color w:val="auto"/>
                <w:sz w:val="21"/>
                <w:szCs w:val="21"/>
              </w:rPr>
            </w:pPr>
            <w:r>
              <w:rPr>
                <w:rFonts w:hint="eastAsia"/>
                <w:color w:val="auto"/>
                <w:sz w:val="21"/>
                <w:szCs w:val="21"/>
                <w:highlight w:val="none"/>
              </w:rPr>
              <w:t>本项目与《建材行业淘汰落后产能指导目录</w:t>
            </w:r>
            <w:r>
              <w:rPr>
                <w:rFonts w:hint="eastAsia"/>
                <w:color w:val="auto"/>
                <w:sz w:val="21"/>
                <w:szCs w:val="21"/>
                <w:highlight w:val="none"/>
                <w:lang w:eastAsia="zh-CN"/>
              </w:rPr>
              <w:t>（</w:t>
            </w:r>
            <w:r>
              <w:rPr>
                <w:rFonts w:hint="eastAsia"/>
                <w:color w:val="auto"/>
                <w:sz w:val="21"/>
                <w:szCs w:val="21"/>
                <w:highlight w:val="none"/>
              </w:rPr>
              <w:t>2019年</w:t>
            </w:r>
            <w:r>
              <w:rPr>
                <w:rFonts w:hint="eastAsia"/>
                <w:color w:val="auto"/>
                <w:sz w:val="21"/>
                <w:szCs w:val="21"/>
                <w:highlight w:val="none"/>
                <w:lang w:eastAsia="zh-CN"/>
              </w:rPr>
              <w:t>）</w:t>
            </w:r>
            <w:r>
              <w:rPr>
                <w:rFonts w:hint="eastAsia"/>
                <w:color w:val="auto"/>
                <w:sz w:val="21"/>
                <w:szCs w:val="21"/>
                <w:highlight w:val="none"/>
              </w:rPr>
              <w:t>》的符合性分析见下表</w:t>
            </w:r>
            <w:r>
              <w:rPr>
                <w:rFonts w:hint="eastAsia"/>
                <w:color w:val="auto"/>
                <w:sz w:val="21"/>
                <w:szCs w:val="21"/>
                <w:highlight w:val="none"/>
                <w:lang w:val="en-US" w:eastAsia="zh-CN"/>
              </w:rPr>
              <w:t>1-4。</w:t>
            </w:r>
          </w:p>
          <w:p w14:paraId="29BFF84B">
            <w:pPr>
              <w:pStyle w:val="41"/>
              <w:keepNext w:val="0"/>
              <w:keepLines w:val="0"/>
              <w:pageBreakBefore w:val="0"/>
              <w:widowControl w:val="0"/>
              <w:kinsoku/>
              <w:wordWrap/>
              <w:overflowPunct/>
              <w:topLinePunct w:val="0"/>
              <w:bidi w:val="0"/>
              <w:snapToGrid w:val="0"/>
              <w:spacing w:line="360" w:lineRule="auto"/>
              <w:textAlignment w:val="auto"/>
              <w:rPr>
                <w:rFonts w:hint="default"/>
                <w:color w:val="auto"/>
                <w:sz w:val="21"/>
                <w:szCs w:val="21"/>
              </w:rPr>
            </w:pPr>
            <w:r>
              <w:rPr>
                <w:color w:val="auto"/>
                <w:sz w:val="21"/>
                <w:szCs w:val="21"/>
              </w:rPr>
              <w:t>表1-</w:t>
            </w:r>
            <w:r>
              <w:rPr>
                <w:rFonts w:hint="eastAsia"/>
                <w:color w:val="auto"/>
                <w:sz w:val="21"/>
                <w:szCs w:val="21"/>
                <w:lang w:val="en-US" w:eastAsia="zh-CN"/>
              </w:rPr>
              <w:t>2</w:t>
            </w:r>
            <w:r>
              <w:rPr>
                <w:color w:val="auto"/>
                <w:sz w:val="21"/>
                <w:szCs w:val="21"/>
              </w:rPr>
              <w:t xml:space="preserve">  与</w:t>
            </w:r>
            <w:r>
              <w:rPr>
                <w:rFonts w:hint="eastAsia"/>
                <w:color w:val="auto"/>
                <w:sz w:val="21"/>
                <w:szCs w:val="21"/>
              </w:rPr>
              <w:t>《建材行业淘汰落后产能指导目录（2019年）》</w:t>
            </w:r>
            <w:r>
              <w:rPr>
                <w:color w:val="auto"/>
                <w:sz w:val="21"/>
                <w:szCs w:val="21"/>
              </w:rPr>
              <w:t>符合性分析</w:t>
            </w:r>
          </w:p>
          <w:tbl>
            <w:tblPr>
              <w:tblStyle w:val="30"/>
              <w:tblW w:w="86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2354"/>
              <w:gridCol w:w="4460"/>
              <w:gridCol w:w="1118"/>
            </w:tblGrid>
            <w:tr w14:paraId="11E0F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vAlign w:val="center"/>
                </w:tcPr>
                <w:p w14:paraId="52C1E1D9">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rPr>
                  </w:pPr>
                  <w:r>
                    <w:rPr>
                      <w:b w:val="0"/>
                      <w:bCs/>
                      <w:color w:val="auto"/>
                      <w:sz w:val="21"/>
                      <w:szCs w:val="21"/>
                    </w:rPr>
                    <w:t>序号</w:t>
                  </w:r>
                </w:p>
              </w:tc>
              <w:tc>
                <w:tcPr>
                  <w:tcW w:w="2354" w:type="dxa"/>
                  <w:vAlign w:val="center"/>
                </w:tcPr>
                <w:p w14:paraId="7AECBC84">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rPr>
                  </w:pPr>
                  <w:r>
                    <w:rPr>
                      <w:b w:val="0"/>
                      <w:bCs/>
                      <w:color w:val="auto"/>
                      <w:sz w:val="21"/>
                      <w:szCs w:val="21"/>
                    </w:rPr>
                    <w:t>《</w:t>
                  </w:r>
                  <w:r>
                    <w:rPr>
                      <w:rFonts w:hint="eastAsia"/>
                      <w:b w:val="0"/>
                      <w:bCs/>
                      <w:color w:val="auto"/>
                      <w:sz w:val="21"/>
                      <w:szCs w:val="21"/>
                      <w:lang w:eastAsia="zh-CN"/>
                    </w:rPr>
                    <w:t>目录</w:t>
                  </w:r>
                  <w:r>
                    <w:rPr>
                      <w:b w:val="0"/>
                      <w:bCs/>
                      <w:color w:val="auto"/>
                      <w:sz w:val="21"/>
                      <w:szCs w:val="21"/>
                    </w:rPr>
                    <w:t>》要求</w:t>
                  </w:r>
                </w:p>
              </w:tc>
              <w:tc>
                <w:tcPr>
                  <w:tcW w:w="4460" w:type="dxa"/>
                  <w:vAlign w:val="center"/>
                </w:tcPr>
                <w:p w14:paraId="63FEF47C">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rPr>
                  </w:pPr>
                  <w:r>
                    <w:rPr>
                      <w:b w:val="0"/>
                      <w:bCs/>
                      <w:color w:val="auto"/>
                      <w:sz w:val="21"/>
                      <w:szCs w:val="21"/>
                    </w:rPr>
                    <w:t>项目情况</w:t>
                  </w:r>
                </w:p>
              </w:tc>
              <w:tc>
                <w:tcPr>
                  <w:tcW w:w="1118" w:type="dxa"/>
                  <w:vAlign w:val="center"/>
                </w:tcPr>
                <w:p w14:paraId="7D22A612">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rPr>
                  </w:pPr>
                  <w:r>
                    <w:rPr>
                      <w:b w:val="0"/>
                      <w:bCs/>
                      <w:color w:val="auto"/>
                      <w:sz w:val="21"/>
                      <w:szCs w:val="21"/>
                    </w:rPr>
                    <w:t>符合性</w:t>
                  </w:r>
                </w:p>
              </w:tc>
            </w:tr>
            <w:tr w14:paraId="2CA30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9" w:type="dxa"/>
                  <w:gridSpan w:val="4"/>
                </w:tcPr>
                <w:p w14:paraId="27B303A4">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both"/>
                    <w:textAlignment w:val="auto"/>
                    <w:rPr>
                      <w:rFonts w:hint="eastAsia"/>
                      <w:b w:val="0"/>
                      <w:bCs/>
                      <w:color w:val="auto"/>
                      <w:sz w:val="21"/>
                      <w:szCs w:val="21"/>
                      <w:lang w:val="en-US" w:eastAsia="zh-CN"/>
                    </w:rPr>
                  </w:pPr>
                  <w:r>
                    <w:rPr>
                      <w:rFonts w:hint="eastAsia"/>
                      <w:b w:val="0"/>
                      <w:bCs/>
                      <w:color w:val="auto"/>
                      <w:sz w:val="21"/>
                      <w:szCs w:val="21"/>
                      <w:lang w:val="en-US" w:eastAsia="zh-CN"/>
                    </w:rPr>
                    <w:t>六、砖瓦</w:t>
                  </w:r>
                </w:p>
              </w:tc>
            </w:tr>
            <w:tr w14:paraId="3530E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vAlign w:val="center"/>
                </w:tcPr>
                <w:p w14:paraId="52232052">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b w:val="0"/>
                      <w:bCs/>
                      <w:color w:val="auto"/>
                      <w:sz w:val="21"/>
                      <w:szCs w:val="21"/>
                      <w:lang w:val="en-US" w:eastAsia="zh-CN"/>
                    </w:rPr>
                  </w:pPr>
                  <w:r>
                    <w:rPr>
                      <w:rFonts w:hint="eastAsia"/>
                      <w:b w:val="0"/>
                      <w:bCs/>
                      <w:color w:val="auto"/>
                      <w:sz w:val="21"/>
                      <w:szCs w:val="21"/>
                      <w:lang w:val="en-US" w:eastAsia="zh-CN"/>
                    </w:rPr>
                    <w:t>1</w:t>
                  </w:r>
                </w:p>
              </w:tc>
              <w:tc>
                <w:tcPr>
                  <w:tcW w:w="2354" w:type="dxa"/>
                  <w:vAlign w:val="center"/>
                </w:tcPr>
                <w:p w14:paraId="08123CFC">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b w:val="0"/>
                      <w:bCs/>
                      <w:color w:val="auto"/>
                      <w:sz w:val="21"/>
                      <w:szCs w:val="21"/>
                    </w:rPr>
                  </w:pPr>
                  <w:r>
                    <w:rPr>
                      <w:rFonts w:hint="eastAsia"/>
                      <w:b w:val="0"/>
                      <w:bCs/>
                      <w:color w:val="auto"/>
                      <w:sz w:val="21"/>
                      <w:szCs w:val="21"/>
                      <w:highlight w:val="none"/>
                    </w:rPr>
                    <w:t>砖瓦轮窑</w:t>
                  </w:r>
                  <w:r>
                    <w:rPr>
                      <w:rFonts w:hint="eastAsia"/>
                      <w:b w:val="0"/>
                      <w:bCs/>
                      <w:color w:val="auto"/>
                      <w:sz w:val="21"/>
                      <w:szCs w:val="21"/>
                      <w:highlight w:val="none"/>
                      <w:lang w:eastAsia="zh-CN"/>
                    </w:rPr>
                    <w:t>（</w:t>
                  </w:r>
                  <w:r>
                    <w:rPr>
                      <w:rFonts w:hint="eastAsia"/>
                      <w:b w:val="0"/>
                      <w:bCs/>
                      <w:color w:val="auto"/>
                      <w:sz w:val="21"/>
                      <w:szCs w:val="21"/>
                      <w:highlight w:val="none"/>
                    </w:rPr>
                    <w:t>2020年12月31日</w:t>
                  </w:r>
                  <w:r>
                    <w:rPr>
                      <w:rFonts w:hint="eastAsia"/>
                      <w:b w:val="0"/>
                      <w:bCs/>
                      <w:color w:val="auto"/>
                      <w:sz w:val="21"/>
                      <w:szCs w:val="21"/>
                      <w:highlight w:val="none"/>
                      <w:lang w:eastAsia="zh-CN"/>
                    </w:rPr>
                    <w:t>）</w:t>
                  </w:r>
                  <w:r>
                    <w:rPr>
                      <w:rFonts w:hint="eastAsia"/>
                      <w:b w:val="0"/>
                      <w:bCs/>
                      <w:color w:val="auto"/>
                      <w:sz w:val="21"/>
                      <w:szCs w:val="21"/>
                      <w:highlight w:val="none"/>
                    </w:rPr>
                    <w:t>以及立窑、无顶轮窑、马蹄窑等土窑</w:t>
                  </w:r>
                </w:p>
              </w:tc>
              <w:tc>
                <w:tcPr>
                  <w:tcW w:w="4460" w:type="dxa"/>
                  <w:vAlign w:val="center"/>
                </w:tcPr>
                <w:p w14:paraId="0C9473CC">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b w:val="0"/>
                      <w:bCs/>
                      <w:color w:val="auto"/>
                      <w:sz w:val="21"/>
                      <w:szCs w:val="21"/>
                    </w:rPr>
                  </w:pPr>
                  <w:r>
                    <w:rPr>
                      <w:rFonts w:hint="eastAsia"/>
                      <w:b w:val="0"/>
                      <w:bCs/>
                      <w:color w:val="auto"/>
                      <w:sz w:val="21"/>
                      <w:szCs w:val="21"/>
                      <w:highlight w:val="none"/>
                    </w:rPr>
                    <w:t>本项目</w:t>
                  </w:r>
                  <w:r>
                    <w:rPr>
                      <w:rFonts w:hint="eastAsia"/>
                      <w:b w:val="0"/>
                      <w:bCs/>
                      <w:color w:val="auto"/>
                      <w:sz w:val="21"/>
                      <w:szCs w:val="21"/>
                      <w:highlight w:val="none"/>
                      <w:lang w:eastAsia="zh-CN"/>
                    </w:rPr>
                    <w:t>使用梭式窑</w:t>
                  </w:r>
                  <w:r>
                    <w:rPr>
                      <w:rFonts w:hint="eastAsia"/>
                      <w:b w:val="0"/>
                      <w:bCs/>
                      <w:color w:val="auto"/>
                      <w:sz w:val="21"/>
                      <w:szCs w:val="21"/>
                      <w:highlight w:val="none"/>
                      <w:lang w:val="en-US" w:eastAsia="zh-CN"/>
                    </w:rPr>
                    <w:t>，未使用</w:t>
                  </w:r>
                  <w:r>
                    <w:rPr>
                      <w:rFonts w:hint="eastAsia"/>
                      <w:b w:val="0"/>
                      <w:bCs/>
                      <w:color w:val="auto"/>
                      <w:sz w:val="21"/>
                      <w:szCs w:val="21"/>
                      <w:highlight w:val="none"/>
                    </w:rPr>
                    <w:t>砖瓦轮窑</w:t>
                  </w:r>
                  <w:r>
                    <w:rPr>
                      <w:rFonts w:hint="eastAsia"/>
                      <w:b w:val="0"/>
                      <w:bCs/>
                      <w:color w:val="auto"/>
                      <w:sz w:val="21"/>
                      <w:szCs w:val="21"/>
                      <w:highlight w:val="none"/>
                      <w:lang w:eastAsia="zh-CN"/>
                    </w:rPr>
                    <w:t>（</w:t>
                  </w:r>
                  <w:r>
                    <w:rPr>
                      <w:rFonts w:hint="eastAsia"/>
                      <w:b w:val="0"/>
                      <w:bCs/>
                      <w:color w:val="auto"/>
                      <w:sz w:val="21"/>
                      <w:szCs w:val="21"/>
                      <w:highlight w:val="none"/>
                    </w:rPr>
                    <w:t>2020年12月31日</w:t>
                  </w:r>
                  <w:r>
                    <w:rPr>
                      <w:rFonts w:hint="eastAsia"/>
                      <w:b w:val="0"/>
                      <w:bCs/>
                      <w:color w:val="auto"/>
                      <w:sz w:val="21"/>
                      <w:szCs w:val="21"/>
                      <w:highlight w:val="none"/>
                      <w:lang w:eastAsia="zh-CN"/>
                    </w:rPr>
                    <w:t>）</w:t>
                  </w:r>
                  <w:r>
                    <w:rPr>
                      <w:rFonts w:hint="eastAsia"/>
                      <w:b w:val="0"/>
                      <w:bCs/>
                      <w:color w:val="auto"/>
                      <w:sz w:val="21"/>
                      <w:szCs w:val="21"/>
                      <w:highlight w:val="none"/>
                    </w:rPr>
                    <w:t>以及立窑、无顶轮窑、马蹄窑等土窑</w:t>
                  </w:r>
                  <w:r>
                    <w:rPr>
                      <w:rFonts w:hint="eastAsia"/>
                      <w:b w:val="0"/>
                      <w:bCs/>
                      <w:color w:val="auto"/>
                      <w:sz w:val="21"/>
                      <w:szCs w:val="21"/>
                      <w:highlight w:val="none"/>
                      <w:lang w:eastAsia="zh-CN"/>
                    </w:rPr>
                    <w:t>。</w:t>
                  </w:r>
                </w:p>
              </w:tc>
              <w:tc>
                <w:tcPr>
                  <w:tcW w:w="1118" w:type="dxa"/>
                  <w:vAlign w:val="center"/>
                </w:tcPr>
                <w:p w14:paraId="394755F0">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b w:val="0"/>
                      <w:bCs/>
                      <w:color w:val="auto"/>
                      <w:sz w:val="21"/>
                      <w:szCs w:val="21"/>
                    </w:rPr>
                  </w:pPr>
                  <w:r>
                    <w:rPr>
                      <w:rFonts w:hint="eastAsia"/>
                      <w:b w:val="0"/>
                      <w:bCs/>
                      <w:color w:val="auto"/>
                      <w:sz w:val="21"/>
                      <w:szCs w:val="21"/>
                      <w:highlight w:val="none"/>
                      <w:lang w:val="en-US" w:eastAsia="zh-CN"/>
                    </w:rPr>
                    <w:t>符合</w:t>
                  </w:r>
                </w:p>
              </w:tc>
            </w:tr>
            <w:tr w14:paraId="17ED1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vAlign w:val="center"/>
                </w:tcPr>
                <w:p w14:paraId="2D70F9D6">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b w:val="0"/>
                      <w:bCs/>
                      <w:color w:val="auto"/>
                      <w:sz w:val="21"/>
                      <w:szCs w:val="21"/>
                      <w:lang w:val="en-US" w:eastAsia="zh-CN"/>
                    </w:rPr>
                  </w:pPr>
                  <w:r>
                    <w:rPr>
                      <w:rFonts w:hint="eastAsia"/>
                      <w:b w:val="0"/>
                      <w:bCs/>
                      <w:color w:val="auto"/>
                      <w:sz w:val="21"/>
                      <w:szCs w:val="21"/>
                      <w:lang w:val="en-US" w:eastAsia="zh-CN"/>
                    </w:rPr>
                    <w:t>2</w:t>
                  </w:r>
                </w:p>
              </w:tc>
              <w:tc>
                <w:tcPr>
                  <w:tcW w:w="2354" w:type="dxa"/>
                  <w:vAlign w:val="center"/>
                </w:tcPr>
                <w:p w14:paraId="541990AE">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b w:val="0"/>
                      <w:bCs/>
                      <w:color w:val="auto"/>
                      <w:sz w:val="21"/>
                      <w:szCs w:val="21"/>
                    </w:rPr>
                  </w:pPr>
                  <w:r>
                    <w:rPr>
                      <w:rFonts w:hint="eastAsia"/>
                      <w:b w:val="0"/>
                      <w:bCs/>
                      <w:color w:val="auto"/>
                      <w:sz w:val="21"/>
                      <w:szCs w:val="21"/>
                      <w:highlight w:val="none"/>
                    </w:rPr>
                    <w:t>普通挤砖机</w:t>
                  </w:r>
                </w:p>
              </w:tc>
              <w:tc>
                <w:tcPr>
                  <w:tcW w:w="4460" w:type="dxa"/>
                  <w:vAlign w:val="center"/>
                </w:tcPr>
                <w:p w14:paraId="2C5466E2">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b w:val="0"/>
                      <w:bCs/>
                      <w:color w:val="auto"/>
                      <w:sz w:val="21"/>
                      <w:szCs w:val="21"/>
                    </w:rPr>
                  </w:pPr>
                  <w:r>
                    <w:rPr>
                      <w:rFonts w:hint="eastAsia"/>
                      <w:b w:val="0"/>
                      <w:bCs/>
                      <w:color w:val="auto"/>
                      <w:sz w:val="21"/>
                      <w:szCs w:val="21"/>
                      <w:highlight w:val="none"/>
                      <w:lang w:val="en-US" w:eastAsia="zh-CN"/>
                    </w:rPr>
                    <w:t>本项目未使用</w:t>
                  </w:r>
                </w:p>
              </w:tc>
              <w:tc>
                <w:tcPr>
                  <w:tcW w:w="1118" w:type="dxa"/>
                  <w:vAlign w:val="center"/>
                </w:tcPr>
                <w:p w14:paraId="5A3266E9">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b w:val="0"/>
                      <w:bCs/>
                      <w:color w:val="auto"/>
                      <w:sz w:val="21"/>
                      <w:szCs w:val="21"/>
                    </w:rPr>
                  </w:pPr>
                  <w:r>
                    <w:rPr>
                      <w:rFonts w:hint="eastAsia"/>
                      <w:b w:val="0"/>
                      <w:bCs/>
                      <w:color w:val="auto"/>
                      <w:sz w:val="21"/>
                      <w:szCs w:val="21"/>
                      <w:highlight w:val="none"/>
                      <w:lang w:val="en-US" w:eastAsia="zh-CN"/>
                    </w:rPr>
                    <w:t>符合</w:t>
                  </w:r>
                </w:p>
              </w:tc>
            </w:tr>
            <w:tr w14:paraId="3E607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vAlign w:val="center"/>
                </w:tcPr>
                <w:p w14:paraId="035DC306">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b w:val="0"/>
                      <w:bCs/>
                      <w:color w:val="auto"/>
                      <w:sz w:val="21"/>
                      <w:szCs w:val="21"/>
                      <w:lang w:val="en-US" w:eastAsia="zh-CN"/>
                    </w:rPr>
                  </w:pPr>
                  <w:r>
                    <w:rPr>
                      <w:rFonts w:hint="eastAsia"/>
                      <w:b w:val="0"/>
                      <w:bCs/>
                      <w:color w:val="auto"/>
                      <w:sz w:val="21"/>
                      <w:szCs w:val="21"/>
                      <w:lang w:val="en-US" w:eastAsia="zh-CN"/>
                    </w:rPr>
                    <w:t>3</w:t>
                  </w:r>
                </w:p>
              </w:tc>
              <w:tc>
                <w:tcPr>
                  <w:tcW w:w="2354" w:type="dxa"/>
                  <w:vAlign w:val="center"/>
                </w:tcPr>
                <w:p w14:paraId="79AA1FEC">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b w:val="0"/>
                      <w:bCs/>
                      <w:color w:val="auto"/>
                      <w:sz w:val="21"/>
                      <w:szCs w:val="21"/>
                    </w:rPr>
                  </w:pPr>
                  <w:r>
                    <w:rPr>
                      <w:rFonts w:hint="eastAsia"/>
                      <w:b w:val="0"/>
                      <w:bCs/>
                      <w:color w:val="auto"/>
                      <w:sz w:val="21"/>
                      <w:szCs w:val="21"/>
                      <w:highlight w:val="none"/>
                    </w:rPr>
                    <w:t>SJ1580-3000双轴、单轴制砖搅拌机</w:t>
                  </w:r>
                </w:p>
              </w:tc>
              <w:tc>
                <w:tcPr>
                  <w:tcW w:w="4460" w:type="dxa"/>
                  <w:vAlign w:val="center"/>
                </w:tcPr>
                <w:p w14:paraId="29B782A0">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b w:val="0"/>
                      <w:bCs/>
                      <w:color w:val="auto"/>
                      <w:sz w:val="21"/>
                      <w:szCs w:val="21"/>
                    </w:rPr>
                  </w:pPr>
                  <w:r>
                    <w:rPr>
                      <w:rFonts w:hint="eastAsia"/>
                      <w:b w:val="0"/>
                      <w:bCs/>
                      <w:color w:val="auto"/>
                      <w:sz w:val="21"/>
                      <w:szCs w:val="21"/>
                      <w:highlight w:val="none"/>
                      <w:lang w:val="en-US" w:eastAsia="zh-CN"/>
                    </w:rPr>
                    <w:t>本项目未使用</w:t>
                  </w:r>
                </w:p>
              </w:tc>
              <w:tc>
                <w:tcPr>
                  <w:tcW w:w="1118" w:type="dxa"/>
                  <w:vAlign w:val="center"/>
                </w:tcPr>
                <w:p w14:paraId="1E0466AE">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b w:val="0"/>
                      <w:bCs/>
                      <w:color w:val="auto"/>
                      <w:sz w:val="21"/>
                      <w:szCs w:val="21"/>
                    </w:rPr>
                  </w:pPr>
                  <w:r>
                    <w:rPr>
                      <w:rFonts w:hint="eastAsia"/>
                      <w:b w:val="0"/>
                      <w:bCs/>
                      <w:color w:val="auto"/>
                      <w:sz w:val="21"/>
                      <w:szCs w:val="21"/>
                      <w:highlight w:val="none"/>
                      <w:lang w:val="en-US" w:eastAsia="zh-CN"/>
                    </w:rPr>
                    <w:t>符合</w:t>
                  </w:r>
                </w:p>
              </w:tc>
            </w:tr>
            <w:tr w14:paraId="6BAF8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vAlign w:val="center"/>
                </w:tcPr>
                <w:p w14:paraId="181472F5">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b w:val="0"/>
                      <w:bCs/>
                      <w:color w:val="auto"/>
                      <w:sz w:val="21"/>
                      <w:szCs w:val="21"/>
                      <w:lang w:val="en-US" w:eastAsia="zh-CN"/>
                    </w:rPr>
                  </w:pPr>
                  <w:r>
                    <w:rPr>
                      <w:rFonts w:hint="eastAsia"/>
                      <w:b w:val="0"/>
                      <w:bCs/>
                      <w:color w:val="auto"/>
                      <w:sz w:val="21"/>
                      <w:szCs w:val="21"/>
                      <w:lang w:val="en-US" w:eastAsia="zh-CN"/>
                    </w:rPr>
                    <w:t>4</w:t>
                  </w:r>
                </w:p>
              </w:tc>
              <w:tc>
                <w:tcPr>
                  <w:tcW w:w="2354" w:type="dxa"/>
                  <w:vAlign w:val="center"/>
                </w:tcPr>
                <w:p w14:paraId="2DFB128F">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b w:val="0"/>
                      <w:bCs/>
                      <w:color w:val="auto"/>
                      <w:sz w:val="21"/>
                      <w:szCs w:val="21"/>
                    </w:rPr>
                  </w:pPr>
                  <w:r>
                    <w:rPr>
                      <w:rFonts w:hint="eastAsia"/>
                      <w:b w:val="0"/>
                      <w:bCs/>
                      <w:color w:val="auto"/>
                      <w:sz w:val="21"/>
                      <w:szCs w:val="21"/>
                      <w:highlight w:val="none"/>
                    </w:rPr>
                    <w:t>SOP400500-700500双破碎机</w:t>
                  </w:r>
                </w:p>
              </w:tc>
              <w:tc>
                <w:tcPr>
                  <w:tcW w:w="4460" w:type="dxa"/>
                  <w:vAlign w:val="center"/>
                </w:tcPr>
                <w:p w14:paraId="106B718B">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b w:val="0"/>
                      <w:bCs/>
                      <w:color w:val="auto"/>
                      <w:sz w:val="21"/>
                      <w:szCs w:val="21"/>
                    </w:rPr>
                  </w:pPr>
                  <w:r>
                    <w:rPr>
                      <w:rFonts w:hint="eastAsia"/>
                      <w:b w:val="0"/>
                      <w:bCs/>
                      <w:color w:val="auto"/>
                      <w:sz w:val="21"/>
                      <w:szCs w:val="21"/>
                      <w:highlight w:val="none"/>
                      <w:lang w:val="en-US" w:eastAsia="zh-CN"/>
                    </w:rPr>
                    <w:t>本项目未使用</w:t>
                  </w:r>
                </w:p>
              </w:tc>
              <w:tc>
                <w:tcPr>
                  <w:tcW w:w="1118" w:type="dxa"/>
                  <w:vAlign w:val="center"/>
                </w:tcPr>
                <w:p w14:paraId="2FACE987">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b w:val="0"/>
                      <w:bCs/>
                      <w:color w:val="auto"/>
                      <w:sz w:val="21"/>
                      <w:szCs w:val="21"/>
                    </w:rPr>
                  </w:pPr>
                  <w:r>
                    <w:rPr>
                      <w:rFonts w:hint="eastAsia"/>
                      <w:b w:val="0"/>
                      <w:bCs/>
                      <w:color w:val="auto"/>
                      <w:sz w:val="21"/>
                      <w:szCs w:val="21"/>
                      <w:highlight w:val="none"/>
                      <w:lang w:val="en-US" w:eastAsia="zh-CN"/>
                    </w:rPr>
                    <w:t>符合</w:t>
                  </w:r>
                </w:p>
              </w:tc>
            </w:tr>
            <w:tr w14:paraId="6B754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vAlign w:val="center"/>
                </w:tcPr>
                <w:p w14:paraId="0CD9B8DF">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b w:val="0"/>
                      <w:bCs/>
                      <w:color w:val="auto"/>
                      <w:sz w:val="21"/>
                      <w:szCs w:val="21"/>
                      <w:lang w:val="en-US" w:eastAsia="zh-CN"/>
                    </w:rPr>
                  </w:pPr>
                  <w:r>
                    <w:rPr>
                      <w:rFonts w:hint="eastAsia"/>
                      <w:b w:val="0"/>
                      <w:bCs/>
                      <w:color w:val="auto"/>
                      <w:sz w:val="21"/>
                      <w:szCs w:val="21"/>
                      <w:lang w:val="en-US" w:eastAsia="zh-CN"/>
                    </w:rPr>
                    <w:t>5</w:t>
                  </w:r>
                </w:p>
              </w:tc>
              <w:tc>
                <w:tcPr>
                  <w:tcW w:w="2354" w:type="dxa"/>
                  <w:vAlign w:val="center"/>
                </w:tcPr>
                <w:p w14:paraId="2D02A9A8">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b w:val="0"/>
                      <w:bCs/>
                      <w:color w:val="auto"/>
                      <w:sz w:val="21"/>
                      <w:szCs w:val="21"/>
                    </w:rPr>
                  </w:pPr>
                  <w:r>
                    <w:rPr>
                      <w:rFonts w:hint="eastAsia"/>
                      <w:b w:val="0"/>
                      <w:bCs/>
                      <w:color w:val="auto"/>
                      <w:sz w:val="21"/>
                      <w:szCs w:val="21"/>
                      <w:highlight w:val="none"/>
                    </w:rPr>
                    <w:t>1000型普通切条机</w:t>
                  </w:r>
                </w:p>
              </w:tc>
              <w:tc>
                <w:tcPr>
                  <w:tcW w:w="4460" w:type="dxa"/>
                  <w:vAlign w:val="center"/>
                </w:tcPr>
                <w:p w14:paraId="3E0C9935">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b w:val="0"/>
                      <w:bCs/>
                      <w:color w:val="auto"/>
                      <w:sz w:val="21"/>
                      <w:szCs w:val="21"/>
                    </w:rPr>
                  </w:pPr>
                  <w:r>
                    <w:rPr>
                      <w:rFonts w:hint="eastAsia"/>
                      <w:b w:val="0"/>
                      <w:bCs/>
                      <w:color w:val="auto"/>
                      <w:sz w:val="21"/>
                      <w:szCs w:val="21"/>
                      <w:highlight w:val="none"/>
                      <w:lang w:val="en-US" w:eastAsia="zh-CN"/>
                    </w:rPr>
                    <w:t>本项目未使用</w:t>
                  </w:r>
                </w:p>
              </w:tc>
              <w:tc>
                <w:tcPr>
                  <w:tcW w:w="1118" w:type="dxa"/>
                  <w:vAlign w:val="center"/>
                </w:tcPr>
                <w:p w14:paraId="1F19B716">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b w:val="0"/>
                      <w:bCs/>
                      <w:color w:val="auto"/>
                      <w:sz w:val="21"/>
                      <w:szCs w:val="21"/>
                    </w:rPr>
                  </w:pPr>
                  <w:r>
                    <w:rPr>
                      <w:rFonts w:hint="eastAsia"/>
                      <w:b w:val="0"/>
                      <w:bCs/>
                      <w:color w:val="auto"/>
                      <w:sz w:val="21"/>
                      <w:szCs w:val="21"/>
                      <w:highlight w:val="none"/>
                      <w:lang w:val="en-US" w:eastAsia="zh-CN"/>
                    </w:rPr>
                    <w:t>符合</w:t>
                  </w:r>
                </w:p>
              </w:tc>
            </w:tr>
            <w:tr w14:paraId="2EF06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vAlign w:val="center"/>
                </w:tcPr>
                <w:p w14:paraId="3A086331">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b w:val="0"/>
                      <w:bCs/>
                      <w:color w:val="auto"/>
                      <w:sz w:val="21"/>
                      <w:szCs w:val="21"/>
                      <w:lang w:val="en-US" w:eastAsia="zh-CN"/>
                    </w:rPr>
                  </w:pPr>
                  <w:r>
                    <w:rPr>
                      <w:rFonts w:hint="eastAsia"/>
                      <w:b w:val="0"/>
                      <w:bCs/>
                      <w:color w:val="auto"/>
                      <w:sz w:val="21"/>
                      <w:szCs w:val="21"/>
                      <w:lang w:val="en-US" w:eastAsia="zh-CN"/>
                    </w:rPr>
                    <w:t>6</w:t>
                  </w:r>
                </w:p>
              </w:tc>
              <w:tc>
                <w:tcPr>
                  <w:tcW w:w="2354" w:type="dxa"/>
                  <w:vAlign w:val="center"/>
                </w:tcPr>
                <w:p w14:paraId="0C9F5F98">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b w:val="0"/>
                      <w:bCs/>
                      <w:color w:val="auto"/>
                      <w:sz w:val="21"/>
                      <w:szCs w:val="21"/>
                    </w:rPr>
                  </w:pPr>
                  <w:r>
                    <w:rPr>
                      <w:rFonts w:hint="eastAsia"/>
                      <w:b w:val="0"/>
                      <w:bCs/>
                      <w:color w:val="auto"/>
                      <w:sz w:val="21"/>
                      <w:szCs w:val="21"/>
                      <w:highlight w:val="none"/>
                    </w:rPr>
                    <w:t>100吨以下盘转式压砖机</w:t>
                  </w:r>
                </w:p>
              </w:tc>
              <w:tc>
                <w:tcPr>
                  <w:tcW w:w="4460" w:type="dxa"/>
                  <w:vAlign w:val="center"/>
                </w:tcPr>
                <w:p w14:paraId="0E20DE04">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b w:val="0"/>
                      <w:bCs/>
                      <w:color w:val="auto"/>
                      <w:sz w:val="21"/>
                      <w:szCs w:val="21"/>
                    </w:rPr>
                  </w:pPr>
                  <w:r>
                    <w:rPr>
                      <w:rFonts w:hint="eastAsia"/>
                      <w:b w:val="0"/>
                      <w:bCs/>
                      <w:color w:val="auto"/>
                      <w:sz w:val="21"/>
                      <w:szCs w:val="21"/>
                      <w:highlight w:val="none"/>
                      <w:lang w:val="en-US" w:eastAsia="zh-CN"/>
                    </w:rPr>
                    <w:t>本项目未使用</w:t>
                  </w:r>
                </w:p>
              </w:tc>
              <w:tc>
                <w:tcPr>
                  <w:tcW w:w="1118" w:type="dxa"/>
                  <w:vAlign w:val="center"/>
                </w:tcPr>
                <w:p w14:paraId="2BA973BA">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b w:val="0"/>
                      <w:bCs/>
                      <w:color w:val="auto"/>
                      <w:sz w:val="21"/>
                      <w:szCs w:val="21"/>
                    </w:rPr>
                  </w:pPr>
                  <w:r>
                    <w:rPr>
                      <w:rFonts w:hint="eastAsia"/>
                      <w:b w:val="0"/>
                      <w:bCs/>
                      <w:color w:val="auto"/>
                      <w:sz w:val="21"/>
                      <w:szCs w:val="21"/>
                      <w:highlight w:val="none"/>
                      <w:lang w:val="en-US" w:eastAsia="zh-CN"/>
                    </w:rPr>
                    <w:t>符合</w:t>
                  </w:r>
                </w:p>
              </w:tc>
            </w:tr>
            <w:tr w14:paraId="6E754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vAlign w:val="center"/>
                </w:tcPr>
                <w:p w14:paraId="02ED4C1D">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b w:val="0"/>
                      <w:bCs/>
                      <w:color w:val="auto"/>
                      <w:sz w:val="21"/>
                      <w:szCs w:val="21"/>
                      <w:lang w:val="en-US" w:eastAsia="zh-CN"/>
                    </w:rPr>
                  </w:pPr>
                  <w:r>
                    <w:rPr>
                      <w:rFonts w:hint="eastAsia"/>
                      <w:b w:val="0"/>
                      <w:bCs/>
                      <w:color w:val="auto"/>
                      <w:sz w:val="21"/>
                      <w:szCs w:val="21"/>
                      <w:lang w:val="en-US" w:eastAsia="zh-CN"/>
                    </w:rPr>
                    <w:t>7</w:t>
                  </w:r>
                </w:p>
              </w:tc>
              <w:tc>
                <w:tcPr>
                  <w:tcW w:w="2354" w:type="dxa"/>
                  <w:vAlign w:val="center"/>
                </w:tcPr>
                <w:p w14:paraId="4924A624">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b w:val="0"/>
                      <w:bCs/>
                      <w:color w:val="auto"/>
                      <w:sz w:val="21"/>
                      <w:szCs w:val="21"/>
                    </w:rPr>
                  </w:pPr>
                  <w:r>
                    <w:rPr>
                      <w:rFonts w:hint="eastAsia"/>
                      <w:b w:val="0"/>
                      <w:bCs/>
                      <w:color w:val="auto"/>
                      <w:sz w:val="21"/>
                      <w:szCs w:val="21"/>
                      <w:highlight w:val="none"/>
                    </w:rPr>
                    <w:t>破坏农田、耕地和破坏环境取土烧制的实心粘土砖生产线</w:t>
                  </w:r>
                </w:p>
              </w:tc>
              <w:tc>
                <w:tcPr>
                  <w:tcW w:w="4460" w:type="dxa"/>
                  <w:vAlign w:val="center"/>
                </w:tcPr>
                <w:p w14:paraId="4F80ECE5">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b w:val="0"/>
                      <w:bCs/>
                      <w:color w:val="auto"/>
                      <w:sz w:val="21"/>
                      <w:szCs w:val="21"/>
                    </w:rPr>
                  </w:pPr>
                  <w:r>
                    <w:rPr>
                      <w:rFonts w:hint="eastAsia"/>
                      <w:b w:val="0"/>
                      <w:bCs/>
                      <w:color w:val="auto"/>
                      <w:sz w:val="21"/>
                      <w:szCs w:val="21"/>
                      <w:highlight w:val="none"/>
                      <w:lang w:val="en-US" w:eastAsia="zh-CN"/>
                    </w:rPr>
                    <w:t>本</w:t>
                  </w:r>
                  <w:r>
                    <w:rPr>
                      <w:rFonts w:hint="eastAsia" w:ascii="Times New Roman" w:hAnsi="Times New Roman" w:cs="Times New Roman"/>
                      <w:b w:val="0"/>
                      <w:bCs/>
                      <w:color w:val="auto"/>
                      <w:sz w:val="21"/>
                      <w:szCs w:val="21"/>
                      <w:highlight w:val="none"/>
                      <w:lang w:val="en-US" w:eastAsia="zh-CN"/>
                    </w:rPr>
                    <w:t>项目</w:t>
                  </w:r>
                  <w:r>
                    <w:rPr>
                      <w:rFonts w:hint="eastAsia" w:cs="Times New Roman"/>
                      <w:b w:val="0"/>
                      <w:bCs/>
                      <w:color w:val="auto"/>
                      <w:sz w:val="21"/>
                      <w:szCs w:val="21"/>
                      <w:highlight w:val="none"/>
                      <w:lang w:val="en-US" w:eastAsia="zh-CN"/>
                    </w:rPr>
                    <w:t>为仿古砖瓦生产项目，所需原料为</w:t>
                  </w:r>
                  <w:r>
                    <w:rPr>
                      <w:rFonts w:hint="eastAsia" w:cs="Times New Roman"/>
                      <w:b w:val="0"/>
                      <w:bCs/>
                      <w:i w:val="0"/>
                      <w:iCs w:val="0"/>
                      <w:caps w:val="0"/>
                      <w:color w:val="auto"/>
                      <w:spacing w:val="0"/>
                      <w:sz w:val="21"/>
                      <w:szCs w:val="21"/>
                      <w:shd w:val="clear" w:fill="FFFFFF"/>
                      <w:lang w:val="en-US" w:eastAsia="zh-CN"/>
                    </w:rPr>
                    <w:t>建筑基坑弃土</w:t>
                  </w:r>
                  <w:r>
                    <w:rPr>
                      <w:rFonts w:hint="eastAsia" w:cs="Times New Roman"/>
                      <w:b w:val="0"/>
                      <w:bCs/>
                      <w:color w:val="auto"/>
                      <w:sz w:val="21"/>
                      <w:szCs w:val="21"/>
                      <w:highlight w:val="none"/>
                      <w:lang w:val="en-US" w:eastAsia="zh-CN"/>
                    </w:rPr>
                    <w:t>，</w:t>
                  </w:r>
                  <w:r>
                    <w:rPr>
                      <w:rFonts w:hint="eastAsia"/>
                      <w:b w:val="0"/>
                      <w:bCs/>
                      <w:color w:val="auto"/>
                      <w:sz w:val="21"/>
                      <w:szCs w:val="21"/>
                      <w:highlight w:val="none"/>
                    </w:rPr>
                    <w:t>不属于破坏农田、耕地和破坏环境取土烧制的实心粘土砖生产线</w:t>
                  </w:r>
                  <w:r>
                    <w:rPr>
                      <w:rFonts w:hint="eastAsia"/>
                      <w:b w:val="0"/>
                      <w:bCs/>
                      <w:color w:val="auto"/>
                      <w:sz w:val="21"/>
                      <w:szCs w:val="21"/>
                      <w:highlight w:val="none"/>
                      <w:lang w:eastAsia="zh-CN"/>
                    </w:rPr>
                    <w:t>。</w:t>
                  </w:r>
                </w:p>
              </w:tc>
              <w:tc>
                <w:tcPr>
                  <w:tcW w:w="1118" w:type="dxa"/>
                  <w:vAlign w:val="center"/>
                </w:tcPr>
                <w:p w14:paraId="484C82B2">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b w:val="0"/>
                      <w:bCs/>
                      <w:color w:val="auto"/>
                      <w:sz w:val="21"/>
                      <w:szCs w:val="21"/>
                    </w:rPr>
                  </w:pPr>
                  <w:r>
                    <w:rPr>
                      <w:rFonts w:hint="eastAsia"/>
                      <w:b w:val="0"/>
                      <w:bCs/>
                      <w:color w:val="auto"/>
                      <w:sz w:val="21"/>
                      <w:szCs w:val="21"/>
                      <w:highlight w:val="none"/>
                      <w:lang w:val="en-US" w:eastAsia="zh-CN"/>
                    </w:rPr>
                    <w:t>符合</w:t>
                  </w:r>
                </w:p>
              </w:tc>
            </w:tr>
            <w:tr w14:paraId="7B5ED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vAlign w:val="center"/>
                </w:tcPr>
                <w:p w14:paraId="48D54D82">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b w:val="0"/>
                      <w:bCs/>
                      <w:color w:val="auto"/>
                      <w:sz w:val="21"/>
                      <w:szCs w:val="21"/>
                      <w:lang w:val="en-US" w:eastAsia="zh-CN"/>
                    </w:rPr>
                  </w:pPr>
                  <w:r>
                    <w:rPr>
                      <w:rFonts w:hint="eastAsia"/>
                      <w:b w:val="0"/>
                      <w:bCs/>
                      <w:color w:val="auto"/>
                      <w:sz w:val="21"/>
                      <w:szCs w:val="21"/>
                      <w:lang w:val="en-US" w:eastAsia="zh-CN"/>
                    </w:rPr>
                    <w:t>8</w:t>
                  </w:r>
                </w:p>
              </w:tc>
              <w:tc>
                <w:tcPr>
                  <w:tcW w:w="2354" w:type="dxa"/>
                  <w:vAlign w:val="center"/>
                </w:tcPr>
                <w:p w14:paraId="1E252B86">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b w:val="0"/>
                      <w:bCs/>
                      <w:color w:val="auto"/>
                      <w:sz w:val="21"/>
                      <w:szCs w:val="21"/>
                    </w:rPr>
                  </w:pPr>
                  <w:r>
                    <w:rPr>
                      <w:rFonts w:hint="eastAsia"/>
                      <w:b w:val="0"/>
                      <w:bCs/>
                      <w:color w:val="auto"/>
                      <w:sz w:val="21"/>
                      <w:szCs w:val="21"/>
                      <w:highlight w:val="none"/>
                    </w:rPr>
                    <w:t>原料燃料破碎及制备成型颗粒物排放浓度超过30mg/m</w:t>
                  </w:r>
                  <w:r>
                    <w:rPr>
                      <w:rFonts w:hint="eastAsia"/>
                      <w:b w:val="0"/>
                      <w:bCs/>
                      <w:color w:val="auto"/>
                      <w:sz w:val="21"/>
                      <w:szCs w:val="21"/>
                      <w:highlight w:val="none"/>
                      <w:vertAlign w:val="superscript"/>
                      <w:lang w:val="en-US" w:eastAsia="zh-CN"/>
                    </w:rPr>
                    <w:t>3</w:t>
                  </w:r>
                  <w:r>
                    <w:rPr>
                      <w:rFonts w:hint="eastAsia"/>
                      <w:b w:val="0"/>
                      <w:bCs/>
                      <w:color w:val="auto"/>
                      <w:sz w:val="21"/>
                      <w:szCs w:val="21"/>
                      <w:highlight w:val="none"/>
                    </w:rPr>
                    <w:t>，人工干燥机焙烧颗粒物、二氧化硫、氮氧化物排放浓度分别超过30mg/m</w:t>
                  </w:r>
                  <w:r>
                    <w:rPr>
                      <w:rFonts w:hint="eastAsia"/>
                      <w:b w:val="0"/>
                      <w:bCs/>
                      <w:color w:val="auto"/>
                      <w:sz w:val="21"/>
                      <w:szCs w:val="21"/>
                      <w:highlight w:val="none"/>
                      <w:vertAlign w:val="superscript"/>
                      <w:lang w:val="en-US" w:eastAsia="zh-CN"/>
                    </w:rPr>
                    <w:t>3</w:t>
                  </w:r>
                  <w:r>
                    <w:rPr>
                      <w:rFonts w:hint="eastAsia"/>
                      <w:b w:val="0"/>
                      <w:bCs/>
                      <w:color w:val="auto"/>
                      <w:sz w:val="21"/>
                      <w:szCs w:val="21"/>
                      <w:highlight w:val="none"/>
                    </w:rPr>
                    <w:t>、300mg/m</w:t>
                  </w:r>
                  <w:r>
                    <w:rPr>
                      <w:rFonts w:hint="eastAsia"/>
                      <w:b w:val="0"/>
                      <w:bCs/>
                      <w:color w:val="auto"/>
                      <w:sz w:val="21"/>
                      <w:szCs w:val="21"/>
                      <w:highlight w:val="none"/>
                      <w:vertAlign w:val="superscript"/>
                      <w:lang w:val="en-US" w:eastAsia="zh-CN"/>
                    </w:rPr>
                    <w:t>3</w:t>
                  </w:r>
                  <w:r>
                    <w:rPr>
                      <w:rFonts w:hint="eastAsia"/>
                      <w:b w:val="0"/>
                      <w:bCs/>
                      <w:color w:val="auto"/>
                      <w:sz w:val="21"/>
                      <w:szCs w:val="21"/>
                      <w:highlight w:val="none"/>
                    </w:rPr>
                    <w:t>、200mg/m</w:t>
                  </w:r>
                  <w:r>
                    <w:rPr>
                      <w:rFonts w:hint="eastAsia"/>
                      <w:b w:val="0"/>
                      <w:bCs/>
                      <w:color w:val="auto"/>
                      <w:sz w:val="21"/>
                      <w:szCs w:val="21"/>
                      <w:highlight w:val="none"/>
                      <w:vertAlign w:val="superscript"/>
                      <w:lang w:val="en-US" w:eastAsia="zh-CN"/>
                    </w:rPr>
                    <w:t>3</w:t>
                  </w:r>
                  <w:r>
                    <w:rPr>
                      <w:rFonts w:hint="eastAsia"/>
                      <w:b w:val="0"/>
                      <w:bCs/>
                      <w:color w:val="auto"/>
                      <w:sz w:val="21"/>
                      <w:szCs w:val="21"/>
                      <w:highlight w:val="none"/>
                    </w:rPr>
                    <w:t>的砖瓦生产线</w:t>
                  </w:r>
                </w:p>
              </w:tc>
              <w:tc>
                <w:tcPr>
                  <w:tcW w:w="4460" w:type="dxa"/>
                  <w:vAlign w:val="center"/>
                </w:tcPr>
                <w:p w14:paraId="2C927B50">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b w:val="0"/>
                      <w:bCs/>
                      <w:color w:val="auto"/>
                      <w:sz w:val="21"/>
                      <w:szCs w:val="21"/>
                      <w:vertAlign w:val="baseline"/>
                      <w:lang w:val="en-US"/>
                    </w:rPr>
                  </w:pPr>
                  <w:r>
                    <w:rPr>
                      <w:rFonts w:hint="eastAsia" w:cs="Times New Roman"/>
                      <w:b w:val="0"/>
                      <w:bCs/>
                      <w:color w:val="auto"/>
                      <w:sz w:val="21"/>
                      <w:szCs w:val="21"/>
                      <w:lang w:val="en-US" w:eastAsia="zh-CN"/>
                    </w:rPr>
                    <w:t>本项目砖瓦焙烧采用煤作为燃料，梭式窑废气经布袋除尘+脱硫塔处理后，再由15m高的排气筒排放，其有组织废气排放满足</w:t>
                  </w:r>
                  <w:r>
                    <w:rPr>
                      <w:rFonts w:hint="eastAsia" w:cs="Times New Roman"/>
                      <w:b w:val="0"/>
                      <w:bCs/>
                      <w:color w:val="auto"/>
                      <w:sz w:val="21"/>
                      <w:szCs w:val="21"/>
                    </w:rPr>
                    <w:t>《砖瓦工业大气污染物排放标准》（GB29620-2013）表2标准限值及其修改单</w:t>
                  </w:r>
                  <w:r>
                    <w:rPr>
                      <w:rFonts w:hint="eastAsia"/>
                      <w:b w:val="0"/>
                      <w:bCs/>
                      <w:color w:val="auto"/>
                      <w:sz w:val="21"/>
                      <w:szCs w:val="21"/>
                      <w:lang w:val="en-US" w:eastAsia="zh-CN"/>
                    </w:rPr>
                    <w:t>，</w:t>
                  </w:r>
                  <w:r>
                    <w:rPr>
                      <w:rFonts w:hint="eastAsia"/>
                      <w:b w:val="0"/>
                      <w:bCs/>
                      <w:color w:val="auto"/>
                      <w:sz w:val="21"/>
                      <w:szCs w:val="21"/>
                      <w:highlight w:val="none"/>
                    </w:rPr>
                    <w:t>颗粒物、二氧化硫、氮氧化物排放浓度</w:t>
                  </w:r>
                  <w:r>
                    <w:rPr>
                      <w:rFonts w:hint="eastAsia"/>
                      <w:b w:val="0"/>
                      <w:bCs/>
                      <w:color w:val="auto"/>
                      <w:sz w:val="21"/>
                      <w:szCs w:val="21"/>
                      <w:highlight w:val="none"/>
                      <w:lang w:eastAsia="zh-CN"/>
                    </w:rPr>
                    <w:t>未</w:t>
                  </w:r>
                  <w:r>
                    <w:rPr>
                      <w:rFonts w:hint="eastAsia"/>
                      <w:b w:val="0"/>
                      <w:bCs/>
                      <w:color w:val="auto"/>
                      <w:sz w:val="21"/>
                      <w:szCs w:val="21"/>
                      <w:highlight w:val="none"/>
                    </w:rPr>
                    <w:t>超过30mg/m</w:t>
                  </w:r>
                  <w:r>
                    <w:rPr>
                      <w:rFonts w:hint="eastAsia"/>
                      <w:b w:val="0"/>
                      <w:bCs/>
                      <w:color w:val="auto"/>
                      <w:sz w:val="21"/>
                      <w:szCs w:val="21"/>
                      <w:highlight w:val="none"/>
                      <w:vertAlign w:val="superscript"/>
                      <w:lang w:val="en-US" w:eastAsia="zh-CN"/>
                    </w:rPr>
                    <w:t>3</w:t>
                  </w:r>
                  <w:r>
                    <w:rPr>
                      <w:rFonts w:hint="eastAsia"/>
                      <w:b w:val="0"/>
                      <w:bCs/>
                      <w:color w:val="auto"/>
                      <w:sz w:val="21"/>
                      <w:szCs w:val="21"/>
                      <w:highlight w:val="none"/>
                    </w:rPr>
                    <w:t>、300mg/m</w:t>
                  </w:r>
                  <w:r>
                    <w:rPr>
                      <w:rFonts w:hint="eastAsia"/>
                      <w:b w:val="0"/>
                      <w:bCs/>
                      <w:color w:val="auto"/>
                      <w:sz w:val="21"/>
                      <w:szCs w:val="21"/>
                      <w:highlight w:val="none"/>
                      <w:vertAlign w:val="superscript"/>
                      <w:lang w:val="en-US" w:eastAsia="zh-CN"/>
                    </w:rPr>
                    <w:t>3</w:t>
                  </w:r>
                  <w:r>
                    <w:rPr>
                      <w:rFonts w:hint="eastAsia"/>
                      <w:b w:val="0"/>
                      <w:bCs/>
                      <w:color w:val="auto"/>
                      <w:sz w:val="21"/>
                      <w:szCs w:val="21"/>
                      <w:highlight w:val="none"/>
                    </w:rPr>
                    <w:t>、200mg/m</w:t>
                  </w:r>
                  <w:r>
                    <w:rPr>
                      <w:rFonts w:hint="eastAsia"/>
                      <w:b w:val="0"/>
                      <w:bCs/>
                      <w:color w:val="auto"/>
                      <w:sz w:val="21"/>
                      <w:szCs w:val="21"/>
                      <w:highlight w:val="none"/>
                      <w:vertAlign w:val="superscript"/>
                      <w:lang w:val="en-US" w:eastAsia="zh-CN"/>
                    </w:rPr>
                    <w:t>3</w:t>
                  </w:r>
                  <w:r>
                    <w:rPr>
                      <w:rFonts w:hint="eastAsia"/>
                      <w:b w:val="0"/>
                      <w:bCs/>
                      <w:color w:val="auto"/>
                      <w:sz w:val="21"/>
                      <w:szCs w:val="21"/>
                      <w:highlight w:val="none"/>
                      <w:lang w:eastAsia="zh-CN"/>
                    </w:rPr>
                    <w:t>。</w:t>
                  </w:r>
                </w:p>
              </w:tc>
              <w:tc>
                <w:tcPr>
                  <w:tcW w:w="1118" w:type="dxa"/>
                  <w:vAlign w:val="center"/>
                </w:tcPr>
                <w:p w14:paraId="1A955679">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b w:val="0"/>
                      <w:bCs/>
                      <w:color w:val="auto"/>
                      <w:sz w:val="21"/>
                      <w:szCs w:val="21"/>
                    </w:rPr>
                  </w:pPr>
                  <w:r>
                    <w:rPr>
                      <w:rFonts w:hint="eastAsia"/>
                      <w:b w:val="0"/>
                      <w:bCs/>
                      <w:color w:val="auto"/>
                      <w:sz w:val="21"/>
                      <w:szCs w:val="21"/>
                      <w:highlight w:val="none"/>
                      <w:lang w:val="en-US" w:eastAsia="zh-CN"/>
                    </w:rPr>
                    <w:t>符合</w:t>
                  </w:r>
                </w:p>
              </w:tc>
            </w:tr>
          </w:tbl>
          <w:p w14:paraId="79CD87E0">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both"/>
              <w:textAlignment w:val="auto"/>
              <w:rPr>
                <w:rFonts w:hint="eastAsia" w:eastAsia="宋体"/>
                <w:color w:val="auto"/>
                <w:sz w:val="21"/>
                <w:szCs w:val="21"/>
                <w:highlight w:val="none"/>
                <w:lang w:eastAsia="zh-CN"/>
              </w:rPr>
            </w:pPr>
            <w:r>
              <w:rPr>
                <w:rFonts w:hint="eastAsia"/>
                <w:color w:val="auto"/>
                <w:sz w:val="21"/>
                <w:szCs w:val="21"/>
                <w:highlight w:val="none"/>
              </w:rPr>
              <w:t>本项目选用的生产工艺和主要生产设备均不属于《建材行业淘汰落后产能指导目录</w:t>
            </w:r>
            <w:r>
              <w:rPr>
                <w:rFonts w:hint="eastAsia"/>
                <w:color w:val="auto"/>
                <w:sz w:val="21"/>
                <w:szCs w:val="21"/>
                <w:highlight w:val="none"/>
                <w:lang w:eastAsia="zh-CN"/>
              </w:rPr>
              <w:t>（</w:t>
            </w:r>
            <w:r>
              <w:rPr>
                <w:rFonts w:hint="eastAsia"/>
                <w:color w:val="auto"/>
                <w:sz w:val="21"/>
                <w:szCs w:val="21"/>
                <w:highlight w:val="none"/>
              </w:rPr>
              <w:t>2019年</w:t>
            </w:r>
            <w:r>
              <w:rPr>
                <w:rFonts w:hint="eastAsia"/>
                <w:color w:val="auto"/>
                <w:sz w:val="21"/>
                <w:szCs w:val="21"/>
                <w:highlight w:val="none"/>
                <w:lang w:eastAsia="zh-CN"/>
              </w:rPr>
              <w:t>）</w:t>
            </w:r>
            <w:r>
              <w:rPr>
                <w:rFonts w:hint="eastAsia"/>
                <w:color w:val="auto"/>
                <w:sz w:val="21"/>
                <w:szCs w:val="21"/>
                <w:highlight w:val="none"/>
              </w:rPr>
              <w:t>》中的淘汰类设备</w:t>
            </w:r>
            <w:r>
              <w:rPr>
                <w:rFonts w:hint="eastAsia"/>
                <w:color w:val="auto"/>
                <w:sz w:val="21"/>
                <w:szCs w:val="21"/>
                <w:highlight w:val="none"/>
                <w:lang w:eastAsia="zh-CN"/>
              </w:rPr>
              <w:t>。</w:t>
            </w:r>
          </w:p>
          <w:p w14:paraId="54A06453">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ascii="Times New Roman" w:hAnsi="Times New Roman" w:eastAsia="宋体" w:cs="Times New Roman"/>
                <w:b w:val="0"/>
                <w:bCs w:val="0"/>
                <w:color w:val="auto"/>
                <w:sz w:val="21"/>
                <w:szCs w:val="21"/>
                <w:lang w:val="en-US" w:eastAsia="zh-CN"/>
              </w:rPr>
            </w:pPr>
            <w:r>
              <w:rPr>
                <w:rFonts w:hint="eastAsia"/>
                <w:color w:val="auto"/>
                <w:sz w:val="21"/>
                <w:szCs w:val="21"/>
                <w:highlight w:val="none"/>
              </w:rPr>
              <w:t>综上，本项目符合国家现行产业政策</w:t>
            </w:r>
            <w:r>
              <w:rPr>
                <w:rFonts w:hint="eastAsia"/>
                <w:color w:val="auto"/>
                <w:sz w:val="21"/>
                <w:szCs w:val="21"/>
                <w:highlight w:val="none"/>
                <w:lang w:eastAsia="zh-CN"/>
              </w:rPr>
              <w:t>。</w:t>
            </w:r>
          </w:p>
          <w:p w14:paraId="06C0EA16">
            <w:pPr>
              <w:pStyle w:val="7"/>
              <w:keepNext w:val="0"/>
              <w:keepLines w:val="0"/>
              <w:pageBreakBefore w:val="0"/>
              <w:widowControl w:val="0"/>
              <w:kinsoku/>
              <w:wordWrap/>
              <w:overflowPunct/>
              <w:topLinePunct w:val="0"/>
              <w:autoSpaceDE/>
              <w:autoSpaceDN/>
              <w:bidi w:val="0"/>
              <w:adjustRightInd/>
              <w:snapToGrid w:val="0"/>
              <w:spacing w:line="360" w:lineRule="auto"/>
              <w:ind w:left="0" w:leftChars="0" w:firstLine="420" w:firstLineChars="200"/>
              <w:textAlignment w:val="auto"/>
              <w:rPr>
                <w:rFonts w:hint="default"/>
                <w:b/>
                <w:color w:val="auto"/>
                <w:kern w:val="0"/>
                <w:sz w:val="21"/>
                <w:szCs w:val="21"/>
                <w:lang w:val="en-US"/>
              </w:rPr>
            </w:pPr>
            <w:r>
              <w:rPr>
                <w:rFonts w:hint="default" w:ascii="Times New Roman" w:hAnsi="Times New Roman" w:eastAsia="宋体" w:cs="Times New Roman"/>
                <w:b w:val="0"/>
                <w:bCs w:val="0"/>
                <w:color w:val="auto"/>
                <w:sz w:val="21"/>
                <w:szCs w:val="21"/>
                <w:lang w:val="en-US" w:eastAsia="zh-CN"/>
              </w:rPr>
              <w:t>根据</w:t>
            </w:r>
            <w:r>
              <w:rPr>
                <w:rFonts w:hint="eastAsia"/>
                <w:b w:val="0"/>
                <w:bCs w:val="0"/>
                <w:color w:val="auto"/>
                <w:sz w:val="21"/>
                <w:szCs w:val="21"/>
              </w:rPr>
              <w:t>《云南省长江经济带发展负面清单指南实施细则（</w:t>
            </w:r>
            <w:r>
              <w:rPr>
                <w:rFonts w:hint="eastAsia"/>
                <w:b w:val="0"/>
                <w:bCs w:val="0"/>
                <w:color w:val="auto"/>
                <w:sz w:val="21"/>
                <w:szCs w:val="21"/>
                <w:lang w:val="en-US" w:eastAsia="zh-CN"/>
              </w:rPr>
              <w:t>试行，2022年版</w:t>
            </w:r>
            <w:r>
              <w:rPr>
                <w:rFonts w:hint="eastAsia"/>
                <w:b w:val="0"/>
                <w:bCs w:val="0"/>
                <w:color w:val="auto"/>
                <w:sz w:val="21"/>
                <w:szCs w:val="21"/>
              </w:rPr>
              <w:t>）》</w:t>
            </w:r>
            <w:r>
              <w:rPr>
                <w:rFonts w:hint="eastAsia" w:ascii="Times New Roman" w:hAnsi="Times New Roman" w:cs="Times New Roman"/>
                <w:b w:val="0"/>
                <w:bCs w:val="0"/>
                <w:color w:val="auto"/>
                <w:kern w:val="2"/>
                <w:sz w:val="21"/>
                <w:szCs w:val="21"/>
                <w:lang w:eastAsia="zh-CN"/>
              </w:rPr>
              <w:t>，</w:t>
            </w:r>
            <w:r>
              <w:rPr>
                <w:rFonts w:hint="eastAsia" w:ascii="Times New Roman" w:hAnsi="Times New Roman" w:cs="Times New Roman"/>
                <w:b w:val="0"/>
                <w:bCs w:val="0"/>
                <w:color w:val="auto"/>
                <w:kern w:val="2"/>
                <w:sz w:val="21"/>
                <w:szCs w:val="21"/>
                <w:lang w:val="en-US" w:eastAsia="zh-CN"/>
              </w:rPr>
              <w:t>本项目不属于负面清单内容。</w:t>
            </w:r>
          </w:p>
          <w:p w14:paraId="3B58B514">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ascii="Times New Roman" w:hAnsi="Times New Roman" w:cs="Times New Roman"/>
                <w:b/>
                <w:bCs/>
                <w:i w:val="0"/>
                <w:iCs w:val="0"/>
                <w:color w:val="auto"/>
                <w:kern w:val="2"/>
                <w:sz w:val="21"/>
                <w:szCs w:val="21"/>
                <w:lang w:val="en-US" w:eastAsia="zh-CN"/>
              </w:rPr>
            </w:pPr>
            <w:r>
              <w:rPr>
                <w:rFonts w:hint="eastAsia" w:ascii="Times New Roman" w:hAnsi="Times New Roman" w:eastAsia="宋体" w:cs="Times New Roman"/>
                <w:b/>
                <w:bCs/>
                <w:i w:val="0"/>
                <w:iCs w:val="0"/>
                <w:color w:val="auto"/>
                <w:sz w:val="21"/>
                <w:szCs w:val="21"/>
                <w:lang w:val="en-US" w:eastAsia="zh-CN"/>
              </w:rPr>
              <w:t>表1-</w:t>
            </w:r>
            <w:r>
              <w:rPr>
                <w:rFonts w:hint="eastAsia" w:cs="Times New Roman"/>
                <w:b/>
                <w:bCs/>
                <w:i w:val="0"/>
                <w:iCs w:val="0"/>
                <w:color w:val="auto"/>
                <w:sz w:val="21"/>
                <w:szCs w:val="21"/>
                <w:lang w:val="en-US" w:eastAsia="zh-CN"/>
              </w:rPr>
              <w:t>2</w:t>
            </w:r>
            <w:r>
              <w:rPr>
                <w:rFonts w:hint="eastAsia" w:ascii="Times New Roman" w:hAnsi="Times New Roman" w:eastAsia="宋体" w:cs="Times New Roman"/>
                <w:b/>
                <w:bCs/>
                <w:i w:val="0"/>
                <w:iCs w:val="0"/>
                <w:color w:val="auto"/>
                <w:sz w:val="21"/>
                <w:szCs w:val="21"/>
                <w:lang w:val="en-US" w:eastAsia="zh-CN"/>
              </w:rPr>
              <w:t xml:space="preserve">  </w:t>
            </w:r>
            <w:r>
              <w:rPr>
                <w:rFonts w:hint="default" w:ascii="Times New Roman" w:hAnsi="Times New Roman" w:cs="Times New Roman"/>
                <w:b/>
                <w:bCs/>
                <w:i w:val="0"/>
                <w:iCs w:val="0"/>
                <w:color w:val="auto"/>
                <w:kern w:val="2"/>
                <w:sz w:val="21"/>
                <w:szCs w:val="21"/>
              </w:rPr>
              <w:t>长江经济带发展负面清单</w:t>
            </w:r>
            <w:r>
              <w:rPr>
                <w:rFonts w:hint="eastAsia" w:ascii="Times New Roman" w:hAnsi="Times New Roman" w:cs="Times New Roman"/>
                <w:b/>
                <w:bCs/>
                <w:i w:val="0"/>
                <w:iCs w:val="0"/>
                <w:color w:val="auto"/>
                <w:kern w:val="2"/>
                <w:sz w:val="21"/>
                <w:szCs w:val="21"/>
                <w:lang w:val="en-US" w:eastAsia="zh-CN"/>
              </w:rPr>
              <w:t>对照一览表</w:t>
            </w:r>
          </w:p>
          <w:tbl>
            <w:tblPr>
              <w:tblStyle w:val="30"/>
              <w:tblW w:w="87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9"/>
              <w:gridCol w:w="2380"/>
              <w:gridCol w:w="983"/>
            </w:tblGrid>
            <w:tr w14:paraId="5E046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9" w:type="dxa"/>
                  <w:noWrap w:val="0"/>
                  <w:vAlign w:val="center"/>
                </w:tcPr>
                <w:p w14:paraId="2F8EF984">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0"/>
                      <w:sz w:val="21"/>
                      <w:szCs w:val="21"/>
                      <w:vertAlign w:val="baseline"/>
                      <w:lang w:eastAsia="zh-CN"/>
                    </w:rPr>
                  </w:pPr>
                  <w:r>
                    <w:rPr>
                      <w:rFonts w:hint="default" w:ascii="Times New Roman" w:hAnsi="Times New Roman" w:eastAsia="宋体" w:cs="Times New Roman"/>
                      <w:b/>
                      <w:bCs/>
                      <w:color w:val="auto"/>
                      <w:kern w:val="0"/>
                      <w:sz w:val="21"/>
                      <w:szCs w:val="21"/>
                      <w:vertAlign w:val="baseline"/>
                      <w:lang w:eastAsia="zh-CN"/>
                    </w:rPr>
                    <w:t>具体要求</w:t>
                  </w:r>
                </w:p>
              </w:tc>
              <w:tc>
                <w:tcPr>
                  <w:tcW w:w="2380" w:type="dxa"/>
                  <w:noWrap w:val="0"/>
                  <w:vAlign w:val="center"/>
                </w:tcPr>
                <w:p w14:paraId="146D9B53">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0"/>
                      <w:sz w:val="21"/>
                      <w:szCs w:val="21"/>
                      <w:vertAlign w:val="baseline"/>
                      <w:lang w:val="en-US" w:eastAsia="zh-CN"/>
                    </w:rPr>
                  </w:pPr>
                  <w:r>
                    <w:rPr>
                      <w:rFonts w:hint="default" w:ascii="Times New Roman" w:hAnsi="Times New Roman" w:eastAsia="宋体" w:cs="Times New Roman"/>
                      <w:b/>
                      <w:bCs/>
                      <w:color w:val="auto"/>
                      <w:kern w:val="0"/>
                      <w:sz w:val="21"/>
                      <w:szCs w:val="21"/>
                      <w:vertAlign w:val="baseline"/>
                      <w:lang w:val="en-US" w:eastAsia="zh-CN"/>
                    </w:rPr>
                    <w:t>本项目情况</w:t>
                  </w:r>
                </w:p>
              </w:tc>
              <w:tc>
                <w:tcPr>
                  <w:tcW w:w="983" w:type="dxa"/>
                  <w:noWrap w:val="0"/>
                  <w:vAlign w:val="center"/>
                </w:tcPr>
                <w:p w14:paraId="600B4CE9">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auto"/>
                      <w:kern w:val="0"/>
                      <w:sz w:val="21"/>
                      <w:szCs w:val="21"/>
                      <w:vertAlign w:val="baseline"/>
                      <w:lang w:val="en-US" w:eastAsia="zh-CN"/>
                    </w:rPr>
                  </w:pPr>
                  <w:r>
                    <w:rPr>
                      <w:rFonts w:hint="default" w:ascii="Times New Roman" w:hAnsi="Times New Roman" w:eastAsia="宋体" w:cs="Times New Roman"/>
                      <w:b/>
                      <w:bCs/>
                      <w:color w:val="auto"/>
                      <w:kern w:val="0"/>
                      <w:sz w:val="21"/>
                      <w:szCs w:val="21"/>
                      <w:vertAlign w:val="baseline"/>
                      <w:lang w:val="en-US" w:eastAsia="zh-CN"/>
                    </w:rPr>
                    <w:t>符合性</w:t>
                  </w:r>
                </w:p>
              </w:tc>
            </w:tr>
            <w:tr w14:paraId="6FEFB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9" w:type="dxa"/>
                  <w:noWrap w:val="0"/>
                  <w:vAlign w:val="center"/>
                </w:tcPr>
                <w:p w14:paraId="38C7AF8D">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一、禁止建设不符合全国和省级港口布局规划以及</w:t>
                  </w:r>
                </w:p>
                <w:p w14:paraId="63649AD6">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港口总体规划的码头项目。</w:t>
                  </w:r>
                </w:p>
              </w:tc>
              <w:tc>
                <w:tcPr>
                  <w:tcW w:w="2380" w:type="dxa"/>
                  <w:noWrap w:val="0"/>
                  <w:vAlign w:val="center"/>
                </w:tcPr>
                <w:p w14:paraId="065F0EFF">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本项目不属于港口建设项目。</w:t>
                  </w:r>
                </w:p>
              </w:tc>
              <w:tc>
                <w:tcPr>
                  <w:tcW w:w="983" w:type="dxa"/>
                  <w:noWrap w:val="0"/>
                  <w:vAlign w:val="center"/>
                </w:tcPr>
                <w:p w14:paraId="4B49F0EE">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val="en-US" w:eastAsia="zh-CN"/>
                    </w:rPr>
                    <w:t>符合</w:t>
                  </w:r>
                </w:p>
              </w:tc>
            </w:tr>
            <w:tr w14:paraId="13468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9" w:type="dxa"/>
                  <w:noWrap w:val="0"/>
                  <w:vAlign w:val="center"/>
                </w:tcPr>
                <w:p w14:paraId="277B0A5A">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二、禁止在生态保护红线范围内投资建设项目，生态保护红线内、自然保护地核心保护区原则上禁止人为活动；其他区域严格禁止开发性、生产性建设活动。除国家重大战略资源勘查项目、生态保护修复和环境治理项目、重大基础设施项目、军事国防项目以及农牧民基本生产生活等必要的民生项目以外的项目。生态保护红线原则上按禁止开发区域的要求进行管理外，仅允许对生态功能不造成破坏的有限人为活动。</w:t>
                  </w:r>
                </w:p>
              </w:tc>
              <w:tc>
                <w:tcPr>
                  <w:tcW w:w="2380" w:type="dxa"/>
                  <w:noWrap w:val="0"/>
                  <w:vAlign w:val="center"/>
                </w:tcPr>
                <w:p w14:paraId="29FD81CF">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0"/>
                      <w:sz w:val="21"/>
                      <w:szCs w:val="21"/>
                      <w:vertAlign w:val="baseline"/>
                      <w:lang w:eastAsia="zh-CN"/>
                    </w:rPr>
                  </w:pPr>
                  <w:r>
                    <w:rPr>
                      <w:rFonts w:hint="eastAsia" w:cs="Times New Roman"/>
                      <w:color w:val="auto"/>
                      <w:sz w:val="21"/>
                      <w:szCs w:val="21"/>
                      <w:u w:val="none"/>
                      <w:lang w:val="en-US" w:eastAsia="zh-CN"/>
                    </w:rPr>
                    <w:t>华宁县白塔山陶器厂</w:t>
                  </w:r>
                  <w:r>
                    <w:rPr>
                      <w:rFonts w:hint="eastAsia" w:cs="Times New Roman"/>
                      <w:color w:val="auto"/>
                      <w:kern w:val="2"/>
                      <w:sz w:val="21"/>
                      <w:szCs w:val="21"/>
                      <w:lang w:val="en-US" w:eastAsia="zh-CN" w:bidi="ar-SA"/>
                    </w:rPr>
                    <w:t>于2021年通过国有土地出让，取得《不动产权证》，文号：云（2021）华宁县不动产权第0000286号，厂区规划工业用地10624.66㎡；2025年2月21日取得了华宁县自然资源局出具的《华宁县2025年度第一批次村庄建设用地》的缴费通知，企业依法缴纳费用，取得了0.8928公顷的建设用地使用权；全厂合计占地面积为19552.66㎡；根据华宁县自然资源局出具的查询结果，</w:t>
                  </w:r>
                  <w:r>
                    <w:rPr>
                      <w:rFonts w:hint="eastAsia" w:ascii="Times New Roman" w:hAnsi="Times New Roman" w:eastAsia="宋体" w:cs="Times New Roman"/>
                      <w:color w:val="auto"/>
                      <w:kern w:val="0"/>
                      <w:sz w:val="21"/>
                      <w:szCs w:val="21"/>
                      <w:u w:val="none"/>
                      <w:vertAlign w:val="baseline"/>
                      <w:lang w:val="en-US" w:eastAsia="zh-CN"/>
                    </w:rPr>
                    <w:t>本项目</w:t>
                  </w:r>
                  <w:r>
                    <w:rPr>
                      <w:rFonts w:hint="eastAsia" w:cs="Times New Roman"/>
                      <w:color w:val="auto"/>
                      <w:kern w:val="0"/>
                      <w:sz w:val="21"/>
                      <w:szCs w:val="21"/>
                      <w:u w:val="none"/>
                      <w:vertAlign w:val="baseline"/>
                      <w:lang w:val="en-US" w:eastAsia="zh-CN"/>
                    </w:rPr>
                    <w:t>占地</w:t>
                  </w:r>
                  <w:r>
                    <w:rPr>
                      <w:rFonts w:hint="default" w:ascii="Times New Roman" w:hAnsi="Times New Roman" w:eastAsia="宋体" w:cs="Times New Roman"/>
                      <w:color w:val="auto"/>
                      <w:kern w:val="0"/>
                      <w:sz w:val="21"/>
                      <w:szCs w:val="21"/>
                      <w:vertAlign w:val="baseline"/>
                      <w:lang w:eastAsia="zh-CN"/>
                    </w:rPr>
                    <w:t>不在生态保护红线范围内。</w:t>
                  </w:r>
                </w:p>
              </w:tc>
              <w:tc>
                <w:tcPr>
                  <w:tcW w:w="983" w:type="dxa"/>
                  <w:noWrap w:val="0"/>
                  <w:vAlign w:val="center"/>
                </w:tcPr>
                <w:p w14:paraId="43717AA9">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val="en-US" w:eastAsia="zh-CN"/>
                    </w:rPr>
                    <w:t>符合</w:t>
                  </w:r>
                </w:p>
              </w:tc>
            </w:tr>
            <w:tr w14:paraId="58E69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9" w:type="dxa"/>
                  <w:noWrap w:val="0"/>
                  <w:vAlign w:val="center"/>
                </w:tcPr>
                <w:p w14:paraId="5A98A80F">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三、禁止在自然保护区内进行砍伐、放牧、狩猎、捕捞、采药、开垦、烧荒、开矿、采石、挖沙等活动；禁止任何人进入自然保护区的核心区；禁止在自然保护区的缓冲区开展旅游和生产经营活动；严禁开设与自然保护区保护方向不一致的参观、旅游项目；在自然保护区的实验区内，不得建设污染环</w:t>
                  </w:r>
                </w:p>
                <w:p w14:paraId="4B55643B">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境、破坏资源或者景观的生产设施；自然保护区核心区，严禁任何生产经营活动；新建公路、铁路和其他基础设施不得穿越自然保护区核心区，尽量避免穿越缓冲区；禁止在自然保护区的核心区和缓冲区内建设畜禽养殖场、养殖小区。</w:t>
                  </w:r>
                </w:p>
              </w:tc>
              <w:tc>
                <w:tcPr>
                  <w:tcW w:w="2380" w:type="dxa"/>
                  <w:noWrap w:val="0"/>
                  <w:vAlign w:val="center"/>
                </w:tcPr>
                <w:p w14:paraId="71C2FF60">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本项目不涉及自然保护区。</w:t>
                  </w:r>
                </w:p>
              </w:tc>
              <w:tc>
                <w:tcPr>
                  <w:tcW w:w="983" w:type="dxa"/>
                  <w:noWrap w:val="0"/>
                  <w:vAlign w:val="center"/>
                </w:tcPr>
                <w:p w14:paraId="2671125E">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val="en-US" w:eastAsia="zh-CN"/>
                    </w:rPr>
                    <w:t>符合</w:t>
                  </w:r>
                </w:p>
              </w:tc>
            </w:tr>
            <w:tr w14:paraId="22D7C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9" w:type="dxa"/>
                  <w:noWrap w:val="0"/>
                  <w:vAlign w:val="center"/>
                </w:tcPr>
                <w:p w14:paraId="688EBEF5">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四、禁止在风景名胜区内进行开山、采石、开矿、开荒、修坟立碑等破坏景观、植被和地形地貌的活动以及修建储存爆炸性、易燃性、放射性、毒害性、腐蚀性物品的设施；禁止违反风景名胜区规划，在风景名胜区内设立各类开发区和在核心景区内建设宾馆、招待所、培训中心、疗养院以及与风景名胜资源保护无关的其他建筑物；禁止在风景名胜区从事与风景名胜资源无关的生产建设活动；风景名胜区内的水源、水体应当严加保护，禁止污染水源、水体，禁止擅自围、填、堵塞水面和围湖造田等；禁止在风景名胜区内建设畜禽养殖场、养殖小区。</w:t>
                  </w:r>
                </w:p>
              </w:tc>
              <w:tc>
                <w:tcPr>
                  <w:tcW w:w="2380" w:type="dxa"/>
                  <w:noWrap w:val="0"/>
                  <w:vAlign w:val="center"/>
                </w:tcPr>
                <w:p w14:paraId="1B6F7EB0">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本项目不涉及</w:t>
                  </w:r>
                  <w:r>
                    <w:rPr>
                      <w:rFonts w:hint="default" w:ascii="Times New Roman" w:hAnsi="Times New Roman" w:eastAsia="宋体" w:cs="Times New Roman"/>
                      <w:color w:val="auto"/>
                      <w:kern w:val="0"/>
                      <w:sz w:val="21"/>
                      <w:szCs w:val="21"/>
                      <w:vertAlign w:val="baseline"/>
                      <w:lang w:eastAsia="zh-CN"/>
                    </w:rPr>
                    <w:t>风景名胜区。</w:t>
                  </w:r>
                </w:p>
              </w:tc>
              <w:tc>
                <w:tcPr>
                  <w:tcW w:w="983" w:type="dxa"/>
                  <w:noWrap w:val="0"/>
                  <w:vAlign w:val="center"/>
                </w:tcPr>
                <w:p w14:paraId="7F23741E">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val="en-US" w:eastAsia="zh-CN"/>
                    </w:rPr>
                    <w:t>符合</w:t>
                  </w:r>
                </w:p>
              </w:tc>
            </w:tr>
            <w:tr w14:paraId="50CDC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9" w:type="dxa"/>
                  <w:noWrap w:val="0"/>
                  <w:vAlign w:val="center"/>
                </w:tcPr>
                <w:p w14:paraId="2E3E4997">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五、禁止擅自征收、占用国家湿地公园的土地。除国家另有规定外，禁止在国家湿地公园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洞游通道；滥采滥捕野生动植物，引入外来物种；擅自放牧、捕捞、取土、取水、排污、放生等破坏湿地及其生态功能的活动。国家湿地公园保育区除开展保护、监测、科学研究等必需的保护管理活动外，不得进行任何与湿地生态系统保护和管理无关的其他活动。</w:t>
                  </w:r>
                </w:p>
              </w:tc>
              <w:tc>
                <w:tcPr>
                  <w:tcW w:w="2380" w:type="dxa"/>
                  <w:noWrap w:val="0"/>
                  <w:vAlign w:val="center"/>
                </w:tcPr>
                <w:p w14:paraId="03D6C16E">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本项目不涉及湿地公园。</w:t>
                  </w:r>
                </w:p>
              </w:tc>
              <w:tc>
                <w:tcPr>
                  <w:tcW w:w="983" w:type="dxa"/>
                  <w:noWrap w:val="0"/>
                  <w:vAlign w:val="center"/>
                </w:tcPr>
                <w:p w14:paraId="65F63278">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val="en-US" w:eastAsia="zh-CN"/>
                    </w:rPr>
                    <w:t>符合</w:t>
                  </w:r>
                </w:p>
              </w:tc>
            </w:tr>
            <w:tr w14:paraId="327A3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9" w:type="dxa"/>
                  <w:noWrap w:val="0"/>
                  <w:vAlign w:val="center"/>
                </w:tcPr>
                <w:p w14:paraId="6599EF3C">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六、禁止在饮用水水源一级保护区内新建、改建、扩建与供水设施和保护水源无关的建设项目；禁止在饮用水水源一级保护区内从事网箱养殖、旅游、游泳、垂钓或者其他可能污染饮用水水体的活动。禁止在饮用水水源二级保护区内新建、改建、扩建排放污染物的建设项目；在饮用水水源二级保护区内从事网箱养殖、旅游等活动的，应当按照规定采取措施，防止污染饮用水水体。</w:t>
                  </w:r>
                </w:p>
              </w:tc>
              <w:tc>
                <w:tcPr>
                  <w:tcW w:w="2380" w:type="dxa"/>
                  <w:noWrap w:val="0"/>
                  <w:vAlign w:val="center"/>
                </w:tcPr>
                <w:p w14:paraId="42D7D8F6">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本项目不涉及饮用水水源保护区。</w:t>
                  </w:r>
                </w:p>
              </w:tc>
              <w:tc>
                <w:tcPr>
                  <w:tcW w:w="983" w:type="dxa"/>
                  <w:noWrap w:val="0"/>
                  <w:vAlign w:val="center"/>
                </w:tcPr>
                <w:p w14:paraId="4BA5A5A7">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val="en-US" w:eastAsia="zh-CN"/>
                    </w:rPr>
                    <w:t>符合</w:t>
                  </w:r>
                </w:p>
              </w:tc>
            </w:tr>
            <w:tr w14:paraId="52954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9" w:type="dxa"/>
                  <w:noWrap w:val="0"/>
                  <w:vAlign w:val="center"/>
                </w:tcPr>
                <w:p w14:paraId="3DC0C3FE">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七、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除国家</w:t>
                  </w:r>
                  <w:r>
                    <w:rPr>
                      <w:rFonts w:hint="eastAsia" w:cs="Times New Roman"/>
                      <w:color w:val="auto"/>
                      <w:kern w:val="0"/>
                      <w:sz w:val="21"/>
                      <w:szCs w:val="21"/>
                      <w:vertAlign w:val="baseline"/>
                      <w:lang w:val="en-US" w:eastAsia="zh-CN"/>
                    </w:rPr>
                    <w:t xml:space="preserve"> </w:t>
                  </w:r>
                  <w:r>
                    <w:rPr>
                      <w:rFonts w:hint="default" w:ascii="Times New Roman" w:hAnsi="Times New Roman" w:eastAsia="宋体" w:cs="Times New Roman"/>
                      <w:color w:val="auto"/>
                      <w:kern w:val="0"/>
                      <w:sz w:val="21"/>
                      <w:szCs w:val="21"/>
                      <w:vertAlign w:val="baseline"/>
                      <w:lang w:eastAsia="zh-CN"/>
                    </w:rPr>
                    <w:t>明确支持的重大建设项目、军事国防类项目、交通类项目、能源类项目、水利类项目、国务院投资主管部门或国务院投资主管部门会同有关部门支持和认可的交通、能源、水利基础设施项目外，禁止在永久基本农田范围内投资建设项目。重大建设项目选址确实难以避让永久基本农田的，需在可行性研究阶段，对占用的必要性、合理性和补划方案的可行性进行严格论证，按照“数量不减、质量不降、布局稳定"的要求进行补划，报自然资源部用地预审，依法依规办理农用地转用和土地征收，和法定程序修改相应的国土空间规划用途。</w:t>
                  </w:r>
                </w:p>
              </w:tc>
              <w:tc>
                <w:tcPr>
                  <w:tcW w:w="2380" w:type="dxa"/>
                  <w:noWrap w:val="0"/>
                  <w:vAlign w:val="center"/>
                </w:tcPr>
                <w:p w14:paraId="296657D3">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本项目不在</w:t>
                  </w:r>
                  <w:r>
                    <w:rPr>
                      <w:rFonts w:hint="default" w:ascii="Times New Roman" w:hAnsi="Times New Roman" w:eastAsia="宋体" w:cs="Times New Roman"/>
                      <w:color w:val="auto"/>
                      <w:kern w:val="0"/>
                      <w:sz w:val="21"/>
                      <w:szCs w:val="21"/>
                      <w:vertAlign w:val="baseline"/>
                      <w:lang w:eastAsia="zh-CN"/>
                    </w:rPr>
                    <w:t>长江流域河湖岸线。</w:t>
                  </w:r>
                </w:p>
              </w:tc>
              <w:tc>
                <w:tcPr>
                  <w:tcW w:w="983" w:type="dxa"/>
                  <w:noWrap w:val="0"/>
                  <w:vAlign w:val="center"/>
                </w:tcPr>
                <w:p w14:paraId="165BEFAF">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val="en-US" w:eastAsia="zh-CN"/>
                    </w:rPr>
                    <w:t>符合</w:t>
                  </w:r>
                </w:p>
              </w:tc>
            </w:tr>
            <w:tr w14:paraId="2D899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9" w:type="dxa"/>
                  <w:noWrap w:val="0"/>
                  <w:vAlign w:val="center"/>
                </w:tcPr>
                <w:p w14:paraId="2D376EEF">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八、禁止在《全国重要江河湖泊水功能区划》划定的河段及湖泊保护区、保留区内投资建设不利于水资源及自然生态保护的项目。禁止在金沙江、长江一级支流建设除党中央、国务院、国家投资主管部门、省级有关部门批复同意以外的过江基础设施项目；禁止未经许可在长江流域、九大高原湖泊流域新设、改设或扩大排污口，除入河（海）排污口命名与编码规则（IIJ1235-2021）规定的第四类“其他排口”外。禁止在水产种质资源保护区内新建排污口，以及从事围湖造田、围湖造地或围填海工程。</w:t>
                  </w:r>
                </w:p>
              </w:tc>
              <w:tc>
                <w:tcPr>
                  <w:tcW w:w="2380" w:type="dxa"/>
                  <w:noWrap w:val="0"/>
                  <w:vAlign w:val="center"/>
                </w:tcPr>
                <w:p w14:paraId="013678B6">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本项目不在《全国重要江河湖泊水功能区划》划定的河段及湖泊保护区、保留区内投资建设不利于水资源及自然生态保护的项目。</w:t>
                  </w:r>
                </w:p>
              </w:tc>
              <w:tc>
                <w:tcPr>
                  <w:tcW w:w="983" w:type="dxa"/>
                  <w:noWrap w:val="0"/>
                  <w:vAlign w:val="center"/>
                </w:tcPr>
                <w:p w14:paraId="0638829B">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val="en-US" w:eastAsia="zh-CN"/>
                    </w:rPr>
                    <w:t>符合</w:t>
                  </w:r>
                </w:p>
              </w:tc>
            </w:tr>
            <w:tr w14:paraId="5FE0D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49" w:type="dxa"/>
                  <w:noWrap w:val="0"/>
                  <w:vAlign w:val="center"/>
                </w:tcPr>
                <w:p w14:paraId="2277E090">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九、禁止在金沙江、赤水河、乌江和等水生动植物自然保护区、水产种质资源保护区长江流域禁捕水域开展天然渔业资源生产性捕捞。禁止开（围）垦、填埋或者排干湿地；禁止截断湿地水源、挖沙、采矿、引入外来物种；禁止擅自放牧、捕捞、取土、取水、排污、放生；禁止其他破坏湿地及其生态功能的活动。</w:t>
                  </w:r>
                </w:p>
              </w:tc>
              <w:tc>
                <w:tcPr>
                  <w:tcW w:w="2380" w:type="dxa"/>
                  <w:noWrap w:val="0"/>
                  <w:vAlign w:val="center"/>
                </w:tcPr>
                <w:p w14:paraId="5F19468E">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本项目不涉及</w:t>
                  </w:r>
                  <w:r>
                    <w:rPr>
                      <w:rFonts w:hint="default" w:ascii="Times New Roman" w:hAnsi="Times New Roman" w:eastAsia="宋体" w:cs="Times New Roman"/>
                      <w:color w:val="auto"/>
                      <w:kern w:val="0"/>
                      <w:sz w:val="21"/>
                      <w:szCs w:val="21"/>
                      <w:vertAlign w:val="baseline"/>
                      <w:lang w:eastAsia="zh-CN"/>
                    </w:rPr>
                    <w:t>金沙江、赤水河、乌江和等水生动植物自然保护区、水产种质资源保护区。</w:t>
                  </w:r>
                </w:p>
              </w:tc>
              <w:tc>
                <w:tcPr>
                  <w:tcW w:w="983" w:type="dxa"/>
                  <w:noWrap w:val="0"/>
                  <w:vAlign w:val="center"/>
                </w:tcPr>
                <w:p w14:paraId="2E727FAF">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val="en-US" w:eastAsia="zh-CN"/>
                    </w:rPr>
                    <w:t>符合</w:t>
                  </w:r>
                </w:p>
              </w:tc>
            </w:tr>
            <w:tr w14:paraId="2923F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9" w:type="dxa"/>
                  <w:noWrap w:val="0"/>
                  <w:vAlign w:val="center"/>
                </w:tcPr>
                <w:p w14:paraId="71276141">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十、禁止在金沙江、长江一级支流岸线边界一公里范围内新建、扩建化工园区和化工项目。新建化工园区充分留足与周边城镇未来扩张发展的安全距离，立足于生态工业园区建设方向，推广绿色化学和绿色化工发展模式。化工园区设立及园区产业发展规划由省级业务主管部门牵头组织专家论证后审定。</w:t>
                  </w:r>
                </w:p>
              </w:tc>
              <w:tc>
                <w:tcPr>
                  <w:tcW w:w="2380" w:type="dxa"/>
                  <w:noWrap w:val="0"/>
                  <w:vAlign w:val="center"/>
                </w:tcPr>
                <w:p w14:paraId="430E3D22">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val="en-US" w:eastAsia="zh-CN"/>
                    </w:rPr>
                    <w:t>本项目最近地表水为</w:t>
                  </w:r>
                  <w:r>
                    <w:rPr>
                      <w:rFonts w:hint="eastAsia" w:cs="Times New Roman"/>
                      <w:color w:val="auto"/>
                      <w:kern w:val="0"/>
                      <w:sz w:val="21"/>
                      <w:szCs w:val="21"/>
                      <w:vertAlign w:val="baseline"/>
                      <w:lang w:val="en-US" w:eastAsia="zh-CN"/>
                    </w:rPr>
                    <w:t>西</w:t>
                  </w:r>
                  <w:r>
                    <w:rPr>
                      <w:rFonts w:hint="default" w:ascii="Times New Roman" w:hAnsi="Times New Roman" w:eastAsia="宋体" w:cs="Times New Roman"/>
                      <w:color w:val="auto"/>
                      <w:kern w:val="0"/>
                      <w:sz w:val="21"/>
                      <w:szCs w:val="21"/>
                      <w:vertAlign w:val="baseline"/>
                      <w:lang w:val="en-US" w:eastAsia="zh-CN"/>
                    </w:rPr>
                    <w:t>侧</w:t>
                  </w:r>
                  <w:r>
                    <w:rPr>
                      <w:rFonts w:hint="eastAsia" w:cs="Times New Roman"/>
                      <w:color w:val="auto"/>
                      <w:kern w:val="0"/>
                      <w:sz w:val="21"/>
                      <w:szCs w:val="21"/>
                      <w:vertAlign w:val="baseline"/>
                      <w:lang w:val="en-US" w:eastAsia="zh-CN"/>
                    </w:rPr>
                    <w:t>156m处的白龙河</w:t>
                  </w:r>
                  <w:r>
                    <w:rPr>
                      <w:rFonts w:hint="default" w:ascii="Times New Roman" w:hAnsi="Times New Roman" w:eastAsia="宋体" w:cs="Times New Roman"/>
                      <w:color w:val="auto"/>
                      <w:kern w:val="0"/>
                      <w:sz w:val="21"/>
                      <w:szCs w:val="21"/>
                      <w:vertAlign w:val="baseline"/>
                      <w:lang w:val="en-US" w:eastAsia="zh-CN"/>
                    </w:rPr>
                    <w:t>，不</w:t>
                  </w:r>
                  <w:r>
                    <w:rPr>
                      <w:rFonts w:hint="default" w:ascii="Times New Roman" w:hAnsi="Times New Roman" w:eastAsia="宋体" w:cs="Times New Roman"/>
                      <w:color w:val="auto"/>
                      <w:kern w:val="0"/>
                      <w:sz w:val="21"/>
                      <w:szCs w:val="21"/>
                      <w:vertAlign w:val="baseline"/>
                      <w:lang w:eastAsia="zh-CN"/>
                    </w:rPr>
                    <w:t>在金沙江、长江一级支流岸线边界一公里范围内。</w:t>
                  </w:r>
                </w:p>
              </w:tc>
              <w:tc>
                <w:tcPr>
                  <w:tcW w:w="983" w:type="dxa"/>
                  <w:noWrap w:val="0"/>
                  <w:vAlign w:val="center"/>
                </w:tcPr>
                <w:p w14:paraId="1B7C7740">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val="en-US" w:eastAsia="zh-CN"/>
                    </w:rPr>
                    <w:t>符合</w:t>
                  </w:r>
                </w:p>
              </w:tc>
            </w:tr>
            <w:tr w14:paraId="2DC1A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9" w:type="dxa"/>
                  <w:noWrap w:val="0"/>
                  <w:vAlign w:val="center"/>
                </w:tcPr>
                <w:p w14:paraId="7AA7BD2D">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十一、禁止在金沙江干流岸线3公里、长江（金沙江）一级支流岸线1公里范围内新建、改建、扩建尾矿库、冶炼渣库和磷石膏库，以提升安全、生态环境保护水平为目的的改建除外。</w:t>
                  </w:r>
                </w:p>
              </w:tc>
              <w:tc>
                <w:tcPr>
                  <w:tcW w:w="2380" w:type="dxa"/>
                  <w:noWrap w:val="0"/>
                  <w:vAlign w:val="center"/>
                </w:tcPr>
                <w:p w14:paraId="5CE15E08">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本项目不属于尾矿库、冶炼渣库和磷石膏库建设项目。</w:t>
                  </w:r>
                </w:p>
              </w:tc>
              <w:tc>
                <w:tcPr>
                  <w:tcW w:w="983" w:type="dxa"/>
                  <w:noWrap w:val="0"/>
                  <w:vAlign w:val="center"/>
                </w:tcPr>
                <w:p w14:paraId="3466554F">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val="en-US" w:eastAsia="zh-CN"/>
                    </w:rPr>
                    <w:t>符合</w:t>
                  </w:r>
                </w:p>
              </w:tc>
            </w:tr>
            <w:tr w14:paraId="3D5C9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9" w:type="dxa"/>
                  <w:noWrap w:val="0"/>
                  <w:vAlign w:val="center"/>
                </w:tcPr>
                <w:p w14:paraId="6F801B8F">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十二、禁止在合规园区外新建、扩建钢铁、石化、化工、焦化、建材、有色、制浆造纸等高污染项目。禁止新增钢铁、水泥、平板玻璃等行业建设产能，确有必要建设的，应按规定实施产能等量或减量置换。</w:t>
                  </w:r>
                </w:p>
              </w:tc>
              <w:tc>
                <w:tcPr>
                  <w:tcW w:w="2380" w:type="dxa"/>
                  <w:noWrap w:val="0"/>
                  <w:vAlign w:val="center"/>
                </w:tcPr>
                <w:p w14:paraId="10AE7850">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本项目不属于高污染项目。</w:t>
                  </w:r>
                </w:p>
              </w:tc>
              <w:tc>
                <w:tcPr>
                  <w:tcW w:w="983" w:type="dxa"/>
                  <w:noWrap w:val="0"/>
                  <w:vAlign w:val="center"/>
                </w:tcPr>
                <w:p w14:paraId="2A30E08E">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val="en-US" w:eastAsia="zh-CN"/>
                    </w:rPr>
                    <w:t>符合</w:t>
                  </w:r>
                </w:p>
              </w:tc>
            </w:tr>
            <w:tr w14:paraId="0C784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9" w:type="dxa"/>
                  <w:noWrap w:val="0"/>
                  <w:vAlign w:val="center"/>
                </w:tcPr>
                <w:p w14:paraId="7C1B8B7B">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十三、禁止新建、扩建不符合国家石化、现代煤化工等产业布局规划的项目。禁止列入《云南省城镇人口密集区危险化学品生产企业搬迁改造名单》的搬迁改造企业在原址新建、扩建危险化学品生产项目，加强搬迁入园、关闭退出企业腾退土地污染风险管控和治理修复，确保腾退土地符合规划用地土壤环境质量标准。</w:t>
                  </w:r>
                </w:p>
              </w:tc>
              <w:tc>
                <w:tcPr>
                  <w:tcW w:w="2380" w:type="dxa"/>
                  <w:noWrap w:val="0"/>
                  <w:vAlign w:val="center"/>
                </w:tcPr>
                <w:p w14:paraId="1BF231AD">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eastAsia="zh-CN"/>
                    </w:rPr>
                    <w:t>项目不属于危险化学品生产项目；</w:t>
                  </w:r>
                  <w:r>
                    <w:rPr>
                      <w:rFonts w:hint="default" w:ascii="Times New Roman" w:hAnsi="Times New Roman" w:eastAsia="宋体" w:cs="Times New Roman"/>
                      <w:color w:val="auto"/>
                      <w:kern w:val="0"/>
                      <w:sz w:val="21"/>
                      <w:szCs w:val="21"/>
                      <w:vertAlign w:val="baseline"/>
                      <w:lang w:val="en-US" w:eastAsia="zh-CN"/>
                    </w:rPr>
                    <w:t>不属于</w:t>
                  </w:r>
                  <w:r>
                    <w:rPr>
                      <w:rFonts w:hint="default" w:ascii="Times New Roman" w:hAnsi="Times New Roman" w:eastAsia="宋体" w:cs="Times New Roman"/>
                      <w:color w:val="auto"/>
                      <w:kern w:val="0"/>
                      <w:sz w:val="21"/>
                      <w:szCs w:val="21"/>
                      <w:vertAlign w:val="baseline"/>
                      <w:lang w:eastAsia="zh-CN"/>
                    </w:rPr>
                    <w:t>石化、现代煤化工等产业布局规划的项目。</w:t>
                  </w:r>
                </w:p>
              </w:tc>
              <w:tc>
                <w:tcPr>
                  <w:tcW w:w="983" w:type="dxa"/>
                  <w:noWrap w:val="0"/>
                  <w:vAlign w:val="center"/>
                </w:tcPr>
                <w:p w14:paraId="58EE4D40">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val="en-US" w:eastAsia="zh-CN"/>
                    </w:rPr>
                    <w:t>符合</w:t>
                  </w:r>
                </w:p>
              </w:tc>
            </w:tr>
            <w:tr w14:paraId="2A9A3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49" w:type="dxa"/>
                  <w:noWrap w:val="0"/>
                  <w:vAlign w:val="center"/>
                </w:tcPr>
                <w:p w14:paraId="14F36B55">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十四、禁止新建、扩建法律法规和相关政策明令禁止的落后产能项目，依法依规淘汰不符合要求的电石炉及开放式电石炉、无化产回收的单一炼焦生产设施，依法依规淘汰不符合要求的硫铁矿制酸、硫磺制酸、黄磷生产、有钙焙烧路化合物生产装置和有机一无机复混肥料、过磷酸钙和钙镁磷肥生产线。</w:t>
                  </w:r>
                </w:p>
                <w:p w14:paraId="2A9BB021">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eastAsia="zh-CN"/>
                    </w:rPr>
                    <w:t>禁止新建、扩建不符合国家产能置换要求的严重过剩产能行业的项目。禁止新建、扩建不符合要求的高耗能高排放项目。禁止建设高毒高残留以及对环境影响大的农药原药生产装置，严格控制尿素、电石、焦炭、黄磷、烧碱、纯碱、聚氯乙烯等行业新增产能。</w:t>
                  </w:r>
                </w:p>
              </w:tc>
              <w:tc>
                <w:tcPr>
                  <w:tcW w:w="2380" w:type="dxa"/>
                  <w:noWrap w:val="0"/>
                  <w:vAlign w:val="center"/>
                </w:tcPr>
                <w:p w14:paraId="6C4E0930">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kern w:val="0"/>
                      <w:sz w:val="21"/>
                      <w:szCs w:val="21"/>
                      <w:vertAlign w:val="baseline"/>
                      <w:lang w:val="en-US" w:eastAsia="zh-CN"/>
                    </w:rPr>
                  </w:pPr>
                  <w:r>
                    <w:rPr>
                      <w:rFonts w:hint="default" w:ascii="Times New Roman" w:hAnsi="Times New Roman" w:eastAsia="宋体" w:cs="Times New Roman"/>
                      <w:color w:val="auto"/>
                      <w:kern w:val="0"/>
                      <w:sz w:val="21"/>
                      <w:szCs w:val="21"/>
                      <w:vertAlign w:val="baseline"/>
                      <w:lang w:eastAsia="zh-CN"/>
                    </w:rPr>
                    <w:t>本项目为</w:t>
                  </w:r>
                  <w:r>
                    <w:rPr>
                      <w:rFonts w:hint="eastAsia" w:cs="Times New Roman"/>
                      <w:color w:val="auto"/>
                      <w:kern w:val="0"/>
                      <w:sz w:val="21"/>
                      <w:szCs w:val="21"/>
                      <w:vertAlign w:val="baseline"/>
                      <w:lang w:val="en-US" w:eastAsia="zh-CN"/>
                    </w:rPr>
                    <w:t>仿古砖瓦制造</w:t>
                  </w:r>
                  <w:r>
                    <w:rPr>
                      <w:rFonts w:hint="default" w:ascii="Times New Roman" w:hAnsi="Times New Roman" w:eastAsia="宋体" w:cs="Times New Roman"/>
                      <w:color w:val="auto"/>
                      <w:kern w:val="0"/>
                      <w:sz w:val="21"/>
                      <w:szCs w:val="21"/>
                      <w:vertAlign w:val="baseline"/>
                      <w:lang w:eastAsia="zh-CN"/>
                    </w:rPr>
                    <w:t>，属于</w:t>
                  </w:r>
                  <w:r>
                    <w:rPr>
                      <w:rFonts w:hint="eastAsia" w:cs="Times New Roman"/>
                      <w:color w:val="auto"/>
                      <w:kern w:val="0"/>
                      <w:sz w:val="21"/>
                      <w:szCs w:val="21"/>
                      <w:vertAlign w:val="baseline"/>
                      <w:lang w:val="en-US" w:eastAsia="zh-CN"/>
                    </w:rPr>
                    <w:t>“鼓励类”</w:t>
                  </w:r>
                  <w:r>
                    <w:rPr>
                      <w:rFonts w:hint="default" w:ascii="Times New Roman" w:hAnsi="Times New Roman" w:eastAsia="宋体" w:cs="Times New Roman"/>
                      <w:color w:val="auto"/>
                      <w:kern w:val="0"/>
                      <w:sz w:val="21"/>
                      <w:szCs w:val="21"/>
                      <w:vertAlign w:val="baseline"/>
                      <w:lang w:eastAsia="zh-CN"/>
                    </w:rPr>
                    <w:t>，项目符合国家现行产业政策。项目不属于高排放高能耗</w:t>
                  </w:r>
                  <w:r>
                    <w:rPr>
                      <w:rFonts w:hint="eastAsia" w:cs="Times New Roman"/>
                      <w:color w:val="auto"/>
                      <w:kern w:val="0"/>
                      <w:sz w:val="21"/>
                      <w:szCs w:val="21"/>
                      <w:vertAlign w:val="baseline"/>
                      <w:lang w:eastAsia="zh-CN"/>
                    </w:rPr>
                    <w:t>的</w:t>
                  </w:r>
                  <w:r>
                    <w:rPr>
                      <w:rFonts w:hint="eastAsia" w:cs="Times New Roman"/>
                      <w:color w:val="auto"/>
                      <w:kern w:val="0"/>
                      <w:sz w:val="21"/>
                      <w:szCs w:val="21"/>
                      <w:vertAlign w:val="baseline"/>
                      <w:lang w:val="en-US" w:eastAsia="zh-CN"/>
                    </w:rPr>
                    <w:t>钢铁、水泥、平板玻璃、石灰</w:t>
                  </w:r>
                  <w:r>
                    <w:rPr>
                      <w:rFonts w:hint="default" w:ascii="Times New Roman" w:hAnsi="Times New Roman" w:eastAsia="宋体" w:cs="Times New Roman"/>
                      <w:color w:val="auto"/>
                      <w:kern w:val="0"/>
                      <w:sz w:val="21"/>
                      <w:szCs w:val="21"/>
                      <w:vertAlign w:val="baseline"/>
                      <w:lang w:eastAsia="zh-CN"/>
                    </w:rPr>
                    <w:t>项目</w:t>
                  </w:r>
                  <w:r>
                    <w:rPr>
                      <w:rFonts w:hint="eastAsia" w:cs="Times New Roman"/>
                      <w:color w:val="auto"/>
                      <w:kern w:val="0"/>
                      <w:sz w:val="21"/>
                      <w:szCs w:val="21"/>
                      <w:vertAlign w:val="baseline"/>
                      <w:lang w:eastAsia="zh-CN"/>
                    </w:rPr>
                    <w:t>；</w:t>
                  </w:r>
                  <w:r>
                    <w:rPr>
                      <w:rFonts w:hint="eastAsia" w:cs="Times New Roman"/>
                      <w:color w:val="auto"/>
                      <w:kern w:val="0"/>
                      <w:sz w:val="21"/>
                      <w:szCs w:val="21"/>
                      <w:vertAlign w:val="baseline"/>
                      <w:lang w:val="en-US" w:eastAsia="zh-CN"/>
                    </w:rPr>
                    <w:t>不属于</w:t>
                  </w:r>
                  <w:r>
                    <w:rPr>
                      <w:rFonts w:hint="default" w:ascii="Times New Roman" w:hAnsi="Times New Roman" w:eastAsia="宋体" w:cs="Times New Roman"/>
                      <w:color w:val="auto"/>
                      <w:kern w:val="0"/>
                      <w:sz w:val="21"/>
                      <w:szCs w:val="21"/>
                      <w:vertAlign w:val="baseline"/>
                      <w:lang w:eastAsia="zh-CN"/>
                    </w:rPr>
                    <w:t>高毒高残留</w:t>
                  </w:r>
                  <w:r>
                    <w:rPr>
                      <w:rFonts w:hint="eastAsia" w:ascii="Times New Roman" w:hAnsi="Times New Roman" w:eastAsia="宋体" w:cs="Times New Roman"/>
                      <w:color w:val="auto"/>
                      <w:kern w:val="0"/>
                      <w:sz w:val="21"/>
                      <w:szCs w:val="21"/>
                      <w:vertAlign w:val="baseline"/>
                      <w:lang w:val="en-US" w:eastAsia="zh-CN"/>
                    </w:rPr>
                    <w:t>项目；不属于</w:t>
                  </w:r>
                  <w:r>
                    <w:rPr>
                      <w:rFonts w:hint="default" w:ascii="Times New Roman" w:hAnsi="Times New Roman" w:eastAsia="宋体" w:cs="Times New Roman"/>
                      <w:color w:val="auto"/>
                      <w:kern w:val="0"/>
                      <w:sz w:val="21"/>
                      <w:szCs w:val="21"/>
                      <w:vertAlign w:val="baseline"/>
                      <w:lang w:eastAsia="zh-CN"/>
                    </w:rPr>
                    <w:t>尿素、电石、焦炭、黄磷、烧碱、纯碱、聚氯乙烯等行业新增产能</w:t>
                  </w:r>
                </w:p>
              </w:tc>
              <w:tc>
                <w:tcPr>
                  <w:tcW w:w="983" w:type="dxa"/>
                  <w:noWrap w:val="0"/>
                  <w:vAlign w:val="center"/>
                </w:tcPr>
                <w:p w14:paraId="0E630AD9">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vertAlign w:val="baseline"/>
                      <w:lang w:eastAsia="zh-CN"/>
                    </w:rPr>
                  </w:pPr>
                  <w:r>
                    <w:rPr>
                      <w:rFonts w:hint="default" w:ascii="Times New Roman" w:hAnsi="Times New Roman" w:eastAsia="宋体" w:cs="Times New Roman"/>
                      <w:color w:val="auto"/>
                      <w:kern w:val="0"/>
                      <w:sz w:val="21"/>
                      <w:szCs w:val="21"/>
                      <w:vertAlign w:val="baseline"/>
                      <w:lang w:val="en-US" w:eastAsia="zh-CN"/>
                    </w:rPr>
                    <w:t>符合</w:t>
                  </w:r>
                </w:p>
              </w:tc>
            </w:tr>
          </w:tbl>
          <w:p w14:paraId="790A1EBB">
            <w:pPr>
              <w:keepNext w:val="0"/>
              <w:keepLines w:val="0"/>
              <w:widowControl w:val="0"/>
              <w:kinsoku/>
              <w:wordWrap/>
              <w:overflowPunct/>
              <w:topLinePunct w:val="0"/>
              <w:bidi w:val="0"/>
              <w:snapToGrid w:val="0"/>
              <w:spacing w:line="360" w:lineRule="auto"/>
              <w:ind w:firstLine="420" w:firstLineChars="200"/>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综上，本项目不属于负面清单内容，符合《云南省长江经济带发展负面清单指南实施细则（试行，2022年版）》的相关要求。</w:t>
            </w:r>
          </w:p>
          <w:p w14:paraId="2920D2D4">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jc w:val="both"/>
              <w:textAlignment w:val="auto"/>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2、项目选址合理性分析</w:t>
            </w:r>
          </w:p>
          <w:p w14:paraId="66C01BA5">
            <w:pPr>
              <w:keepNext w:val="0"/>
              <w:keepLines w:val="0"/>
              <w:widowControl w:val="0"/>
              <w:kinsoku/>
              <w:wordWrap/>
              <w:overflowPunct/>
              <w:topLinePunct w:val="0"/>
              <w:bidi w:val="0"/>
              <w:snapToGrid w:val="0"/>
              <w:spacing w:line="360" w:lineRule="auto"/>
              <w:ind w:firstLine="420" w:firstLineChars="200"/>
              <w:textAlignment w:val="auto"/>
              <w:rPr>
                <w:rFonts w:hint="eastAsia" w:eastAsia="宋体"/>
                <w:color w:val="auto"/>
                <w:szCs w:val="21"/>
                <w:lang w:val="en-US" w:eastAsia="zh-CN"/>
              </w:rPr>
            </w:pPr>
            <w:r>
              <w:rPr>
                <w:rFonts w:hint="eastAsia" w:eastAsia="宋体"/>
                <w:color w:val="auto"/>
                <w:szCs w:val="21"/>
                <w:lang w:val="en-US" w:eastAsia="zh-CN"/>
              </w:rPr>
              <w:t>（1）本项目位于</w:t>
            </w:r>
            <w:r>
              <w:rPr>
                <w:rFonts w:hint="eastAsia" w:ascii="Times New Roman" w:hAnsi="Times New Roman" w:eastAsia="宋体" w:cs="Times New Roman"/>
                <w:color w:val="auto"/>
                <w:kern w:val="0"/>
                <w:sz w:val="21"/>
                <w:szCs w:val="21"/>
                <w:lang w:val="en-US" w:eastAsia="zh-CN"/>
              </w:rPr>
              <w:t>宁州街道上村社区松树地</w:t>
            </w:r>
            <w:r>
              <w:rPr>
                <w:rFonts w:hint="eastAsia" w:cs="Times New Roman"/>
                <w:color w:val="auto"/>
                <w:kern w:val="0"/>
                <w:sz w:val="21"/>
                <w:szCs w:val="21"/>
                <w:lang w:val="en-US" w:eastAsia="zh-CN"/>
              </w:rPr>
              <w:t>，</w:t>
            </w:r>
            <w:r>
              <w:rPr>
                <w:rFonts w:hint="eastAsia" w:cs="Times New Roman"/>
                <w:color w:val="auto"/>
                <w:kern w:val="2"/>
                <w:sz w:val="21"/>
                <w:szCs w:val="21"/>
                <w:lang w:val="en-US" w:eastAsia="zh-CN" w:bidi="ar-SA"/>
              </w:rPr>
              <w:t>于2021年通过国有土地出让，取得《不动产权证》，文号：云（2021）华宁县不动产权第0000286号，厂区规划工业用地10624.66㎡；2025年2月21日取得了华宁县自然资源局出具的《华宁县2025年度第一批次村庄建设用地》的缴费通知，企业依法缴纳费用，取得了0.8928公顷的建设用地使用权；全厂合计占地面积为19552.66㎡；根据华宁县自然资源局出具的查询结果，</w:t>
            </w:r>
            <w:r>
              <w:rPr>
                <w:rFonts w:hint="eastAsia" w:ascii="Times New Roman" w:hAnsi="Times New Roman" w:eastAsia="宋体" w:cs="Times New Roman"/>
                <w:color w:val="auto"/>
                <w:kern w:val="0"/>
                <w:sz w:val="21"/>
                <w:szCs w:val="21"/>
                <w:u w:val="none"/>
                <w:vertAlign w:val="baseline"/>
                <w:lang w:val="en-US" w:eastAsia="zh-CN"/>
              </w:rPr>
              <w:t>本项目</w:t>
            </w:r>
            <w:r>
              <w:rPr>
                <w:rFonts w:hint="eastAsia" w:cs="Times New Roman"/>
                <w:color w:val="auto"/>
                <w:kern w:val="0"/>
                <w:sz w:val="21"/>
                <w:szCs w:val="21"/>
                <w:u w:val="none"/>
                <w:vertAlign w:val="baseline"/>
                <w:lang w:val="en-US" w:eastAsia="zh-CN"/>
              </w:rPr>
              <w:t>占地</w:t>
            </w:r>
            <w:r>
              <w:rPr>
                <w:rFonts w:hint="default" w:ascii="Times New Roman" w:hAnsi="Times New Roman" w:eastAsia="宋体" w:cs="Times New Roman"/>
                <w:color w:val="auto"/>
                <w:kern w:val="0"/>
                <w:sz w:val="21"/>
                <w:szCs w:val="21"/>
                <w:vertAlign w:val="baseline"/>
                <w:lang w:eastAsia="zh-CN"/>
              </w:rPr>
              <w:t>不在生态保护红线范围内</w:t>
            </w:r>
            <w:r>
              <w:rPr>
                <w:rFonts w:hint="eastAsia" w:eastAsia="宋体"/>
                <w:color w:val="auto"/>
                <w:szCs w:val="21"/>
                <w:lang w:val="en-US" w:eastAsia="zh-CN"/>
              </w:rPr>
              <w:t>，项目选址范围及周边无自然保护区、风景名胜区、森林公园、饮用水水源保护区等环境敏感区，本项目区域内无国家地方保护的珍稀濒危动植物，厂界外500m范围内</w:t>
            </w:r>
            <w:r>
              <w:rPr>
                <w:rFonts w:hint="eastAsia"/>
                <w:color w:val="auto"/>
                <w:szCs w:val="21"/>
                <w:lang w:val="en-US" w:eastAsia="zh-CN"/>
              </w:rPr>
              <w:t>无</w:t>
            </w:r>
            <w:r>
              <w:rPr>
                <w:rFonts w:hint="eastAsia" w:eastAsia="宋体"/>
                <w:color w:val="auto"/>
                <w:szCs w:val="21"/>
                <w:lang w:val="en-US" w:eastAsia="zh-CN"/>
              </w:rPr>
              <w:t>大气环境保护目标，</w:t>
            </w:r>
            <w:r>
              <w:rPr>
                <w:rFonts w:hint="eastAsia"/>
                <w:color w:val="auto"/>
                <w:szCs w:val="21"/>
                <w:lang w:val="en-US" w:eastAsia="zh-CN"/>
              </w:rPr>
              <w:t>50m范围内无声环境保护目标</w:t>
            </w:r>
            <w:r>
              <w:rPr>
                <w:rFonts w:hint="eastAsia" w:eastAsia="宋体"/>
                <w:color w:val="auto"/>
                <w:szCs w:val="21"/>
                <w:lang w:val="en-US" w:eastAsia="zh-CN"/>
              </w:rPr>
              <w:t>。</w:t>
            </w:r>
          </w:p>
          <w:p w14:paraId="123D6073">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根据《华宁县人民政府关于划定高污染燃料禁燃区的公告》，本项目所处位置不在华宁县高污染燃料禁燃区范围内，距离华宁县高污染燃料禁燃区约1.49km，且本项目使用低硫煤，不属于《高污染燃料目录》中的</w:t>
            </w:r>
            <w:r>
              <w:rPr>
                <w:rFonts w:hint="default" w:ascii="Times New Roman" w:hAnsi="Times New Roman" w:cs="Times New Roman"/>
                <w:color w:val="auto"/>
                <w:sz w:val="21"/>
                <w:szCs w:val="21"/>
                <w:lang w:val="en-US" w:eastAsia="zh-CN"/>
              </w:rPr>
              <w:t>Ⅰ</w:t>
            </w:r>
            <w:r>
              <w:rPr>
                <w:rFonts w:hint="eastAsia" w:cs="Times New Roman"/>
                <w:color w:val="auto"/>
                <w:sz w:val="21"/>
                <w:szCs w:val="21"/>
                <w:lang w:val="en-US" w:eastAsia="zh-CN"/>
              </w:rPr>
              <w:t>类燃料。根据2021年5月30日由生态环境部发布的《生态环境部关于加强高耗能、高排放建设项目生态环境源头防控的指导意见》（文号：环环评〔2021〕45号）明确</w:t>
            </w:r>
            <w:r>
              <w:rPr>
                <w:rStyle w:val="32"/>
                <w:rFonts w:hint="eastAsia" w:ascii="宋体" w:hAnsi="宋体" w:eastAsia="宋体" w:cs="宋体"/>
                <w:i w:val="0"/>
                <w:iCs w:val="0"/>
                <w:caps w:val="0"/>
                <w:color w:val="auto"/>
                <w:spacing w:val="0"/>
                <w:sz w:val="21"/>
                <w:szCs w:val="21"/>
                <w:shd w:val="clear" w:fill="FFFFFF"/>
                <w:lang w:eastAsia="zh-CN"/>
              </w:rPr>
              <w:t>“</w:t>
            </w:r>
            <w:r>
              <w:rPr>
                <w:rStyle w:val="32"/>
                <w:rFonts w:hint="eastAsia" w:ascii="宋体" w:hAnsi="宋体" w:eastAsia="宋体" w:cs="宋体"/>
                <w:b w:val="0"/>
                <w:bCs/>
                <w:i w:val="0"/>
                <w:iCs w:val="0"/>
                <w:caps w:val="0"/>
                <w:color w:val="auto"/>
                <w:spacing w:val="0"/>
                <w:sz w:val="21"/>
                <w:szCs w:val="21"/>
                <w:shd w:val="clear" w:fill="FFFFFF"/>
              </w:rPr>
              <w:t>二、</w:t>
            </w:r>
            <w:r>
              <w:rPr>
                <w:rStyle w:val="32"/>
                <w:rFonts w:hint="eastAsia" w:ascii="宋体" w:hAnsi="宋体" w:eastAsia="宋体" w:cs="宋体"/>
                <w:b w:val="0"/>
                <w:bCs/>
                <w:i w:val="0"/>
                <w:iCs w:val="0"/>
                <w:caps w:val="0"/>
                <w:color w:val="auto"/>
                <w:spacing w:val="0"/>
                <w:sz w:val="21"/>
                <w:szCs w:val="21"/>
                <w:shd w:val="clear" w:fill="FFFFFF"/>
              </w:rPr>
              <w:t>严格“两高”项目环评审批</w:t>
            </w:r>
            <w:r>
              <w:rPr>
                <w:rStyle w:val="32"/>
                <w:rFonts w:hint="eastAsia" w:ascii="宋体" w:hAnsi="宋体" w:eastAsia="宋体" w:cs="宋体"/>
                <w:b w:val="0"/>
                <w:bCs/>
                <w:i w:val="0"/>
                <w:iCs w:val="0"/>
                <w:caps w:val="0"/>
                <w:color w:val="auto"/>
                <w:spacing w:val="0"/>
                <w:sz w:val="21"/>
                <w:szCs w:val="21"/>
                <w:shd w:val="clear" w:fill="FFFFFF"/>
                <w:lang w:eastAsia="zh-CN"/>
              </w:rPr>
              <w:t>”是</w:t>
            </w:r>
            <w:r>
              <w:rPr>
                <w:rStyle w:val="32"/>
                <w:rFonts w:hint="eastAsia" w:ascii="宋体" w:hAnsi="宋体" w:eastAsia="宋体" w:cs="宋体"/>
                <w:b w:val="0"/>
                <w:bCs/>
                <w:i w:val="0"/>
                <w:iCs w:val="0"/>
                <w:caps w:val="0"/>
                <w:color w:val="auto"/>
                <w:spacing w:val="0"/>
                <w:sz w:val="21"/>
                <w:szCs w:val="21"/>
                <w:shd w:val="clear" w:fill="FFFFFF"/>
                <w:lang w:val="en-US" w:eastAsia="zh-CN"/>
              </w:rPr>
              <w:t>指</w:t>
            </w:r>
            <w:r>
              <w:rPr>
                <w:rFonts w:hint="eastAsia" w:ascii="宋体" w:hAnsi="宋体" w:eastAsia="宋体" w:cs="宋体"/>
                <w:b w:val="0"/>
                <w:bCs/>
                <w:i w:val="0"/>
                <w:iCs w:val="0"/>
                <w:caps w:val="0"/>
                <w:color w:val="auto"/>
                <w:spacing w:val="0"/>
                <w:sz w:val="21"/>
                <w:szCs w:val="21"/>
                <w:shd w:val="clear" w:fill="FFFFFF"/>
              </w:rPr>
              <w:t>新建、扩建石化、化工、焦化、有色金属冶炼、平板玻璃项目</w:t>
            </w:r>
            <w:r>
              <w:rPr>
                <w:rFonts w:hint="eastAsia" w:ascii="宋体" w:hAnsi="宋体" w:cs="宋体"/>
                <w:b w:val="0"/>
                <w:bCs/>
                <w:i w:val="0"/>
                <w:iCs w:val="0"/>
                <w:caps w:val="0"/>
                <w:color w:val="auto"/>
                <w:spacing w:val="0"/>
                <w:sz w:val="21"/>
                <w:szCs w:val="21"/>
                <w:shd w:val="clear" w:fill="FFFFFF"/>
                <w:lang w:eastAsia="zh-CN"/>
              </w:rPr>
              <w:t>；</w:t>
            </w:r>
            <w:r>
              <w:rPr>
                <w:rFonts w:hint="eastAsia" w:cs="Times New Roman"/>
                <w:color w:val="auto"/>
                <w:sz w:val="21"/>
                <w:szCs w:val="21"/>
                <w:lang w:val="en-US" w:eastAsia="zh-CN"/>
              </w:rPr>
              <w:t>华宁县白塔山陶器厂（新厂）</w:t>
            </w:r>
            <w:r>
              <w:rPr>
                <w:rFonts w:hint="default" w:ascii="Times New Roman" w:hAnsi="Times New Roman" w:eastAsia="宋体" w:cs="Times New Roman"/>
                <w:color w:val="auto"/>
                <w:kern w:val="2"/>
                <w:sz w:val="21"/>
                <w:szCs w:val="21"/>
                <w:lang w:val="en-US" w:eastAsia="zh-CN" w:bidi="ar-SA"/>
              </w:rPr>
              <w:t>于20</w:t>
            </w:r>
            <w:r>
              <w:rPr>
                <w:rFonts w:hint="eastAsia" w:cs="Times New Roman"/>
                <w:color w:val="auto"/>
                <w:kern w:val="2"/>
                <w:sz w:val="21"/>
                <w:szCs w:val="21"/>
                <w:lang w:val="en-US" w:eastAsia="zh-CN" w:bidi="ar-SA"/>
              </w:rPr>
              <w:t>20</w:t>
            </w:r>
            <w:r>
              <w:rPr>
                <w:rFonts w:hint="default" w:ascii="Times New Roman" w:hAnsi="Times New Roman" w:eastAsia="宋体" w:cs="Times New Roman"/>
                <w:color w:val="auto"/>
                <w:kern w:val="2"/>
                <w:sz w:val="21"/>
                <w:szCs w:val="21"/>
                <w:lang w:val="en-US" w:eastAsia="zh-CN" w:bidi="ar-SA"/>
              </w:rPr>
              <w:t>年</w:t>
            </w:r>
            <w:r>
              <w:rPr>
                <w:rFonts w:hint="eastAsia" w:cs="Times New Roman"/>
                <w:color w:val="auto"/>
                <w:kern w:val="2"/>
                <w:sz w:val="21"/>
                <w:szCs w:val="21"/>
                <w:lang w:val="en-US" w:eastAsia="zh-CN" w:bidi="ar-SA"/>
              </w:rPr>
              <w:t>7</w:t>
            </w:r>
            <w:r>
              <w:rPr>
                <w:rFonts w:hint="default" w:ascii="Times New Roman" w:hAnsi="Times New Roman" w:eastAsia="宋体" w:cs="Times New Roman"/>
                <w:color w:val="auto"/>
                <w:kern w:val="2"/>
                <w:sz w:val="21"/>
                <w:szCs w:val="21"/>
                <w:lang w:val="en-US" w:eastAsia="zh-CN" w:bidi="ar-SA"/>
              </w:rPr>
              <w:t>月</w:t>
            </w:r>
            <w:r>
              <w:rPr>
                <w:rFonts w:hint="eastAsia" w:cs="Times New Roman"/>
                <w:color w:val="auto"/>
                <w:kern w:val="2"/>
                <w:sz w:val="21"/>
                <w:szCs w:val="21"/>
                <w:lang w:val="en-US" w:eastAsia="zh-CN" w:bidi="ar-SA"/>
              </w:rPr>
              <w:t>20日被华宁县环境监测大队查处，在未办理环境影响评价手续的情况下完成三座土窑的建设；10月9日玉溪市生态环境局华宁分局对项目进行了处罚，根据</w:t>
            </w:r>
            <w:r>
              <w:rPr>
                <w:rFonts w:hint="eastAsia" w:ascii="Times New Roman" w:hAnsi="Times New Roman" w:eastAsia="宋体" w:cs="Times New Roman"/>
                <w:color w:val="auto"/>
                <w:kern w:val="2"/>
                <w:sz w:val="21"/>
                <w:szCs w:val="21"/>
                <w:lang w:val="en-US" w:eastAsia="zh-CN" w:bidi="ar-SA"/>
              </w:rPr>
              <w:t>2022年10月2日华宁县人民政府办公室发布的《华宁县人民政府办公室关于印发华宁县青砖瓦生产企业整治工作方案的通知》（华政办通〔2022〕38号），</w:t>
            </w:r>
            <w:r>
              <w:rPr>
                <w:rFonts w:hint="eastAsia" w:cs="Times New Roman"/>
                <w:color w:val="auto"/>
                <w:sz w:val="21"/>
                <w:szCs w:val="21"/>
                <w:lang w:val="en-US" w:eastAsia="zh-CN"/>
              </w:rPr>
              <w:t>华宁县白塔山陶器厂（老厂）已经依法关闭退出</w:t>
            </w:r>
            <w:r>
              <w:rPr>
                <w:rFonts w:hint="eastAsia" w:cs="Times New Roman"/>
                <w:color w:val="auto"/>
                <w:kern w:val="2"/>
                <w:sz w:val="21"/>
                <w:szCs w:val="21"/>
                <w:lang w:val="en-US" w:eastAsia="zh-CN" w:bidi="ar-SA"/>
              </w:rPr>
              <w:t>；</w:t>
            </w:r>
            <w:r>
              <w:rPr>
                <w:rFonts w:hint="eastAsia" w:cs="Times New Roman"/>
                <w:color w:val="auto"/>
                <w:sz w:val="21"/>
                <w:szCs w:val="21"/>
                <w:lang w:val="en-US" w:eastAsia="zh-CN"/>
              </w:rPr>
              <w:t>华宁县白塔山陶器厂（新厂）</w:t>
            </w:r>
            <w:r>
              <w:rPr>
                <w:rFonts w:hint="eastAsia" w:cs="Times New Roman"/>
                <w:color w:val="auto"/>
                <w:kern w:val="2"/>
                <w:sz w:val="21"/>
                <w:szCs w:val="21"/>
                <w:lang w:val="en-US" w:eastAsia="zh-CN" w:bidi="ar-SA"/>
              </w:rPr>
              <w:t>属于需要巩固提升的青砖瓦企业，项目改建后总产能不发生改变，仍为900万件；根据本次评价核算，改建后项目颗粒物排放量削减了27.96t/a；二氧化硫排放量削减了17.7t/a，氮氧化物排放量削减了1.378t/a，氟化物排放量削减了0.767t/a。</w:t>
            </w:r>
            <w:r>
              <w:rPr>
                <w:rFonts w:hint="eastAsia"/>
                <w:color w:val="auto"/>
                <w:lang w:eastAsia="zh-CN"/>
              </w:rPr>
              <w:t>项目改建后，严格落实各项环保措施，做到</w:t>
            </w:r>
            <w:r>
              <w:rPr>
                <w:rFonts w:hint="eastAsia"/>
                <w:color w:val="auto"/>
                <w:lang w:val="en-US" w:eastAsia="zh-CN"/>
              </w:rPr>
              <w:t>产能不变减污</w:t>
            </w:r>
            <w:r>
              <w:rPr>
                <w:rFonts w:hint="eastAsia" w:ascii="宋体" w:hAnsi="宋体" w:cs="宋体"/>
                <w:b w:val="0"/>
                <w:bCs/>
                <w:i w:val="0"/>
                <w:iCs w:val="0"/>
                <w:caps w:val="0"/>
                <w:color w:val="auto"/>
                <w:spacing w:val="0"/>
                <w:sz w:val="21"/>
                <w:szCs w:val="21"/>
                <w:shd w:val="clear" w:fill="FFFFFF"/>
                <w:lang w:val="en-US" w:eastAsia="zh-CN"/>
              </w:rPr>
              <w:t>，</w:t>
            </w:r>
            <w:r>
              <w:rPr>
                <w:rFonts w:hint="eastAsia" w:ascii="宋体" w:hAnsi="宋体" w:eastAsia="宋体" w:cs="宋体"/>
                <w:b w:val="0"/>
                <w:bCs/>
                <w:i w:val="0"/>
                <w:iCs w:val="0"/>
                <w:caps w:val="0"/>
                <w:color w:val="auto"/>
                <w:spacing w:val="0"/>
                <w:sz w:val="21"/>
                <w:szCs w:val="21"/>
                <w:shd w:val="clear" w:fill="FFFFFF"/>
                <w:lang w:val="en-US" w:eastAsia="zh-CN"/>
              </w:rPr>
              <w:t>不属于严格项目环评审批类别</w:t>
            </w:r>
            <w:r>
              <w:rPr>
                <w:rFonts w:hint="eastAsia"/>
                <w:b w:val="0"/>
                <w:bCs/>
                <w:color w:val="auto"/>
                <w:sz w:val="21"/>
                <w:szCs w:val="21"/>
                <w:highlight w:val="none"/>
                <w:lang w:val="en-US" w:eastAsia="zh-CN"/>
              </w:rPr>
              <w:t>。</w:t>
            </w:r>
          </w:p>
          <w:p w14:paraId="53C8CE1C">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both"/>
              <w:textAlignment w:val="auto"/>
              <w:rPr>
                <w:rFonts w:hint="default"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（3）项目于2025年8月19日取得了华宁县宁州街道上村社区的选址意见，项目符合当地街道规划，同意项目选址。</w:t>
            </w:r>
          </w:p>
          <w:p w14:paraId="7411CF6B">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b w:val="0"/>
                <w:bCs w:val="0"/>
                <w:color w:val="auto"/>
                <w:kern w:val="0"/>
                <w:sz w:val="21"/>
                <w:szCs w:val="21"/>
                <w:lang w:val="en-US" w:eastAsia="zh-CN"/>
              </w:rPr>
            </w:pPr>
            <w:r>
              <w:rPr>
                <w:rFonts w:hint="eastAsia" w:cs="Times New Roman"/>
                <w:b w:val="0"/>
                <w:bCs w:val="0"/>
                <w:color w:val="auto"/>
                <w:kern w:val="0"/>
                <w:sz w:val="21"/>
                <w:szCs w:val="21"/>
                <w:lang w:val="en-US" w:eastAsia="zh-CN"/>
              </w:rPr>
              <w:t>（4）根据引用的现状监测结果</w:t>
            </w:r>
            <w:r>
              <w:rPr>
                <w:rFonts w:hint="default" w:ascii="Times New Roman" w:hAnsi="Times New Roman" w:eastAsia="宋体" w:cs="Times New Roman"/>
                <w:b w:val="0"/>
                <w:bCs w:val="0"/>
                <w:color w:val="auto"/>
                <w:kern w:val="0"/>
                <w:sz w:val="21"/>
                <w:szCs w:val="21"/>
                <w:lang w:val="en-US" w:eastAsia="zh-CN"/>
              </w:rPr>
              <w:t>项目区环境质量良好，采取的防治措施</w:t>
            </w:r>
            <w:r>
              <w:rPr>
                <w:rFonts w:hint="eastAsia" w:cs="Times New Roman"/>
                <w:b w:val="0"/>
                <w:bCs w:val="0"/>
                <w:color w:val="auto"/>
                <w:kern w:val="0"/>
                <w:sz w:val="21"/>
                <w:szCs w:val="21"/>
                <w:lang w:val="en-US" w:eastAsia="zh-CN"/>
              </w:rPr>
              <w:t>为可行性技术</w:t>
            </w:r>
            <w:r>
              <w:rPr>
                <w:rFonts w:hint="default" w:ascii="Times New Roman" w:hAnsi="Times New Roman" w:eastAsia="宋体" w:cs="Times New Roman"/>
                <w:b w:val="0"/>
                <w:bCs w:val="0"/>
                <w:color w:val="auto"/>
                <w:kern w:val="0"/>
                <w:sz w:val="21"/>
                <w:szCs w:val="21"/>
                <w:lang w:val="en-US" w:eastAsia="zh-CN"/>
              </w:rPr>
              <w:t>，项目建设不会降低和改变区域的环境质量和环境功能，对周围</w:t>
            </w:r>
            <w:r>
              <w:rPr>
                <w:rFonts w:hint="eastAsia" w:cs="Times New Roman"/>
                <w:b w:val="0"/>
                <w:bCs w:val="0"/>
                <w:color w:val="auto"/>
                <w:kern w:val="0"/>
                <w:sz w:val="21"/>
                <w:szCs w:val="21"/>
                <w:lang w:val="en-US" w:eastAsia="zh-CN"/>
              </w:rPr>
              <w:t>环境</w:t>
            </w:r>
            <w:r>
              <w:rPr>
                <w:rFonts w:hint="default" w:ascii="Times New Roman" w:hAnsi="Times New Roman" w:eastAsia="宋体" w:cs="Times New Roman"/>
                <w:b w:val="0"/>
                <w:bCs w:val="0"/>
                <w:color w:val="auto"/>
                <w:kern w:val="0"/>
                <w:sz w:val="21"/>
                <w:szCs w:val="21"/>
                <w:lang w:val="en-US" w:eastAsia="zh-CN"/>
              </w:rPr>
              <w:t>影响不大</w:t>
            </w:r>
            <w:r>
              <w:rPr>
                <w:rFonts w:hint="eastAsia" w:cs="Times New Roman"/>
                <w:b w:val="0"/>
                <w:bCs w:val="0"/>
                <w:color w:val="auto"/>
                <w:kern w:val="0"/>
                <w:sz w:val="21"/>
                <w:szCs w:val="21"/>
                <w:lang w:val="en-US" w:eastAsia="zh-CN"/>
              </w:rPr>
              <w:t>，从环保的角度分析，项目选址合理可行</w:t>
            </w:r>
            <w:r>
              <w:rPr>
                <w:rFonts w:hint="default" w:ascii="Times New Roman" w:hAnsi="Times New Roman" w:eastAsia="宋体" w:cs="Times New Roman"/>
                <w:b w:val="0"/>
                <w:bCs w:val="0"/>
                <w:color w:val="auto"/>
                <w:kern w:val="0"/>
                <w:sz w:val="21"/>
                <w:szCs w:val="21"/>
                <w:lang w:val="en-US" w:eastAsia="zh-CN"/>
              </w:rPr>
              <w:t>。</w:t>
            </w:r>
          </w:p>
          <w:p w14:paraId="0B19CC88">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jc w:val="both"/>
              <w:textAlignment w:val="auto"/>
              <w:rPr>
                <w:rFonts w:hint="default" w:ascii="Times New Roman" w:hAnsi="Times New Roman" w:cs="Times New Roman"/>
                <w:b/>
                <w:bCs/>
                <w:color w:val="auto"/>
                <w:sz w:val="21"/>
                <w:szCs w:val="21"/>
                <w:shd w:val="clear" w:color="auto" w:fill="auto"/>
                <w:lang w:val="en-US" w:eastAsia="zh-CN"/>
              </w:rPr>
            </w:pPr>
            <w:r>
              <w:rPr>
                <w:rFonts w:hint="default" w:ascii="Times New Roman" w:hAnsi="Times New Roman" w:cs="Times New Roman"/>
                <w:b/>
                <w:bCs/>
                <w:color w:val="auto"/>
                <w:sz w:val="21"/>
                <w:szCs w:val="21"/>
                <w:shd w:val="clear" w:color="auto" w:fill="auto"/>
                <w:lang w:val="en-US" w:eastAsia="zh-CN"/>
              </w:rPr>
              <w:t>3、</w:t>
            </w:r>
            <w:r>
              <w:rPr>
                <w:rFonts w:hint="default" w:ascii="Times New Roman" w:hAnsi="Times New Roman" w:cs="Times New Roman"/>
                <w:b/>
                <w:bCs/>
                <w:color w:val="auto"/>
                <w:kern w:val="0"/>
                <w:sz w:val="21"/>
                <w:szCs w:val="21"/>
                <w:shd w:val="clear" w:color="auto" w:fill="auto"/>
              </w:rPr>
              <w:t>项目平面布置合理性分析</w:t>
            </w:r>
          </w:p>
          <w:p w14:paraId="6C6A46AC">
            <w:pPr>
              <w:keepNext w:val="0"/>
              <w:keepLines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default"/>
                <w:color w:val="auto"/>
                <w:sz w:val="21"/>
                <w:szCs w:val="21"/>
                <w:lang w:val="en-US" w:eastAsia="zh-CN"/>
              </w:rPr>
            </w:pPr>
            <w:r>
              <w:rPr>
                <w:rFonts w:hint="eastAsia"/>
                <w:color w:val="auto"/>
                <w:sz w:val="21"/>
                <w:szCs w:val="21"/>
                <w:lang w:val="en-US" w:eastAsia="zh-CN"/>
              </w:rPr>
              <w:t>企业总占地面积为</w:t>
            </w:r>
            <w:r>
              <w:rPr>
                <w:rFonts w:hint="eastAsia" w:cs="Times New Roman"/>
                <w:color w:val="auto"/>
                <w:kern w:val="2"/>
                <w:sz w:val="21"/>
                <w:szCs w:val="21"/>
                <w:lang w:val="en-US" w:eastAsia="zh-CN" w:bidi="ar-SA"/>
              </w:rPr>
              <w:t>19552.66</w:t>
            </w:r>
            <w:r>
              <w:rPr>
                <w:rFonts w:hint="eastAsia"/>
                <w:color w:val="auto"/>
                <w:sz w:val="21"/>
                <w:szCs w:val="21"/>
                <w:lang w:val="en-US" w:eastAsia="zh-CN"/>
              </w:rPr>
              <w:t>㎡，拟建厂房9065㎡，从北至南顺时针拟设置陈化车间（1150㎡）、原料车间（405㎡）、制坯车间（1460㎡）、晾干车间（1270㎡）、待烧车间（1580㎡）、烧成车间（1200㎡）、成品车间（2000㎡）；办公区设置于厂区西南侧。项目平面布置合理，详见附图。</w:t>
            </w:r>
          </w:p>
          <w:p w14:paraId="5E3751A8">
            <w:pPr>
              <w:pStyle w:val="7"/>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4、</w:t>
            </w:r>
            <w:r>
              <w:rPr>
                <w:rFonts w:hint="eastAsia" w:hAnsi="宋体" w:cs="宋体"/>
                <w:b/>
                <w:bCs/>
                <w:color w:val="auto"/>
                <w:sz w:val="21"/>
                <w:szCs w:val="21"/>
                <w:lang w:val="en-US" w:eastAsia="zh-CN"/>
              </w:rPr>
              <w:t>与玉溪市发布《玉溪市“三线一单”生态环境分区管控实施意见的通知》（玉政发〔2021〕15号）和玉溪市生态环境分区管控动态更新调整方案（2023年）符合性分析</w:t>
            </w:r>
          </w:p>
          <w:p w14:paraId="692B606C">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20" w:firstLineChars="200"/>
              <w:jc w:val="both"/>
              <w:textAlignment w:val="auto"/>
              <w:rPr>
                <w:rFonts w:hint="eastAsia" w:ascii="Times New Roman" w:hAnsi="Times New Roman" w:eastAsia="宋体" w:cs="Times New Roman"/>
                <w:b/>
                <w:bCs/>
                <w:color w:val="auto"/>
                <w:sz w:val="21"/>
                <w:szCs w:val="21"/>
                <w:lang w:val="en-US" w:eastAsia="zh-CN"/>
              </w:rPr>
            </w:pPr>
            <w:r>
              <w:rPr>
                <w:rFonts w:hint="eastAsia" w:hAnsi="宋体" w:cs="宋体"/>
                <w:color w:val="auto"/>
                <w:sz w:val="21"/>
                <w:szCs w:val="21"/>
              </w:rPr>
              <w:t>根据</w:t>
            </w:r>
            <w:r>
              <w:rPr>
                <w:rFonts w:hint="eastAsia" w:hAnsi="宋体" w:cs="宋体"/>
                <w:color w:val="auto"/>
                <w:sz w:val="21"/>
                <w:szCs w:val="21"/>
                <w:lang w:val="en-US" w:eastAsia="zh-CN"/>
              </w:rPr>
              <w:t>《玉溪市“三线一单”生态环境分区管控实施意见的通知》（玉政发〔2021〕15号）、《玉溪市生态环境局关于印发玉溪市生态环境分区管控动态更新调整方案（2023年）的通知》（玉市环〔2024〕40号）基本情况如下</w:t>
            </w:r>
            <w:r>
              <w:rPr>
                <w:rFonts w:hint="eastAsia" w:hAnsi="宋体" w:cs="宋体"/>
                <w:color w:val="auto"/>
                <w:sz w:val="21"/>
                <w:szCs w:val="21"/>
                <w:lang w:eastAsia="zh-CN"/>
              </w:rPr>
              <w:t>。</w:t>
            </w:r>
          </w:p>
          <w:p w14:paraId="621B0FE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hAnsi="宋体" w:cs="宋体"/>
                <w:b/>
                <w:bCs/>
                <w:color w:val="auto"/>
                <w:sz w:val="21"/>
                <w:szCs w:val="21"/>
                <w:lang w:eastAsia="zh-CN"/>
              </w:rPr>
            </w:pPr>
            <w:r>
              <w:rPr>
                <w:rFonts w:hint="eastAsia" w:ascii="Times New Roman" w:hAnsi="Times New Roman" w:eastAsia="宋体" w:cs="Times New Roman"/>
                <w:b/>
                <w:bCs/>
                <w:color w:val="auto"/>
                <w:sz w:val="21"/>
                <w:szCs w:val="21"/>
                <w:lang w:val="en-US" w:eastAsia="zh-CN"/>
              </w:rPr>
              <w:t>表1-</w:t>
            </w:r>
            <w:r>
              <w:rPr>
                <w:rFonts w:hint="eastAsia" w:cs="Times New Roman"/>
                <w:b/>
                <w:bCs/>
                <w:color w:val="auto"/>
                <w:sz w:val="21"/>
                <w:szCs w:val="21"/>
                <w:lang w:val="en-US" w:eastAsia="zh-CN"/>
              </w:rPr>
              <w:t>3</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eastAsia="zh-CN"/>
              </w:rPr>
              <w:t>项目</w:t>
            </w:r>
            <w:r>
              <w:rPr>
                <w:rFonts w:hint="default" w:ascii="Times New Roman" w:hAnsi="Times New Roman" w:eastAsia="宋体" w:cs="Times New Roman"/>
                <w:b/>
                <w:bCs/>
                <w:color w:val="auto"/>
                <w:sz w:val="21"/>
                <w:szCs w:val="21"/>
              </w:rPr>
              <w:t>与</w:t>
            </w:r>
            <w:r>
              <w:rPr>
                <w:rFonts w:hint="eastAsia" w:ascii="Times New Roman" w:hAnsi="Times New Roman" w:eastAsia="宋体" w:cs="Times New Roman"/>
                <w:b/>
                <w:bCs/>
                <w:color w:val="auto"/>
                <w:sz w:val="21"/>
                <w:szCs w:val="21"/>
                <w:lang w:val="en-US" w:eastAsia="zh-CN"/>
              </w:rPr>
              <w:t>玉溪市政府发布</w:t>
            </w:r>
            <w:r>
              <w:rPr>
                <w:rFonts w:hint="default" w:ascii="Times New Roman" w:hAnsi="Times New Roman" w:eastAsia="宋体" w:cs="Times New Roman"/>
                <w:b/>
                <w:bCs/>
                <w:color w:val="auto"/>
                <w:sz w:val="21"/>
                <w:szCs w:val="21"/>
              </w:rPr>
              <w:t>“三线一单”</w:t>
            </w:r>
            <w:r>
              <w:rPr>
                <w:rFonts w:hint="eastAsia" w:hAnsi="宋体" w:cs="宋体"/>
                <w:b/>
                <w:bCs/>
                <w:color w:val="auto"/>
                <w:sz w:val="21"/>
                <w:szCs w:val="21"/>
              </w:rPr>
              <w:t>生态环境分区管控实施意见</w:t>
            </w:r>
            <w:r>
              <w:rPr>
                <w:rFonts w:hint="default" w:ascii="Times New Roman" w:hAnsi="Times New Roman" w:eastAsia="宋体" w:cs="Times New Roman"/>
                <w:b/>
                <w:bCs/>
                <w:color w:val="auto"/>
                <w:sz w:val="21"/>
                <w:szCs w:val="21"/>
              </w:rPr>
              <w:t>符合性分析</w:t>
            </w:r>
          </w:p>
          <w:tbl>
            <w:tblPr>
              <w:tblStyle w:val="29"/>
              <w:tblW w:w="87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4130"/>
              <w:gridCol w:w="2996"/>
              <w:gridCol w:w="895"/>
            </w:tblGrid>
            <w:tr w14:paraId="260A0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392" w:type="pct"/>
                  <w:noWrap w:val="0"/>
                  <w:vAlign w:val="center"/>
                </w:tcPr>
                <w:p w14:paraId="6E293E02">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2372" w:type="pct"/>
                  <w:noWrap w:val="0"/>
                  <w:vAlign w:val="center"/>
                </w:tcPr>
                <w:p w14:paraId="035DE109">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分析内容</w:t>
                  </w:r>
                </w:p>
              </w:tc>
              <w:tc>
                <w:tcPr>
                  <w:tcW w:w="1720" w:type="pct"/>
                  <w:noWrap w:val="0"/>
                  <w:vAlign w:val="center"/>
                </w:tcPr>
                <w:p w14:paraId="5879C4C4">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项目情况</w:t>
                  </w:r>
                </w:p>
              </w:tc>
              <w:tc>
                <w:tcPr>
                  <w:tcW w:w="514" w:type="pct"/>
                  <w:noWrap w:val="0"/>
                  <w:vAlign w:val="center"/>
                </w:tcPr>
                <w:p w14:paraId="461D0BE1">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符合性</w:t>
                  </w:r>
                </w:p>
              </w:tc>
            </w:tr>
            <w:tr w14:paraId="746AD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5000" w:type="pct"/>
                  <w:gridSpan w:val="4"/>
                  <w:noWrap w:val="0"/>
                  <w:vAlign w:val="center"/>
                </w:tcPr>
                <w:p w14:paraId="51AAB049">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《玉溪市“三线一单”生态环境分区管控实施意见的通知》（玉政发〔2021〕15号）</w:t>
                  </w:r>
                </w:p>
              </w:tc>
            </w:tr>
            <w:tr w14:paraId="1F3FB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2" w:hRule="atLeast"/>
                <w:jc w:val="center"/>
              </w:trPr>
              <w:tc>
                <w:tcPr>
                  <w:tcW w:w="392" w:type="pct"/>
                  <w:noWrap w:val="0"/>
                  <w:vAlign w:val="center"/>
                </w:tcPr>
                <w:p w14:paraId="541F9876">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生态保护红线和一般生态空间</w:t>
                  </w:r>
                </w:p>
              </w:tc>
              <w:tc>
                <w:tcPr>
                  <w:tcW w:w="2372" w:type="pct"/>
                  <w:noWrap w:val="0"/>
                  <w:vAlign w:val="center"/>
                </w:tcPr>
                <w:p w14:paraId="06111182">
                  <w:pPr>
                    <w:keepNext w:val="0"/>
                    <w:keepLines w:val="0"/>
                    <w:pageBreakBefore w:val="0"/>
                    <w:kinsoku/>
                    <w:wordWrap/>
                    <w:overflowPunct/>
                    <w:topLinePunct w:val="0"/>
                    <w:autoSpaceDE/>
                    <w:autoSpaceDN/>
                    <w:bidi w:val="0"/>
                    <w:adjustRightInd/>
                    <w:snapToGrid w:val="0"/>
                    <w:spacing w:line="240" w:lineRule="auto"/>
                    <w:ind w:firstLine="420" w:firstLineChars="200"/>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执行《云南省人民政府关于发布云南省生态保护红线的通知》（云政发〔2018〕32号），生态保护红线评估调整成果获批后，按照批准成果执行。将未划入生态保护红线的自然保护地、饮用水水源保护区、重要湿地、基本草原、生态公益林、天然林等生态功能重要、生态环境敏感区域划为一般生态空间</w:t>
                  </w:r>
                  <w:r>
                    <w:rPr>
                      <w:rFonts w:hint="default" w:ascii="Times New Roman" w:hAnsi="Times New Roman" w:eastAsia="宋体" w:cs="Times New Roman"/>
                      <w:color w:val="auto"/>
                      <w:sz w:val="21"/>
                      <w:szCs w:val="21"/>
                      <w:lang w:eastAsia="zh-CN"/>
                    </w:rPr>
                    <w:t>。</w:t>
                  </w:r>
                </w:p>
              </w:tc>
              <w:tc>
                <w:tcPr>
                  <w:tcW w:w="1720" w:type="pct"/>
                  <w:noWrap w:val="0"/>
                  <w:vAlign w:val="center"/>
                </w:tcPr>
                <w:p w14:paraId="26753F8A">
                  <w:pPr>
                    <w:keepNext w:val="0"/>
                    <w:keepLines w:val="0"/>
                    <w:pageBreakBefore w:val="0"/>
                    <w:kinsoku/>
                    <w:wordWrap/>
                    <w:overflowPunct/>
                    <w:topLinePunct w:val="0"/>
                    <w:autoSpaceDE/>
                    <w:autoSpaceDN/>
                    <w:bidi w:val="0"/>
                    <w:adjustRightInd/>
                    <w:snapToGrid w:val="0"/>
                    <w:spacing w:line="240" w:lineRule="auto"/>
                    <w:ind w:firstLine="420" w:firstLineChars="200"/>
                    <w:jc w:val="both"/>
                    <w:textAlignment w:val="auto"/>
                    <w:rPr>
                      <w:rFonts w:hint="default" w:ascii="Times New Roman" w:hAnsi="Times New Roman" w:eastAsia="宋体" w:cs="Times New Roman"/>
                      <w:color w:val="auto"/>
                      <w:sz w:val="21"/>
                      <w:szCs w:val="21"/>
                    </w:rPr>
                  </w:pPr>
                  <w:r>
                    <w:rPr>
                      <w:rFonts w:hint="eastAsia" w:cs="Times New Roman"/>
                      <w:color w:val="auto"/>
                      <w:sz w:val="21"/>
                      <w:szCs w:val="21"/>
                      <w:u w:val="none"/>
                      <w:lang w:val="en-US" w:eastAsia="zh-CN"/>
                    </w:rPr>
                    <w:t>华宁县白塔山陶器厂</w:t>
                  </w:r>
                  <w:r>
                    <w:rPr>
                      <w:rFonts w:hint="eastAsia" w:cs="Times New Roman"/>
                      <w:color w:val="auto"/>
                      <w:kern w:val="2"/>
                      <w:sz w:val="21"/>
                      <w:szCs w:val="21"/>
                      <w:lang w:val="en-US" w:eastAsia="zh-CN" w:bidi="ar-SA"/>
                    </w:rPr>
                    <w:t>于2021年通过国有土地出让，取得《不动产权证》，文号：云（2021）华宁县不动产权第0000286号，厂区规划工业用地10624.66㎡；2025年2月21日取得了华宁县自然资源局出具的《华宁县2025年度第一批次村庄建设用地》的缴费通知，企业依法缴纳费用，取得了0.8928公顷的建设用地使用权；全厂合计占地面积为19552.66㎡</w:t>
                  </w:r>
                  <w:r>
                    <w:rPr>
                      <w:rFonts w:hint="eastAsia" w:ascii="Times New Roman" w:hAnsi="Times New Roman" w:eastAsia="宋体" w:cs="Times New Roman"/>
                      <w:color w:val="auto"/>
                      <w:kern w:val="0"/>
                      <w:sz w:val="21"/>
                      <w:szCs w:val="21"/>
                      <w:u w:val="none"/>
                      <w:vertAlign w:val="baseline"/>
                      <w:lang w:val="en-US" w:eastAsia="zh-CN"/>
                    </w:rPr>
                    <w:t>，</w:t>
                  </w:r>
                  <w:r>
                    <w:rPr>
                      <w:rFonts w:hint="eastAsia"/>
                      <w:color w:val="auto"/>
                      <w:sz w:val="21"/>
                      <w:szCs w:val="21"/>
                      <w:lang w:val="en-US" w:eastAsia="zh-CN"/>
                    </w:rPr>
                    <w:t>不占用</w:t>
                  </w:r>
                  <w:r>
                    <w:rPr>
                      <w:rFonts w:hint="default" w:ascii="Times New Roman" w:hAnsi="Times New Roman" w:eastAsia="宋体" w:cs="Times New Roman"/>
                      <w:color w:val="auto"/>
                      <w:sz w:val="21"/>
                      <w:szCs w:val="21"/>
                    </w:rPr>
                    <w:t>未划入生态保护红线的自然保护地、饮用水水源保护区、重要湿地、基本草原、生态公益林、天然林等生态功能重要、生态环境敏感区</w:t>
                  </w:r>
                  <w:r>
                    <w:rPr>
                      <w:rFonts w:hint="eastAsia"/>
                      <w:color w:val="auto"/>
                      <w:sz w:val="21"/>
                      <w:szCs w:val="21"/>
                      <w:lang w:val="en-US" w:eastAsia="zh-CN"/>
                    </w:rPr>
                    <w:t>。</w:t>
                  </w:r>
                </w:p>
              </w:tc>
              <w:tc>
                <w:tcPr>
                  <w:tcW w:w="514" w:type="pct"/>
                  <w:noWrap w:val="0"/>
                  <w:vAlign w:val="center"/>
                </w:tcPr>
                <w:p w14:paraId="7D8044D9">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0A84E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392" w:type="pct"/>
                  <w:noWrap w:val="0"/>
                  <w:vAlign w:val="center"/>
                </w:tcPr>
                <w:p w14:paraId="23537477">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环境质量底线</w:t>
                  </w:r>
                </w:p>
              </w:tc>
              <w:tc>
                <w:tcPr>
                  <w:tcW w:w="2372" w:type="pct"/>
                  <w:noWrap w:val="0"/>
                  <w:vAlign w:val="center"/>
                </w:tcPr>
                <w:p w14:paraId="7AEB16B4">
                  <w:pPr>
                    <w:keepNext w:val="0"/>
                    <w:keepLines w:val="0"/>
                    <w:pageBreakBefore w:val="0"/>
                    <w:numPr>
                      <w:ilvl w:val="0"/>
                      <w:numId w:val="0"/>
                    </w:numPr>
                    <w:kinsoku/>
                    <w:wordWrap/>
                    <w:overflowPunct/>
                    <w:topLinePunct w:val="0"/>
                    <w:autoSpaceDE/>
                    <w:autoSpaceDN/>
                    <w:bidi w:val="0"/>
                    <w:adjustRightInd/>
                    <w:snapToGrid w:val="0"/>
                    <w:spacing w:line="240" w:lineRule="auto"/>
                    <w:ind w:firstLine="420" w:firstLineChars="20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1、</w:t>
                  </w:r>
                  <w:r>
                    <w:rPr>
                      <w:rFonts w:hint="default" w:ascii="Times New Roman" w:hAnsi="Times New Roman" w:eastAsia="宋体" w:cs="Times New Roman"/>
                      <w:b w:val="0"/>
                      <w:bCs w:val="0"/>
                      <w:color w:val="auto"/>
                      <w:sz w:val="21"/>
                      <w:szCs w:val="21"/>
                    </w:rPr>
                    <w:t>水环境质量底线。到2025年，全市水环境质量持续改善，纳入国家和省级考核的地表水监测断面水质优良率稳步提升。抚仙湖水质稳定保持Ⅰ类水质标准，星云湖、杞麓湖水质指标均达到Ⅴ类水质标准。中心城区及县城集中式饮用水水源地水质达标率为100%。到2035年，全市水环境质量总体改善，水生生态系统功能恢复。地表水水体水质优良率全面提升，彻底消除劣V类水体。抚仙湖水质稳定保持Ⅰ类水质标准，星云湖和杞麓湖水质持续稳定向好。</w:t>
                  </w:r>
                </w:p>
                <w:p w14:paraId="6588EAD6">
                  <w:pPr>
                    <w:keepNext w:val="0"/>
                    <w:keepLines w:val="0"/>
                    <w:pageBreakBefore w:val="0"/>
                    <w:numPr>
                      <w:ilvl w:val="0"/>
                      <w:numId w:val="0"/>
                    </w:numPr>
                    <w:kinsoku/>
                    <w:wordWrap/>
                    <w:overflowPunct/>
                    <w:topLinePunct w:val="0"/>
                    <w:autoSpaceDE/>
                    <w:autoSpaceDN/>
                    <w:bidi w:val="0"/>
                    <w:adjustRightInd/>
                    <w:snapToGrid w:val="0"/>
                    <w:spacing w:line="240" w:lineRule="auto"/>
                    <w:ind w:firstLine="420" w:firstLineChars="20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rPr>
                    <w:t>大气环境质量底线。到2025年，全市环境空气质量稳中向好，中心城区城市空气质量优良天数比率保持稳定，主要污染物排放量达到国家和省级污染物总量控制要求，单位GDP二氧化碳排放控制在省下达指标内。到2035年，全市环境空气质量持续保持优良，实现稳中向好，主要污染物排放总量和二氧化碳排放量持续减少。</w:t>
                  </w:r>
                </w:p>
                <w:p w14:paraId="12BF0F60">
                  <w:pPr>
                    <w:keepNext w:val="0"/>
                    <w:keepLines w:val="0"/>
                    <w:pageBreakBefore w:val="0"/>
                    <w:numPr>
                      <w:ilvl w:val="0"/>
                      <w:numId w:val="0"/>
                    </w:numPr>
                    <w:kinsoku/>
                    <w:wordWrap/>
                    <w:overflowPunct/>
                    <w:topLinePunct w:val="0"/>
                    <w:autoSpaceDE/>
                    <w:autoSpaceDN/>
                    <w:bidi w:val="0"/>
                    <w:adjustRightInd/>
                    <w:snapToGrid w:val="0"/>
                    <w:spacing w:line="240" w:lineRule="auto"/>
                    <w:ind w:firstLine="420" w:firstLineChars="200"/>
                    <w:jc w:val="both"/>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3、</w:t>
                  </w:r>
                  <w:r>
                    <w:rPr>
                      <w:rFonts w:hint="default" w:ascii="Times New Roman" w:hAnsi="Times New Roman" w:eastAsia="宋体" w:cs="Times New Roman"/>
                      <w:b w:val="0"/>
                      <w:bCs w:val="0"/>
                      <w:color w:val="auto"/>
                      <w:sz w:val="21"/>
                      <w:szCs w:val="21"/>
                    </w:rPr>
                    <w:t>土壤环境风险防控底线。到2025年，全市土壤环境风险防范体系进一步完善，受污染耕地安全利用率和污染地块安全利用率达到省下达的目标要求。到2035年，全市土壤环境质量稳中向好，农用地和建设用地土壤环境安全得到有效保障，受污染耕地安全利用率和污染地块安全利用率进一步提高，土壤环境风险得到全面管控。</w:t>
                  </w:r>
                </w:p>
              </w:tc>
              <w:tc>
                <w:tcPr>
                  <w:tcW w:w="1720" w:type="pct"/>
                  <w:noWrap w:val="0"/>
                  <w:vAlign w:val="center"/>
                </w:tcPr>
                <w:p w14:paraId="74366BBD">
                  <w:pPr>
                    <w:keepNext w:val="0"/>
                    <w:keepLines w:val="0"/>
                    <w:pageBreakBefore w:val="0"/>
                    <w:kinsoku/>
                    <w:wordWrap/>
                    <w:overflowPunct/>
                    <w:topLinePunct w:val="0"/>
                    <w:autoSpaceDE/>
                    <w:autoSpaceDN/>
                    <w:bidi w:val="0"/>
                    <w:adjustRightInd/>
                    <w:snapToGrid w:val="0"/>
                    <w:spacing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1、本项目</w:t>
                  </w:r>
                  <w:r>
                    <w:rPr>
                      <w:rFonts w:hint="eastAsia" w:ascii="Times New Roman" w:hAnsi="Times New Roman" w:eastAsia="宋体" w:cs="Times New Roman"/>
                      <w:color w:val="auto"/>
                      <w:sz w:val="21"/>
                      <w:szCs w:val="21"/>
                      <w:lang w:val="en-US" w:eastAsia="zh-CN"/>
                    </w:rPr>
                    <w:t>不</w:t>
                  </w:r>
                  <w:r>
                    <w:rPr>
                      <w:rFonts w:hint="eastAsia" w:cs="Times New Roman"/>
                      <w:color w:val="auto"/>
                      <w:sz w:val="21"/>
                      <w:szCs w:val="21"/>
                      <w:lang w:val="en-US" w:eastAsia="zh-CN"/>
                    </w:rPr>
                    <w:t>在“三湖”流域内，对“三湖”地表水无影响</w:t>
                  </w:r>
                  <w:r>
                    <w:rPr>
                      <w:rFonts w:hint="eastAsia" w:ascii="Times New Roman" w:hAnsi="Times New Roman" w:eastAsia="宋体" w:cs="Times New Roman"/>
                      <w:color w:val="auto"/>
                      <w:sz w:val="21"/>
                      <w:szCs w:val="21"/>
                      <w:lang w:val="en-US" w:eastAsia="zh-CN"/>
                    </w:rPr>
                    <w:t>。</w:t>
                  </w:r>
                </w:p>
                <w:p w14:paraId="6224CB00">
                  <w:pPr>
                    <w:keepNext w:val="0"/>
                    <w:keepLines w:val="0"/>
                    <w:pageBreakBefore w:val="0"/>
                    <w:kinsoku/>
                    <w:wordWrap/>
                    <w:overflowPunct/>
                    <w:topLinePunct w:val="0"/>
                    <w:autoSpaceDE/>
                    <w:autoSpaceDN/>
                    <w:bidi w:val="0"/>
                    <w:adjustRightInd/>
                    <w:snapToGrid w:val="0"/>
                    <w:spacing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w:t>
                  </w:r>
                  <w:r>
                    <w:rPr>
                      <w:rFonts w:hint="eastAsia" w:cs="Times New Roman"/>
                      <w:color w:val="auto"/>
                      <w:sz w:val="21"/>
                      <w:szCs w:val="21"/>
                      <w:lang w:val="en-US" w:eastAsia="zh-CN"/>
                    </w:rPr>
                    <w:t>生活污水</w:t>
                  </w:r>
                  <w:r>
                    <w:rPr>
                      <w:rFonts w:hint="eastAsia"/>
                      <w:b w:val="0"/>
                      <w:bCs/>
                      <w:color w:val="auto"/>
                      <w:sz w:val="21"/>
                      <w:szCs w:val="21"/>
                      <w:lang w:val="en-US" w:eastAsia="zh-CN"/>
                    </w:rPr>
                    <w:t>委托环卫车辆运送至华宁北控环保水务有限公司管理运营的华宁县城污水处理厂处理</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生产废水循环使用不外排</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不会导致区域水环境质量发生明显改变，满足环境质量底线的要求。</w:t>
                  </w:r>
                </w:p>
                <w:p w14:paraId="28B7870C">
                  <w:pPr>
                    <w:keepNext w:val="0"/>
                    <w:keepLines w:val="0"/>
                    <w:pageBreakBefore w:val="0"/>
                    <w:numPr>
                      <w:ilvl w:val="0"/>
                      <w:numId w:val="0"/>
                    </w:numPr>
                    <w:kinsoku/>
                    <w:wordWrap/>
                    <w:overflowPunct/>
                    <w:topLinePunct w:val="0"/>
                    <w:autoSpaceDE/>
                    <w:autoSpaceDN/>
                    <w:bidi w:val="0"/>
                    <w:adjustRightInd/>
                    <w:snapToGrid w:val="0"/>
                    <w:spacing w:line="240" w:lineRule="auto"/>
                    <w:ind w:firstLine="420" w:firstLineChars="200"/>
                    <w:jc w:val="both"/>
                    <w:textAlignment w:val="auto"/>
                    <w:rPr>
                      <w:rFonts w:hint="eastAsia" w:eastAsia="宋体"/>
                      <w:color w:val="auto"/>
                      <w:sz w:val="21"/>
                      <w:szCs w:val="21"/>
                      <w:lang w:val="en-US" w:eastAsia="zh-CN"/>
                    </w:rPr>
                  </w:pPr>
                  <w:r>
                    <w:rPr>
                      <w:rFonts w:hint="default" w:ascii="Times New Roman" w:hAnsi="Times New Roman" w:eastAsia="宋体" w:cs="Times New Roman"/>
                      <w:color w:val="auto"/>
                      <w:sz w:val="21"/>
                      <w:szCs w:val="21"/>
                      <w:lang w:val="en-US" w:eastAsia="zh-CN"/>
                    </w:rPr>
                    <w:t>2、根据2023年</w:t>
                  </w:r>
                  <w:r>
                    <w:rPr>
                      <w:rFonts w:hint="eastAsia" w:ascii="Times New Roman" w:hAnsi="Times New Roman" w:eastAsia="宋体" w:cs="Times New Roman"/>
                      <w:color w:val="auto"/>
                      <w:sz w:val="21"/>
                      <w:szCs w:val="21"/>
                      <w:lang w:val="en-US" w:eastAsia="zh-CN"/>
                    </w:rPr>
                    <w:t>华宁县</w:t>
                  </w:r>
                  <w:r>
                    <w:rPr>
                      <w:rFonts w:hint="default" w:ascii="Times New Roman" w:hAnsi="Times New Roman" w:eastAsia="宋体" w:cs="Times New Roman"/>
                      <w:color w:val="auto"/>
                      <w:sz w:val="21"/>
                      <w:szCs w:val="21"/>
                      <w:lang w:val="en-US" w:eastAsia="zh-CN"/>
                    </w:rPr>
                    <w:t>环境自动监测站的自动监测数据统计结果，环境空气质量满足《环境空气质量标准》（GB3095-2012）中二级标准</w:t>
                  </w:r>
                  <w:r>
                    <w:rPr>
                      <w:rFonts w:hint="eastAsia" w:eastAsia="宋体"/>
                      <w:color w:val="auto"/>
                      <w:sz w:val="21"/>
                      <w:szCs w:val="21"/>
                      <w:lang w:val="en-US" w:eastAsia="zh-CN"/>
                    </w:rPr>
                    <w:t>，区域环境空气质量达标</w:t>
                  </w:r>
                  <w:r>
                    <w:rPr>
                      <w:rFonts w:hint="default" w:ascii="Times New Roman" w:hAnsi="Times New Roman" w:eastAsia="宋体" w:cs="Times New Roman"/>
                      <w:color w:val="auto"/>
                      <w:sz w:val="21"/>
                      <w:szCs w:val="21"/>
                      <w:lang w:val="en-US" w:eastAsia="zh-CN"/>
                    </w:rPr>
                    <w:t>，</w:t>
                  </w:r>
                  <w:r>
                    <w:rPr>
                      <w:rFonts w:hint="eastAsia" w:eastAsia="宋体"/>
                      <w:color w:val="auto"/>
                      <w:sz w:val="21"/>
                      <w:szCs w:val="21"/>
                      <w:lang w:val="en-US" w:eastAsia="zh-CN"/>
                    </w:rPr>
                    <w:t>因此，项目区为达标区。</w:t>
                  </w:r>
                </w:p>
                <w:p w14:paraId="0BE379FA">
                  <w:pPr>
                    <w:keepNext w:val="0"/>
                    <w:keepLines w:val="0"/>
                    <w:pageBreakBefore w:val="0"/>
                    <w:widowControl w:val="0"/>
                    <w:kinsoku/>
                    <w:wordWrap/>
                    <w:overflowPunct/>
                    <w:topLinePunct w:val="0"/>
                    <w:autoSpaceDE w:val="0"/>
                    <w:autoSpaceDN w:val="0"/>
                    <w:bidi w:val="0"/>
                    <w:adjustRightInd w:val="0"/>
                    <w:snapToGrid w:val="0"/>
                    <w:ind w:firstLine="420" w:firstLineChars="200"/>
                    <w:textAlignment w:val="auto"/>
                    <w:rPr>
                      <w:rFonts w:hint="eastAsia" w:eastAsia="宋体"/>
                      <w:color w:val="auto"/>
                      <w:szCs w:val="21"/>
                      <w:lang w:eastAsia="zh-CN"/>
                    </w:rPr>
                  </w:pPr>
                  <w:r>
                    <w:rPr>
                      <w:rFonts w:hint="eastAsia" w:eastAsia="宋体"/>
                      <w:color w:val="auto"/>
                      <w:szCs w:val="21"/>
                      <w:lang w:eastAsia="zh-CN"/>
                    </w:rPr>
                    <w:t>本项目特征污染物为</w:t>
                  </w:r>
                  <w:r>
                    <w:rPr>
                      <w:rFonts w:hint="eastAsia" w:eastAsia="宋体"/>
                      <w:color w:val="auto"/>
                      <w:szCs w:val="21"/>
                      <w:lang w:val="en-US" w:eastAsia="zh-CN"/>
                    </w:rPr>
                    <w:t>氟化物</w:t>
                  </w:r>
                  <w:r>
                    <w:rPr>
                      <w:rFonts w:hint="eastAsia" w:eastAsia="宋体"/>
                      <w:color w:val="auto"/>
                      <w:szCs w:val="21"/>
                      <w:lang w:eastAsia="zh-CN"/>
                    </w:rPr>
                    <w:t>，</w:t>
                  </w:r>
                  <w:r>
                    <w:rPr>
                      <w:rFonts w:hint="eastAsia" w:eastAsia="宋体"/>
                      <w:color w:val="auto"/>
                      <w:szCs w:val="21"/>
                      <w:lang w:val="en-US" w:eastAsia="zh-CN"/>
                    </w:rPr>
                    <w:t>引用</w:t>
                  </w:r>
                  <w:r>
                    <w:rPr>
                      <w:rFonts w:hint="eastAsia"/>
                      <w:color w:val="auto"/>
                      <w:szCs w:val="21"/>
                      <w:lang w:val="en-US" w:eastAsia="zh-CN"/>
                    </w:rPr>
                    <w:t>华宁胜美琉璃瓦厂</w:t>
                  </w:r>
                  <w:r>
                    <w:rPr>
                      <w:rFonts w:hint="eastAsia" w:eastAsia="宋体"/>
                      <w:color w:val="auto"/>
                      <w:szCs w:val="21"/>
                      <w:lang w:val="en-US" w:eastAsia="zh-CN"/>
                    </w:rPr>
                    <w:t>202</w:t>
                  </w:r>
                  <w:r>
                    <w:rPr>
                      <w:rFonts w:hint="eastAsia"/>
                      <w:color w:val="auto"/>
                      <w:szCs w:val="21"/>
                      <w:lang w:val="en-US" w:eastAsia="zh-CN"/>
                    </w:rPr>
                    <w:t>4</w:t>
                  </w:r>
                  <w:r>
                    <w:rPr>
                      <w:rFonts w:hint="eastAsia" w:eastAsia="宋体"/>
                      <w:color w:val="auto"/>
                      <w:szCs w:val="21"/>
                      <w:lang w:val="en-US" w:eastAsia="zh-CN"/>
                    </w:rPr>
                    <w:t>年1</w:t>
                  </w:r>
                  <w:r>
                    <w:rPr>
                      <w:rFonts w:hint="eastAsia"/>
                      <w:color w:val="auto"/>
                      <w:szCs w:val="21"/>
                      <w:lang w:val="en-US" w:eastAsia="zh-CN"/>
                    </w:rPr>
                    <w:t>2</w:t>
                  </w:r>
                  <w:r>
                    <w:rPr>
                      <w:rFonts w:hint="eastAsia" w:eastAsia="宋体"/>
                      <w:color w:val="auto"/>
                      <w:szCs w:val="21"/>
                      <w:lang w:val="en-US" w:eastAsia="zh-CN"/>
                    </w:rPr>
                    <w:t>月</w:t>
                  </w:r>
                  <w:r>
                    <w:rPr>
                      <w:rFonts w:hint="eastAsia"/>
                      <w:color w:val="auto"/>
                      <w:szCs w:val="21"/>
                      <w:lang w:val="en-US" w:eastAsia="zh-CN"/>
                    </w:rPr>
                    <w:t>31日至2025年1月3日环境空气现状补充监测</w:t>
                  </w:r>
                  <w:r>
                    <w:rPr>
                      <w:rFonts w:hint="eastAsia" w:eastAsia="宋体"/>
                      <w:color w:val="auto"/>
                      <w:szCs w:val="21"/>
                      <w:lang w:val="en-US" w:eastAsia="zh-CN"/>
                    </w:rPr>
                    <w:t>结果</w:t>
                  </w:r>
                  <w:r>
                    <w:rPr>
                      <w:rFonts w:hint="eastAsia" w:eastAsia="宋体"/>
                      <w:color w:val="auto"/>
                      <w:szCs w:val="21"/>
                      <w:lang w:eastAsia="zh-CN"/>
                    </w:rPr>
                    <w:t>，</w:t>
                  </w:r>
                  <w:r>
                    <w:rPr>
                      <w:rFonts w:hint="eastAsia" w:eastAsia="宋体"/>
                      <w:color w:val="auto"/>
                      <w:szCs w:val="21"/>
                      <w:lang w:val="en-US" w:eastAsia="zh-CN"/>
                    </w:rPr>
                    <w:t>项目区域氟化物1小时浓度满足《环境空气质量标准》（GB3095-2012）附录A中的二级标准限值要求</w:t>
                  </w:r>
                  <w:r>
                    <w:rPr>
                      <w:rFonts w:hint="eastAsia" w:eastAsia="宋体"/>
                      <w:color w:val="auto"/>
                      <w:szCs w:val="21"/>
                      <w:lang w:eastAsia="zh-CN"/>
                    </w:rPr>
                    <w:t>。</w:t>
                  </w:r>
                </w:p>
                <w:p w14:paraId="0730F9EE">
                  <w:pPr>
                    <w:widowControl w:val="0"/>
                    <w:numPr>
                      <w:ilvl w:val="0"/>
                      <w:numId w:val="0"/>
                    </w:numPr>
                    <w:spacing w:line="240" w:lineRule="atLeast"/>
                    <w:ind w:firstLine="420" w:firstLineChars="200"/>
                    <w:jc w:val="both"/>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根据工程分析，项目废气经处理后可达标排放，对大气环境的影响较小，可达环境空气质量标准，不影响全市环境空气质量稳中向好目标的实现。</w:t>
                  </w:r>
                </w:p>
                <w:p w14:paraId="3240BD17">
                  <w:pPr>
                    <w:keepNext w:val="0"/>
                    <w:keepLines w:val="0"/>
                    <w:pageBreakBefore w:val="0"/>
                    <w:kinsoku/>
                    <w:wordWrap/>
                    <w:overflowPunct/>
                    <w:topLinePunct w:val="0"/>
                    <w:autoSpaceDE/>
                    <w:autoSpaceDN/>
                    <w:bidi w:val="0"/>
                    <w:adjustRightInd/>
                    <w:snapToGrid w:val="0"/>
                    <w:spacing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r>
                    <w:rPr>
                      <w:b w:val="0"/>
                      <w:bCs/>
                      <w:color w:val="auto"/>
                      <w:sz w:val="21"/>
                      <w:szCs w:val="21"/>
                    </w:rPr>
                    <w:t>项目运营期废气达标排放</w:t>
                  </w:r>
                  <w:r>
                    <w:rPr>
                      <w:rFonts w:hint="eastAsia"/>
                      <w:b w:val="0"/>
                      <w:bCs/>
                      <w:color w:val="auto"/>
                      <w:sz w:val="21"/>
                      <w:szCs w:val="21"/>
                      <w:lang w:eastAsia="zh-CN"/>
                    </w:rPr>
                    <w:t>，</w:t>
                  </w:r>
                  <w:r>
                    <w:rPr>
                      <w:rFonts w:hint="eastAsia"/>
                      <w:b w:val="0"/>
                      <w:bCs/>
                      <w:color w:val="auto"/>
                      <w:sz w:val="21"/>
                      <w:szCs w:val="21"/>
                      <w:lang w:val="en-US" w:eastAsia="zh-CN"/>
                    </w:rPr>
                    <w:t>且不排放有毒有害物质，对周围土壤影响不大</w:t>
                  </w:r>
                  <w:r>
                    <w:rPr>
                      <w:rFonts w:hint="eastAsia"/>
                      <w:b w:val="0"/>
                      <w:bCs/>
                      <w:color w:val="auto"/>
                      <w:sz w:val="21"/>
                      <w:szCs w:val="21"/>
                      <w:lang w:eastAsia="zh-CN"/>
                    </w:rPr>
                    <w:t>。</w:t>
                  </w:r>
                  <w:r>
                    <w:rPr>
                      <w:rFonts w:hint="eastAsia"/>
                      <w:b w:val="0"/>
                      <w:bCs/>
                      <w:color w:val="auto"/>
                      <w:sz w:val="21"/>
                      <w:szCs w:val="21"/>
                      <w:lang w:val="en-US" w:eastAsia="zh-CN"/>
                    </w:rPr>
                    <w:t>存在</w:t>
                  </w:r>
                  <w:r>
                    <w:rPr>
                      <w:b w:val="0"/>
                      <w:bCs/>
                      <w:color w:val="auto"/>
                      <w:sz w:val="21"/>
                      <w:szCs w:val="21"/>
                    </w:rPr>
                    <w:t>土壤</w:t>
                  </w:r>
                  <w:r>
                    <w:rPr>
                      <w:rFonts w:hint="eastAsia"/>
                      <w:b w:val="0"/>
                      <w:bCs/>
                      <w:color w:val="auto"/>
                      <w:sz w:val="21"/>
                      <w:szCs w:val="21"/>
                      <w:lang w:val="en-US" w:eastAsia="zh-CN"/>
                    </w:rPr>
                    <w:t>风险影响</w:t>
                  </w:r>
                  <w:r>
                    <w:rPr>
                      <w:b w:val="0"/>
                      <w:bCs/>
                      <w:color w:val="auto"/>
                      <w:sz w:val="21"/>
                      <w:szCs w:val="21"/>
                    </w:rPr>
                    <w:t>的为</w:t>
                  </w:r>
                  <w:r>
                    <w:rPr>
                      <w:rFonts w:hint="eastAsia"/>
                      <w:b w:val="0"/>
                      <w:bCs/>
                      <w:color w:val="auto"/>
                      <w:sz w:val="21"/>
                      <w:szCs w:val="21"/>
                      <w:lang w:val="en-US" w:eastAsia="zh-CN"/>
                    </w:rPr>
                    <w:t>本项目设置的危废贮存库，主要风险为危废贮存库防渗措施不到位，废润滑油下渗至土壤；本次评价将要求企业按照</w:t>
                  </w:r>
                  <w:r>
                    <w:rPr>
                      <w:rFonts w:hint="default" w:ascii="Times New Roman" w:hAnsi="Times New Roman" w:eastAsia="宋体" w:cs="Times New Roman"/>
                      <w:b w:val="0"/>
                      <w:bCs/>
                      <w:color w:val="auto"/>
                      <w:sz w:val="21"/>
                      <w:szCs w:val="21"/>
                      <w:lang w:eastAsia="zh-CN"/>
                    </w:rPr>
                    <w:t>《危险废物贮存污染控制标准》（GB18597-2023），</w:t>
                  </w:r>
                  <w:r>
                    <w:rPr>
                      <w:rFonts w:hint="eastAsia" w:eastAsia="宋体" w:cs="Times New Roman"/>
                      <w:b w:val="0"/>
                      <w:bCs/>
                      <w:color w:val="auto"/>
                      <w:sz w:val="21"/>
                      <w:szCs w:val="21"/>
                      <w:lang w:val="en-US" w:eastAsia="zh-CN"/>
                    </w:rPr>
                    <w:t>对</w:t>
                  </w:r>
                  <w:r>
                    <w:rPr>
                      <w:rFonts w:hint="eastAsia"/>
                      <w:color w:val="auto"/>
                      <w:lang w:eastAsia="zh-CN"/>
                    </w:rPr>
                    <w:t>危废贮存库</w:t>
                  </w:r>
                  <w:r>
                    <w:rPr>
                      <w:rFonts w:hint="eastAsia" w:eastAsia="宋体" w:cs="Times New Roman"/>
                      <w:b w:val="0"/>
                      <w:bCs/>
                      <w:color w:val="auto"/>
                      <w:sz w:val="21"/>
                      <w:szCs w:val="21"/>
                      <w:lang w:val="en-US" w:eastAsia="zh-CN"/>
                    </w:rPr>
                    <w:t>进行</w:t>
                  </w:r>
                  <w:r>
                    <w:rPr>
                      <w:rFonts w:hint="default" w:ascii="Times New Roman" w:hAnsi="Times New Roman" w:eastAsia="宋体" w:cs="Times New Roman"/>
                      <w:b w:val="0"/>
                      <w:bCs/>
                      <w:color w:val="auto"/>
                      <w:sz w:val="21"/>
                      <w:szCs w:val="21"/>
                      <w:lang w:val="en-US" w:eastAsia="zh-CN"/>
                    </w:rPr>
                    <w:t>重点防渗区</w:t>
                  </w:r>
                  <w:r>
                    <w:rPr>
                      <w:b w:val="0"/>
                      <w:bCs/>
                      <w:color w:val="auto"/>
                      <w:sz w:val="21"/>
                      <w:szCs w:val="21"/>
                    </w:rPr>
                    <w:t>。项目建成后对区域土壤环境质量产生影响较小，土壤环境风险较低。</w:t>
                  </w:r>
                </w:p>
              </w:tc>
              <w:tc>
                <w:tcPr>
                  <w:tcW w:w="514" w:type="pct"/>
                  <w:noWrap w:val="0"/>
                  <w:vAlign w:val="center"/>
                </w:tcPr>
                <w:p w14:paraId="60FEA254">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5851A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392" w:type="pct"/>
                  <w:noWrap w:val="0"/>
                  <w:vAlign w:val="center"/>
                </w:tcPr>
                <w:p w14:paraId="53240BA8">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资源利用上线</w:t>
                  </w:r>
                </w:p>
              </w:tc>
              <w:tc>
                <w:tcPr>
                  <w:tcW w:w="2372" w:type="pct"/>
                  <w:noWrap w:val="0"/>
                  <w:vAlign w:val="center"/>
                </w:tcPr>
                <w:p w14:paraId="6C22C720">
                  <w:pPr>
                    <w:keepNext w:val="0"/>
                    <w:keepLines w:val="0"/>
                    <w:pageBreakBefore w:val="0"/>
                    <w:kinsoku/>
                    <w:wordWrap/>
                    <w:overflowPunct/>
                    <w:topLinePunct w:val="0"/>
                    <w:autoSpaceDE/>
                    <w:autoSpaceDN/>
                    <w:bidi w:val="0"/>
                    <w:adjustRightInd/>
                    <w:snapToGrid w:val="0"/>
                    <w:spacing w:line="240" w:lineRule="auto"/>
                    <w:ind w:firstLine="420" w:firstLineChars="20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强化资源能源节约集约利用，持续提升资源能源利用效率，水资源、土地资源、能源消耗等达到或优于省下达的总量和强度控制目标。</w:t>
                  </w:r>
                </w:p>
              </w:tc>
              <w:tc>
                <w:tcPr>
                  <w:tcW w:w="1720" w:type="pct"/>
                  <w:noWrap w:val="0"/>
                  <w:vAlign w:val="center"/>
                </w:tcPr>
                <w:p w14:paraId="39763C43">
                  <w:pPr>
                    <w:keepNext w:val="0"/>
                    <w:keepLines w:val="0"/>
                    <w:pageBreakBefore w:val="0"/>
                    <w:kinsoku/>
                    <w:wordWrap/>
                    <w:overflowPunct/>
                    <w:topLinePunct w:val="0"/>
                    <w:autoSpaceDE/>
                    <w:autoSpaceDN/>
                    <w:bidi w:val="0"/>
                    <w:adjustRightInd/>
                    <w:snapToGrid w:val="0"/>
                    <w:spacing w:line="240" w:lineRule="auto"/>
                    <w:ind w:firstLine="420" w:firstLineChars="200"/>
                    <w:jc w:val="both"/>
                    <w:textAlignment w:val="auto"/>
                    <w:rPr>
                      <w:rFonts w:hint="default" w:ascii="Times New Roman" w:hAnsi="Times New Roman" w:eastAsia="宋体" w:cs="Times New Roman"/>
                      <w:b w:val="0"/>
                      <w:bCs w:val="0"/>
                      <w:color w:val="auto"/>
                      <w:sz w:val="21"/>
                      <w:szCs w:val="21"/>
                      <w:lang w:val="en-US" w:eastAsia="zh-CN"/>
                    </w:rPr>
                  </w:pPr>
                  <w:r>
                    <w:rPr>
                      <w:rFonts w:hint="eastAsia"/>
                      <w:color w:val="auto"/>
                      <w:szCs w:val="21"/>
                    </w:rPr>
                    <w:t>项目运营会消耗一定量电能、水资源，水、电消耗量较区域总量来说，占比</w:t>
                  </w:r>
                  <w:r>
                    <w:rPr>
                      <w:rFonts w:hint="eastAsia"/>
                      <w:color w:val="auto"/>
                      <w:szCs w:val="21"/>
                      <w:lang w:val="en-US" w:eastAsia="zh-CN"/>
                    </w:rPr>
                    <w:t>不大</w:t>
                  </w:r>
                  <w:r>
                    <w:rPr>
                      <w:rFonts w:hint="eastAsia"/>
                      <w:color w:val="auto"/>
                      <w:szCs w:val="21"/>
                    </w:rPr>
                    <w:t>；项目不占用基本农田、林地等，不会突破省下达的总量和强度控制指标</w:t>
                  </w:r>
                  <w:r>
                    <w:rPr>
                      <w:rFonts w:hint="default" w:ascii="Times New Roman" w:hAnsi="Times New Roman" w:eastAsia="宋体" w:cs="Times New Roman"/>
                      <w:b w:val="0"/>
                      <w:bCs w:val="0"/>
                      <w:color w:val="auto"/>
                      <w:sz w:val="21"/>
                      <w:szCs w:val="21"/>
                      <w:lang w:val="en-US" w:eastAsia="zh-CN"/>
                    </w:rPr>
                    <w:t>。</w:t>
                  </w:r>
                </w:p>
              </w:tc>
              <w:tc>
                <w:tcPr>
                  <w:tcW w:w="514" w:type="pct"/>
                  <w:noWrap w:val="0"/>
                  <w:vAlign w:val="center"/>
                </w:tcPr>
                <w:p w14:paraId="081421C0">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符合</w:t>
                  </w:r>
                </w:p>
              </w:tc>
            </w:tr>
            <w:tr w14:paraId="11854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jc w:val="center"/>
              </w:trPr>
              <w:tc>
                <w:tcPr>
                  <w:tcW w:w="392" w:type="pct"/>
                  <w:noWrap w:val="0"/>
                  <w:vAlign w:val="center"/>
                </w:tcPr>
                <w:p w14:paraId="390A5C2D">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空间布局约束</w:t>
                  </w:r>
                </w:p>
              </w:tc>
              <w:tc>
                <w:tcPr>
                  <w:tcW w:w="2372" w:type="pct"/>
                  <w:noWrap w:val="0"/>
                  <w:vAlign w:val="center"/>
                </w:tcPr>
                <w:p w14:paraId="501AFB2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严格落实国家产业政策、国家产业结构调整指导目录。坚决遏制高耗能、高排放、低水平项目盲目发展，项目审批严格落实国家和云南省相关政策要求。严格落实钢铁、水泥、平板玻璃、电解铝等行业产能置换相关政策，严管严控新增电解铝和工业硅产能。</w:t>
                  </w:r>
                </w:p>
                <w:p w14:paraId="18EBBA3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加强河湖水域岸线空间管控，严格落实九大高原湖泊（抚仙湖、星云湖、杞麓湖）“两线三区”相关管控要求。加快推动重点区域、重点流域落后和过剩产能退出。依法加快城市建成区重污染企业搬迁改造或关闭退出。</w:t>
                  </w:r>
                </w:p>
                <w:p w14:paraId="763A236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禁止在合规园区外新建、扩建钢铁、石化、化工、焦化、建材、有色、制浆造纸行业中的高污染项目。禁止新建、扩建不符合国家石化、现代煤化工等产业布局规划的项目。禁止列入《云南省城镇人口密集区危险化学品生产企业搬迁改造名单》的搬迁改造企业在原址新建、扩建危险化学品生产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p w14:paraId="29EDEF6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4.禁止在九大高原湖泊（抚仙湖、星云湖、杞麓湖）流域内新建、改建、扩建污染环境、高耗水、高耗能、破坏生态平衡和自然景观的项目。</w:t>
                  </w:r>
                </w:p>
                <w:p w14:paraId="1A41BF1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5.落实云南省碳达峰碳中和相关要求，处理好发展和减排、整体和局部、长远目标和短期目标、政府和市场的关系，坚定不移走生态优先、绿色低碳的高质量发展道路。</w:t>
                  </w:r>
                </w:p>
              </w:tc>
              <w:tc>
                <w:tcPr>
                  <w:tcW w:w="1720" w:type="pct"/>
                  <w:noWrap w:val="0"/>
                  <w:vAlign w:val="center"/>
                </w:tcPr>
                <w:p w14:paraId="58457DAF">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1.项目性质为新建，</w:t>
                  </w:r>
                  <w:r>
                    <w:rPr>
                      <w:rFonts w:hint="eastAsia" w:cs="Times New Roman"/>
                      <w:color w:val="auto"/>
                      <w:szCs w:val="21"/>
                      <w:lang w:val="en-US" w:eastAsia="zh-CN"/>
                    </w:rPr>
                    <w:t>根据华宁县自然资源局查询结果可知占地</w:t>
                  </w:r>
                  <w:r>
                    <w:rPr>
                      <w:rFonts w:hint="eastAsia" w:ascii="Times New Roman" w:hAnsi="Times New Roman" w:eastAsia="宋体" w:cs="Times New Roman"/>
                      <w:color w:val="auto"/>
                      <w:szCs w:val="21"/>
                      <w:lang w:val="en-US" w:eastAsia="zh-CN"/>
                    </w:rPr>
                    <w:t>不在生态红线范围内。对照《产业结构调整指导目录》（2024年本）本项目属于“鼓励类”，符合产业政策。</w:t>
                  </w:r>
                </w:p>
                <w:p w14:paraId="5F64C75A">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2.本项目不在“三湖”流域范围内。</w:t>
                  </w:r>
                </w:p>
                <w:p w14:paraId="03636BFA">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3.本项目属于利用废弃资源制造砖瓦的项目，</w:t>
                  </w:r>
                  <w:r>
                    <w:rPr>
                      <w:rFonts w:hint="eastAsia" w:cs="Times New Roman"/>
                      <w:color w:val="auto"/>
                      <w:sz w:val="21"/>
                      <w:szCs w:val="21"/>
                      <w:lang w:val="en-US" w:eastAsia="zh-CN"/>
                    </w:rPr>
                    <w:t>华宁县白塔山陶器厂（新厂）</w:t>
                  </w:r>
                  <w:r>
                    <w:rPr>
                      <w:rFonts w:hint="default" w:ascii="Times New Roman" w:hAnsi="Times New Roman" w:eastAsia="宋体" w:cs="Times New Roman"/>
                      <w:color w:val="auto"/>
                      <w:kern w:val="2"/>
                      <w:sz w:val="21"/>
                      <w:szCs w:val="21"/>
                      <w:lang w:val="en-US" w:eastAsia="zh-CN" w:bidi="ar-SA"/>
                    </w:rPr>
                    <w:t>于20</w:t>
                  </w:r>
                  <w:r>
                    <w:rPr>
                      <w:rFonts w:hint="eastAsia" w:cs="Times New Roman"/>
                      <w:color w:val="auto"/>
                      <w:kern w:val="2"/>
                      <w:sz w:val="21"/>
                      <w:szCs w:val="21"/>
                      <w:lang w:val="en-US" w:eastAsia="zh-CN" w:bidi="ar-SA"/>
                    </w:rPr>
                    <w:t>20</w:t>
                  </w:r>
                  <w:r>
                    <w:rPr>
                      <w:rFonts w:hint="default" w:ascii="Times New Roman" w:hAnsi="Times New Roman" w:eastAsia="宋体" w:cs="Times New Roman"/>
                      <w:color w:val="auto"/>
                      <w:kern w:val="2"/>
                      <w:sz w:val="21"/>
                      <w:szCs w:val="21"/>
                      <w:lang w:val="en-US" w:eastAsia="zh-CN" w:bidi="ar-SA"/>
                    </w:rPr>
                    <w:t>年</w:t>
                  </w:r>
                  <w:r>
                    <w:rPr>
                      <w:rFonts w:hint="eastAsia" w:cs="Times New Roman"/>
                      <w:color w:val="auto"/>
                      <w:kern w:val="2"/>
                      <w:sz w:val="21"/>
                      <w:szCs w:val="21"/>
                      <w:lang w:val="en-US" w:eastAsia="zh-CN" w:bidi="ar-SA"/>
                    </w:rPr>
                    <w:t>7</w:t>
                  </w:r>
                  <w:r>
                    <w:rPr>
                      <w:rFonts w:hint="default" w:ascii="Times New Roman" w:hAnsi="Times New Roman" w:eastAsia="宋体" w:cs="Times New Roman"/>
                      <w:color w:val="auto"/>
                      <w:kern w:val="2"/>
                      <w:sz w:val="21"/>
                      <w:szCs w:val="21"/>
                      <w:lang w:val="en-US" w:eastAsia="zh-CN" w:bidi="ar-SA"/>
                    </w:rPr>
                    <w:t>月</w:t>
                  </w:r>
                  <w:r>
                    <w:rPr>
                      <w:rFonts w:hint="eastAsia" w:cs="Times New Roman"/>
                      <w:color w:val="auto"/>
                      <w:kern w:val="2"/>
                      <w:sz w:val="21"/>
                      <w:szCs w:val="21"/>
                      <w:lang w:val="en-US" w:eastAsia="zh-CN" w:bidi="ar-SA"/>
                    </w:rPr>
                    <w:t>20日被华宁县环境监测大队查处，在未办理环境影响评价手续的情况下完成三座土窑的建设；10月9日玉溪市生态环境局华宁分局对项目进行了处罚，根据</w:t>
                  </w:r>
                  <w:r>
                    <w:rPr>
                      <w:rFonts w:hint="eastAsia" w:ascii="Times New Roman" w:hAnsi="Times New Roman" w:eastAsia="宋体" w:cs="Times New Roman"/>
                      <w:color w:val="auto"/>
                      <w:kern w:val="2"/>
                      <w:sz w:val="21"/>
                      <w:szCs w:val="21"/>
                      <w:lang w:val="en-US" w:eastAsia="zh-CN" w:bidi="ar-SA"/>
                    </w:rPr>
                    <w:t>2022年10月2日华宁县人民政府办公室发布的《华宁县人民政府办公室关于印发华宁县青砖瓦生产企业整治工作方案的通知》（华政办通〔2022〕38号），</w:t>
                  </w:r>
                  <w:r>
                    <w:rPr>
                      <w:rFonts w:hint="eastAsia" w:cs="Times New Roman"/>
                      <w:color w:val="auto"/>
                      <w:sz w:val="21"/>
                      <w:szCs w:val="21"/>
                      <w:lang w:val="en-US" w:eastAsia="zh-CN"/>
                    </w:rPr>
                    <w:t>华宁县白塔山陶器厂（老厂）已经依法关闭退出</w:t>
                  </w:r>
                  <w:r>
                    <w:rPr>
                      <w:rFonts w:hint="eastAsia" w:cs="Times New Roman"/>
                      <w:color w:val="auto"/>
                      <w:kern w:val="2"/>
                      <w:sz w:val="21"/>
                      <w:szCs w:val="21"/>
                      <w:lang w:val="en-US" w:eastAsia="zh-CN" w:bidi="ar-SA"/>
                    </w:rPr>
                    <w:t>；</w:t>
                  </w:r>
                  <w:r>
                    <w:rPr>
                      <w:rFonts w:hint="eastAsia" w:cs="Times New Roman"/>
                      <w:color w:val="auto"/>
                      <w:sz w:val="21"/>
                      <w:szCs w:val="21"/>
                      <w:lang w:val="en-US" w:eastAsia="zh-CN"/>
                    </w:rPr>
                    <w:t>华宁县白塔山陶器厂（新厂）</w:t>
                  </w:r>
                  <w:r>
                    <w:rPr>
                      <w:rFonts w:hint="eastAsia" w:cs="Times New Roman"/>
                      <w:color w:val="auto"/>
                      <w:kern w:val="2"/>
                      <w:sz w:val="21"/>
                      <w:szCs w:val="21"/>
                      <w:lang w:val="en-US" w:eastAsia="zh-CN" w:bidi="ar-SA"/>
                    </w:rPr>
                    <w:t>属于需要巩固提升的青砖瓦企业，项目改建后总产能不发生改变，仍为900万件；根据本次评价核算，改建后项目颗粒物排放量削减了27.96t/a；二氧化硫排放量削减了17.7t/a，氮氧化物排放量削减了1.378t/a，氟化物排放量削减了0.767t/a，符合</w:t>
                  </w:r>
                  <w:r>
                    <w:rPr>
                      <w:rFonts w:hint="eastAsia" w:ascii="Times New Roman" w:hAnsi="Times New Roman" w:eastAsia="宋体" w:cs="Times New Roman"/>
                      <w:color w:val="auto"/>
                      <w:sz w:val="21"/>
                      <w:szCs w:val="21"/>
                      <w:lang w:val="en-US" w:eastAsia="zh-CN"/>
                    </w:rPr>
                    <w:t>生态环境保护法律法规和相关法定规划</w:t>
                  </w:r>
                  <w:r>
                    <w:rPr>
                      <w:rFonts w:hint="eastAsia" w:ascii="Times New Roman" w:hAnsi="Times New Roman" w:eastAsia="宋体" w:cs="Times New Roman"/>
                      <w:color w:val="auto"/>
                      <w:szCs w:val="21"/>
                      <w:lang w:val="en-US" w:eastAsia="zh-CN"/>
                    </w:rPr>
                    <w:t>；</w:t>
                  </w:r>
                  <w:r>
                    <w:rPr>
                      <w:rFonts w:hint="eastAsia" w:cs="Times New Roman"/>
                      <w:color w:val="auto"/>
                      <w:szCs w:val="21"/>
                      <w:lang w:val="en-US" w:eastAsia="zh-CN"/>
                    </w:rPr>
                    <w:t>本项目</w:t>
                  </w:r>
                  <w:r>
                    <w:rPr>
                      <w:rFonts w:hint="eastAsia" w:ascii="Times New Roman" w:hAnsi="Times New Roman" w:eastAsia="宋体" w:cs="Times New Roman"/>
                      <w:color w:val="auto"/>
                      <w:szCs w:val="21"/>
                      <w:lang w:val="en-US" w:eastAsia="zh-CN"/>
                    </w:rPr>
                    <w:t>不属于列入《云南省城镇人口密集区危险化学品生产企业搬迁改造名单》的搬迁改造企业。</w:t>
                  </w:r>
                </w:p>
                <w:p w14:paraId="7B40C74E">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szCs w:val="21"/>
                      <w:lang w:val="en-US" w:eastAsia="zh-CN"/>
                    </w:rPr>
                    <w:t>4.本项目不在“三湖”流域范围内。</w:t>
                  </w:r>
                </w:p>
                <w:p w14:paraId="556FC6D9">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420" w:firstLineChars="200"/>
                    <w:jc w:val="both"/>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Cs w:val="21"/>
                      <w:lang w:val="en-US" w:eastAsia="zh-CN"/>
                    </w:rPr>
                    <w:t>5.根据《云南省人民政府关于印发云南省碳达峰实施方案的通知》，主要推动钢铁、建材、有色金属、化工、交通、能源、建筑等领域绿色低碳技术应用和设计，本项目所处行业暂无明确碳达峰碳中和相关要求，若本环评审批后，相关政策文件下发，则依据相关政策要求进行碳达峰碳中和工作。</w:t>
                  </w:r>
                </w:p>
              </w:tc>
              <w:tc>
                <w:tcPr>
                  <w:tcW w:w="514" w:type="pct"/>
                  <w:noWrap w:val="0"/>
                  <w:vAlign w:val="center"/>
                </w:tcPr>
                <w:p w14:paraId="4FB1E481">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EA47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jc w:val="center"/>
              </w:trPr>
              <w:tc>
                <w:tcPr>
                  <w:tcW w:w="392" w:type="pct"/>
                  <w:noWrap w:val="0"/>
                  <w:vAlign w:val="center"/>
                </w:tcPr>
                <w:p w14:paraId="1236F79D">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污染物排放管控</w:t>
                  </w:r>
                </w:p>
              </w:tc>
              <w:tc>
                <w:tcPr>
                  <w:tcW w:w="2372" w:type="pct"/>
                  <w:noWrap w:val="0"/>
                  <w:vAlign w:val="center"/>
                </w:tcPr>
                <w:p w14:paraId="2134E51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1.严格落实强制性清洁生产审核要求，引导重点行业实施清洁生产改造，到2025年底，重点行业企业基本达到国内清洁生产先进水平。</w:t>
                  </w:r>
                </w:p>
                <w:p w14:paraId="65E55FC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加大“三湖”（抚仙湖、星云湖、杞麓湖）及“两江”（南盘江干流、红河水系玉溪段）流域的保护和治理，推进流域环湖截污治污，加强湖泊内源污染风险防范，开展污水处理提质增效、农业面源污染治理、入河排污口整治、开发区污染治理、“三磷”和重金属行业排查等专项行动，建立水环境质量管理长效机制，持续巩固治理成效。持续打好城市黑臭水体治理攻坚战，有效控制入河污染物排放，强化溯源整治，推进城镇污水管网全覆盖。</w:t>
                  </w:r>
                </w:p>
                <w:p w14:paraId="0D11806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3.严格保护城乡饮用水水源地，整治饮用水水源保护区内的污染源，确保饮水安全。</w:t>
                  </w:r>
                </w:p>
                <w:p w14:paraId="380F114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开展细颗粒物和臭氧协同控制、挥发性有机物和氮氧化物协同减排。石化、化工、包装印刷、工业涂装等VOCs排放重点源，纳入重点排污单位名录，推进挥发性有机物综合治理，实施原辅材料和产品源头替代工程，排污口安装自动监控设施。推进运输结构调整，开展清洁柴油车（机）、清洁油品、车用尿素等专项行动，开展建筑施工工地扬尘专项治理；加大餐饮油烟污染、恶臭异味治理力度，强化秸秆综合利用和禁烧管控。推动有色金属、钢铁、磷化工、建材等重点行业节能降碳升级改造，淘汰落后工艺技术和生产装置，实施煤电、水泥、焦化企业超低排放改造，到2025年，钢铁行业全面完成超低排放改造。</w:t>
                  </w:r>
                </w:p>
                <w:p w14:paraId="5A52252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5.加大环境污染物减排力度，到2025年，实现氮氧化物减排1224吨，挥发性有机物减排1393吨，化学需氧量减排2461吨，氨氮减排230吨。</w:t>
                  </w:r>
                </w:p>
                <w:p w14:paraId="7AB68F6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严格管控农用地，不得在特定农产品禁止生产区域种植食用农产品；安全利用农用地，制定受污染耕地安全利用方案，降低农产品超标风险。合理规划污染地块土地用途，从严管控农药、化工、有色金属等行业企业重度污染地块开发利用，对列入建设用地土壤污染风险管控和修复名录的地块不得作为住宅、公共管理与公共服务用地，不得办理土地征收、收回、收购、土地供应以及改变土地用途等手续，应当依法开展土壤污染状况调查、治理与修复，并符合相应规划用地土壤环境质量要求后，方可进入用地程序。</w:t>
                  </w:r>
                </w:p>
                <w:p w14:paraId="594979A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加快“无废城市”建设，产生工业固体废物的单位应当建立健全工业固体废物产生、收集、贮存、运输、利用、处置全过程的污染环境防治责任制度，按照国家有关规定建立工业固体废物管理台账，加强重金属污染物排放管理，落实区域“减量替代”和“等量替代”要求，重金属污染物排放量2025年比2020年削减4%。</w:t>
                  </w:r>
                </w:p>
                <w:p w14:paraId="1794429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到2025年，中心城区细颗粒物（PM2.5）平均浓度控制在21微克/立方米以内，城市空气质量优良天数比率达到98.5%以上，坚决防范重度及以上污染天气发生，全市地表水国控断面优良水体比例达80%，消除城市黑臭水体，消除劣Ⅴ类水体。</w:t>
                  </w:r>
                </w:p>
              </w:tc>
              <w:tc>
                <w:tcPr>
                  <w:tcW w:w="1720" w:type="pct"/>
                  <w:noWrap w:val="0"/>
                  <w:vAlign w:val="center"/>
                </w:tcPr>
                <w:p w14:paraId="029E513C">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1.本项目不属于重点行业，若本环评审批后，相关政策文件下发，则依据相关政策要求进行清洁生产工作。</w:t>
                  </w:r>
                </w:p>
                <w:p w14:paraId="21C6F462">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2.项目不位于“三湖”及“两江”流域范围内。</w:t>
                  </w:r>
                </w:p>
                <w:p w14:paraId="0C485C62">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3.本项目不在饮用水水源地范围内。</w:t>
                  </w:r>
                </w:p>
                <w:p w14:paraId="49F7891E">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本项目施工期采取扬尘治理方案。运营期采取有效去除颗粒物的设施处理项目产生的废气，处理达标后的废气通过排气筒排放。本项目不涉及餐饮业、恶臭异味，不使用秸秆。不属于有色金属、钢铁、磷化工、建材等重点行业。</w:t>
                  </w:r>
                </w:p>
                <w:p w14:paraId="77956ED7">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5.本项目产生的</w:t>
                  </w:r>
                  <w:r>
                    <w:rPr>
                      <w:rFonts w:hint="eastAsia" w:cs="Times New Roman"/>
                      <w:color w:val="auto"/>
                      <w:szCs w:val="21"/>
                      <w:lang w:val="en-US" w:eastAsia="zh-CN"/>
                    </w:rPr>
                    <w:t>烧成废气经一套布袋除尘器+脱硫塔处理，处理后的废气通过15m高排气筒排放，排放口编码为DA001</w:t>
                  </w:r>
                  <w:r>
                    <w:rPr>
                      <w:rFonts w:hint="eastAsia" w:ascii="Times New Roman" w:hAnsi="Times New Roman" w:eastAsia="宋体" w:cs="Times New Roman"/>
                      <w:color w:val="auto"/>
                      <w:szCs w:val="21"/>
                      <w:lang w:val="en-US" w:eastAsia="zh-CN"/>
                    </w:rPr>
                    <w:t>；</w:t>
                  </w:r>
                  <w:r>
                    <w:rPr>
                      <w:rFonts w:hint="default" w:ascii="Times New Roman" w:hAnsi="Times New Roman" w:cs="Times New Roman"/>
                      <w:b w:val="0"/>
                      <w:bCs/>
                      <w:color w:val="auto"/>
                      <w:sz w:val="21"/>
                      <w:szCs w:val="21"/>
                      <w:lang w:val="en-US" w:eastAsia="zh-CN"/>
                    </w:rPr>
                    <w:t>本项目</w:t>
                  </w:r>
                  <w:r>
                    <w:rPr>
                      <w:rFonts w:hint="eastAsia" w:cs="Times New Roman"/>
                      <w:b w:val="0"/>
                      <w:bCs/>
                      <w:color w:val="auto"/>
                      <w:sz w:val="21"/>
                      <w:szCs w:val="21"/>
                      <w:lang w:val="en-US" w:eastAsia="zh-CN"/>
                    </w:rPr>
                    <w:t>生产废水为脱硫塔循环水，100%循环使用不外排；生活污水</w:t>
                  </w:r>
                  <w:r>
                    <w:rPr>
                      <w:rFonts w:hint="eastAsia"/>
                      <w:b w:val="0"/>
                      <w:bCs/>
                      <w:color w:val="auto"/>
                      <w:sz w:val="21"/>
                      <w:szCs w:val="21"/>
                      <w:lang w:val="en-US" w:eastAsia="zh-CN"/>
                    </w:rPr>
                    <w:t>委托环卫车辆运送至华宁北控环保水务有限公司管理运营的华宁县城污水处理厂处理</w:t>
                  </w:r>
                  <w:r>
                    <w:rPr>
                      <w:rFonts w:hint="eastAsia" w:ascii="Times New Roman" w:hAnsi="Times New Roman" w:eastAsia="宋体" w:cs="Times New Roman"/>
                      <w:color w:val="auto"/>
                      <w:szCs w:val="21"/>
                      <w:lang w:val="en-US" w:eastAsia="zh-CN"/>
                    </w:rPr>
                    <w:t>。</w:t>
                  </w:r>
                </w:p>
                <w:p w14:paraId="244C5AE0">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6.项目不属于农用地，不属于列入建设用地土壤污染风险管控和修复名录的地块。</w:t>
                  </w:r>
                </w:p>
                <w:p w14:paraId="77B61D20">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7.建立健全工业固体废物产生、收集、贮存、运输、利用、处置全过程的污染环境防治责任制度，按照国家有关规定建立工业固体废物管理台账，本项目产生的固废清运处置率100%，不涉及重金属污染物。</w:t>
                  </w:r>
                </w:p>
                <w:p w14:paraId="084C7BEB">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420" w:firstLineChars="20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Cs w:val="21"/>
                      <w:lang w:val="en-US" w:eastAsia="zh-CN"/>
                    </w:rPr>
                    <w:t>8.本项目产生的烧成废气经一套布袋除尘器+脱硫塔处理，处理后的废气</w:t>
                  </w:r>
                  <w:r>
                    <w:rPr>
                      <w:rFonts w:hint="eastAsia" w:cs="Times New Roman"/>
                      <w:color w:val="auto"/>
                      <w:szCs w:val="21"/>
                      <w:lang w:val="en-US" w:eastAsia="zh-CN"/>
                    </w:rPr>
                    <w:t>通过15</w:t>
                  </w:r>
                  <w:r>
                    <w:rPr>
                      <w:rFonts w:hint="eastAsia" w:ascii="Times New Roman" w:hAnsi="Times New Roman" w:eastAsia="宋体" w:cs="Times New Roman"/>
                      <w:color w:val="auto"/>
                      <w:szCs w:val="21"/>
                      <w:lang w:val="en-US" w:eastAsia="zh-CN"/>
                    </w:rPr>
                    <w:t>m高排气筒排放，排放口编码为DA001；</w:t>
                  </w:r>
                  <w:r>
                    <w:rPr>
                      <w:rFonts w:hint="default" w:ascii="Times New Roman" w:hAnsi="Times New Roman" w:cs="Times New Roman"/>
                      <w:b w:val="0"/>
                      <w:bCs/>
                      <w:color w:val="auto"/>
                      <w:sz w:val="21"/>
                      <w:szCs w:val="21"/>
                      <w:lang w:val="en-US" w:eastAsia="zh-CN"/>
                    </w:rPr>
                    <w:t>本项目</w:t>
                  </w:r>
                  <w:r>
                    <w:rPr>
                      <w:rFonts w:hint="eastAsia" w:cs="Times New Roman"/>
                      <w:b w:val="0"/>
                      <w:bCs/>
                      <w:color w:val="auto"/>
                      <w:sz w:val="21"/>
                      <w:szCs w:val="21"/>
                      <w:lang w:val="en-US" w:eastAsia="zh-CN"/>
                    </w:rPr>
                    <w:t>生产废水为脱硫塔循环水，100%循环使用不外排；生活污水经化粪池预处理</w:t>
                  </w:r>
                  <w:r>
                    <w:rPr>
                      <w:rFonts w:hint="eastAsia"/>
                      <w:b w:val="0"/>
                      <w:bCs/>
                      <w:color w:val="auto"/>
                      <w:sz w:val="21"/>
                      <w:szCs w:val="21"/>
                      <w:lang w:eastAsia="zh-CN"/>
                    </w:rPr>
                    <w:t>后，</w:t>
                  </w:r>
                  <w:r>
                    <w:rPr>
                      <w:rFonts w:hint="eastAsia"/>
                      <w:b w:val="0"/>
                      <w:bCs/>
                      <w:color w:val="auto"/>
                      <w:sz w:val="21"/>
                      <w:szCs w:val="21"/>
                      <w:lang w:val="en-US" w:eastAsia="zh-CN"/>
                    </w:rPr>
                    <w:t>委托环卫车辆运送至华宁北控环保水务有限公司管理运营的华宁县城污水处理厂处理</w:t>
                  </w:r>
                  <w:r>
                    <w:rPr>
                      <w:rFonts w:hint="eastAsia" w:ascii="Times New Roman" w:hAnsi="Times New Roman" w:eastAsia="宋体" w:cs="Times New Roman"/>
                      <w:color w:val="auto"/>
                      <w:szCs w:val="21"/>
                      <w:lang w:val="en-US" w:eastAsia="zh-CN"/>
                    </w:rPr>
                    <w:t>。</w:t>
                  </w:r>
                </w:p>
              </w:tc>
              <w:tc>
                <w:tcPr>
                  <w:tcW w:w="514" w:type="pct"/>
                  <w:noWrap w:val="0"/>
                  <w:vAlign w:val="center"/>
                </w:tcPr>
                <w:p w14:paraId="6878FD79">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5908E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jc w:val="center"/>
              </w:trPr>
              <w:tc>
                <w:tcPr>
                  <w:tcW w:w="392" w:type="pct"/>
                  <w:noWrap w:val="0"/>
                  <w:vAlign w:val="center"/>
                </w:tcPr>
                <w:p w14:paraId="4F392A67">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环境风险防控</w:t>
                  </w:r>
                </w:p>
              </w:tc>
              <w:tc>
                <w:tcPr>
                  <w:tcW w:w="2372" w:type="pct"/>
                  <w:noWrap w:val="0"/>
                  <w:vAlign w:val="center"/>
                </w:tcPr>
                <w:p w14:paraId="08F7787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1.强化与其他滇中城市的大气、水污染防治联防联控协作机制，加强区域内重污染天气和跨界水体风险应急联动。</w:t>
                  </w:r>
                </w:p>
                <w:p w14:paraId="74F2757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开展涉危险废物涉重金属企业、化工园区等重点领域环境风险调查评估，加强危险化学品运输全链条安全监管。完善环境应急管理体系，提升市县两级环境应急响应能力，推进应急物资库建设。开展涉铊企业排查整治行动。建立“平战结合”医疗废物应急处置体系。</w:t>
                  </w:r>
                </w:p>
              </w:tc>
              <w:tc>
                <w:tcPr>
                  <w:tcW w:w="1720" w:type="pct"/>
                  <w:noWrap w:val="0"/>
                  <w:vAlign w:val="center"/>
                </w:tcPr>
                <w:p w14:paraId="35792989">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420" w:firstLineChars="20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Cs w:val="21"/>
                      <w:lang w:val="en-US" w:eastAsia="zh-CN"/>
                    </w:rPr>
                    <w:t>本项目危险废物不涉及重金属、医疗废物，不位于化工园区等重点领域。项目产生的危险废物暂存于</w:t>
                  </w:r>
                  <w:r>
                    <w:rPr>
                      <w:rFonts w:hint="eastAsia" w:cs="Times New Roman"/>
                      <w:color w:val="auto"/>
                      <w:szCs w:val="21"/>
                      <w:lang w:val="en-US" w:eastAsia="zh-CN"/>
                    </w:rPr>
                    <w:t>危废贮存库</w:t>
                  </w:r>
                  <w:r>
                    <w:rPr>
                      <w:rFonts w:hint="eastAsia" w:ascii="Times New Roman" w:hAnsi="Times New Roman" w:eastAsia="宋体" w:cs="Times New Roman"/>
                      <w:color w:val="auto"/>
                      <w:szCs w:val="21"/>
                      <w:lang w:val="en-US" w:eastAsia="zh-CN"/>
                    </w:rPr>
                    <w:t>，定期委托有资质单位清运处置。</w:t>
                  </w:r>
                </w:p>
              </w:tc>
              <w:tc>
                <w:tcPr>
                  <w:tcW w:w="514" w:type="pct"/>
                  <w:noWrap w:val="0"/>
                  <w:vAlign w:val="center"/>
                </w:tcPr>
                <w:p w14:paraId="2B1364FD">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0B958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jc w:val="center"/>
              </w:trPr>
              <w:tc>
                <w:tcPr>
                  <w:tcW w:w="392" w:type="pct"/>
                  <w:noWrap w:val="0"/>
                  <w:vAlign w:val="center"/>
                </w:tcPr>
                <w:p w14:paraId="60080150">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资源开发利用效率</w:t>
                  </w:r>
                </w:p>
              </w:tc>
              <w:tc>
                <w:tcPr>
                  <w:tcW w:w="2372" w:type="pct"/>
                  <w:noWrap w:val="0"/>
                  <w:vAlign w:val="center"/>
                </w:tcPr>
                <w:p w14:paraId="687A013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1.降低水、土地、能源、矿产资源消耗强度，强化约束性指标管理。</w:t>
                  </w:r>
                </w:p>
                <w:p w14:paraId="46B8039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2.实行最严格的水资源管理制度，严格用水总量、强度指标管理，严格取水管控，建立重点监控取水单位名录，强化重点监控取水单位管理。全市年用水总量、万元工业增加值用水量降幅等指标达到省考核要求。</w:t>
                  </w:r>
                </w:p>
                <w:p w14:paraId="483873A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3.坚持最严格的耕地保护制度，守住耕地保护红线。坚持节约用地，严格执行耕地占补平衡等制度，提高土地投资强度和单位面积产出水平。</w:t>
                  </w:r>
                </w:p>
                <w:p w14:paraId="34454DD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4.全市单位GDP二氧化碳排放累计下降率完成云南省下达的指标；单位GDP能耗持续下降，到2025年，全市单位GDP能耗累计下降率14%。</w:t>
                  </w:r>
                </w:p>
                <w:p w14:paraId="49FA2E1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5.高污染燃料禁燃区按照《高污染燃料目录》及当地有关禁燃区管理规定执行。</w:t>
                  </w:r>
                </w:p>
                <w:p w14:paraId="2138FEF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420" w:firstLineChars="200"/>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6.实施高效节水灌溉工程，大力推广高效节水灌溉措施，到2025年，农田灌溉水有效利用系数达到0.55。</w:t>
                  </w:r>
                </w:p>
              </w:tc>
              <w:tc>
                <w:tcPr>
                  <w:tcW w:w="1720" w:type="pct"/>
                  <w:noWrap w:val="0"/>
                  <w:vAlign w:val="center"/>
                </w:tcPr>
                <w:p w14:paraId="737C23DD">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420" w:firstLineChars="20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Cs w:val="21"/>
                      <w:lang w:val="en-US" w:eastAsia="zh-CN"/>
                    </w:rPr>
                    <w:t>本项目运营会消耗一定量电能、水资源，水、电消耗量较区域总量来说，占比很小；不占用耕地；</w:t>
                  </w:r>
                  <w:r>
                    <w:rPr>
                      <w:rFonts w:hint="eastAsia" w:cs="Times New Roman"/>
                      <w:color w:val="auto"/>
                      <w:szCs w:val="21"/>
                      <w:lang w:val="en-US" w:eastAsia="zh-CN"/>
                    </w:rPr>
                    <w:t>本项目前期使用煤，根据《华宁县中心城区禁燃区划定范围图》，不在华宁县高污染燃料禁燃区，详见附件</w:t>
                  </w:r>
                  <w:r>
                    <w:rPr>
                      <w:rFonts w:hint="eastAsia" w:ascii="Times New Roman" w:hAnsi="Times New Roman" w:eastAsia="宋体" w:cs="Times New Roman"/>
                      <w:color w:val="auto"/>
                      <w:szCs w:val="21"/>
                      <w:lang w:val="en-US" w:eastAsia="zh-CN"/>
                    </w:rPr>
                    <w:t>；不涉及农田灌溉。</w:t>
                  </w:r>
                </w:p>
              </w:tc>
              <w:tc>
                <w:tcPr>
                  <w:tcW w:w="514" w:type="pct"/>
                  <w:noWrap w:val="0"/>
                  <w:vAlign w:val="center"/>
                </w:tcPr>
                <w:p w14:paraId="79F0A4B5">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04F4E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000" w:type="pct"/>
                  <w:gridSpan w:val="4"/>
                  <w:noWrap w:val="0"/>
                  <w:vAlign w:val="center"/>
                </w:tcPr>
                <w:p w14:paraId="49DF3F1F">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b/>
                      <w:bCs/>
                      <w:color w:val="auto"/>
                      <w:sz w:val="21"/>
                      <w:szCs w:val="21"/>
                      <w:lang w:val="en-US" w:eastAsia="zh-CN"/>
                    </w:rPr>
                    <w:t>《玉溪市生态环境局关于印发玉溪市生态环境分区管控动态更新调整方案（2023年）的通知》（玉市环〔2024〕40号）</w:t>
                  </w:r>
                </w:p>
              </w:tc>
            </w:tr>
            <w:tr w14:paraId="3EB27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000" w:type="pct"/>
                  <w:gridSpan w:val="4"/>
                  <w:noWrap w:val="0"/>
                  <w:vAlign w:val="center"/>
                </w:tcPr>
                <w:p w14:paraId="531F0ACE">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华宁县</w:t>
                  </w:r>
                  <w:r>
                    <w:rPr>
                      <w:rFonts w:hint="default" w:ascii="Times New Roman" w:hAnsi="Times New Roman" w:eastAsia="宋体" w:cs="Times New Roman"/>
                      <w:b/>
                      <w:bCs/>
                      <w:color w:val="auto"/>
                      <w:sz w:val="21"/>
                      <w:szCs w:val="21"/>
                      <w:lang w:val="en-US" w:eastAsia="zh-CN"/>
                    </w:rPr>
                    <w:t>产业园区重点管控单元</w:t>
                  </w:r>
                </w:p>
              </w:tc>
            </w:tr>
            <w:tr w14:paraId="4FC11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392" w:type="pct"/>
                  <w:noWrap w:val="0"/>
                  <w:vAlign w:val="center"/>
                </w:tcPr>
                <w:p w14:paraId="15CD3217">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rPr>
                    <w:t>项目</w:t>
                  </w:r>
                </w:p>
              </w:tc>
              <w:tc>
                <w:tcPr>
                  <w:tcW w:w="2372" w:type="pct"/>
                  <w:noWrap w:val="0"/>
                  <w:vAlign w:val="center"/>
                </w:tcPr>
                <w:p w14:paraId="3E54E241">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rPr>
                    <w:t>分析内容</w:t>
                  </w:r>
                </w:p>
              </w:tc>
              <w:tc>
                <w:tcPr>
                  <w:tcW w:w="1720" w:type="pct"/>
                  <w:noWrap w:val="0"/>
                  <w:vAlign w:val="center"/>
                </w:tcPr>
                <w:p w14:paraId="13D77F0D">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b/>
                      <w:bCs/>
                      <w:color w:val="auto"/>
                      <w:sz w:val="21"/>
                      <w:szCs w:val="21"/>
                    </w:rPr>
                    <w:t>项目情况</w:t>
                  </w:r>
                </w:p>
              </w:tc>
              <w:tc>
                <w:tcPr>
                  <w:tcW w:w="514" w:type="pct"/>
                  <w:noWrap w:val="0"/>
                  <w:vAlign w:val="center"/>
                </w:tcPr>
                <w:p w14:paraId="5A2A0A25">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lang w:eastAsia="zh-CN"/>
                    </w:rPr>
                    <w:t>符合性</w:t>
                  </w:r>
                </w:p>
              </w:tc>
            </w:tr>
            <w:tr w14:paraId="3EF44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jc w:val="center"/>
              </w:trPr>
              <w:tc>
                <w:tcPr>
                  <w:tcW w:w="392" w:type="pct"/>
                  <w:noWrap w:val="0"/>
                  <w:vAlign w:val="center"/>
                </w:tcPr>
                <w:p w14:paraId="212C5596">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空间布局约束</w:t>
                  </w:r>
                </w:p>
              </w:tc>
              <w:tc>
                <w:tcPr>
                  <w:tcW w:w="2372" w:type="pct"/>
                  <w:noWrap w:val="0"/>
                  <w:vAlign w:val="center"/>
                </w:tcPr>
                <w:p w14:paraId="6EAAE86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合理规划产业分区和功能定位，禁止不符合产业政策、产业结构调整指导目录和园区规划要求的项目入园区。园区水泥等产业严格执行产能置换，严禁新增产能。</w:t>
                  </w:r>
                </w:p>
                <w:p w14:paraId="129C5F1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限制新增高耗水、水污染物排放强度高的工业企业进入。</w:t>
                  </w:r>
                </w:p>
              </w:tc>
              <w:tc>
                <w:tcPr>
                  <w:tcW w:w="1720" w:type="pct"/>
                  <w:noWrap w:val="0"/>
                  <w:vAlign w:val="center"/>
                </w:tcPr>
                <w:p w14:paraId="1526C3E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本项目</w:t>
                  </w:r>
                  <w:r>
                    <w:rPr>
                      <w:rFonts w:hint="eastAsia" w:ascii="Times New Roman" w:hAnsi="Times New Roman" w:eastAsia="宋体" w:cs="Times New Roman"/>
                      <w:color w:val="auto"/>
                      <w:sz w:val="21"/>
                      <w:szCs w:val="21"/>
                      <w:lang w:val="en-US" w:eastAsia="zh-CN"/>
                    </w:rPr>
                    <w:t>属于</w:t>
                  </w:r>
                  <w:r>
                    <w:rPr>
                      <w:rFonts w:hint="eastAsia" w:cs="Times New Roman"/>
                      <w:color w:val="auto"/>
                      <w:sz w:val="21"/>
                      <w:szCs w:val="21"/>
                      <w:lang w:val="en-US" w:eastAsia="zh-CN"/>
                    </w:rPr>
                    <w:t>仿古砖瓦制造</w:t>
                  </w:r>
                  <w:r>
                    <w:rPr>
                      <w:rFonts w:hint="eastAsia" w:ascii="Times New Roman" w:hAnsi="Times New Roman" w:eastAsia="宋体" w:cs="Times New Roman"/>
                      <w:color w:val="auto"/>
                      <w:sz w:val="21"/>
                      <w:szCs w:val="21"/>
                      <w:lang w:val="en-US" w:eastAsia="zh-CN"/>
                    </w:rPr>
                    <w:t>，根据《产业结构调整指导目录（</w:t>
                  </w:r>
                  <w:r>
                    <w:rPr>
                      <w:rFonts w:hint="default" w:ascii="Times New Roman" w:hAnsi="Times New Roman" w:eastAsia="宋体" w:cs="Times New Roman"/>
                      <w:color w:val="auto"/>
                      <w:sz w:val="21"/>
                      <w:szCs w:val="21"/>
                      <w:lang w:val="en-US" w:eastAsia="zh-CN"/>
                    </w:rPr>
                    <w:t>20</w:t>
                  </w:r>
                  <w:r>
                    <w:rPr>
                      <w:rFonts w:hint="eastAsia" w:ascii="Times New Roman" w:hAnsi="Times New Roman" w:eastAsia="宋体" w:cs="Times New Roman"/>
                      <w:color w:val="auto"/>
                      <w:sz w:val="21"/>
                      <w:szCs w:val="21"/>
                      <w:lang w:val="en-US" w:eastAsia="zh-CN"/>
                    </w:rPr>
                    <w:t>24年本）》可知，本项目属于</w:t>
                  </w:r>
                  <w:r>
                    <w:rPr>
                      <w:rFonts w:hint="eastAsia" w:cs="Times New Roman"/>
                      <w:color w:val="auto"/>
                      <w:sz w:val="21"/>
                      <w:szCs w:val="21"/>
                      <w:lang w:val="en-US" w:eastAsia="zh-CN"/>
                    </w:rPr>
                    <w:t>鼓励</w:t>
                  </w:r>
                  <w:r>
                    <w:rPr>
                      <w:rFonts w:hint="eastAsia" w:ascii="Times New Roman" w:hAnsi="Times New Roman" w:eastAsia="宋体" w:cs="Times New Roman"/>
                      <w:color w:val="auto"/>
                      <w:sz w:val="21"/>
                      <w:szCs w:val="21"/>
                      <w:lang w:val="en-US" w:eastAsia="zh-CN"/>
                    </w:rPr>
                    <w:t>类项目。</w:t>
                  </w:r>
                </w:p>
                <w:p w14:paraId="47FBC56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（2）本项目不属于高耗水项目，</w:t>
                  </w:r>
                  <w:r>
                    <w:rPr>
                      <w:rFonts w:hint="eastAsia" w:cs="Times New Roman"/>
                      <w:b w:val="0"/>
                      <w:bCs/>
                      <w:color w:val="auto"/>
                      <w:sz w:val="21"/>
                      <w:szCs w:val="21"/>
                      <w:lang w:val="en-US" w:eastAsia="zh-CN"/>
                    </w:rPr>
                    <w:t>生产废水为脱硫塔循环水，100%循环使用不外排；生活污水经化粪池预处理</w:t>
                  </w:r>
                  <w:r>
                    <w:rPr>
                      <w:rFonts w:hint="eastAsia"/>
                      <w:b w:val="0"/>
                      <w:bCs/>
                      <w:color w:val="auto"/>
                      <w:sz w:val="21"/>
                      <w:szCs w:val="21"/>
                      <w:lang w:eastAsia="zh-CN"/>
                    </w:rPr>
                    <w:t>后，</w:t>
                  </w:r>
                  <w:r>
                    <w:rPr>
                      <w:rFonts w:hint="eastAsia"/>
                      <w:b w:val="0"/>
                      <w:bCs/>
                      <w:color w:val="auto"/>
                      <w:sz w:val="21"/>
                      <w:szCs w:val="21"/>
                      <w:lang w:val="en-US" w:eastAsia="zh-CN"/>
                    </w:rPr>
                    <w:t>委托环卫车辆运送至华宁北控环保水务有限公司管理运营的华宁县城污水处理厂处理</w:t>
                  </w:r>
                  <w:r>
                    <w:rPr>
                      <w:rFonts w:hint="eastAsia" w:ascii="Times New Roman" w:hAnsi="Times New Roman" w:eastAsia="宋体" w:cs="Times New Roman"/>
                      <w:color w:val="auto"/>
                      <w:sz w:val="21"/>
                      <w:szCs w:val="21"/>
                      <w:lang w:val="en-US" w:eastAsia="zh-CN"/>
                    </w:rPr>
                    <w:t>。</w:t>
                  </w:r>
                </w:p>
              </w:tc>
              <w:tc>
                <w:tcPr>
                  <w:tcW w:w="514" w:type="pct"/>
                  <w:noWrap w:val="0"/>
                  <w:vAlign w:val="center"/>
                </w:tcPr>
                <w:p w14:paraId="649B4D18">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D0B7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392" w:type="pct"/>
                  <w:noWrap w:val="0"/>
                  <w:vAlign w:val="center"/>
                </w:tcPr>
                <w:p w14:paraId="2902F99A">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污染物排放管控</w:t>
                  </w:r>
                </w:p>
              </w:tc>
              <w:tc>
                <w:tcPr>
                  <w:tcW w:w="2372" w:type="pct"/>
                  <w:noWrap w:val="0"/>
                  <w:vAlign w:val="center"/>
                </w:tcPr>
                <w:p w14:paraId="4B12C66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现有</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两高</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企业应从原燃料清洁替代、节能降耗技术、余热余能利用、清洁运输方式等方面提出针对性的降碳措施与污染控制要求。新建</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两高</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项目依据区域环境质量改善目标，制定配套区域污染物削减方案，采取有效的污染物区域削减措施，腾出足够的环境容量。新建、扩建（转型升级</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的</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两高</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项目应采用先进适用的工艺技术和装备，单位产品物耗、能耗、水耗等达到清洁生产先进水平，依法制定并严格落实防治土壤与地下水污染的措施。已出台超低排放要求的</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两高</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行业建设项目应满足超低排放要求。</w:t>
                  </w:r>
                </w:p>
                <w:p w14:paraId="64468A8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加快雨水管网的建设，进一步实现园区雨污分流。生产废水由企业自建污水处理设施处理达标后回用，生活污水由片区配套污水处理设施处理达标后用作绿化及交通设施用水。</w:t>
                  </w:r>
                </w:p>
                <w:p w14:paraId="5E79A09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使用电能、天然气、生物质燃料等清洁能源为主要能源，逐步降低煤炭等高污染燃料的使用，降低大气污染物以及温室气体的排放。</w:t>
                  </w:r>
                </w:p>
                <w:p w14:paraId="2860CE2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采取严格分区防渗措施，定期开展土壤隐患排查，降低企业建设对周边土壤环境产生的影响。</w:t>
                  </w:r>
                </w:p>
              </w:tc>
              <w:tc>
                <w:tcPr>
                  <w:tcW w:w="1720" w:type="pct"/>
                  <w:noWrap w:val="0"/>
                  <w:vAlign w:val="center"/>
                </w:tcPr>
                <w:p w14:paraId="332B17A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Cs w:val="21"/>
                      <w:lang w:val="en-US" w:eastAsia="zh-CN"/>
                    </w:rPr>
                    <w:t>本项目属于利用废弃资源制造砖瓦的项目，</w:t>
                  </w:r>
                  <w:r>
                    <w:rPr>
                      <w:rFonts w:hint="eastAsia" w:cs="Times New Roman"/>
                      <w:color w:val="auto"/>
                      <w:sz w:val="21"/>
                      <w:szCs w:val="21"/>
                      <w:lang w:val="en-US" w:eastAsia="zh-CN"/>
                    </w:rPr>
                    <w:t>华宁县白塔山陶器厂（新厂）</w:t>
                  </w:r>
                  <w:r>
                    <w:rPr>
                      <w:rFonts w:hint="default" w:ascii="Times New Roman" w:hAnsi="Times New Roman" w:eastAsia="宋体" w:cs="Times New Roman"/>
                      <w:color w:val="auto"/>
                      <w:kern w:val="2"/>
                      <w:sz w:val="21"/>
                      <w:szCs w:val="21"/>
                      <w:lang w:val="en-US" w:eastAsia="zh-CN" w:bidi="ar-SA"/>
                    </w:rPr>
                    <w:t>于20</w:t>
                  </w:r>
                  <w:r>
                    <w:rPr>
                      <w:rFonts w:hint="eastAsia" w:cs="Times New Roman"/>
                      <w:color w:val="auto"/>
                      <w:kern w:val="2"/>
                      <w:sz w:val="21"/>
                      <w:szCs w:val="21"/>
                      <w:lang w:val="en-US" w:eastAsia="zh-CN" w:bidi="ar-SA"/>
                    </w:rPr>
                    <w:t>20</w:t>
                  </w:r>
                  <w:r>
                    <w:rPr>
                      <w:rFonts w:hint="default" w:ascii="Times New Roman" w:hAnsi="Times New Roman" w:eastAsia="宋体" w:cs="Times New Roman"/>
                      <w:color w:val="auto"/>
                      <w:kern w:val="2"/>
                      <w:sz w:val="21"/>
                      <w:szCs w:val="21"/>
                      <w:lang w:val="en-US" w:eastAsia="zh-CN" w:bidi="ar-SA"/>
                    </w:rPr>
                    <w:t>年</w:t>
                  </w:r>
                  <w:r>
                    <w:rPr>
                      <w:rFonts w:hint="eastAsia" w:cs="Times New Roman"/>
                      <w:color w:val="auto"/>
                      <w:kern w:val="2"/>
                      <w:sz w:val="21"/>
                      <w:szCs w:val="21"/>
                      <w:lang w:val="en-US" w:eastAsia="zh-CN" w:bidi="ar-SA"/>
                    </w:rPr>
                    <w:t>7</w:t>
                  </w:r>
                  <w:r>
                    <w:rPr>
                      <w:rFonts w:hint="default" w:ascii="Times New Roman" w:hAnsi="Times New Roman" w:eastAsia="宋体" w:cs="Times New Roman"/>
                      <w:color w:val="auto"/>
                      <w:kern w:val="2"/>
                      <w:sz w:val="21"/>
                      <w:szCs w:val="21"/>
                      <w:lang w:val="en-US" w:eastAsia="zh-CN" w:bidi="ar-SA"/>
                    </w:rPr>
                    <w:t>月</w:t>
                  </w:r>
                  <w:r>
                    <w:rPr>
                      <w:rFonts w:hint="eastAsia" w:cs="Times New Roman"/>
                      <w:color w:val="auto"/>
                      <w:kern w:val="2"/>
                      <w:sz w:val="21"/>
                      <w:szCs w:val="21"/>
                      <w:lang w:val="en-US" w:eastAsia="zh-CN" w:bidi="ar-SA"/>
                    </w:rPr>
                    <w:t>20日被华宁县环境监测大队查处，在未办理环境影响评价手续的情况下完成三座土窑的建设；10月9日玉溪市生态环境局华宁分局对项目进行了处罚，根据</w:t>
                  </w:r>
                  <w:r>
                    <w:rPr>
                      <w:rFonts w:hint="eastAsia" w:ascii="Times New Roman" w:hAnsi="Times New Roman" w:eastAsia="宋体" w:cs="Times New Roman"/>
                      <w:color w:val="auto"/>
                      <w:kern w:val="2"/>
                      <w:sz w:val="21"/>
                      <w:szCs w:val="21"/>
                      <w:lang w:val="en-US" w:eastAsia="zh-CN" w:bidi="ar-SA"/>
                    </w:rPr>
                    <w:t>2022年10月2日华宁县人民政府办公室发布的《华宁县人民政府办公室关于印发华宁县青砖瓦生产企业整治工作方案的通知》（华政办通〔2022〕38号），</w:t>
                  </w:r>
                  <w:r>
                    <w:rPr>
                      <w:rFonts w:hint="eastAsia" w:cs="Times New Roman"/>
                      <w:color w:val="auto"/>
                      <w:sz w:val="21"/>
                      <w:szCs w:val="21"/>
                      <w:lang w:val="en-US" w:eastAsia="zh-CN"/>
                    </w:rPr>
                    <w:t>华宁县白塔山陶器厂（老厂）已经依法关闭退出</w:t>
                  </w:r>
                  <w:r>
                    <w:rPr>
                      <w:rFonts w:hint="eastAsia" w:cs="Times New Roman"/>
                      <w:color w:val="auto"/>
                      <w:kern w:val="2"/>
                      <w:sz w:val="21"/>
                      <w:szCs w:val="21"/>
                      <w:lang w:val="en-US" w:eastAsia="zh-CN" w:bidi="ar-SA"/>
                    </w:rPr>
                    <w:t>；</w:t>
                  </w:r>
                  <w:r>
                    <w:rPr>
                      <w:rFonts w:hint="eastAsia" w:cs="Times New Roman"/>
                      <w:color w:val="auto"/>
                      <w:sz w:val="21"/>
                      <w:szCs w:val="21"/>
                      <w:lang w:val="en-US" w:eastAsia="zh-CN"/>
                    </w:rPr>
                    <w:t>华宁县白塔山陶器厂（新厂）</w:t>
                  </w:r>
                  <w:r>
                    <w:rPr>
                      <w:rFonts w:hint="eastAsia" w:cs="Times New Roman"/>
                      <w:color w:val="auto"/>
                      <w:kern w:val="2"/>
                      <w:sz w:val="21"/>
                      <w:szCs w:val="21"/>
                      <w:lang w:val="en-US" w:eastAsia="zh-CN" w:bidi="ar-SA"/>
                    </w:rPr>
                    <w:t>属于需要巩固提升的青砖瓦企业，项目改建后总产能不发生改变，仍为900万件；根据本次评价核算，改建后项目颗粒物排放量削减了27.96t/a；二氧化硫排放量削减了17.7t/a，氮氧化物排放量削减了1.378t/a，氟化物排放量削减了0.767t/a，符合</w:t>
                  </w:r>
                  <w:r>
                    <w:rPr>
                      <w:rFonts w:hint="eastAsia" w:ascii="Times New Roman" w:hAnsi="Times New Roman" w:eastAsia="宋体" w:cs="Times New Roman"/>
                      <w:color w:val="auto"/>
                      <w:sz w:val="21"/>
                      <w:szCs w:val="21"/>
                      <w:lang w:val="en-US" w:eastAsia="zh-CN"/>
                    </w:rPr>
                    <w:t>生态环境保护法律法规和相关法定规划</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项目严格落实分区防渗要求，对土壤、地下水造成污染的可能性不大。</w:t>
                  </w:r>
                </w:p>
                <w:p w14:paraId="099971A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（2）厂内“雨污分流”，</w:t>
                  </w:r>
                  <w:r>
                    <w:rPr>
                      <w:rFonts w:hint="eastAsia" w:cs="Times New Roman"/>
                      <w:b w:val="0"/>
                      <w:bCs/>
                      <w:color w:val="auto"/>
                      <w:sz w:val="21"/>
                      <w:szCs w:val="21"/>
                      <w:lang w:val="en-US" w:eastAsia="zh-CN"/>
                    </w:rPr>
                    <w:t>生产废水为脱硫塔循环水，100%循环使用不外排；生活污水经化粪池预处理</w:t>
                  </w:r>
                  <w:r>
                    <w:rPr>
                      <w:rFonts w:hint="eastAsia"/>
                      <w:b w:val="0"/>
                      <w:bCs/>
                      <w:color w:val="auto"/>
                      <w:sz w:val="21"/>
                      <w:szCs w:val="21"/>
                      <w:lang w:eastAsia="zh-CN"/>
                    </w:rPr>
                    <w:t>后，</w:t>
                  </w:r>
                  <w:r>
                    <w:rPr>
                      <w:rFonts w:hint="eastAsia"/>
                      <w:b w:val="0"/>
                      <w:bCs/>
                      <w:color w:val="auto"/>
                      <w:sz w:val="21"/>
                      <w:szCs w:val="21"/>
                      <w:lang w:val="en-US" w:eastAsia="zh-CN"/>
                    </w:rPr>
                    <w:t>委托环卫车辆运送至华宁北控环保水务有限公司管理运营的华宁县城污水处理厂处理</w:t>
                  </w:r>
                  <w:r>
                    <w:rPr>
                      <w:rFonts w:hint="eastAsia" w:cs="Times New Roman"/>
                      <w:color w:val="auto"/>
                      <w:sz w:val="21"/>
                      <w:szCs w:val="21"/>
                      <w:lang w:val="en-US" w:eastAsia="zh-CN"/>
                    </w:rPr>
                    <w:t>；初期</w:t>
                  </w:r>
                  <w:r>
                    <w:rPr>
                      <w:rFonts w:hint="eastAsia" w:ascii="Times New Roman" w:hAnsi="Times New Roman" w:eastAsia="宋体" w:cs="Times New Roman"/>
                      <w:color w:val="auto"/>
                      <w:sz w:val="21"/>
                      <w:szCs w:val="21"/>
                      <w:lang w:val="en-US" w:eastAsia="zh-CN"/>
                    </w:rPr>
                    <w:t>雨水经雨水管道收集至</w:t>
                  </w:r>
                  <w:r>
                    <w:rPr>
                      <w:rFonts w:hint="eastAsia" w:cs="Times New Roman"/>
                      <w:color w:val="auto"/>
                      <w:sz w:val="21"/>
                      <w:szCs w:val="21"/>
                      <w:lang w:val="en-US" w:eastAsia="zh-CN"/>
                    </w:rPr>
                    <w:t>初期雨水收集池</w:t>
                  </w:r>
                  <w:r>
                    <w:rPr>
                      <w:rFonts w:hint="eastAsia" w:ascii="Times New Roman" w:hAnsi="Times New Roman" w:eastAsia="宋体" w:cs="Times New Roman"/>
                      <w:color w:val="auto"/>
                      <w:sz w:val="21"/>
                      <w:szCs w:val="21"/>
                      <w:lang w:val="en-US" w:eastAsia="zh-CN"/>
                    </w:rPr>
                    <w:t>。</w:t>
                  </w:r>
                </w:p>
                <w:p w14:paraId="53ED637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（3）本项目</w:t>
                  </w:r>
                  <w:r>
                    <w:rPr>
                      <w:rFonts w:hint="eastAsia" w:cs="Times New Roman"/>
                      <w:color w:val="auto"/>
                      <w:sz w:val="21"/>
                      <w:szCs w:val="21"/>
                      <w:lang w:val="en-US" w:eastAsia="zh-CN"/>
                    </w:rPr>
                    <w:t>采用梭式窑替代原有的土窑</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并且梭式窑尾气治理采用一套布袋除尘器+脱硫塔设施处理后，污染物</w:t>
                  </w:r>
                  <w:r>
                    <w:rPr>
                      <w:rFonts w:hint="eastAsia" w:ascii="Times New Roman" w:hAnsi="Times New Roman" w:eastAsia="宋体" w:cs="Times New Roman"/>
                      <w:color w:val="auto"/>
                      <w:sz w:val="21"/>
                      <w:szCs w:val="21"/>
                      <w:lang w:val="en-US" w:eastAsia="zh-CN"/>
                    </w:rPr>
                    <w:t>排放量均</w:t>
                  </w:r>
                  <w:r>
                    <w:rPr>
                      <w:rFonts w:hint="eastAsia" w:cs="Times New Roman"/>
                      <w:color w:val="auto"/>
                      <w:sz w:val="21"/>
                      <w:szCs w:val="21"/>
                      <w:lang w:val="en-US" w:eastAsia="zh-CN"/>
                    </w:rPr>
                    <w:t>能</w:t>
                  </w:r>
                  <w:r>
                    <w:rPr>
                      <w:rFonts w:hint="eastAsia" w:ascii="Times New Roman" w:hAnsi="Times New Roman" w:eastAsia="宋体" w:cs="Times New Roman"/>
                      <w:color w:val="auto"/>
                      <w:sz w:val="21"/>
                      <w:szCs w:val="21"/>
                      <w:lang w:val="en-US" w:eastAsia="zh-CN"/>
                    </w:rPr>
                    <w:t>得到</w:t>
                  </w:r>
                  <w:r>
                    <w:rPr>
                      <w:rFonts w:hint="eastAsia" w:cs="Times New Roman"/>
                      <w:color w:val="auto"/>
                      <w:sz w:val="21"/>
                      <w:szCs w:val="21"/>
                      <w:lang w:val="en-US" w:eastAsia="zh-CN"/>
                    </w:rPr>
                    <w:t>有效削减</w:t>
                  </w:r>
                  <w:r>
                    <w:rPr>
                      <w:rFonts w:hint="default" w:ascii="Times New Roman" w:hAnsi="Times New Roman" w:eastAsia="宋体" w:cs="Times New Roman"/>
                      <w:color w:val="auto"/>
                      <w:sz w:val="21"/>
                      <w:szCs w:val="21"/>
                      <w:lang w:val="en-US" w:eastAsia="zh-CN"/>
                    </w:rPr>
                    <w:t>。</w:t>
                  </w:r>
                </w:p>
                <w:p w14:paraId="6EA9D73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（4）厂区采取分区防渗的要求，根据不同的防渗需求分为重点防渗：</w:t>
                  </w:r>
                  <w:r>
                    <w:rPr>
                      <w:rFonts w:hint="eastAsia" w:cs="Times New Roman"/>
                      <w:color w:val="auto"/>
                      <w:sz w:val="21"/>
                      <w:szCs w:val="21"/>
                      <w:lang w:val="en-US" w:eastAsia="zh-CN"/>
                    </w:rPr>
                    <w:t>脱硫塔循环水池、危废贮存库</w:t>
                  </w:r>
                  <w:r>
                    <w:rPr>
                      <w:rFonts w:hint="eastAsia" w:ascii="Times New Roman" w:hAnsi="Times New Roman" w:eastAsia="宋体" w:cs="Times New Roman"/>
                      <w:color w:val="auto"/>
                      <w:sz w:val="21"/>
                      <w:szCs w:val="21"/>
                      <w:lang w:val="en-US" w:eastAsia="zh-CN"/>
                    </w:rPr>
                    <w:t>；简单防渗区：厂区其他区域，</w:t>
                  </w:r>
                  <w:r>
                    <w:rPr>
                      <w:rFonts w:hint="default" w:ascii="Times New Roman" w:hAnsi="Times New Roman" w:eastAsia="宋体" w:cs="Times New Roman"/>
                      <w:color w:val="auto"/>
                      <w:sz w:val="21"/>
                      <w:szCs w:val="21"/>
                      <w:lang w:val="en-US" w:eastAsia="zh-CN"/>
                    </w:rPr>
                    <w:t>降低企业建设对周边土壤环境产生的影响。</w:t>
                  </w:r>
                </w:p>
              </w:tc>
              <w:tc>
                <w:tcPr>
                  <w:tcW w:w="514" w:type="pct"/>
                  <w:noWrap w:val="0"/>
                  <w:vAlign w:val="center"/>
                </w:tcPr>
                <w:p w14:paraId="7BC70C29">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B5F3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jc w:val="center"/>
              </w:trPr>
              <w:tc>
                <w:tcPr>
                  <w:tcW w:w="392" w:type="pct"/>
                  <w:noWrap w:val="0"/>
                  <w:vAlign w:val="center"/>
                </w:tcPr>
                <w:p w14:paraId="1250DFB3">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环境风险防控</w:t>
                  </w:r>
                </w:p>
              </w:tc>
              <w:tc>
                <w:tcPr>
                  <w:tcW w:w="2372" w:type="pct"/>
                  <w:noWrap w:val="0"/>
                  <w:vAlign w:val="center"/>
                </w:tcPr>
                <w:p w14:paraId="51B0DAE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靠近城区居民分布密集区周边区域不宜布置日常储量构成重大危险源的使用危险化学品的项目。</w:t>
                  </w:r>
                </w:p>
                <w:p w14:paraId="76DAC3E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注重危险化学品的贮存和风险防范，其最大可信事故半致死浓度范围内不得有居民点存在。</w:t>
                  </w:r>
                </w:p>
                <w:p w14:paraId="2D9BAA9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对于进驻园区项目在选址布局时要充分考虑卫生防护距离和安全防护距离的要求。</w:t>
                  </w:r>
                </w:p>
                <w:p w14:paraId="43AA58F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制定突发环境事件应急预案，完善风险管理机制，加强风险控制防范。建立区域环境监测制度，加强规划实施的跟踪监测与管理。</w:t>
                  </w:r>
                </w:p>
              </w:tc>
              <w:tc>
                <w:tcPr>
                  <w:tcW w:w="1720" w:type="pct"/>
                  <w:noWrap w:val="0"/>
                  <w:vAlign w:val="center"/>
                </w:tcPr>
                <w:p w14:paraId="0051566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（1）本项目不存在重大危险源，周围最近居民集中区为东南侧</w:t>
                  </w:r>
                  <w:r>
                    <w:rPr>
                      <w:rFonts w:hint="eastAsia" w:cs="Times New Roman"/>
                      <w:color w:val="auto"/>
                      <w:sz w:val="21"/>
                      <w:szCs w:val="21"/>
                      <w:lang w:val="en-US" w:eastAsia="zh-CN"/>
                    </w:rPr>
                    <w:t>702</w:t>
                  </w:r>
                  <w:r>
                    <w:rPr>
                      <w:rFonts w:hint="eastAsia" w:ascii="Times New Roman" w:hAnsi="Times New Roman" w:eastAsia="宋体" w:cs="Times New Roman"/>
                      <w:color w:val="auto"/>
                      <w:sz w:val="21"/>
                      <w:szCs w:val="21"/>
                      <w:lang w:val="en-US" w:eastAsia="zh-CN"/>
                    </w:rPr>
                    <w:t>m的碗窑村。</w:t>
                  </w:r>
                </w:p>
                <w:p w14:paraId="3ACF768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（2）项目</w:t>
                  </w:r>
                  <w:r>
                    <w:rPr>
                      <w:rFonts w:hint="eastAsia" w:cs="Times New Roman"/>
                      <w:color w:val="auto"/>
                      <w:sz w:val="21"/>
                      <w:szCs w:val="21"/>
                      <w:lang w:val="en-US" w:eastAsia="zh-CN"/>
                    </w:rPr>
                    <w:t>需</w:t>
                  </w:r>
                  <w:r>
                    <w:rPr>
                      <w:rFonts w:hint="eastAsia" w:ascii="Times New Roman" w:hAnsi="Times New Roman" w:eastAsia="宋体" w:cs="Times New Roman"/>
                      <w:color w:val="auto"/>
                      <w:sz w:val="21"/>
                      <w:szCs w:val="21"/>
                      <w:lang w:val="en-US" w:eastAsia="zh-CN"/>
                    </w:rPr>
                    <w:t>制定和设置完善的风险防范措施，</w:t>
                  </w:r>
                  <w:r>
                    <w:rPr>
                      <w:rFonts w:hint="default" w:ascii="Times New Roman" w:hAnsi="Times New Roman" w:eastAsia="宋体" w:cs="Times New Roman"/>
                      <w:color w:val="auto"/>
                      <w:sz w:val="21"/>
                      <w:szCs w:val="21"/>
                      <w:lang w:val="en-US" w:eastAsia="zh-CN"/>
                    </w:rPr>
                    <w:t>最大可信事故半致死浓度范围内</w:t>
                  </w:r>
                  <w:r>
                    <w:rPr>
                      <w:rFonts w:hint="eastAsia" w:ascii="Times New Roman" w:hAnsi="Times New Roman" w:eastAsia="宋体" w:cs="Times New Roman"/>
                      <w:color w:val="auto"/>
                      <w:sz w:val="21"/>
                      <w:szCs w:val="21"/>
                      <w:lang w:val="en-US" w:eastAsia="zh-CN"/>
                    </w:rPr>
                    <w:t>无</w:t>
                  </w:r>
                  <w:r>
                    <w:rPr>
                      <w:rFonts w:hint="default" w:ascii="Times New Roman" w:hAnsi="Times New Roman" w:eastAsia="宋体" w:cs="Times New Roman"/>
                      <w:color w:val="auto"/>
                      <w:sz w:val="21"/>
                      <w:szCs w:val="21"/>
                      <w:lang w:val="en-US" w:eastAsia="zh-CN"/>
                    </w:rPr>
                    <w:t>居民点存在</w:t>
                  </w:r>
                  <w:r>
                    <w:rPr>
                      <w:rFonts w:hint="eastAsia" w:ascii="Times New Roman" w:hAnsi="Times New Roman" w:eastAsia="宋体" w:cs="Times New Roman"/>
                      <w:color w:val="auto"/>
                      <w:sz w:val="21"/>
                      <w:szCs w:val="21"/>
                      <w:lang w:val="en-US" w:eastAsia="zh-CN"/>
                    </w:rPr>
                    <w:t>。</w:t>
                  </w:r>
                </w:p>
                <w:p w14:paraId="48F16BD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r>
                    <w:rPr>
                      <w:rFonts w:hint="eastAsia" w:cs="Times New Roman"/>
                      <w:color w:val="auto"/>
                      <w:sz w:val="21"/>
                      <w:szCs w:val="21"/>
                      <w:lang w:val="en-US" w:eastAsia="zh-CN"/>
                    </w:rPr>
                    <w:t>不在园区范围内</w:t>
                  </w:r>
                  <w:r>
                    <w:rPr>
                      <w:rFonts w:hint="eastAsia" w:ascii="Times New Roman" w:hAnsi="Times New Roman" w:eastAsia="宋体" w:cs="Times New Roman"/>
                      <w:color w:val="auto"/>
                      <w:sz w:val="21"/>
                      <w:szCs w:val="21"/>
                      <w:lang w:val="en-US" w:eastAsia="zh-CN"/>
                    </w:rPr>
                    <w:t>，本项目排放的废气、噪声</w:t>
                  </w:r>
                  <w:r>
                    <w:rPr>
                      <w:rFonts w:hint="eastAsia" w:cs="Times New Roman"/>
                      <w:color w:val="auto"/>
                      <w:sz w:val="21"/>
                      <w:szCs w:val="21"/>
                      <w:lang w:val="en-US" w:eastAsia="zh-CN"/>
                    </w:rPr>
                    <w:t>不大</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远离居民区</w:t>
                  </w:r>
                  <w:r>
                    <w:rPr>
                      <w:rFonts w:hint="eastAsia" w:ascii="Times New Roman" w:hAnsi="Times New Roman" w:eastAsia="宋体" w:cs="Times New Roman"/>
                      <w:color w:val="auto"/>
                      <w:sz w:val="21"/>
                      <w:szCs w:val="21"/>
                      <w:lang w:val="en-US" w:eastAsia="zh-CN"/>
                    </w:rPr>
                    <w:t>，无需</w:t>
                  </w:r>
                  <w:r>
                    <w:rPr>
                      <w:rFonts w:hint="eastAsia" w:cs="Times New Roman"/>
                      <w:color w:val="auto"/>
                      <w:sz w:val="21"/>
                      <w:szCs w:val="21"/>
                      <w:lang w:val="en-US" w:eastAsia="zh-CN"/>
                    </w:rPr>
                    <w:t>考虑</w:t>
                  </w:r>
                  <w:r>
                    <w:rPr>
                      <w:rFonts w:hint="default" w:ascii="Times New Roman" w:hAnsi="Times New Roman" w:eastAsia="宋体" w:cs="Times New Roman"/>
                      <w:color w:val="auto"/>
                      <w:sz w:val="21"/>
                      <w:szCs w:val="21"/>
                      <w:lang w:val="en-US" w:eastAsia="zh-CN"/>
                    </w:rPr>
                    <w:t>卫生防护距离和安全防护距离</w:t>
                  </w:r>
                  <w:r>
                    <w:rPr>
                      <w:rFonts w:hint="eastAsia" w:ascii="Times New Roman" w:hAnsi="Times New Roman" w:eastAsia="宋体" w:cs="Times New Roman"/>
                      <w:color w:val="auto"/>
                      <w:sz w:val="21"/>
                      <w:szCs w:val="21"/>
                      <w:lang w:val="en-US" w:eastAsia="zh-CN"/>
                    </w:rPr>
                    <w:t>。</w:t>
                  </w:r>
                </w:p>
                <w:p w14:paraId="6BF4414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（4）环评工作结束后将编写突发环境事件应急预案，完善风险管理机制。</w:t>
                  </w:r>
                </w:p>
              </w:tc>
              <w:tc>
                <w:tcPr>
                  <w:tcW w:w="514" w:type="pct"/>
                  <w:noWrap w:val="0"/>
                  <w:vAlign w:val="center"/>
                </w:tcPr>
                <w:p w14:paraId="0F9CEE8F">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00852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jc w:val="center"/>
              </w:trPr>
              <w:tc>
                <w:tcPr>
                  <w:tcW w:w="392" w:type="pct"/>
                  <w:noWrap w:val="0"/>
                  <w:vAlign w:val="center"/>
                </w:tcPr>
                <w:p w14:paraId="73096F37">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资源开发效率要求</w:t>
                  </w:r>
                </w:p>
              </w:tc>
              <w:tc>
                <w:tcPr>
                  <w:tcW w:w="2372" w:type="pct"/>
                  <w:noWrap w:val="0"/>
                  <w:vAlign w:val="center"/>
                </w:tcPr>
                <w:p w14:paraId="4D67A1D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企业工业水循环利用率必须大于80%，中水回用率100%。</w:t>
                  </w:r>
                </w:p>
              </w:tc>
              <w:tc>
                <w:tcPr>
                  <w:tcW w:w="1720" w:type="pct"/>
                  <w:noWrap w:val="0"/>
                  <w:vAlign w:val="center"/>
                </w:tcPr>
                <w:p w14:paraId="1A70404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w:t>
                  </w:r>
                  <w:r>
                    <w:rPr>
                      <w:rFonts w:hint="eastAsia" w:cs="Times New Roman"/>
                      <w:b w:val="0"/>
                      <w:bCs/>
                      <w:color w:val="auto"/>
                      <w:sz w:val="21"/>
                      <w:szCs w:val="21"/>
                      <w:lang w:val="en-US" w:eastAsia="zh-CN"/>
                    </w:rPr>
                    <w:t>生产废水为脱硫塔循环水，100%循环使用不外排；生活污水经化粪池预处理</w:t>
                  </w:r>
                  <w:r>
                    <w:rPr>
                      <w:rFonts w:hint="eastAsia"/>
                      <w:b w:val="0"/>
                      <w:bCs/>
                      <w:color w:val="auto"/>
                      <w:sz w:val="21"/>
                      <w:szCs w:val="21"/>
                      <w:lang w:eastAsia="zh-CN"/>
                    </w:rPr>
                    <w:t>后，</w:t>
                  </w:r>
                  <w:r>
                    <w:rPr>
                      <w:rFonts w:hint="eastAsia"/>
                      <w:b w:val="0"/>
                      <w:bCs/>
                      <w:color w:val="auto"/>
                      <w:sz w:val="21"/>
                      <w:szCs w:val="21"/>
                      <w:lang w:val="en-US" w:eastAsia="zh-CN"/>
                    </w:rPr>
                    <w:t>委托环卫车辆运送至华宁北控环保水务有限公司管理运营的华宁县城污水处理厂处理</w:t>
                  </w:r>
                  <w:r>
                    <w:rPr>
                      <w:rFonts w:hint="eastAsia" w:ascii="Times New Roman" w:hAnsi="Times New Roman" w:eastAsia="宋体" w:cs="Times New Roman"/>
                      <w:color w:val="auto"/>
                      <w:sz w:val="21"/>
                      <w:szCs w:val="21"/>
                      <w:lang w:val="en-US" w:eastAsia="zh-CN"/>
                    </w:rPr>
                    <w:t>。</w:t>
                  </w:r>
                </w:p>
              </w:tc>
              <w:tc>
                <w:tcPr>
                  <w:tcW w:w="514" w:type="pct"/>
                  <w:noWrap w:val="0"/>
                  <w:vAlign w:val="center"/>
                </w:tcPr>
                <w:p w14:paraId="4FD922CC">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14EBECF6">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b/>
                <w:bCs/>
                <w:color w:val="auto"/>
                <w:sz w:val="21"/>
                <w:szCs w:val="21"/>
                <w:lang w:val="en-US" w:eastAsia="zh-CN"/>
              </w:rPr>
            </w:pPr>
            <w:r>
              <w:rPr>
                <w:rFonts w:hint="eastAsia"/>
                <w:b/>
                <w:bCs/>
                <w:color w:val="auto"/>
                <w:sz w:val="21"/>
                <w:szCs w:val="21"/>
                <w:lang w:val="en-US" w:eastAsia="zh-CN"/>
              </w:rPr>
              <w:t>5、</w:t>
            </w:r>
            <w:r>
              <w:rPr>
                <w:rFonts w:hint="eastAsia"/>
                <w:b/>
                <w:bCs/>
                <w:color w:val="auto"/>
                <w:sz w:val="21"/>
                <w:szCs w:val="21"/>
                <w:highlight w:val="none"/>
                <w:lang w:val="en-US" w:eastAsia="zh-CN"/>
              </w:rPr>
              <w:t>与《中华人民共和国大气污染防治法》符合性分析</w:t>
            </w:r>
          </w:p>
          <w:p w14:paraId="1454B2F7">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 w:val="21"/>
                <w:szCs w:val="21"/>
                <w:highlight w:val="none"/>
                <w:lang w:val="en-US" w:eastAsia="zh-CN"/>
              </w:rPr>
            </w:pPr>
            <w:r>
              <w:rPr>
                <w:rFonts w:hint="eastAsia"/>
                <w:color w:val="auto"/>
                <w:sz w:val="21"/>
                <w:szCs w:val="21"/>
                <w:highlight w:val="none"/>
                <w:lang w:val="en-US" w:eastAsia="zh-CN"/>
              </w:rPr>
              <w:t>根据《中华人民共和国大气污染防治法》第四十八条：钢铁、建材、有色金属、石油、化工、制药、矿产开采等企业，应当加强精细化管理，采取集中收集处理等措施，严格控制粉尘和气态污染物的排放。工业生产企业应当采取密闭、围挡、遮盖、清扫、洒水等措施，减少内部物料的堆存、传输、装卸等环节产生的粉尘和气态污染物的排放。</w:t>
            </w:r>
          </w:p>
          <w:p w14:paraId="0E27A726">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eastAsia"/>
                <w:color w:val="auto"/>
                <w:sz w:val="21"/>
                <w:szCs w:val="21"/>
                <w:highlight w:val="none"/>
                <w:lang w:val="en-US" w:eastAsia="zh-CN"/>
              </w:rPr>
            </w:pPr>
            <w:r>
              <w:rPr>
                <w:rFonts w:hint="eastAsia"/>
                <w:color w:val="auto"/>
                <w:sz w:val="21"/>
                <w:szCs w:val="21"/>
                <w:highlight w:val="none"/>
                <w:lang w:val="en-US" w:eastAsia="zh-CN"/>
              </w:rPr>
              <w:t>项目属于</w:t>
            </w:r>
            <w:r>
              <w:rPr>
                <w:rFonts w:hint="default"/>
                <w:color w:val="auto"/>
                <w:sz w:val="21"/>
                <w:szCs w:val="21"/>
                <w:highlight w:val="none"/>
              </w:rPr>
              <w:t>粘土砖瓦及建筑砌块制造</w:t>
            </w:r>
            <w:r>
              <w:rPr>
                <w:rFonts w:hint="eastAsia"/>
                <w:color w:val="auto"/>
                <w:sz w:val="21"/>
                <w:szCs w:val="21"/>
                <w:highlight w:val="none"/>
                <w:lang w:eastAsia="zh-CN"/>
              </w:rPr>
              <w:t>（</w:t>
            </w:r>
            <w:r>
              <w:rPr>
                <w:rFonts w:hint="default"/>
                <w:color w:val="auto"/>
                <w:sz w:val="21"/>
                <w:szCs w:val="21"/>
                <w:highlight w:val="none"/>
              </w:rPr>
              <w:t>C3031</w:t>
            </w:r>
            <w:r>
              <w:rPr>
                <w:rFonts w:hint="eastAsia"/>
                <w:color w:val="auto"/>
                <w:sz w:val="21"/>
                <w:szCs w:val="21"/>
                <w:highlight w:val="none"/>
                <w:lang w:eastAsia="zh-CN"/>
              </w:rPr>
              <w:t>）</w:t>
            </w:r>
            <w:r>
              <w:rPr>
                <w:rFonts w:hint="eastAsia"/>
                <w:color w:val="auto"/>
                <w:sz w:val="21"/>
                <w:szCs w:val="21"/>
                <w:highlight w:val="none"/>
                <w:lang w:val="en-US" w:eastAsia="zh-CN"/>
              </w:rPr>
              <w:t>行业</w:t>
            </w:r>
            <w:r>
              <w:rPr>
                <w:rFonts w:hint="eastAsia"/>
                <w:color w:val="auto"/>
                <w:sz w:val="21"/>
                <w:szCs w:val="21"/>
                <w:highlight w:val="none"/>
                <w:lang w:eastAsia="zh-CN"/>
              </w:rPr>
              <w:t>，</w:t>
            </w:r>
            <w:r>
              <w:rPr>
                <w:rFonts w:hint="eastAsia"/>
                <w:color w:val="auto"/>
                <w:sz w:val="21"/>
                <w:szCs w:val="21"/>
                <w:highlight w:val="none"/>
                <w:lang w:val="en-US" w:eastAsia="zh-CN"/>
              </w:rPr>
              <w:t>为建材行业。本项目原料堆存于封闭的原料车间内，原料储存量较少，陈化车间为钢架+彩钢瓦遮挡结构；生产设备均设置于封闭车间内，其生产过程均为封闭式作业；</w:t>
            </w:r>
            <w:r>
              <w:rPr>
                <w:rFonts w:hint="eastAsia" w:cs="Times New Roman"/>
                <w:b w:val="0"/>
                <w:bCs/>
                <w:color w:val="auto"/>
                <w:sz w:val="21"/>
                <w:szCs w:val="21"/>
                <w:lang w:val="en-US" w:eastAsia="zh-CN"/>
              </w:rPr>
              <w:t>梭式窑废气经布袋除尘+脱硫塔处理后，再由15m高的排气筒</w:t>
            </w:r>
            <w:r>
              <w:rPr>
                <w:rFonts w:hint="eastAsia"/>
                <w:color w:val="auto"/>
                <w:sz w:val="21"/>
                <w:szCs w:val="21"/>
                <w:highlight w:val="none"/>
                <w:lang w:val="en-US" w:eastAsia="zh-CN"/>
              </w:rPr>
              <w:t>（DA001）</w:t>
            </w:r>
            <w:r>
              <w:rPr>
                <w:rFonts w:hint="eastAsia" w:cs="Times New Roman"/>
                <w:b w:val="0"/>
                <w:bCs/>
                <w:color w:val="auto"/>
                <w:sz w:val="21"/>
                <w:szCs w:val="21"/>
                <w:lang w:val="en-US" w:eastAsia="zh-CN"/>
              </w:rPr>
              <w:t>排放</w:t>
            </w:r>
            <w:r>
              <w:rPr>
                <w:rFonts w:hint="eastAsia"/>
                <w:color w:val="auto"/>
                <w:sz w:val="21"/>
                <w:szCs w:val="21"/>
                <w:highlight w:val="none"/>
                <w:lang w:val="en-US" w:eastAsia="zh-CN"/>
              </w:rPr>
              <w:t>；厂区内地面水泥硬化，安排专人定期进行清扫，并对厂区道路进行洒水降尘，通过采取以上措施能有效减少粉尘和气态污染物的排放。</w:t>
            </w:r>
          </w:p>
          <w:p w14:paraId="11F2B3DE">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eastAsia"/>
                <w:b/>
                <w:bCs/>
                <w:color w:val="auto"/>
                <w:sz w:val="21"/>
                <w:szCs w:val="21"/>
                <w:lang w:val="en-US" w:eastAsia="zh-CN"/>
              </w:rPr>
            </w:pPr>
            <w:r>
              <w:rPr>
                <w:rFonts w:hint="eastAsia"/>
                <w:color w:val="auto"/>
                <w:sz w:val="21"/>
                <w:szCs w:val="21"/>
              </w:rPr>
              <w:t>综上，本项目符合</w:t>
            </w:r>
            <w:r>
              <w:rPr>
                <w:rFonts w:hint="eastAsia"/>
                <w:color w:val="auto"/>
                <w:sz w:val="21"/>
                <w:szCs w:val="21"/>
                <w:highlight w:val="none"/>
                <w:lang w:val="en-US" w:eastAsia="zh-CN"/>
              </w:rPr>
              <w:t>《中华人民共和国大气污染防治法》</w:t>
            </w:r>
            <w:r>
              <w:rPr>
                <w:rFonts w:hint="eastAsia"/>
                <w:color w:val="auto"/>
                <w:sz w:val="21"/>
                <w:szCs w:val="21"/>
              </w:rPr>
              <w:t>的相关要求</w:t>
            </w:r>
            <w:r>
              <w:rPr>
                <w:rFonts w:hint="eastAsia"/>
                <w:color w:val="auto"/>
                <w:sz w:val="21"/>
                <w:szCs w:val="21"/>
                <w:highlight w:val="none"/>
                <w:lang w:val="en-US" w:eastAsia="zh-CN"/>
              </w:rPr>
              <w:t>。</w:t>
            </w:r>
          </w:p>
          <w:p w14:paraId="12B9A414">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b/>
                <w:bCs/>
                <w:color w:val="auto"/>
                <w:sz w:val="21"/>
                <w:szCs w:val="21"/>
                <w:lang w:val="en-US" w:eastAsia="zh-CN"/>
              </w:rPr>
            </w:pPr>
            <w:r>
              <w:rPr>
                <w:rFonts w:hint="eastAsia"/>
                <w:b/>
                <w:bCs/>
                <w:color w:val="auto"/>
                <w:sz w:val="21"/>
                <w:szCs w:val="21"/>
                <w:lang w:val="en-US" w:eastAsia="zh-CN"/>
              </w:rPr>
              <w:t>6、与</w:t>
            </w:r>
            <w:r>
              <w:rPr>
                <w:rFonts w:hint="eastAsia"/>
                <w:b/>
                <w:bCs/>
                <w:color w:val="auto"/>
                <w:sz w:val="21"/>
                <w:szCs w:val="21"/>
                <w:highlight w:val="none"/>
                <w:lang w:val="en-US" w:eastAsia="zh-CN"/>
              </w:rPr>
              <w:t>《云南省大气污染防治条例》符合性分析</w:t>
            </w:r>
          </w:p>
          <w:p w14:paraId="09699963">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color w:val="auto"/>
                <w:sz w:val="21"/>
                <w:szCs w:val="21"/>
                <w:highlight w:val="none"/>
                <w:lang w:val="en-US" w:eastAsia="zh-CN"/>
              </w:rPr>
            </w:pPr>
            <w:r>
              <w:rPr>
                <w:rFonts w:hint="eastAsia"/>
                <w:color w:val="auto"/>
                <w:sz w:val="21"/>
                <w:szCs w:val="21"/>
                <w:highlight w:val="none"/>
                <w:lang w:val="en-US" w:eastAsia="zh-CN"/>
              </w:rPr>
              <w:t>根据《云南省大气污染防治条例》</w:t>
            </w:r>
            <w:r>
              <w:rPr>
                <w:rFonts w:hint="default"/>
                <w:color w:val="auto"/>
                <w:sz w:val="21"/>
                <w:szCs w:val="21"/>
                <w:highlight w:val="none"/>
                <w:lang w:val="en-US" w:eastAsia="zh-CN"/>
              </w:rPr>
              <w:t>第二十一条</w:t>
            </w:r>
            <w:r>
              <w:rPr>
                <w:rFonts w:hint="eastAsia"/>
                <w:color w:val="auto"/>
                <w:sz w:val="21"/>
                <w:szCs w:val="21"/>
                <w:highlight w:val="none"/>
                <w:lang w:val="en-US" w:eastAsia="zh-CN"/>
              </w:rPr>
              <w:t>：</w:t>
            </w:r>
            <w:r>
              <w:rPr>
                <w:rFonts w:hint="default"/>
                <w:color w:val="auto"/>
                <w:sz w:val="21"/>
                <w:szCs w:val="21"/>
                <w:highlight w:val="none"/>
                <w:lang w:val="en-US" w:eastAsia="zh-CN"/>
              </w:rPr>
              <w:t>钢铁、有色金属、建材、石油、炼焦、化工、铁合金、火电等工业企业以及燃煤锅炉使用单位应当按照规定配套建设、使用和维护除尘、脱硫、脱硝等装置。</w:t>
            </w:r>
          </w:p>
          <w:p w14:paraId="0F7AA829">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eastAsia"/>
                <w:color w:val="auto"/>
                <w:sz w:val="21"/>
                <w:szCs w:val="21"/>
                <w:highlight w:val="none"/>
                <w:lang w:val="en-US" w:eastAsia="zh-CN"/>
              </w:rPr>
            </w:pPr>
            <w:r>
              <w:rPr>
                <w:rFonts w:hint="eastAsia"/>
                <w:color w:val="auto"/>
                <w:sz w:val="21"/>
                <w:szCs w:val="21"/>
                <w:highlight w:val="none"/>
                <w:lang w:val="en-US" w:eastAsia="zh-CN"/>
              </w:rPr>
              <w:t>本项目属于建材行业。本项目砖瓦焙烧采用梭式窑，</w:t>
            </w:r>
            <w:r>
              <w:rPr>
                <w:rFonts w:hint="eastAsia" w:cs="Times New Roman"/>
                <w:b w:val="0"/>
                <w:bCs/>
                <w:color w:val="auto"/>
                <w:lang w:val="en-US" w:eastAsia="zh-CN"/>
              </w:rPr>
              <w:t>项目选用优质低硫煤且使用量较小</w:t>
            </w:r>
            <w:r>
              <w:rPr>
                <w:rFonts w:hint="eastAsia"/>
                <w:color w:val="auto"/>
                <w:sz w:val="21"/>
                <w:szCs w:val="21"/>
                <w:highlight w:val="none"/>
                <w:lang w:val="en-US" w:eastAsia="zh-CN"/>
              </w:rPr>
              <w:t>，项目</w:t>
            </w:r>
            <w:r>
              <w:rPr>
                <w:rFonts w:hint="eastAsia" w:cs="Times New Roman"/>
                <w:b w:val="0"/>
                <w:bCs/>
                <w:color w:val="auto"/>
                <w:sz w:val="21"/>
                <w:szCs w:val="21"/>
                <w:lang w:val="en-US" w:eastAsia="zh-CN"/>
              </w:rPr>
              <w:t>梭式窑废气经布袋除尘+脱硫塔处理后，再由15m高的排气筒</w:t>
            </w:r>
            <w:r>
              <w:rPr>
                <w:rFonts w:hint="eastAsia"/>
                <w:color w:val="auto"/>
                <w:sz w:val="21"/>
                <w:szCs w:val="21"/>
                <w:highlight w:val="none"/>
                <w:lang w:val="en-US" w:eastAsia="zh-CN"/>
              </w:rPr>
              <w:t>（DA001）</w:t>
            </w:r>
            <w:r>
              <w:rPr>
                <w:rFonts w:hint="eastAsia" w:cs="Times New Roman"/>
                <w:b w:val="0"/>
                <w:bCs/>
                <w:color w:val="auto"/>
                <w:sz w:val="21"/>
                <w:szCs w:val="21"/>
                <w:lang w:val="en-US" w:eastAsia="zh-CN"/>
              </w:rPr>
              <w:t>排放</w:t>
            </w:r>
            <w:r>
              <w:rPr>
                <w:rFonts w:hint="eastAsia" w:cs="Times New Roman"/>
                <w:b w:val="0"/>
                <w:bCs/>
                <w:color w:val="auto"/>
                <w:sz w:val="21"/>
                <w:szCs w:val="21"/>
                <w:vertAlign w:val="baseline"/>
                <w:lang w:val="en-US" w:eastAsia="zh-CN"/>
              </w:rPr>
              <w:t>；厂区安排专人定期对设备进行检修及维护。</w:t>
            </w:r>
          </w:p>
          <w:p w14:paraId="431B2199">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eastAsia"/>
                <w:color w:val="auto"/>
                <w:sz w:val="21"/>
                <w:szCs w:val="21"/>
                <w:highlight w:val="none"/>
                <w:lang w:val="en-US" w:eastAsia="zh-CN"/>
              </w:rPr>
            </w:pPr>
            <w:r>
              <w:rPr>
                <w:rFonts w:hint="eastAsia"/>
                <w:color w:val="auto"/>
                <w:sz w:val="21"/>
                <w:szCs w:val="21"/>
                <w:highlight w:val="none"/>
                <w:lang w:val="en-US" w:eastAsia="zh-CN"/>
              </w:rPr>
              <w:t>经采取以上措施后，根据本次评价预测项目颗粒物、SO</w:t>
            </w:r>
            <w:r>
              <w:rPr>
                <w:rFonts w:hint="eastAsia"/>
                <w:color w:val="auto"/>
                <w:sz w:val="21"/>
                <w:szCs w:val="21"/>
                <w:highlight w:val="none"/>
                <w:vertAlign w:val="subscript"/>
                <w:lang w:val="en-US" w:eastAsia="zh-CN"/>
              </w:rPr>
              <w:t>2</w:t>
            </w:r>
            <w:r>
              <w:rPr>
                <w:rFonts w:hint="eastAsia"/>
                <w:color w:val="auto"/>
                <w:sz w:val="21"/>
                <w:szCs w:val="21"/>
                <w:highlight w:val="none"/>
                <w:lang w:val="en-US" w:eastAsia="zh-CN"/>
              </w:rPr>
              <w:t>、NO</w:t>
            </w:r>
            <w:r>
              <w:rPr>
                <w:rFonts w:hint="eastAsia"/>
                <w:color w:val="auto"/>
                <w:sz w:val="21"/>
                <w:szCs w:val="21"/>
                <w:highlight w:val="none"/>
                <w:vertAlign w:val="subscript"/>
                <w:lang w:val="en-US" w:eastAsia="zh-CN"/>
              </w:rPr>
              <w:t>X</w:t>
            </w:r>
            <w:r>
              <w:rPr>
                <w:rFonts w:hint="eastAsia"/>
                <w:color w:val="auto"/>
                <w:sz w:val="21"/>
                <w:szCs w:val="21"/>
                <w:highlight w:val="none"/>
                <w:vertAlign w:val="baseline"/>
                <w:lang w:val="en-US" w:eastAsia="zh-CN"/>
              </w:rPr>
              <w:t>、氟化物</w:t>
            </w:r>
            <w:r>
              <w:rPr>
                <w:rFonts w:hint="eastAsia"/>
                <w:color w:val="auto"/>
                <w:sz w:val="21"/>
                <w:szCs w:val="21"/>
                <w:highlight w:val="none"/>
                <w:lang w:val="en-US" w:eastAsia="zh-CN"/>
              </w:rPr>
              <w:t>排放浓度均能满足</w:t>
            </w:r>
            <w:r>
              <w:rPr>
                <w:rFonts w:hint="eastAsia" w:cs="Times New Roman"/>
                <w:color w:val="auto"/>
                <w:sz w:val="21"/>
                <w:szCs w:val="21"/>
              </w:rPr>
              <w:t>《砖瓦工业大气污染物排放标准》（GB29620-2013）表2标准限值及其修改单</w:t>
            </w:r>
            <w:r>
              <w:rPr>
                <w:rFonts w:hint="eastAsia"/>
                <w:color w:val="auto"/>
                <w:sz w:val="21"/>
                <w:szCs w:val="21"/>
              </w:rPr>
              <w:t>，能达标排放</w:t>
            </w:r>
            <w:r>
              <w:rPr>
                <w:rFonts w:hint="eastAsia"/>
                <w:color w:val="auto"/>
                <w:sz w:val="21"/>
                <w:szCs w:val="21"/>
                <w:highlight w:val="none"/>
                <w:lang w:val="en-US" w:eastAsia="zh-CN"/>
              </w:rPr>
              <w:t>。</w:t>
            </w:r>
          </w:p>
          <w:p w14:paraId="4B0FC4F4">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eastAsia"/>
                <w:b/>
                <w:bCs/>
                <w:color w:val="auto"/>
                <w:sz w:val="21"/>
                <w:szCs w:val="21"/>
                <w:lang w:val="en-US" w:eastAsia="zh-CN"/>
              </w:rPr>
            </w:pPr>
            <w:r>
              <w:rPr>
                <w:rFonts w:hint="eastAsia"/>
                <w:color w:val="auto"/>
                <w:sz w:val="21"/>
                <w:szCs w:val="21"/>
                <w:highlight w:val="none"/>
                <w:lang w:val="en-US" w:eastAsia="zh-CN"/>
              </w:rPr>
              <w:t>综上，本项目符合《云南省大气污染防治条例》相关要求。</w:t>
            </w:r>
          </w:p>
          <w:p w14:paraId="773B4A3A">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eastAsia" w:eastAsia="宋体"/>
                <w:color w:val="auto"/>
                <w:sz w:val="21"/>
                <w:szCs w:val="21"/>
                <w:lang w:val="en-US" w:eastAsia="zh-CN"/>
              </w:rPr>
            </w:pPr>
            <w:r>
              <w:rPr>
                <w:rFonts w:hint="eastAsia"/>
                <w:b/>
                <w:bCs/>
                <w:color w:val="auto"/>
                <w:sz w:val="21"/>
                <w:szCs w:val="21"/>
                <w:lang w:val="en-US" w:eastAsia="zh-CN"/>
              </w:rPr>
              <w:t>7、</w:t>
            </w:r>
            <w:r>
              <w:rPr>
                <w:rFonts w:hint="eastAsia"/>
                <w:b/>
                <w:bCs/>
                <w:color w:val="auto"/>
                <w:sz w:val="21"/>
                <w:szCs w:val="21"/>
                <w:highlight w:val="none"/>
                <w:lang w:val="en-US" w:eastAsia="zh-CN"/>
              </w:rPr>
              <w:t>与《云南省关于深入打好污染防治攻坚战实施方案》符合性分析</w:t>
            </w:r>
          </w:p>
          <w:p w14:paraId="785932F0">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eastAsia"/>
                <w:color w:val="auto"/>
                <w:sz w:val="21"/>
                <w:szCs w:val="21"/>
              </w:rPr>
            </w:pPr>
            <w:r>
              <w:rPr>
                <w:rFonts w:hint="eastAsia"/>
                <w:color w:val="auto"/>
                <w:sz w:val="21"/>
                <w:szCs w:val="21"/>
                <w:highlight w:val="none"/>
                <w:lang w:val="en-US" w:eastAsia="zh-CN"/>
              </w:rPr>
              <w:t>本项目与《云南省关于深入打好污染防治攻坚战实施方案》的符合性分析见下表：</w:t>
            </w:r>
          </w:p>
          <w:p w14:paraId="66E4DD54">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color w:val="auto"/>
                <w:sz w:val="21"/>
                <w:szCs w:val="21"/>
                <w:lang w:val="en-US" w:eastAsia="zh-CN"/>
              </w:rPr>
            </w:pPr>
            <w:r>
              <w:rPr>
                <w:rFonts w:hint="eastAsia"/>
                <w:color w:val="auto"/>
                <w:sz w:val="21"/>
                <w:szCs w:val="21"/>
                <w:lang w:val="en-US" w:eastAsia="zh-CN"/>
              </w:rPr>
              <w:t xml:space="preserve">表1-7  </w:t>
            </w:r>
            <w:r>
              <w:rPr>
                <w:rFonts w:hint="default"/>
                <w:color w:val="auto"/>
                <w:sz w:val="21"/>
                <w:szCs w:val="21"/>
              </w:rPr>
              <w:t>与</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lang w:val="en-US" w:eastAsia="zh-CN"/>
              </w:rPr>
              <w:t>污染防治攻坚战实施方案</w:t>
            </w:r>
            <w:r>
              <w:rPr>
                <w:rFonts w:hint="eastAsia" w:ascii="Times New Roman" w:hAnsi="Times New Roman" w:eastAsia="宋体"/>
                <w:color w:val="auto"/>
                <w:sz w:val="21"/>
                <w:szCs w:val="21"/>
                <w:lang w:eastAsia="zh-CN"/>
              </w:rPr>
              <w:t>》</w:t>
            </w:r>
            <w:r>
              <w:rPr>
                <w:rFonts w:hint="default"/>
                <w:color w:val="auto"/>
                <w:sz w:val="21"/>
                <w:szCs w:val="21"/>
              </w:rPr>
              <w:t>符合性分析</w:t>
            </w:r>
          </w:p>
          <w:tbl>
            <w:tblPr>
              <w:tblStyle w:val="30"/>
              <w:tblW w:w="87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3692"/>
              <w:gridCol w:w="3294"/>
              <w:gridCol w:w="1067"/>
            </w:tblGrid>
            <w:tr w14:paraId="75596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vAlign w:val="center"/>
                </w:tcPr>
                <w:p w14:paraId="4535A22F">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eastAsia="宋体"/>
                      <w:color w:val="auto"/>
                      <w:sz w:val="21"/>
                      <w:szCs w:val="21"/>
                      <w:vertAlign w:val="baseline"/>
                      <w:lang w:val="en-US" w:eastAsia="zh-CN"/>
                    </w:rPr>
                  </w:pPr>
                  <w:r>
                    <w:rPr>
                      <w:rFonts w:hint="eastAsia"/>
                      <w:b w:val="0"/>
                      <w:bCs/>
                      <w:color w:val="auto"/>
                      <w:sz w:val="21"/>
                      <w:szCs w:val="21"/>
                      <w:lang w:val="en-US" w:eastAsia="zh-CN"/>
                    </w:rPr>
                    <w:t>序号</w:t>
                  </w:r>
                </w:p>
              </w:tc>
              <w:tc>
                <w:tcPr>
                  <w:tcW w:w="3692" w:type="dxa"/>
                  <w:vAlign w:val="center"/>
                </w:tcPr>
                <w:p w14:paraId="49A09572">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eastAsia="宋体"/>
                      <w:color w:val="auto"/>
                      <w:sz w:val="21"/>
                      <w:szCs w:val="21"/>
                      <w:vertAlign w:val="baseline"/>
                      <w:lang w:val="en-US" w:eastAsia="zh-CN"/>
                    </w:rPr>
                  </w:pPr>
                  <w:r>
                    <w:rPr>
                      <w:rFonts w:hint="eastAsia"/>
                      <w:b w:val="0"/>
                      <w:bCs/>
                      <w:color w:val="auto"/>
                      <w:sz w:val="21"/>
                      <w:szCs w:val="21"/>
                    </w:rPr>
                    <w:t>《</w:t>
                  </w:r>
                  <w:r>
                    <w:rPr>
                      <w:rFonts w:hint="eastAsia"/>
                      <w:b w:val="0"/>
                      <w:bCs/>
                      <w:color w:val="auto"/>
                      <w:sz w:val="21"/>
                      <w:szCs w:val="21"/>
                      <w:lang w:eastAsia="zh-CN"/>
                    </w:rPr>
                    <w:t>方案</w:t>
                  </w:r>
                  <w:r>
                    <w:rPr>
                      <w:rFonts w:hint="eastAsia"/>
                      <w:b w:val="0"/>
                      <w:bCs/>
                      <w:color w:val="auto"/>
                      <w:sz w:val="21"/>
                      <w:szCs w:val="21"/>
                    </w:rPr>
                    <w:t>》要求</w:t>
                  </w:r>
                </w:p>
              </w:tc>
              <w:tc>
                <w:tcPr>
                  <w:tcW w:w="3294" w:type="dxa"/>
                  <w:vAlign w:val="center"/>
                </w:tcPr>
                <w:p w14:paraId="2E73C0E6">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b w:val="0"/>
                      <w:bCs/>
                      <w:color w:val="auto"/>
                      <w:sz w:val="21"/>
                      <w:szCs w:val="21"/>
                      <w:lang w:val="en-US" w:eastAsia="zh-CN"/>
                    </w:rPr>
                  </w:pPr>
                  <w:r>
                    <w:rPr>
                      <w:b w:val="0"/>
                      <w:bCs/>
                      <w:color w:val="auto"/>
                      <w:sz w:val="21"/>
                      <w:szCs w:val="21"/>
                    </w:rPr>
                    <w:t>项目基本情况</w:t>
                  </w:r>
                </w:p>
              </w:tc>
              <w:tc>
                <w:tcPr>
                  <w:tcW w:w="1067" w:type="dxa"/>
                  <w:vAlign w:val="center"/>
                </w:tcPr>
                <w:p w14:paraId="5A8C1952">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b w:val="0"/>
                      <w:bCs/>
                      <w:color w:val="auto"/>
                      <w:sz w:val="21"/>
                      <w:szCs w:val="21"/>
                      <w:lang w:val="en-US" w:eastAsia="zh-CN"/>
                    </w:rPr>
                  </w:pPr>
                  <w:r>
                    <w:rPr>
                      <w:b w:val="0"/>
                      <w:bCs/>
                      <w:color w:val="auto"/>
                      <w:sz w:val="21"/>
                      <w:szCs w:val="21"/>
                    </w:rPr>
                    <w:t>符合性</w:t>
                  </w:r>
                </w:p>
              </w:tc>
            </w:tr>
            <w:tr w14:paraId="3835B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vAlign w:val="center"/>
                </w:tcPr>
                <w:p w14:paraId="1A73DEF0">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w:t>
                  </w:r>
                </w:p>
              </w:tc>
              <w:tc>
                <w:tcPr>
                  <w:tcW w:w="3692" w:type="dxa"/>
                  <w:vAlign w:val="center"/>
                </w:tcPr>
                <w:p w14:paraId="0CE412BB">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b w:val="0"/>
                      <w:bCs/>
                      <w:color w:val="auto"/>
                      <w:sz w:val="21"/>
                      <w:szCs w:val="21"/>
                    </w:rPr>
                  </w:pPr>
                  <w:r>
                    <w:rPr>
                      <w:rFonts w:hint="default"/>
                      <w:b w:val="0"/>
                      <w:bCs/>
                      <w:color w:val="auto"/>
                      <w:sz w:val="21"/>
                      <w:szCs w:val="21"/>
                      <w:highlight w:val="none"/>
                      <w:lang w:val="en-US" w:eastAsia="zh-CN"/>
                    </w:rPr>
                    <w:t>深入推进碳达峰行动。处理好减污降碳和能源安全、产业链供应链安全、粮食安全、群众正常生活的关系，推动重点领域、重点行业碳达峰行动。在国家统一规划的前提下，支持有条件的地区和重点行业、重点企业率先达峰。</w:t>
                  </w:r>
                </w:p>
              </w:tc>
              <w:tc>
                <w:tcPr>
                  <w:tcW w:w="3294" w:type="dxa"/>
                  <w:vAlign w:val="center"/>
                </w:tcPr>
                <w:p w14:paraId="3B9C1D27">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b w:val="0"/>
                      <w:bCs/>
                      <w:color w:val="auto"/>
                      <w:sz w:val="21"/>
                      <w:szCs w:val="21"/>
                    </w:rPr>
                  </w:pPr>
                  <w:r>
                    <w:rPr>
                      <w:rFonts w:hint="eastAsia" w:ascii="Times New Roman" w:hAnsi="Times New Roman" w:eastAsia="宋体" w:cs="Times New Roman"/>
                      <w:color w:val="auto"/>
                      <w:szCs w:val="21"/>
                      <w:lang w:val="en-US" w:eastAsia="zh-CN"/>
                    </w:rPr>
                    <w:t>根据《云南省人民政府关于印发云南省碳达峰实施方案的通知》，主要推动钢铁、建材、有色金属、化工、交通、能源、建筑等领域绿色低碳技术应用和设计，本项目所处行业暂无明确碳达峰碳中和相关要求，若本环评审批后，相关政策文件下发，则依据相关政策要求进行碳达峰碳中和工作</w:t>
                  </w:r>
                  <w:r>
                    <w:rPr>
                      <w:rFonts w:hint="eastAsia"/>
                      <w:b w:val="0"/>
                      <w:bCs/>
                      <w:color w:val="auto"/>
                      <w:sz w:val="21"/>
                      <w:szCs w:val="21"/>
                      <w:lang w:val="en-US" w:eastAsia="zh-CN"/>
                    </w:rPr>
                    <w:t>。</w:t>
                  </w:r>
                </w:p>
              </w:tc>
              <w:tc>
                <w:tcPr>
                  <w:tcW w:w="1067" w:type="dxa"/>
                  <w:vAlign w:val="center"/>
                </w:tcPr>
                <w:p w14:paraId="7EA49E51">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b w:val="0"/>
                      <w:bCs/>
                      <w:color w:val="auto"/>
                      <w:sz w:val="21"/>
                      <w:szCs w:val="21"/>
                    </w:rPr>
                  </w:pPr>
                  <w:r>
                    <w:rPr>
                      <w:rFonts w:hint="eastAsia"/>
                      <w:b w:val="0"/>
                      <w:bCs/>
                      <w:color w:val="auto"/>
                      <w:sz w:val="21"/>
                      <w:szCs w:val="21"/>
                      <w:lang w:val="en-US" w:eastAsia="zh-CN"/>
                    </w:rPr>
                    <w:t>符合</w:t>
                  </w:r>
                </w:p>
              </w:tc>
            </w:tr>
            <w:tr w14:paraId="04D09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vAlign w:val="center"/>
                </w:tcPr>
                <w:p w14:paraId="0E120D31">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lang w:val="en-US" w:eastAsia="zh-CN"/>
                    </w:rPr>
                    <w:t>2</w:t>
                  </w:r>
                </w:p>
              </w:tc>
              <w:tc>
                <w:tcPr>
                  <w:tcW w:w="3692" w:type="dxa"/>
                  <w:vAlign w:val="center"/>
                </w:tcPr>
                <w:p w14:paraId="678841A7">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b w:val="0"/>
                      <w:bCs/>
                      <w:color w:val="auto"/>
                      <w:sz w:val="21"/>
                      <w:szCs w:val="21"/>
                    </w:rPr>
                  </w:pPr>
                  <w:r>
                    <w:rPr>
                      <w:b w:val="0"/>
                      <w:bCs/>
                      <w:color w:val="auto"/>
                      <w:sz w:val="21"/>
                      <w:szCs w:val="21"/>
                      <w:highlight w:val="none"/>
                    </w:rPr>
                    <w:t>坚决遏制高耗能高排放项目盲目发展。坚决停批停建不符合规定的项目，深入推进产业补链延链强链、绿色低碳转型。严格落实产能置换和产能控制政策，实施粗钢产能清理整顿。</w:t>
                  </w:r>
                </w:p>
              </w:tc>
              <w:tc>
                <w:tcPr>
                  <w:tcW w:w="3294" w:type="dxa"/>
                  <w:vAlign w:val="center"/>
                </w:tcPr>
                <w:p w14:paraId="05F09660">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b w:val="0"/>
                      <w:bCs/>
                      <w:color w:val="auto"/>
                      <w:sz w:val="21"/>
                      <w:szCs w:val="21"/>
                    </w:rPr>
                  </w:pPr>
                  <w:r>
                    <w:rPr>
                      <w:rFonts w:hint="eastAsia" w:ascii="Times New Roman" w:hAnsi="Times New Roman" w:eastAsia="宋体" w:cs="Times New Roman"/>
                      <w:color w:val="auto"/>
                      <w:szCs w:val="21"/>
                      <w:lang w:val="en-US" w:eastAsia="zh-CN"/>
                    </w:rPr>
                    <w:t>本项目属于利用废弃资源制造砖瓦的项目，</w:t>
                  </w:r>
                  <w:r>
                    <w:rPr>
                      <w:rFonts w:hint="eastAsia" w:cs="Times New Roman"/>
                      <w:color w:val="auto"/>
                      <w:sz w:val="21"/>
                      <w:szCs w:val="21"/>
                      <w:lang w:val="en-US" w:eastAsia="zh-CN"/>
                    </w:rPr>
                    <w:t>华宁县白塔山陶器厂（新厂）</w:t>
                  </w:r>
                  <w:r>
                    <w:rPr>
                      <w:rFonts w:hint="default" w:ascii="Times New Roman" w:hAnsi="Times New Roman" w:eastAsia="宋体" w:cs="Times New Roman"/>
                      <w:color w:val="auto"/>
                      <w:kern w:val="2"/>
                      <w:sz w:val="21"/>
                      <w:szCs w:val="21"/>
                      <w:lang w:val="en-US" w:eastAsia="zh-CN" w:bidi="ar-SA"/>
                    </w:rPr>
                    <w:t>于20</w:t>
                  </w:r>
                  <w:r>
                    <w:rPr>
                      <w:rFonts w:hint="eastAsia" w:cs="Times New Roman"/>
                      <w:color w:val="auto"/>
                      <w:kern w:val="2"/>
                      <w:sz w:val="21"/>
                      <w:szCs w:val="21"/>
                      <w:lang w:val="en-US" w:eastAsia="zh-CN" w:bidi="ar-SA"/>
                    </w:rPr>
                    <w:t>20</w:t>
                  </w:r>
                  <w:r>
                    <w:rPr>
                      <w:rFonts w:hint="default" w:ascii="Times New Roman" w:hAnsi="Times New Roman" w:eastAsia="宋体" w:cs="Times New Roman"/>
                      <w:color w:val="auto"/>
                      <w:kern w:val="2"/>
                      <w:sz w:val="21"/>
                      <w:szCs w:val="21"/>
                      <w:lang w:val="en-US" w:eastAsia="zh-CN" w:bidi="ar-SA"/>
                    </w:rPr>
                    <w:t>年</w:t>
                  </w:r>
                  <w:r>
                    <w:rPr>
                      <w:rFonts w:hint="eastAsia" w:cs="Times New Roman"/>
                      <w:color w:val="auto"/>
                      <w:kern w:val="2"/>
                      <w:sz w:val="21"/>
                      <w:szCs w:val="21"/>
                      <w:lang w:val="en-US" w:eastAsia="zh-CN" w:bidi="ar-SA"/>
                    </w:rPr>
                    <w:t>7</w:t>
                  </w:r>
                  <w:r>
                    <w:rPr>
                      <w:rFonts w:hint="default" w:ascii="Times New Roman" w:hAnsi="Times New Roman" w:eastAsia="宋体" w:cs="Times New Roman"/>
                      <w:color w:val="auto"/>
                      <w:kern w:val="2"/>
                      <w:sz w:val="21"/>
                      <w:szCs w:val="21"/>
                      <w:lang w:val="en-US" w:eastAsia="zh-CN" w:bidi="ar-SA"/>
                    </w:rPr>
                    <w:t>月</w:t>
                  </w:r>
                  <w:r>
                    <w:rPr>
                      <w:rFonts w:hint="eastAsia" w:cs="Times New Roman"/>
                      <w:color w:val="auto"/>
                      <w:kern w:val="2"/>
                      <w:sz w:val="21"/>
                      <w:szCs w:val="21"/>
                      <w:lang w:val="en-US" w:eastAsia="zh-CN" w:bidi="ar-SA"/>
                    </w:rPr>
                    <w:t>20日被华宁县环境监测大队查处，在未办理环境影响评价手续的情况下完成三座土窑的建设；10月9日玉溪市生态环境局华宁分局对项目进行了处罚，根据</w:t>
                  </w:r>
                  <w:r>
                    <w:rPr>
                      <w:rFonts w:hint="eastAsia" w:ascii="Times New Roman" w:hAnsi="Times New Roman" w:eastAsia="宋体" w:cs="Times New Roman"/>
                      <w:color w:val="auto"/>
                      <w:kern w:val="2"/>
                      <w:sz w:val="21"/>
                      <w:szCs w:val="21"/>
                      <w:lang w:val="en-US" w:eastAsia="zh-CN" w:bidi="ar-SA"/>
                    </w:rPr>
                    <w:t>2022年10月2日华宁县人民政府办公室发布的《华宁县人民政府办公室关于印发华宁县青砖瓦生产企业整治工作方案的通知》（华政办通〔2022〕38号），</w:t>
                  </w:r>
                  <w:r>
                    <w:rPr>
                      <w:rFonts w:hint="eastAsia" w:cs="Times New Roman"/>
                      <w:color w:val="auto"/>
                      <w:sz w:val="21"/>
                      <w:szCs w:val="21"/>
                      <w:lang w:val="en-US" w:eastAsia="zh-CN"/>
                    </w:rPr>
                    <w:t>华宁县白塔山陶器厂（老厂）已经依法关闭退出</w:t>
                  </w:r>
                  <w:r>
                    <w:rPr>
                      <w:rFonts w:hint="eastAsia" w:cs="Times New Roman"/>
                      <w:color w:val="auto"/>
                      <w:kern w:val="2"/>
                      <w:sz w:val="21"/>
                      <w:szCs w:val="21"/>
                      <w:lang w:val="en-US" w:eastAsia="zh-CN" w:bidi="ar-SA"/>
                    </w:rPr>
                    <w:t>；</w:t>
                  </w:r>
                  <w:r>
                    <w:rPr>
                      <w:rFonts w:hint="eastAsia" w:cs="Times New Roman"/>
                      <w:color w:val="auto"/>
                      <w:sz w:val="21"/>
                      <w:szCs w:val="21"/>
                      <w:lang w:val="en-US" w:eastAsia="zh-CN"/>
                    </w:rPr>
                    <w:t>华宁县白塔山陶器厂（新厂）</w:t>
                  </w:r>
                  <w:r>
                    <w:rPr>
                      <w:rFonts w:hint="eastAsia" w:cs="Times New Roman"/>
                      <w:color w:val="auto"/>
                      <w:kern w:val="2"/>
                      <w:sz w:val="21"/>
                      <w:szCs w:val="21"/>
                      <w:lang w:val="en-US" w:eastAsia="zh-CN" w:bidi="ar-SA"/>
                    </w:rPr>
                    <w:t>属于需要巩固提升的青砖瓦企业，项目改建后总产能不发生改变，仍为900万件；根据本次评价核算，改建后项目颗粒物排放量削减了27.96t/a；二氧化硫排放量削减了17.7t/a，氮氧化物排放量削减了1.378t/a，氟化物排放量削减了0.767t/a，符合</w:t>
                  </w:r>
                  <w:r>
                    <w:rPr>
                      <w:rFonts w:hint="eastAsia" w:ascii="Times New Roman" w:hAnsi="Times New Roman" w:eastAsia="宋体" w:cs="Times New Roman"/>
                      <w:color w:val="auto"/>
                      <w:sz w:val="21"/>
                      <w:szCs w:val="21"/>
                      <w:lang w:val="en-US" w:eastAsia="zh-CN"/>
                    </w:rPr>
                    <w:t>生态环境保护法律法规和相关法定规划</w:t>
                  </w:r>
                  <w:r>
                    <w:rPr>
                      <w:rFonts w:hint="eastAsia"/>
                      <w:b w:val="0"/>
                      <w:bCs/>
                      <w:color w:val="auto"/>
                      <w:sz w:val="21"/>
                      <w:szCs w:val="21"/>
                      <w:lang w:val="en-US" w:eastAsia="zh-CN"/>
                    </w:rPr>
                    <w:t>。</w:t>
                  </w:r>
                </w:p>
              </w:tc>
              <w:tc>
                <w:tcPr>
                  <w:tcW w:w="1067" w:type="dxa"/>
                  <w:vAlign w:val="center"/>
                </w:tcPr>
                <w:p w14:paraId="57FD827F">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b w:val="0"/>
                      <w:bCs/>
                      <w:color w:val="auto"/>
                      <w:sz w:val="21"/>
                      <w:szCs w:val="21"/>
                    </w:rPr>
                  </w:pPr>
                  <w:r>
                    <w:rPr>
                      <w:rFonts w:hint="eastAsia"/>
                      <w:b w:val="0"/>
                      <w:bCs/>
                      <w:color w:val="auto"/>
                      <w:sz w:val="21"/>
                      <w:szCs w:val="21"/>
                      <w:lang w:val="en-US" w:eastAsia="zh-CN"/>
                    </w:rPr>
                    <w:t>符合</w:t>
                  </w:r>
                </w:p>
              </w:tc>
            </w:tr>
            <w:tr w14:paraId="23FF7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vAlign w:val="center"/>
                </w:tcPr>
                <w:p w14:paraId="07C56E3D">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lang w:val="en-US" w:eastAsia="zh-CN"/>
                    </w:rPr>
                    <w:t>3</w:t>
                  </w:r>
                </w:p>
              </w:tc>
              <w:tc>
                <w:tcPr>
                  <w:tcW w:w="3692" w:type="dxa"/>
                  <w:vAlign w:val="center"/>
                </w:tcPr>
                <w:p w14:paraId="747E6F40">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b w:val="0"/>
                      <w:bCs/>
                      <w:color w:val="auto"/>
                      <w:sz w:val="21"/>
                      <w:szCs w:val="21"/>
                    </w:rPr>
                  </w:pPr>
                  <w:r>
                    <w:rPr>
                      <w:rFonts w:hint="default"/>
                      <w:b w:val="0"/>
                      <w:bCs/>
                      <w:color w:val="auto"/>
                      <w:sz w:val="21"/>
                      <w:szCs w:val="21"/>
                      <w:highlight w:val="none"/>
                      <w:lang w:val="en-US" w:eastAsia="zh-CN"/>
                    </w:rPr>
                    <w:t>推进清洁生产和能源资源节约高效利用。深入实施清洁生产改造，依法开展清洁生产审核。推进绿色能源与绿色制造融合发展。强化能源和水资源</w:t>
                  </w:r>
                  <w:r>
                    <w:rPr>
                      <w:rFonts w:hint="eastAsia"/>
                      <w:b w:val="0"/>
                      <w:bCs/>
                      <w:color w:val="auto"/>
                      <w:sz w:val="21"/>
                      <w:szCs w:val="21"/>
                      <w:highlight w:val="none"/>
                      <w:lang w:val="en-US" w:eastAsia="zh-CN"/>
                    </w:rPr>
                    <w:t>“</w:t>
                  </w:r>
                  <w:r>
                    <w:rPr>
                      <w:rFonts w:hint="default"/>
                      <w:b w:val="0"/>
                      <w:bCs/>
                      <w:color w:val="auto"/>
                      <w:sz w:val="21"/>
                      <w:szCs w:val="21"/>
                      <w:highlight w:val="none"/>
                      <w:lang w:val="en-US" w:eastAsia="zh-CN"/>
                    </w:rPr>
                    <w:t>双控</w:t>
                  </w:r>
                  <w:r>
                    <w:rPr>
                      <w:rFonts w:hint="eastAsia"/>
                      <w:b w:val="0"/>
                      <w:bCs/>
                      <w:color w:val="auto"/>
                      <w:sz w:val="21"/>
                      <w:szCs w:val="21"/>
                      <w:highlight w:val="none"/>
                      <w:lang w:val="en-US" w:eastAsia="zh-CN"/>
                    </w:rPr>
                    <w:t>”</w:t>
                  </w:r>
                  <w:r>
                    <w:rPr>
                      <w:rFonts w:hint="default"/>
                      <w:b w:val="0"/>
                      <w:bCs/>
                      <w:color w:val="auto"/>
                      <w:sz w:val="21"/>
                      <w:szCs w:val="21"/>
                      <w:highlight w:val="none"/>
                      <w:lang w:val="en-US" w:eastAsia="zh-CN"/>
                    </w:rPr>
                    <w:t>，加强重点领域节能，实施节水行动。</w:t>
                  </w:r>
                </w:p>
              </w:tc>
              <w:tc>
                <w:tcPr>
                  <w:tcW w:w="3294" w:type="dxa"/>
                  <w:vAlign w:val="center"/>
                </w:tcPr>
                <w:p w14:paraId="757C8A5E">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b w:val="0"/>
                      <w:bCs/>
                      <w:color w:val="auto"/>
                      <w:sz w:val="21"/>
                      <w:szCs w:val="21"/>
                    </w:rPr>
                  </w:pPr>
                  <w:r>
                    <w:rPr>
                      <w:rFonts w:hint="eastAsia"/>
                      <w:b w:val="0"/>
                      <w:bCs/>
                      <w:color w:val="auto"/>
                      <w:sz w:val="21"/>
                      <w:szCs w:val="21"/>
                      <w:lang w:val="en-US" w:eastAsia="zh-CN"/>
                    </w:rPr>
                    <w:t>本项目</w:t>
                  </w:r>
                  <w:r>
                    <w:rPr>
                      <w:rFonts w:hint="eastAsia"/>
                      <w:b w:val="0"/>
                      <w:bCs/>
                      <w:color w:val="auto"/>
                      <w:sz w:val="21"/>
                      <w:szCs w:val="21"/>
                      <w:lang w:eastAsia="zh-CN"/>
                    </w:rPr>
                    <w:t>设备选型时同类设备选用低耗能设备；</w:t>
                  </w:r>
                  <w:r>
                    <w:rPr>
                      <w:rFonts w:hint="default" w:ascii="Times New Roman" w:hAnsi="Times New Roman" w:cs="Times New Roman"/>
                      <w:b w:val="0"/>
                      <w:bCs/>
                      <w:color w:val="auto"/>
                      <w:sz w:val="21"/>
                      <w:szCs w:val="21"/>
                      <w:lang w:val="en-US" w:eastAsia="zh-CN"/>
                    </w:rPr>
                    <w:t>本项目</w:t>
                  </w:r>
                  <w:r>
                    <w:rPr>
                      <w:rFonts w:hint="eastAsia" w:cs="Times New Roman"/>
                      <w:b w:val="0"/>
                      <w:bCs/>
                      <w:color w:val="auto"/>
                      <w:sz w:val="21"/>
                      <w:szCs w:val="21"/>
                      <w:lang w:val="en-US" w:eastAsia="zh-CN"/>
                    </w:rPr>
                    <w:t>脱硫塔循环水</w:t>
                  </w:r>
                  <w:r>
                    <w:rPr>
                      <w:rFonts w:hint="default" w:ascii="Times New Roman" w:hAnsi="Times New Roman" w:cs="Times New Roman"/>
                      <w:b w:val="0"/>
                      <w:bCs/>
                      <w:color w:val="auto"/>
                      <w:sz w:val="21"/>
                      <w:szCs w:val="21"/>
                      <w:lang w:val="en-US" w:eastAsia="zh-CN"/>
                    </w:rPr>
                    <w:t>用水循环使用</w:t>
                  </w:r>
                  <w:r>
                    <w:rPr>
                      <w:rFonts w:hint="eastAsia"/>
                      <w:b w:val="0"/>
                      <w:bCs/>
                      <w:color w:val="auto"/>
                      <w:sz w:val="21"/>
                      <w:szCs w:val="21"/>
                      <w:lang w:eastAsia="zh-CN"/>
                    </w:rPr>
                    <w:t>，</w:t>
                  </w:r>
                  <w:r>
                    <w:rPr>
                      <w:rFonts w:hint="eastAsia" w:ascii="Times New Roman" w:hAnsi="Times New Roman" w:cs="Times New Roman"/>
                      <w:b w:val="0"/>
                      <w:bCs/>
                      <w:color w:val="auto"/>
                      <w:sz w:val="21"/>
                      <w:szCs w:val="21"/>
                      <w:lang w:val="en-US" w:eastAsia="zh-CN"/>
                    </w:rPr>
                    <w:t>积极</w:t>
                  </w:r>
                  <w:r>
                    <w:rPr>
                      <w:rFonts w:hint="default"/>
                      <w:b w:val="0"/>
                      <w:bCs/>
                      <w:color w:val="auto"/>
                      <w:sz w:val="21"/>
                      <w:szCs w:val="21"/>
                      <w:highlight w:val="none"/>
                      <w:lang w:val="en-US" w:eastAsia="zh-CN"/>
                    </w:rPr>
                    <w:t>推进清洁生产和能源资源节约高效利用</w:t>
                  </w:r>
                  <w:r>
                    <w:rPr>
                      <w:rFonts w:hint="eastAsia"/>
                      <w:b w:val="0"/>
                      <w:bCs/>
                      <w:color w:val="auto"/>
                      <w:sz w:val="21"/>
                      <w:szCs w:val="21"/>
                      <w:lang w:val="en-US" w:eastAsia="zh-CN"/>
                    </w:rPr>
                    <w:t>。</w:t>
                  </w:r>
                </w:p>
              </w:tc>
              <w:tc>
                <w:tcPr>
                  <w:tcW w:w="1067" w:type="dxa"/>
                  <w:vAlign w:val="center"/>
                </w:tcPr>
                <w:p w14:paraId="4276B92C">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b w:val="0"/>
                      <w:bCs/>
                      <w:color w:val="auto"/>
                      <w:sz w:val="21"/>
                      <w:szCs w:val="21"/>
                    </w:rPr>
                  </w:pPr>
                  <w:r>
                    <w:rPr>
                      <w:rFonts w:hint="eastAsia"/>
                      <w:b w:val="0"/>
                      <w:bCs/>
                      <w:color w:val="auto"/>
                      <w:sz w:val="21"/>
                      <w:szCs w:val="21"/>
                      <w:lang w:val="en-US" w:eastAsia="zh-CN"/>
                    </w:rPr>
                    <w:t>符合</w:t>
                  </w:r>
                </w:p>
              </w:tc>
            </w:tr>
            <w:tr w14:paraId="05107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vAlign w:val="center"/>
                </w:tcPr>
                <w:p w14:paraId="3EF7BAB9">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lang w:val="en-US" w:eastAsia="zh-CN"/>
                    </w:rPr>
                    <w:t>4</w:t>
                  </w:r>
                </w:p>
              </w:tc>
              <w:tc>
                <w:tcPr>
                  <w:tcW w:w="3692" w:type="dxa"/>
                  <w:vAlign w:val="center"/>
                </w:tcPr>
                <w:p w14:paraId="7093C3E4">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b w:val="0"/>
                      <w:bCs/>
                      <w:color w:val="auto"/>
                      <w:sz w:val="21"/>
                      <w:szCs w:val="21"/>
                    </w:rPr>
                  </w:pPr>
                  <w:r>
                    <w:rPr>
                      <w:rFonts w:hint="default"/>
                      <w:b w:val="0"/>
                      <w:bCs/>
                      <w:color w:val="auto"/>
                      <w:sz w:val="21"/>
                      <w:szCs w:val="21"/>
                      <w:highlight w:val="none"/>
                      <w:lang w:val="en-US" w:eastAsia="zh-CN"/>
                    </w:rPr>
                    <w:t>改善区域大气和声环境质量。持续开展春夏季攻坚行动，提升滇西南、滇南环境空气质量。完善滇中地区大气污染联防联控机制。加大餐饮油烟污染、恶臭异味治理力度。实施噪声污染防治行动，解决群众关心的噪声污染问题。</w:t>
                  </w:r>
                </w:p>
              </w:tc>
              <w:tc>
                <w:tcPr>
                  <w:tcW w:w="3294" w:type="dxa"/>
                  <w:vAlign w:val="center"/>
                </w:tcPr>
                <w:p w14:paraId="3190F480">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b w:val="0"/>
                      <w:bCs/>
                      <w:color w:val="auto"/>
                      <w:sz w:val="21"/>
                      <w:szCs w:val="21"/>
                    </w:rPr>
                  </w:pPr>
                  <w:r>
                    <w:rPr>
                      <w:rFonts w:hint="eastAsia"/>
                      <w:b w:val="0"/>
                      <w:bCs/>
                      <w:color w:val="auto"/>
                      <w:sz w:val="21"/>
                      <w:szCs w:val="21"/>
                      <w:lang w:val="en-US" w:eastAsia="zh-CN"/>
                    </w:rPr>
                    <w:t>根据环境质量现状评价结果，本项目区域环境质量达标。根据源强核算，本项目废气、</w:t>
                  </w:r>
                  <w:r>
                    <w:rPr>
                      <w:rFonts w:hint="eastAsia" w:cs="Times New Roman"/>
                      <w:b w:val="0"/>
                      <w:bCs/>
                      <w:color w:val="auto"/>
                      <w:sz w:val="21"/>
                      <w:szCs w:val="21"/>
                      <w:lang w:eastAsia="zh-CN"/>
                    </w:rPr>
                    <w:t>废水、</w:t>
                  </w:r>
                  <w:r>
                    <w:rPr>
                      <w:rFonts w:hint="eastAsia"/>
                      <w:b w:val="0"/>
                      <w:bCs/>
                      <w:color w:val="auto"/>
                      <w:sz w:val="21"/>
                      <w:szCs w:val="21"/>
                      <w:lang w:val="en-US" w:eastAsia="zh-CN"/>
                    </w:rPr>
                    <w:t>噪声均达标排放，对区域环境影响不大。本项目不设食堂，不涉及</w:t>
                  </w:r>
                  <w:r>
                    <w:rPr>
                      <w:rFonts w:hint="default"/>
                      <w:b w:val="0"/>
                      <w:bCs/>
                      <w:color w:val="auto"/>
                      <w:sz w:val="21"/>
                      <w:szCs w:val="21"/>
                      <w:highlight w:val="none"/>
                      <w:lang w:val="en-US" w:eastAsia="zh-CN"/>
                    </w:rPr>
                    <w:t>油烟污染</w:t>
                  </w:r>
                  <w:r>
                    <w:rPr>
                      <w:rFonts w:hint="eastAsia"/>
                      <w:b w:val="0"/>
                      <w:bCs/>
                      <w:color w:val="auto"/>
                      <w:sz w:val="21"/>
                      <w:szCs w:val="21"/>
                      <w:highlight w:val="none"/>
                      <w:lang w:val="en-US" w:eastAsia="zh-CN"/>
                    </w:rPr>
                    <w:t>。</w:t>
                  </w:r>
                </w:p>
              </w:tc>
              <w:tc>
                <w:tcPr>
                  <w:tcW w:w="1067" w:type="dxa"/>
                  <w:vAlign w:val="center"/>
                </w:tcPr>
                <w:p w14:paraId="77063EA8">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b w:val="0"/>
                      <w:bCs/>
                      <w:color w:val="auto"/>
                      <w:sz w:val="21"/>
                      <w:szCs w:val="21"/>
                    </w:rPr>
                  </w:pPr>
                  <w:r>
                    <w:rPr>
                      <w:rFonts w:hint="eastAsia"/>
                      <w:b w:val="0"/>
                      <w:bCs/>
                      <w:color w:val="auto"/>
                      <w:sz w:val="21"/>
                      <w:szCs w:val="21"/>
                      <w:lang w:val="en-US" w:eastAsia="zh-CN"/>
                    </w:rPr>
                    <w:t>符合</w:t>
                  </w:r>
                </w:p>
              </w:tc>
            </w:tr>
          </w:tbl>
          <w:p w14:paraId="6225407A">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 w:val="21"/>
                <w:szCs w:val="21"/>
              </w:rPr>
            </w:pPr>
            <w:r>
              <w:rPr>
                <w:rFonts w:hint="eastAsia"/>
                <w:color w:val="auto"/>
                <w:sz w:val="21"/>
                <w:szCs w:val="21"/>
              </w:rPr>
              <w:t>综上，本项目符合</w:t>
            </w:r>
            <w:r>
              <w:rPr>
                <w:rFonts w:hint="eastAsia" w:cs="Times New Roman"/>
                <w:color w:val="auto"/>
                <w:sz w:val="21"/>
                <w:szCs w:val="21"/>
                <w:lang w:eastAsia="zh-CN"/>
              </w:rPr>
              <w:t>《</w:t>
            </w:r>
            <w:r>
              <w:rPr>
                <w:rFonts w:hint="eastAsia"/>
                <w:color w:val="auto"/>
                <w:sz w:val="21"/>
                <w:szCs w:val="21"/>
                <w:highlight w:val="none"/>
                <w:lang w:val="en-US" w:eastAsia="zh-CN"/>
              </w:rPr>
              <w:t>云南省关于深入打好污染防治攻坚战实施方案</w:t>
            </w:r>
            <w:r>
              <w:rPr>
                <w:rFonts w:hint="eastAsia" w:cs="Times New Roman"/>
                <w:color w:val="auto"/>
                <w:sz w:val="21"/>
                <w:szCs w:val="21"/>
                <w:lang w:eastAsia="zh-CN"/>
              </w:rPr>
              <w:t>》</w:t>
            </w:r>
            <w:r>
              <w:rPr>
                <w:rFonts w:hint="eastAsia"/>
                <w:color w:val="auto"/>
                <w:sz w:val="21"/>
                <w:szCs w:val="21"/>
              </w:rPr>
              <w:t>的相关要求。</w:t>
            </w:r>
          </w:p>
          <w:p w14:paraId="510EBB4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422" w:firstLineChars="200"/>
              <w:textAlignment w:val="auto"/>
              <w:rPr>
                <w:rFonts w:hint="eastAsia"/>
                <w:b/>
                <w:bCs/>
                <w:color w:val="auto"/>
                <w:sz w:val="21"/>
                <w:szCs w:val="21"/>
                <w:lang w:val="en-US" w:eastAsia="zh-CN"/>
              </w:rPr>
            </w:pPr>
            <w:r>
              <w:rPr>
                <w:rFonts w:hint="eastAsia"/>
                <w:b/>
                <w:bCs/>
                <w:color w:val="auto"/>
                <w:sz w:val="21"/>
                <w:szCs w:val="21"/>
                <w:lang w:val="en-US" w:eastAsia="zh-CN"/>
              </w:rPr>
              <w:t>8、与《云南省空气质量持续改善行动实施方案》符合性分析</w:t>
            </w:r>
          </w:p>
          <w:p w14:paraId="3D607E1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color w:val="auto"/>
                <w:sz w:val="21"/>
                <w:szCs w:val="21"/>
                <w:lang w:eastAsia="zh-CN"/>
              </w:rPr>
            </w:pPr>
            <w:r>
              <w:rPr>
                <w:rFonts w:hint="eastAsia"/>
                <w:color w:val="auto"/>
                <w:sz w:val="21"/>
                <w:szCs w:val="21"/>
              </w:rPr>
              <w:t>202</w:t>
            </w:r>
            <w:r>
              <w:rPr>
                <w:rFonts w:hint="eastAsia"/>
                <w:color w:val="auto"/>
                <w:sz w:val="21"/>
                <w:szCs w:val="21"/>
                <w:lang w:val="en-US" w:eastAsia="zh-CN"/>
              </w:rPr>
              <w:t>4</w:t>
            </w:r>
            <w:r>
              <w:rPr>
                <w:rFonts w:hint="eastAsia"/>
                <w:color w:val="auto"/>
                <w:sz w:val="21"/>
                <w:szCs w:val="21"/>
              </w:rPr>
              <w:t>年</w:t>
            </w:r>
            <w:r>
              <w:rPr>
                <w:rFonts w:hint="eastAsia"/>
                <w:color w:val="auto"/>
                <w:sz w:val="21"/>
                <w:szCs w:val="21"/>
                <w:lang w:val="en-US" w:eastAsia="zh-CN"/>
              </w:rPr>
              <w:t>4</w:t>
            </w:r>
            <w:r>
              <w:rPr>
                <w:rFonts w:hint="eastAsia"/>
                <w:color w:val="auto"/>
                <w:sz w:val="21"/>
                <w:szCs w:val="21"/>
              </w:rPr>
              <w:t>月</w:t>
            </w:r>
            <w:r>
              <w:rPr>
                <w:rFonts w:hint="eastAsia"/>
                <w:color w:val="auto"/>
                <w:sz w:val="21"/>
                <w:szCs w:val="21"/>
                <w:lang w:val="en-US" w:eastAsia="zh-CN"/>
              </w:rPr>
              <w:t>26</w:t>
            </w:r>
            <w:r>
              <w:rPr>
                <w:rFonts w:hint="eastAsia"/>
                <w:color w:val="auto"/>
                <w:sz w:val="21"/>
                <w:szCs w:val="21"/>
              </w:rPr>
              <w:t>日</w:t>
            </w:r>
            <w:r>
              <w:rPr>
                <w:rFonts w:hint="eastAsia"/>
                <w:color w:val="auto"/>
                <w:sz w:val="21"/>
                <w:szCs w:val="21"/>
                <w:lang w:eastAsia="zh-CN"/>
              </w:rPr>
              <w:t>，云南省人民</w:t>
            </w:r>
            <w:r>
              <w:rPr>
                <w:rFonts w:hint="eastAsia" w:ascii="Times New Roman" w:hAnsi="Times New Roman" w:eastAsia="宋体"/>
                <w:color w:val="auto"/>
                <w:sz w:val="21"/>
                <w:szCs w:val="21"/>
                <w:lang w:eastAsia="zh-CN"/>
              </w:rPr>
              <w:t>政府</w:t>
            </w:r>
            <w:r>
              <w:rPr>
                <w:rFonts w:hint="eastAsia" w:ascii="Times New Roman" w:hAnsi="Times New Roman" w:eastAsia="宋体"/>
                <w:color w:val="auto"/>
                <w:sz w:val="21"/>
                <w:szCs w:val="21"/>
                <w:lang w:val="en-US" w:eastAsia="zh-CN"/>
              </w:rPr>
              <w:t>发布了</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lang w:val="en-US" w:eastAsia="zh-CN"/>
              </w:rPr>
              <w:t>云南省空气质量持续改善行动实施方案</w:t>
            </w:r>
            <w:r>
              <w:rPr>
                <w:rFonts w:hint="eastAsia" w:ascii="Times New Roman" w:hAnsi="Times New Roman" w:eastAsia="宋体"/>
                <w:color w:val="auto"/>
                <w:sz w:val="21"/>
                <w:szCs w:val="21"/>
                <w:lang w:eastAsia="zh-CN"/>
              </w:rPr>
              <w:t>》（云政</w:t>
            </w:r>
            <w:r>
              <w:rPr>
                <w:rFonts w:hint="default" w:ascii="Times New Roman" w:hAnsi="Times New Roman" w:eastAsia="宋体"/>
                <w:color w:val="auto"/>
                <w:sz w:val="21"/>
                <w:szCs w:val="21"/>
                <w:lang w:eastAsia="zh-CN"/>
              </w:rPr>
              <w:t>发〔</w:t>
            </w:r>
            <w:r>
              <w:rPr>
                <w:rFonts w:hint="default"/>
                <w:color w:val="auto"/>
                <w:sz w:val="21"/>
                <w:szCs w:val="21"/>
              </w:rPr>
              <w:t>202</w:t>
            </w:r>
            <w:r>
              <w:rPr>
                <w:rFonts w:hint="eastAsia"/>
                <w:color w:val="auto"/>
                <w:sz w:val="21"/>
                <w:szCs w:val="21"/>
                <w:lang w:val="en-US" w:eastAsia="zh-CN"/>
              </w:rPr>
              <w:t>4</w:t>
            </w:r>
            <w:r>
              <w:rPr>
                <w:rFonts w:hint="default"/>
                <w:color w:val="auto"/>
                <w:sz w:val="21"/>
                <w:szCs w:val="21"/>
              </w:rPr>
              <w:t>〕</w:t>
            </w:r>
            <w:r>
              <w:rPr>
                <w:rFonts w:hint="eastAsia"/>
                <w:color w:val="auto"/>
                <w:sz w:val="21"/>
                <w:szCs w:val="21"/>
                <w:lang w:val="en-US" w:eastAsia="zh-CN"/>
              </w:rPr>
              <w:t>1</w:t>
            </w:r>
            <w:r>
              <w:rPr>
                <w:rFonts w:hint="default"/>
                <w:color w:val="auto"/>
                <w:sz w:val="21"/>
                <w:szCs w:val="21"/>
              </w:rPr>
              <w:t>4号</w:t>
            </w:r>
            <w:r>
              <w:rPr>
                <w:rFonts w:hint="eastAsia"/>
                <w:color w:val="auto"/>
                <w:sz w:val="21"/>
                <w:szCs w:val="21"/>
                <w:lang w:eastAsia="zh-CN"/>
              </w:rPr>
              <w:t>），本项目与</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lang w:val="en-US" w:eastAsia="zh-CN"/>
              </w:rPr>
              <w:t>方案</w:t>
            </w:r>
            <w:r>
              <w:rPr>
                <w:rFonts w:hint="eastAsia" w:ascii="Times New Roman" w:hAnsi="Times New Roman" w:eastAsia="宋体"/>
                <w:color w:val="auto"/>
                <w:sz w:val="21"/>
                <w:szCs w:val="21"/>
                <w:lang w:eastAsia="zh-CN"/>
              </w:rPr>
              <w:t>》</w:t>
            </w:r>
            <w:r>
              <w:rPr>
                <w:rFonts w:hint="eastAsia"/>
                <w:color w:val="auto"/>
                <w:sz w:val="21"/>
                <w:szCs w:val="21"/>
              </w:rPr>
              <w:t>相关要求相符性分析</w:t>
            </w:r>
            <w:r>
              <w:rPr>
                <w:rFonts w:hint="default"/>
                <w:color w:val="auto"/>
                <w:sz w:val="21"/>
                <w:szCs w:val="21"/>
              </w:rPr>
              <w:t>如下</w:t>
            </w:r>
            <w:r>
              <w:rPr>
                <w:rFonts w:hint="eastAsia"/>
                <w:color w:val="auto"/>
                <w:sz w:val="21"/>
                <w:szCs w:val="21"/>
                <w:lang w:eastAsia="zh-CN"/>
              </w:rPr>
              <w:t>：</w:t>
            </w:r>
          </w:p>
          <w:p w14:paraId="323887BB">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0" w:firstLineChars="0"/>
              <w:textAlignment w:val="auto"/>
              <w:rPr>
                <w:rFonts w:hint="eastAsia"/>
                <w:color w:val="auto"/>
                <w:sz w:val="21"/>
                <w:szCs w:val="21"/>
                <w:lang w:val="en-US" w:eastAsia="zh-CN"/>
              </w:rPr>
            </w:pPr>
            <w:r>
              <w:rPr>
                <w:rFonts w:hint="eastAsia"/>
                <w:color w:val="auto"/>
                <w:sz w:val="21"/>
                <w:szCs w:val="21"/>
                <w:lang w:val="en-US" w:eastAsia="zh-CN"/>
              </w:rPr>
              <w:t xml:space="preserve">表1-8  </w:t>
            </w:r>
            <w:r>
              <w:rPr>
                <w:rFonts w:hint="default"/>
                <w:color w:val="auto"/>
                <w:sz w:val="21"/>
                <w:szCs w:val="21"/>
              </w:rPr>
              <w:t>与</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lang w:val="en-US" w:eastAsia="zh-CN"/>
              </w:rPr>
              <w:t>云南省空气质量持续改善行动实施方案</w:t>
            </w:r>
            <w:r>
              <w:rPr>
                <w:rFonts w:hint="eastAsia" w:ascii="Times New Roman" w:hAnsi="Times New Roman" w:eastAsia="宋体"/>
                <w:color w:val="auto"/>
                <w:sz w:val="21"/>
                <w:szCs w:val="21"/>
                <w:lang w:eastAsia="zh-CN"/>
              </w:rPr>
              <w:t>》</w:t>
            </w:r>
            <w:r>
              <w:rPr>
                <w:rFonts w:hint="default"/>
                <w:color w:val="auto"/>
                <w:sz w:val="21"/>
                <w:szCs w:val="21"/>
              </w:rPr>
              <w:t>符合性分析</w:t>
            </w:r>
          </w:p>
          <w:tbl>
            <w:tblPr>
              <w:tblStyle w:val="30"/>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4317"/>
              <w:gridCol w:w="2881"/>
              <w:gridCol w:w="716"/>
            </w:tblGrid>
            <w:tr w14:paraId="2FC6E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exact"/>
                <w:jc w:val="center"/>
              </w:trPr>
              <w:tc>
                <w:tcPr>
                  <w:tcW w:w="398" w:type="pct"/>
                  <w:tcBorders>
                    <w:tl2br w:val="nil"/>
                    <w:tr2bl w:val="nil"/>
                  </w:tcBorders>
                  <w:noWrap w:val="0"/>
                  <w:vAlign w:val="center"/>
                </w:tcPr>
                <w:p w14:paraId="72724A26">
                  <w:pPr>
                    <w:pStyle w:val="85"/>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eastAsia" w:eastAsia="宋体"/>
                      <w:b w:val="0"/>
                      <w:bCs/>
                      <w:color w:val="auto"/>
                      <w:sz w:val="21"/>
                      <w:szCs w:val="21"/>
                      <w:lang w:val="en-US" w:eastAsia="zh-CN"/>
                    </w:rPr>
                  </w:pPr>
                  <w:r>
                    <w:rPr>
                      <w:rFonts w:hint="eastAsia"/>
                      <w:b w:val="0"/>
                      <w:bCs/>
                      <w:color w:val="auto"/>
                      <w:sz w:val="21"/>
                      <w:szCs w:val="21"/>
                      <w:lang w:val="en-US" w:eastAsia="zh-CN"/>
                    </w:rPr>
                    <w:t>序号</w:t>
                  </w:r>
                </w:p>
              </w:tc>
              <w:tc>
                <w:tcPr>
                  <w:tcW w:w="2510" w:type="pct"/>
                  <w:tcBorders>
                    <w:tl2br w:val="nil"/>
                    <w:tr2bl w:val="nil"/>
                  </w:tcBorders>
                  <w:noWrap w:val="0"/>
                  <w:vAlign w:val="center"/>
                </w:tcPr>
                <w:p w14:paraId="79A27E9D">
                  <w:pPr>
                    <w:pStyle w:val="85"/>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eastAsia" w:eastAsia="宋体"/>
                      <w:b w:val="0"/>
                      <w:bCs/>
                      <w:color w:val="auto"/>
                      <w:sz w:val="21"/>
                      <w:szCs w:val="21"/>
                      <w:lang w:val="en-US" w:eastAsia="zh-CN"/>
                    </w:rPr>
                  </w:pPr>
                  <w:r>
                    <w:rPr>
                      <w:rFonts w:hint="eastAsia" w:ascii="Times New Roman" w:hAnsi="Times New Roman" w:eastAsia="宋体"/>
                      <w:b w:val="0"/>
                      <w:bCs/>
                      <w:color w:val="auto"/>
                      <w:sz w:val="21"/>
                      <w:szCs w:val="21"/>
                      <w:lang w:eastAsia="zh-CN"/>
                    </w:rPr>
                    <w:t>《</w:t>
                  </w:r>
                  <w:r>
                    <w:rPr>
                      <w:rFonts w:hint="eastAsia" w:ascii="Times New Roman" w:hAnsi="Times New Roman" w:eastAsia="宋体"/>
                      <w:b w:val="0"/>
                      <w:bCs/>
                      <w:color w:val="auto"/>
                      <w:sz w:val="21"/>
                      <w:szCs w:val="21"/>
                      <w:lang w:val="en-US" w:eastAsia="zh-CN"/>
                    </w:rPr>
                    <w:t>方案</w:t>
                  </w:r>
                  <w:r>
                    <w:rPr>
                      <w:rFonts w:hint="eastAsia" w:ascii="Times New Roman" w:hAnsi="Times New Roman" w:eastAsia="宋体"/>
                      <w:b w:val="0"/>
                      <w:bCs/>
                      <w:color w:val="auto"/>
                      <w:sz w:val="21"/>
                      <w:szCs w:val="21"/>
                      <w:lang w:eastAsia="zh-CN"/>
                    </w:rPr>
                    <w:t>》</w:t>
                  </w:r>
                  <w:r>
                    <w:rPr>
                      <w:rFonts w:hint="eastAsia"/>
                      <w:b w:val="0"/>
                      <w:bCs/>
                      <w:color w:val="auto"/>
                      <w:sz w:val="21"/>
                      <w:szCs w:val="21"/>
                    </w:rPr>
                    <w:t>要求</w:t>
                  </w:r>
                </w:p>
              </w:tc>
              <w:tc>
                <w:tcPr>
                  <w:tcW w:w="1674" w:type="pct"/>
                  <w:tcBorders>
                    <w:tl2br w:val="nil"/>
                    <w:tr2bl w:val="nil"/>
                  </w:tcBorders>
                  <w:noWrap w:val="0"/>
                  <w:vAlign w:val="center"/>
                </w:tcPr>
                <w:p w14:paraId="59F60355">
                  <w:pPr>
                    <w:pStyle w:val="85"/>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default"/>
                      <w:b w:val="0"/>
                      <w:bCs/>
                      <w:color w:val="auto"/>
                      <w:sz w:val="21"/>
                      <w:szCs w:val="21"/>
                      <w:lang w:val="en-US" w:eastAsia="zh-CN"/>
                    </w:rPr>
                  </w:pPr>
                  <w:r>
                    <w:rPr>
                      <w:rFonts w:hint="default"/>
                      <w:b w:val="0"/>
                      <w:bCs/>
                      <w:color w:val="auto"/>
                      <w:sz w:val="21"/>
                      <w:szCs w:val="21"/>
                      <w:lang w:val="en-US" w:eastAsia="zh-CN"/>
                    </w:rPr>
                    <w:t>项目</w:t>
                  </w:r>
                  <w:r>
                    <w:rPr>
                      <w:rFonts w:hint="eastAsia"/>
                      <w:b w:val="0"/>
                      <w:bCs/>
                      <w:color w:val="auto"/>
                      <w:sz w:val="21"/>
                      <w:szCs w:val="21"/>
                      <w:lang w:val="en-US" w:eastAsia="zh-CN"/>
                    </w:rPr>
                    <w:t>情况</w:t>
                  </w:r>
                </w:p>
              </w:tc>
              <w:tc>
                <w:tcPr>
                  <w:tcW w:w="416" w:type="pct"/>
                  <w:tcBorders>
                    <w:tl2br w:val="nil"/>
                    <w:tr2bl w:val="nil"/>
                  </w:tcBorders>
                  <w:noWrap w:val="0"/>
                  <w:vAlign w:val="center"/>
                </w:tcPr>
                <w:p w14:paraId="7E0F1372">
                  <w:pPr>
                    <w:pStyle w:val="85"/>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default"/>
                      <w:b w:val="0"/>
                      <w:bCs/>
                      <w:color w:val="auto"/>
                      <w:sz w:val="21"/>
                      <w:szCs w:val="21"/>
                      <w:lang w:val="en-US" w:eastAsia="zh-CN"/>
                    </w:rPr>
                  </w:pPr>
                  <w:r>
                    <w:rPr>
                      <w:rFonts w:hint="default"/>
                      <w:b w:val="0"/>
                      <w:bCs/>
                      <w:color w:val="auto"/>
                      <w:sz w:val="21"/>
                      <w:szCs w:val="21"/>
                      <w:lang w:val="en-US" w:eastAsia="zh-CN"/>
                    </w:rPr>
                    <w:t>符合性</w:t>
                  </w:r>
                </w:p>
              </w:tc>
            </w:tr>
            <w:tr w14:paraId="65B19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tcBorders>
                    <w:tl2br w:val="nil"/>
                    <w:tr2bl w:val="nil"/>
                  </w:tcBorders>
                  <w:noWrap w:val="0"/>
                  <w:vAlign w:val="center"/>
                </w:tcPr>
                <w:p w14:paraId="5468FFFC">
                  <w:pPr>
                    <w:pStyle w:val="85"/>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eastAsia" w:eastAsia="宋体"/>
                      <w:b w:val="0"/>
                      <w:bCs/>
                      <w:color w:val="auto"/>
                      <w:sz w:val="21"/>
                      <w:szCs w:val="21"/>
                      <w:lang w:val="en-US" w:eastAsia="zh-CN"/>
                    </w:rPr>
                  </w:pPr>
                  <w:r>
                    <w:rPr>
                      <w:rFonts w:hint="eastAsia"/>
                      <w:b w:val="0"/>
                      <w:bCs/>
                      <w:color w:val="auto"/>
                      <w:sz w:val="21"/>
                      <w:szCs w:val="21"/>
                      <w:lang w:val="en-US" w:eastAsia="zh-CN"/>
                    </w:rPr>
                    <w:t>1</w:t>
                  </w:r>
                </w:p>
              </w:tc>
              <w:tc>
                <w:tcPr>
                  <w:tcW w:w="2510" w:type="pct"/>
                  <w:tcBorders>
                    <w:tl2br w:val="nil"/>
                    <w:tr2bl w:val="nil"/>
                  </w:tcBorders>
                  <w:noWrap w:val="0"/>
                  <w:vAlign w:val="center"/>
                </w:tcPr>
                <w:p w14:paraId="5302ADC5">
                  <w:pPr>
                    <w:pStyle w:val="85"/>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eastAsia" w:eastAsia="宋体"/>
                      <w:b w:val="0"/>
                      <w:bCs/>
                      <w:color w:val="auto"/>
                      <w:sz w:val="21"/>
                      <w:szCs w:val="21"/>
                      <w:lang w:val="en-US" w:eastAsia="zh-CN"/>
                    </w:rPr>
                  </w:pPr>
                  <w:r>
                    <w:rPr>
                      <w:rFonts w:hint="eastAsia" w:eastAsia="宋体"/>
                      <w:b w:val="0"/>
                      <w:bCs/>
                      <w:color w:val="auto"/>
                      <w:sz w:val="21"/>
                      <w:szCs w:val="21"/>
                      <w:lang w:val="en-US" w:eastAsia="zh-CN"/>
                    </w:rPr>
                    <w:t>坚决遏制“两高一低”项目盲目上马。新改扩建项目严格落实国家和省产业规划、产业政策、生态环境分区管控方案、规划环评、项目环评、节能审查、产能置换、重点污染物总量控制、污染物排放区域削减、碳排放达峰目标等相关要求，原则上采用清洁运输方式。加快推进钢铁产业转型升级，鼓励钢铁、焦化、烧结一体化布局，减少独立焦化、烧结、球团和热轧企业及工序。到2025年，短流程炼钢产量占比达15%。</w:t>
                  </w:r>
                </w:p>
              </w:tc>
              <w:tc>
                <w:tcPr>
                  <w:tcW w:w="1674" w:type="pct"/>
                  <w:tcBorders>
                    <w:tl2br w:val="nil"/>
                    <w:tr2bl w:val="nil"/>
                  </w:tcBorders>
                  <w:noWrap w:val="0"/>
                  <w:vAlign w:val="center"/>
                </w:tcPr>
                <w:p w14:paraId="7355AE8C">
                  <w:pPr>
                    <w:pStyle w:val="85"/>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default" w:eastAsia="宋体"/>
                      <w:b w:val="0"/>
                      <w:bCs/>
                      <w:color w:val="auto"/>
                      <w:sz w:val="21"/>
                      <w:szCs w:val="21"/>
                      <w:lang w:val="en-US" w:eastAsia="zh-CN"/>
                    </w:rPr>
                  </w:pPr>
                  <w:r>
                    <w:rPr>
                      <w:rFonts w:hint="eastAsia" w:ascii="Times New Roman" w:hAnsi="Times New Roman" w:eastAsia="宋体" w:cs="Times New Roman"/>
                      <w:color w:val="auto"/>
                      <w:szCs w:val="21"/>
                      <w:lang w:val="en-US" w:eastAsia="zh-CN"/>
                    </w:rPr>
                    <w:t>本项目属于利用废弃资源制造砖瓦的项目，</w:t>
                  </w:r>
                  <w:r>
                    <w:rPr>
                      <w:rFonts w:hint="eastAsia" w:cs="Times New Roman"/>
                      <w:color w:val="auto"/>
                      <w:sz w:val="21"/>
                      <w:szCs w:val="21"/>
                      <w:lang w:val="en-US" w:eastAsia="zh-CN"/>
                    </w:rPr>
                    <w:t>华宁县白塔山陶器厂（新厂）</w:t>
                  </w:r>
                  <w:r>
                    <w:rPr>
                      <w:rFonts w:hint="default" w:ascii="Times New Roman" w:hAnsi="Times New Roman" w:eastAsia="宋体" w:cs="Times New Roman"/>
                      <w:color w:val="auto"/>
                      <w:kern w:val="2"/>
                      <w:sz w:val="21"/>
                      <w:szCs w:val="21"/>
                      <w:lang w:val="en-US" w:eastAsia="zh-CN" w:bidi="ar-SA"/>
                    </w:rPr>
                    <w:t>于20</w:t>
                  </w:r>
                  <w:r>
                    <w:rPr>
                      <w:rFonts w:hint="eastAsia" w:cs="Times New Roman"/>
                      <w:color w:val="auto"/>
                      <w:kern w:val="2"/>
                      <w:sz w:val="21"/>
                      <w:szCs w:val="21"/>
                      <w:lang w:val="en-US" w:eastAsia="zh-CN" w:bidi="ar-SA"/>
                    </w:rPr>
                    <w:t>20</w:t>
                  </w:r>
                  <w:r>
                    <w:rPr>
                      <w:rFonts w:hint="default" w:ascii="Times New Roman" w:hAnsi="Times New Roman" w:eastAsia="宋体" w:cs="Times New Roman"/>
                      <w:color w:val="auto"/>
                      <w:kern w:val="2"/>
                      <w:sz w:val="21"/>
                      <w:szCs w:val="21"/>
                      <w:lang w:val="en-US" w:eastAsia="zh-CN" w:bidi="ar-SA"/>
                    </w:rPr>
                    <w:t>年</w:t>
                  </w:r>
                  <w:r>
                    <w:rPr>
                      <w:rFonts w:hint="eastAsia" w:cs="Times New Roman"/>
                      <w:color w:val="auto"/>
                      <w:kern w:val="2"/>
                      <w:sz w:val="21"/>
                      <w:szCs w:val="21"/>
                      <w:lang w:val="en-US" w:eastAsia="zh-CN" w:bidi="ar-SA"/>
                    </w:rPr>
                    <w:t>7</w:t>
                  </w:r>
                  <w:r>
                    <w:rPr>
                      <w:rFonts w:hint="default" w:ascii="Times New Roman" w:hAnsi="Times New Roman" w:eastAsia="宋体" w:cs="Times New Roman"/>
                      <w:color w:val="auto"/>
                      <w:kern w:val="2"/>
                      <w:sz w:val="21"/>
                      <w:szCs w:val="21"/>
                      <w:lang w:val="en-US" w:eastAsia="zh-CN" w:bidi="ar-SA"/>
                    </w:rPr>
                    <w:t>月</w:t>
                  </w:r>
                  <w:r>
                    <w:rPr>
                      <w:rFonts w:hint="eastAsia" w:cs="Times New Roman"/>
                      <w:color w:val="auto"/>
                      <w:kern w:val="2"/>
                      <w:sz w:val="21"/>
                      <w:szCs w:val="21"/>
                      <w:lang w:val="en-US" w:eastAsia="zh-CN" w:bidi="ar-SA"/>
                    </w:rPr>
                    <w:t>20日被华宁县环境监测大队查处，在未办理环境影响评价手续的情况下完成三座土窑的建设；10月9日玉溪市生态环境局华宁分局对项目进行了处罚，根据</w:t>
                  </w:r>
                  <w:r>
                    <w:rPr>
                      <w:rFonts w:hint="eastAsia" w:ascii="Times New Roman" w:hAnsi="Times New Roman" w:eastAsia="宋体" w:cs="Times New Roman"/>
                      <w:color w:val="auto"/>
                      <w:kern w:val="2"/>
                      <w:sz w:val="21"/>
                      <w:szCs w:val="21"/>
                      <w:lang w:val="en-US" w:eastAsia="zh-CN" w:bidi="ar-SA"/>
                    </w:rPr>
                    <w:t>2022年10月2日华宁县人民政府办公室发布的《华宁县人民政府办公室关于印发华宁县青砖瓦生产企业整治工作方案的通知》（华政办通〔2022〕38号），</w:t>
                  </w:r>
                  <w:r>
                    <w:rPr>
                      <w:rFonts w:hint="eastAsia" w:cs="Times New Roman"/>
                      <w:color w:val="auto"/>
                      <w:sz w:val="21"/>
                      <w:szCs w:val="21"/>
                      <w:lang w:val="en-US" w:eastAsia="zh-CN"/>
                    </w:rPr>
                    <w:t>华宁县白塔山陶器厂（老厂）已经依法关闭退出</w:t>
                  </w:r>
                  <w:r>
                    <w:rPr>
                      <w:rFonts w:hint="eastAsia" w:cs="Times New Roman"/>
                      <w:color w:val="auto"/>
                      <w:kern w:val="2"/>
                      <w:sz w:val="21"/>
                      <w:szCs w:val="21"/>
                      <w:lang w:val="en-US" w:eastAsia="zh-CN" w:bidi="ar-SA"/>
                    </w:rPr>
                    <w:t>；</w:t>
                  </w:r>
                  <w:r>
                    <w:rPr>
                      <w:rFonts w:hint="eastAsia" w:cs="Times New Roman"/>
                      <w:color w:val="auto"/>
                      <w:sz w:val="21"/>
                      <w:szCs w:val="21"/>
                      <w:lang w:val="en-US" w:eastAsia="zh-CN"/>
                    </w:rPr>
                    <w:t>华宁县白塔山陶器厂（新厂）</w:t>
                  </w:r>
                  <w:r>
                    <w:rPr>
                      <w:rFonts w:hint="eastAsia" w:cs="Times New Roman"/>
                      <w:color w:val="auto"/>
                      <w:kern w:val="2"/>
                      <w:sz w:val="21"/>
                      <w:szCs w:val="21"/>
                      <w:lang w:val="en-US" w:eastAsia="zh-CN" w:bidi="ar-SA"/>
                    </w:rPr>
                    <w:t>属于需要巩固提升的青砖瓦企业，项目改建后总产能不发生改变，仍为900万件；根据本次评价核算，改建后项目颗粒物排放量削减了27.96t/a；二氧化硫排放量削减了17.7t/a，氮氧化物排放量削减了1.378t/a，氟化物排放量削减了0.767t/a，符合</w:t>
                  </w:r>
                  <w:r>
                    <w:rPr>
                      <w:rFonts w:hint="eastAsia" w:ascii="Times New Roman" w:hAnsi="Times New Roman" w:eastAsia="宋体" w:cs="Times New Roman"/>
                      <w:color w:val="auto"/>
                      <w:sz w:val="21"/>
                      <w:szCs w:val="21"/>
                      <w:lang w:val="en-US" w:eastAsia="zh-CN"/>
                    </w:rPr>
                    <w:t>生态环境保护法律法规和相关法定规划</w:t>
                  </w:r>
                  <w:r>
                    <w:rPr>
                      <w:rFonts w:hint="eastAsia"/>
                      <w:b w:val="0"/>
                      <w:bCs/>
                      <w:color w:val="auto"/>
                      <w:sz w:val="21"/>
                      <w:szCs w:val="21"/>
                      <w:lang w:val="en-US" w:eastAsia="zh-CN"/>
                    </w:rPr>
                    <w:t>；项目符合产业政策、玉溪市</w:t>
                  </w:r>
                  <w:r>
                    <w:rPr>
                      <w:rFonts w:hint="eastAsia" w:eastAsia="宋体"/>
                      <w:b w:val="0"/>
                      <w:bCs/>
                      <w:color w:val="auto"/>
                      <w:sz w:val="21"/>
                      <w:szCs w:val="21"/>
                      <w:lang w:val="en-US" w:eastAsia="zh-CN"/>
                    </w:rPr>
                    <w:t>生态环境分区管控方案和华宁县产业规划；项目正在履行环评手续；目前暂不涉及节能审查、产能置换、重点污染物总量控制、污染物排放区域削减、碳排放达峰目标等要求。</w:t>
                  </w:r>
                  <w:r>
                    <w:rPr>
                      <w:rFonts w:hint="eastAsia"/>
                      <w:b w:val="0"/>
                      <w:bCs/>
                      <w:color w:val="auto"/>
                      <w:sz w:val="21"/>
                      <w:szCs w:val="21"/>
                      <w:lang w:val="en-US" w:eastAsia="zh-CN"/>
                    </w:rPr>
                    <w:t>厂区内使用的柴油移动机械应定期检验，符合国家排放标准。本项目不涉及</w:t>
                  </w:r>
                  <w:r>
                    <w:rPr>
                      <w:rFonts w:hint="eastAsia" w:eastAsia="宋体"/>
                      <w:b w:val="0"/>
                      <w:bCs/>
                      <w:color w:val="auto"/>
                      <w:sz w:val="21"/>
                      <w:szCs w:val="21"/>
                      <w:lang w:val="en-US" w:eastAsia="zh-CN"/>
                    </w:rPr>
                    <w:t>钢铁产业转型升级。</w:t>
                  </w:r>
                </w:p>
              </w:tc>
              <w:tc>
                <w:tcPr>
                  <w:tcW w:w="416" w:type="pct"/>
                  <w:tcBorders>
                    <w:tl2br w:val="nil"/>
                    <w:tr2bl w:val="nil"/>
                  </w:tcBorders>
                  <w:noWrap w:val="0"/>
                  <w:vAlign w:val="center"/>
                </w:tcPr>
                <w:p w14:paraId="2FDF40DB">
                  <w:pPr>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leftChars="0" w:right="0" w:firstLine="0" w:firstLineChars="0"/>
                    <w:jc w:val="center"/>
                    <w:textAlignment w:val="auto"/>
                    <w:rPr>
                      <w:rFonts w:hint="default"/>
                      <w:bCs/>
                      <w:color w:val="auto"/>
                      <w:sz w:val="21"/>
                      <w:szCs w:val="21"/>
                      <w:lang w:val="en-US" w:eastAsia="zh-CN"/>
                    </w:rPr>
                  </w:pPr>
                  <w:r>
                    <w:rPr>
                      <w:rFonts w:hint="eastAsia"/>
                      <w:bCs/>
                      <w:color w:val="auto"/>
                      <w:sz w:val="21"/>
                      <w:szCs w:val="21"/>
                      <w:lang w:val="en-US" w:eastAsia="zh-CN"/>
                    </w:rPr>
                    <w:t>符合</w:t>
                  </w:r>
                </w:p>
              </w:tc>
            </w:tr>
            <w:tr w14:paraId="3165E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tcBorders>
                    <w:tl2br w:val="nil"/>
                    <w:tr2bl w:val="nil"/>
                  </w:tcBorders>
                  <w:noWrap w:val="0"/>
                  <w:vAlign w:val="center"/>
                </w:tcPr>
                <w:p w14:paraId="4D9459F7">
                  <w:pPr>
                    <w:pStyle w:val="85"/>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default"/>
                      <w:b w:val="0"/>
                      <w:bCs/>
                      <w:color w:val="auto"/>
                      <w:sz w:val="21"/>
                      <w:szCs w:val="21"/>
                      <w:lang w:val="en-US" w:eastAsia="zh-CN"/>
                    </w:rPr>
                  </w:pPr>
                  <w:r>
                    <w:rPr>
                      <w:rFonts w:hint="eastAsia"/>
                      <w:b w:val="0"/>
                      <w:bCs/>
                      <w:color w:val="auto"/>
                      <w:sz w:val="21"/>
                      <w:szCs w:val="21"/>
                      <w:lang w:val="en-US" w:eastAsia="zh-CN"/>
                    </w:rPr>
                    <w:t>2</w:t>
                  </w:r>
                </w:p>
              </w:tc>
              <w:tc>
                <w:tcPr>
                  <w:tcW w:w="2510" w:type="pct"/>
                  <w:tcBorders>
                    <w:tl2br w:val="nil"/>
                    <w:tr2bl w:val="nil"/>
                  </w:tcBorders>
                  <w:noWrap w:val="0"/>
                  <w:vAlign w:val="center"/>
                </w:tcPr>
                <w:p w14:paraId="78E83047">
                  <w:pPr>
                    <w:pStyle w:val="85"/>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eastAsia" w:eastAsia="宋体"/>
                      <w:b w:val="0"/>
                      <w:bCs/>
                      <w:color w:val="auto"/>
                      <w:sz w:val="21"/>
                      <w:szCs w:val="21"/>
                      <w:lang w:val="en-US" w:eastAsia="zh-CN"/>
                    </w:rPr>
                  </w:pPr>
                  <w:r>
                    <w:rPr>
                      <w:rFonts w:hint="eastAsia" w:eastAsia="宋体"/>
                      <w:b w:val="0"/>
                      <w:bCs/>
                      <w:color w:val="auto"/>
                      <w:sz w:val="21"/>
                      <w:szCs w:val="21"/>
                      <w:lang w:val="en-US" w:eastAsia="zh-CN"/>
                    </w:rPr>
                    <w:t>推动落后产能退出。推动能耗、环保、质量、安全、技术达不到标准和生产不合格产品或淘汰类产能依法依规关停退出。不予审批限制类新建项目，按照国家要求对属于限制类的现有生产能力进行升级改造。</w:t>
                  </w:r>
                </w:p>
              </w:tc>
              <w:tc>
                <w:tcPr>
                  <w:tcW w:w="1674" w:type="pct"/>
                  <w:tcBorders>
                    <w:tl2br w:val="nil"/>
                    <w:tr2bl w:val="nil"/>
                  </w:tcBorders>
                  <w:noWrap w:val="0"/>
                  <w:vAlign w:val="center"/>
                </w:tcPr>
                <w:p w14:paraId="32738986">
                  <w:pPr>
                    <w:pStyle w:val="85"/>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default"/>
                      <w:b w:val="0"/>
                      <w:bCs/>
                      <w:color w:val="auto"/>
                      <w:sz w:val="21"/>
                      <w:szCs w:val="21"/>
                      <w:lang w:val="en-US" w:eastAsia="zh-CN"/>
                    </w:rPr>
                  </w:pPr>
                  <w:r>
                    <w:rPr>
                      <w:rFonts w:hint="default" w:ascii="Times New Roman" w:hAnsi="Times New Roman" w:cs="Times New Roman"/>
                      <w:b w:val="0"/>
                      <w:bCs/>
                      <w:color w:val="auto"/>
                      <w:sz w:val="21"/>
                      <w:szCs w:val="21"/>
                      <w:lang w:val="en-US" w:eastAsia="zh-CN"/>
                    </w:rPr>
                    <w:t>对照</w:t>
                  </w:r>
                  <w:r>
                    <w:rPr>
                      <w:rFonts w:cs="Times New Roman"/>
                      <w:b w:val="0"/>
                      <w:bCs/>
                      <w:snapToGrid w:val="0"/>
                      <w:color w:val="auto"/>
                      <w:kern w:val="0"/>
                      <w:sz w:val="21"/>
                      <w:szCs w:val="21"/>
                    </w:rPr>
                    <w:t>《产业结构调整指导目录（20</w:t>
                  </w:r>
                  <w:r>
                    <w:rPr>
                      <w:rFonts w:hint="eastAsia" w:cs="Times New Roman"/>
                      <w:b w:val="0"/>
                      <w:bCs/>
                      <w:snapToGrid w:val="0"/>
                      <w:color w:val="auto"/>
                      <w:kern w:val="0"/>
                      <w:sz w:val="21"/>
                      <w:szCs w:val="21"/>
                      <w:lang w:val="en-US" w:eastAsia="zh-CN"/>
                    </w:rPr>
                    <w:t>24</w:t>
                  </w:r>
                  <w:r>
                    <w:rPr>
                      <w:rFonts w:cs="Times New Roman"/>
                      <w:b w:val="0"/>
                      <w:bCs/>
                      <w:snapToGrid w:val="0"/>
                      <w:color w:val="auto"/>
                      <w:kern w:val="0"/>
                      <w:sz w:val="21"/>
                      <w:szCs w:val="21"/>
                    </w:rPr>
                    <w:t>年本）》</w:t>
                  </w:r>
                  <w:r>
                    <w:rPr>
                      <w:rFonts w:hint="eastAsia" w:cs="Times New Roman"/>
                      <w:b w:val="0"/>
                      <w:bCs/>
                      <w:snapToGrid w:val="0"/>
                      <w:color w:val="auto"/>
                      <w:kern w:val="0"/>
                      <w:sz w:val="21"/>
                      <w:szCs w:val="21"/>
                      <w:lang w:eastAsia="zh-CN"/>
                    </w:rPr>
                    <w:t>，</w:t>
                  </w:r>
                  <w:r>
                    <w:rPr>
                      <w:rFonts w:hint="default" w:ascii="Times New Roman" w:hAnsi="Times New Roman" w:cs="Times New Roman"/>
                      <w:b w:val="0"/>
                      <w:bCs/>
                      <w:color w:val="auto"/>
                      <w:sz w:val="21"/>
                      <w:szCs w:val="21"/>
                      <w:lang w:val="en-US" w:eastAsia="zh-CN"/>
                    </w:rPr>
                    <w:t>项目属于目录中鼓励类</w:t>
                  </w:r>
                  <w:r>
                    <w:rPr>
                      <w:rFonts w:hint="eastAsia" w:ascii="Times New Roman" w:hAnsi="Times New Roman" w:cs="Times New Roman"/>
                      <w:b w:val="0"/>
                      <w:bCs/>
                      <w:color w:val="auto"/>
                      <w:sz w:val="21"/>
                      <w:szCs w:val="21"/>
                      <w:lang w:val="en-US" w:eastAsia="zh-CN"/>
                    </w:rPr>
                    <w:t>。</w:t>
                  </w:r>
                  <w:r>
                    <w:rPr>
                      <w:rFonts w:hint="eastAsia" w:cs="Times New Roman"/>
                      <w:b w:val="0"/>
                      <w:bCs/>
                      <w:color w:val="auto"/>
                      <w:sz w:val="21"/>
                      <w:szCs w:val="21"/>
                      <w:lang w:val="en-US" w:eastAsia="zh-CN"/>
                    </w:rPr>
                    <w:t>不属于落后产能。</w:t>
                  </w:r>
                </w:p>
              </w:tc>
              <w:tc>
                <w:tcPr>
                  <w:tcW w:w="416" w:type="pct"/>
                  <w:tcBorders>
                    <w:tl2br w:val="nil"/>
                    <w:tr2bl w:val="nil"/>
                  </w:tcBorders>
                  <w:noWrap w:val="0"/>
                  <w:vAlign w:val="center"/>
                </w:tcPr>
                <w:p w14:paraId="65EE042E">
                  <w:pPr>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leftChars="0" w:right="0" w:firstLine="0" w:firstLineChars="0"/>
                    <w:jc w:val="center"/>
                    <w:textAlignment w:val="auto"/>
                    <w:rPr>
                      <w:rFonts w:hint="eastAsia"/>
                      <w:bCs/>
                      <w:color w:val="auto"/>
                      <w:sz w:val="21"/>
                      <w:szCs w:val="21"/>
                      <w:lang w:val="en-US" w:eastAsia="zh-CN"/>
                    </w:rPr>
                  </w:pPr>
                  <w:r>
                    <w:rPr>
                      <w:rFonts w:hint="eastAsia"/>
                      <w:bCs/>
                      <w:color w:val="auto"/>
                      <w:sz w:val="21"/>
                      <w:szCs w:val="21"/>
                      <w:lang w:val="en-US" w:eastAsia="zh-CN"/>
                    </w:rPr>
                    <w:t>符合</w:t>
                  </w:r>
                </w:p>
              </w:tc>
            </w:tr>
            <w:tr w14:paraId="642BE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tcBorders>
                    <w:tl2br w:val="nil"/>
                    <w:tr2bl w:val="nil"/>
                  </w:tcBorders>
                  <w:noWrap w:val="0"/>
                  <w:vAlign w:val="center"/>
                </w:tcPr>
                <w:p w14:paraId="220A40DC">
                  <w:pPr>
                    <w:pStyle w:val="85"/>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default"/>
                      <w:b w:val="0"/>
                      <w:bCs/>
                      <w:color w:val="auto"/>
                      <w:sz w:val="21"/>
                      <w:szCs w:val="21"/>
                      <w:lang w:val="en-US" w:eastAsia="zh-CN"/>
                    </w:rPr>
                  </w:pPr>
                  <w:r>
                    <w:rPr>
                      <w:rFonts w:hint="eastAsia"/>
                      <w:b w:val="0"/>
                      <w:bCs/>
                      <w:color w:val="auto"/>
                      <w:sz w:val="21"/>
                      <w:szCs w:val="21"/>
                      <w:lang w:val="en-US" w:eastAsia="zh-CN"/>
                    </w:rPr>
                    <w:t>3</w:t>
                  </w:r>
                </w:p>
              </w:tc>
              <w:tc>
                <w:tcPr>
                  <w:tcW w:w="2510" w:type="pct"/>
                  <w:tcBorders>
                    <w:tl2br w:val="nil"/>
                    <w:tr2bl w:val="nil"/>
                  </w:tcBorders>
                  <w:noWrap w:val="0"/>
                  <w:vAlign w:val="center"/>
                </w:tcPr>
                <w:p w14:paraId="6D134485">
                  <w:pPr>
                    <w:pStyle w:val="85"/>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eastAsia" w:eastAsia="宋体"/>
                      <w:b w:val="0"/>
                      <w:bCs/>
                      <w:color w:val="auto"/>
                      <w:sz w:val="21"/>
                      <w:szCs w:val="21"/>
                      <w:lang w:val="en-US" w:eastAsia="zh-CN"/>
                    </w:rPr>
                  </w:pPr>
                  <w:r>
                    <w:rPr>
                      <w:rFonts w:hint="eastAsia" w:eastAsia="宋体"/>
                      <w:b w:val="0"/>
                      <w:bCs/>
                      <w:color w:val="auto"/>
                      <w:sz w:val="21"/>
                      <w:szCs w:val="21"/>
                      <w:lang w:val="en-US" w:eastAsia="zh-CN"/>
                    </w:rPr>
                    <w:t>优化含VOCs原辅材料和产品结构。严格控制生产和使用高VOCs含量涂料、油墨、胶粘剂、清洗剂等建设项目，加大工业涂装、包装印刷和电子行业低（无）VOCs含量原辅材料替代力度。严格执行VOCs含量限值标准，室外构筑物防护和城市道路交通标志推广使用低（无）VOCs含量涂料。</w:t>
                  </w:r>
                </w:p>
              </w:tc>
              <w:tc>
                <w:tcPr>
                  <w:tcW w:w="1674" w:type="pct"/>
                  <w:tcBorders>
                    <w:tl2br w:val="nil"/>
                    <w:tr2bl w:val="nil"/>
                  </w:tcBorders>
                  <w:noWrap w:val="0"/>
                  <w:vAlign w:val="center"/>
                </w:tcPr>
                <w:p w14:paraId="27FDC5F0">
                  <w:pPr>
                    <w:pStyle w:val="85"/>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eastAsia" w:cs="Times New Roman"/>
                      <w:b w:val="0"/>
                      <w:bCs/>
                      <w:color w:val="auto"/>
                      <w:sz w:val="21"/>
                      <w:szCs w:val="21"/>
                      <w:lang w:val="en-US" w:eastAsia="zh-CN"/>
                    </w:rPr>
                  </w:pPr>
                  <w:r>
                    <w:rPr>
                      <w:rFonts w:hint="eastAsia"/>
                      <w:b w:val="0"/>
                      <w:bCs/>
                      <w:color w:val="auto"/>
                      <w:sz w:val="21"/>
                      <w:szCs w:val="21"/>
                      <w:lang w:val="en-US" w:eastAsia="zh-CN"/>
                    </w:rPr>
                    <w:t>本项目不使用含</w:t>
                  </w:r>
                  <w:r>
                    <w:rPr>
                      <w:rFonts w:hint="eastAsia" w:eastAsia="宋体"/>
                      <w:b w:val="0"/>
                      <w:bCs/>
                      <w:color w:val="auto"/>
                      <w:sz w:val="21"/>
                      <w:szCs w:val="21"/>
                      <w:lang w:val="en-US" w:eastAsia="zh-CN"/>
                    </w:rPr>
                    <w:t>VOCs原辅材料</w:t>
                  </w:r>
                  <w:r>
                    <w:rPr>
                      <w:rFonts w:hint="eastAsia" w:cs="Times New Roman"/>
                      <w:b w:val="0"/>
                      <w:bCs/>
                      <w:color w:val="auto"/>
                      <w:sz w:val="21"/>
                      <w:szCs w:val="21"/>
                      <w:lang w:val="en-US" w:eastAsia="zh-CN"/>
                    </w:rPr>
                    <w:t>。</w:t>
                  </w:r>
                </w:p>
              </w:tc>
              <w:tc>
                <w:tcPr>
                  <w:tcW w:w="416" w:type="pct"/>
                  <w:tcBorders>
                    <w:tl2br w:val="nil"/>
                    <w:tr2bl w:val="nil"/>
                  </w:tcBorders>
                  <w:noWrap w:val="0"/>
                  <w:vAlign w:val="center"/>
                </w:tcPr>
                <w:p w14:paraId="621261E4">
                  <w:pPr>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leftChars="0" w:right="0" w:firstLine="0" w:firstLineChars="0"/>
                    <w:jc w:val="center"/>
                    <w:textAlignment w:val="auto"/>
                    <w:rPr>
                      <w:rFonts w:hint="eastAsia"/>
                      <w:bCs/>
                      <w:color w:val="auto"/>
                      <w:sz w:val="21"/>
                      <w:szCs w:val="21"/>
                      <w:lang w:val="en-US" w:eastAsia="zh-CN"/>
                    </w:rPr>
                  </w:pPr>
                  <w:r>
                    <w:rPr>
                      <w:rFonts w:hint="eastAsia"/>
                      <w:bCs/>
                      <w:color w:val="auto"/>
                      <w:sz w:val="21"/>
                      <w:szCs w:val="21"/>
                      <w:lang w:val="en-US" w:eastAsia="zh-CN"/>
                    </w:rPr>
                    <w:t>符合</w:t>
                  </w:r>
                </w:p>
              </w:tc>
            </w:tr>
            <w:tr w14:paraId="7A5B8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tcBorders>
                    <w:tl2br w:val="nil"/>
                    <w:tr2bl w:val="nil"/>
                  </w:tcBorders>
                  <w:noWrap w:val="0"/>
                  <w:vAlign w:val="center"/>
                </w:tcPr>
                <w:p w14:paraId="64224DDB">
                  <w:pPr>
                    <w:pStyle w:val="85"/>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default"/>
                      <w:b w:val="0"/>
                      <w:bCs/>
                      <w:color w:val="auto"/>
                      <w:sz w:val="21"/>
                      <w:szCs w:val="21"/>
                      <w:lang w:val="en-US" w:eastAsia="zh-CN"/>
                    </w:rPr>
                  </w:pPr>
                  <w:r>
                    <w:rPr>
                      <w:rFonts w:hint="eastAsia"/>
                      <w:b w:val="0"/>
                      <w:bCs/>
                      <w:color w:val="auto"/>
                      <w:sz w:val="21"/>
                      <w:szCs w:val="21"/>
                      <w:lang w:val="en-US" w:eastAsia="zh-CN"/>
                    </w:rPr>
                    <w:t>4</w:t>
                  </w:r>
                </w:p>
              </w:tc>
              <w:tc>
                <w:tcPr>
                  <w:tcW w:w="2510" w:type="pct"/>
                  <w:tcBorders>
                    <w:tl2br w:val="nil"/>
                    <w:tr2bl w:val="nil"/>
                  </w:tcBorders>
                  <w:noWrap w:val="0"/>
                  <w:vAlign w:val="center"/>
                </w:tcPr>
                <w:p w14:paraId="75BC9A84">
                  <w:pPr>
                    <w:pStyle w:val="85"/>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eastAsia" w:eastAsia="宋体"/>
                      <w:b w:val="0"/>
                      <w:bCs/>
                      <w:color w:val="auto"/>
                      <w:sz w:val="21"/>
                      <w:szCs w:val="21"/>
                      <w:lang w:val="en-US" w:eastAsia="zh-CN"/>
                    </w:rPr>
                  </w:pPr>
                  <w:r>
                    <w:rPr>
                      <w:rFonts w:hint="eastAsia" w:eastAsia="宋体"/>
                      <w:b w:val="0"/>
                      <w:bCs/>
                      <w:color w:val="auto"/>
                      <w:sz w:val="21"/>
                      <w:szCs w:val="21"/>
                      <w:lang w:val="en-US" w:eastAsia="zh-CN"/>
                    </w:rPr>
                    <w:t>大力发展新能源和清洁能源。到2025年，非化石能源消费比重较2020年提高4个百分点以上，电能占终端能源消费比重达30%以上。持续增加天然气生产供应，新增天然气优先保障居民生活和清洁取暖需求。</w:t>
                  </w:r>
                </w:p>
              </w:tc>
              <w:tc>
                <w:tcPr>
                  <w:tcW w:w="1674" w:type="pct"/>
                  <w:tcBorders>
                    <w:tl2br w:val="nil"/>
                    <w:tr2bl w:val="nil"/>
                  </w:tcBorders>
                  <w:noWrap w:val="0"/>
                  <w:vAlign w:val="center"/>
                </w:tcPr>
                <w:p w14:paraId="7264C16F">
                  <w:pPr>
                    <w:pStyle w:val="85"/>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eastAsia"/>
                      <w:b w:val="0"/>
                      <w:bCs/>
                      <w:color w:val="auto"/>
                      <w:sz w:val="21"/>
                      <w:szCs w:val="21"/>
                      <w:lang w:val="en-US" w:eastAsia="zh-CN"/>
                    </w:rPr>
                  </w:pPr>
                  <w:r>
                    <w:rPr>
                      <w:rFonts w:hint="eastAsia" w:cs="Times New Roman"/>
                      <w:b w:val="0"/>
                      <w:bCs/>
                      <w:color w:val="auto"/>
                      <w:lang w:val="en-US" w:eastAsia="zh-CN"/>
                    </w:rPr>
                    <w:t>项目选用优质低硫煤且使用量较小，配套建设废气治理设施，减少大气污染物的排放量</w:t>
                  </w:r>
                  <w:r>
                    <w:rPr>
                      <w:rFonts w:hint="eastAsia" w:cs="Times New Roman"/>
                      <w:b w:val="0"/>
                      <w:bCs/>
                      <w:color w:val="auto"/>
                      <w:sz w:val="21"/>
                      <w:szCs w:val="21"/>
                      <w:lang w:val="en-US" w:eastAsia="zh-CN"/>
                    </w:rPr>
                    <w:t>。</w:t>
                  </w:r>
                </w:p>
              </w:tc>
              <w:tc>
                <w:tcPr>
                  <w:tcW w:w="416" w:type="pct"/>
                  <w:tcBorders>
                    <w:tl2br w:val="nil"/>
                    <w:tr2bl w:val="nil"/>
                  </w:tcBorders>
                  <w:noWrap w:val="0"/>
                  <w:vAlign w:val="center"/>
                </w:tcPr>
                <w:p w14:paraId="2D0560E8">
                  <w:pPr>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leftChars="0" w:right="0" w:firstLine="0" w:firstLineChars="0"/>
                    <w:jc w:val="center"/>
                    <w:textAlignment w:val="auto"/>
                    <w:rPr>
                      <w:rFonts w:hint="eastAsia"/>
                      <w:bCs/>
                      <w:color w:val="auto"/>
                      <w:sz w:val="21"/>
                      <w:szCs w:val="21"/>
                      <w:lang w:val="en-US" w:eastAsia="zh-CN"/>
                    </w:rPr>
                  </w:pPr>
                  <w:r>
                    <w:rPr>
                      <w:rFonts w:hint="eastAsia"/>
                      <w:bCs/>
                      <w:color w:val="auto"/>
                      <w:sz w:val="21"/>
                      <w:szCs w:val="21"/>
                      <w:lang w:val="en-US" w:eastAsia="zh-CN"/>
                    </w:rPr>
                    <w:t>符合</w:t>
                  </w:r>
                </w:p>
              </w:tc>
            </w:tr>
            <w:tr w14:paraId="65587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tcBorders>
                    <w:tl2br w:val="nil"/>
                    <w:tr2bl w:val="nil"/>
                  </w:tcBorders>
                  <w:noWrap w:val="0"/>
                  <w:vAlign w:val="center"/>
                </w:tcPr>
                <w:p w14:paraId="39A7E711">
                  <w:pPr>
                    <w:pStyle w:val="85"/>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default"/>
                      <w:b w:val="0"/>
                      <w:bCs/>
                      <w:color w:val="auto"/>
                      <w:sz w:val="21"/>
                      <w:szCs w:val="21"/>
                      <w:lang w:val="en-US" w:eastAsia="zh-CN"/>
                    </w:rPr>
                  </w:pPr>
                  <w:r>
                    <w:rPr>
                      <w:rFonts w:hint="eastAsia"/>
                      <w:b w:val="0"/>
                      <w:bCs/>
                      <w:color w:val="auto"/>
                      <w:sz w:val="21"/>
                      <w:szCs w:val="21"/>
                      <w:lang w:val="en-US" w:eastAsia="zh-CN"/>
                    </w:rPr>
                    <w:t>5</w:t>
                  </w:r>
                </w:p>
              </w:tc>
              <w:tc>
                <w:tcPr>
                  <w:tcW w:w="2510" w:type="pct"/>
                  <w:tcBorders>
                    <w:tl2br w:val="nil"/>
                    <w:tr2bl w:val="nil"/>
                  </w:tcBorders>
                  <w:noWrap w:val="0"/>
                  <w:vAlign w:val="center"/>
                </w:tcPr>
                <w:p w14:paraId="43ECED91">
                  <w:pPr>
                    <w:pStyle w:val="85"/>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eastAsia" w:eastAsia="宋体"/>
                      <w:b w:val="0"/>
                      <w:bCs/>
                      <w:color w:val="auto"/>
                      <w:sz w:val="21"/>
                      <w:szCs w:val="21"/>
                      <w:lang w:val="en-US" w:eastAsia="zh-CN"/>
                    </w:rPr>
                  </w:pPr>
                  <w:r>
                    <w:rPr>
                      <w:rFonts w:hint="eastAsia" w:eastAsia="宋体"/>
                      <w:b w:val="0"/>
                      <w:bCs/>
                      <w:color w:val="auto"/>
                      <w:sz w:val="21"/>
                      <w:szCs w:val="21"/>
                      <w:lang w:val="en-US" w:eastAsia="zh-CN"/>
                    </w:rPr>
                    <w:t>严格合理控制煤炭消费增长。有序推进煤炭消费减量替代。支持烟叶烘烤等农特产品加工燃煤设施实施清洁能源改造。对支撑电力稳定供应、电网安全运行、清洁能源大规模并网消纳的煤电项目及其用煤量应予以合理保障。</w:t>
                  </w:r>
                </w:p>
              </w:tc>
              <w:tc>
                <w:tcPr>
                  <w:tcW w:w="1674" w:type="pct"/>
                  <w:tcBorders>
                    <w:tl2br w:val="nil"/>
                    <w:tr2bl w:val="nil"/>
                  </w:tcBorders>
                  <w:noWrap w:val="0"/>
                  <w:vAlign w:val="center"/>
                </w:tcPr>
                <w:p w14:paraId="49091506">
                  <w:pPr>
                    <w:rPr>
                      <w:rFonts w:hint="eastAsia"/>
                      <w:b w:val="0"/>
                      <w:bCs/>
                      <w:color w:val="auto"/>
                      <w:sz w:val="21"/>
                      <w:szCs w:val="21"/>
                      <w:lang w:val="en-US" w:eastAsia="zh-CN"/>
                    </w:rPr>
                  </w:pPr>
                  <w:r>
                    <w:rPr>
                      <w:rFonts w:hint="eastAsia" w:cs="Times New Roman"/>
                      <w:b w:val="0"/>
                      <w:bCs/>
                      <w:color w:val="auto"/>
                      <w:lang w:val="en-US" w:eastAsia="zh-CN"/>
                    </w:rPr>
                    <w:t>项目选用优质低硫煤且使用量较小，配套建设废气治理设施</w:t>
                  </w:r>
                  <w:r>
                    <w:rPr>
                      <w:rFonts w:hint="eastAsia" w:cs="Times New Roman"/>
                      <w:b w:val="0"/>
                      <w:bCs/>
                      <w:color w:val="auto"/>
                      <w:sz w:val="21"/>
                      <w:szCs w:val="21"/>
                      <w:lang w:val="en-US" w:eastAsia="zh-CN"/>
                    </w:rPr>
                    <w:t>，减少大气污染物的排放量。</w:t>
                  </w:r>
                  <w:r>
                    <w:rPr>
                      <w:rFonts w:hint="eastAsia" w:cs="Times New Roman"/>
                      <w:color w:val="auto"/>
                      <w:kern w:val="2"/>
                      <w:sz w:val="21"/>
                      <w:szCs w:val="21"/>
                      <w:lang w:val="en-US" w:eastAsia="zh-CN" w:bidi="ar-SA"/>
                    </w:rPr>
                    <w:t>建议企业在经济条件及配套设施成熟时，及时实施煤改气。</w:t>
                  </w:r>
                </w:p>
              </w:tc>
              <w:tc>
                <w:tcPr>
                  <w:tcW w:w="416" w:type="pct"/>
                  <w:tcBorders>
                    <w:tl2br w:val="nil"/>
                    <w:tr2bl w:val="nil"/>
                  </w:tcBorders>
                  <w:noWrap w:val="0"/>
                  <w:vAlign w:val="center"/>
                </w:tcPr>
                <w:p w14:paraId="77493155">
                  <w:pPr>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leftChars="0" w:right="0" w:firstLine="0" w:firstLineChars="0"/>
                    <w:jc w:val="center"/>
                    <w:textAlignment w:val="auto"/>
                    <w:rPr>
                      <w:rFonts w:hint="eastAsia"/>
                      <w:bCs/>
                      <w:color w:val="auto"/>
                      <w:sz w:val="21"/>
                      <w:szCs w:val="21"/>
                      <w:lang w:val="en-US" w:eastAsia="zh-CN"/>
                    </w:rPr>
                  </w:pPr>
                  <w:r>
                    <w:rPr>
                      <w:rFonts w:hint="eastAsia"/>
                      <w:bCs/>
                      <w:color w:val="auto"/>
                      <w:sz w:val="21"/>
                      <w:szCs w:val="21"/>
                      <w:lang w:val="en-US" w:eastAsia="zh-CN"/>
                    </w:rPr>
                    <w:t>符合</w:t>
                  </w:r>
                </w:p>
              </w:tc>
            </w:tr>
            <w:tr w14:paraId="36C09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tcBorders>
                    <w:tl2br w:val="nil"/>
                    <w:tr2bl w:val="nil"/>
                  </w:tcBorders>
                  <w:noWrap w:val="0"/>
                  <w:vAlign w:val="center"/>
                </w:tcPr>
                <w:p w14:paraId="5B9BA1F7">
                  <w:pPr>
                    <w:pStyle w:val="85"/>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default"/>
                      <w:b w:val="0"/>
                      <w:bCs/>
                      <w:color w:val="auto"/>
                      <w:sz w:val="21"/>
                      <w:szCs w:val="21"/>
                      <w:lang w:val="en-US" w:eastAsia="zh-CN"/>
                    </w:rPr>
                  </w:pPr>
                  <w:r>
                    <w:rPr>
                      <w:rFonts w:hint="eastAsia"/>
                      <w:b w:val="0"/>
                      <w:bCs/>
                      <w:color w:val="auto"/>
                      <w:sz w:val="21"/>
                      <w:szCs w:val="21"/>
                      <w:lang w:val="en-US" w:eastAsia="zh-CN"/>
                    </w:rPr>
                    <w:t>6</w:t>
                  </w:r>
                </w:p>
              </w:tc>
              <w:tc>
                <w:tcPr>
                  <w:tcW w:w="2510" w:type="pct"/>
                  <w:tcBorders>
                    <w:tl2br w:val="nil"/>
                    <w:tr2bl w:val="nil"/>
                  </w:tcBorders>
                  <w:noWrap w:val="0"/>
                  <w:vAlign w:val="center"/>
                </w:tcPr>
                <w:p w14:paraId="1BD842FC">
                  <w:pPr>
                    <w:pStyle w:val="85"/>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eastAsia" w:eastAsia="宋体"/>
                      <w:b w:val="0"/>
                      <w:bCs/>
                      <w:color w:val="auto"/>
                      <w:sz w:val="21"/>
                      <w:szCs w:val="21"/>
                      <w:lang w:val="en-US" w:eastAsia="zh-CN"/>
                    </w:rPr>
                  </w:pPr>
                  <w:r>
                    <w:rPr>
                      <w:rFonts w:hint="eastAsia" w:eastAsia="宋体"/>
                      <w:b w:val="0"/>
                      <w:bCs/>
                      <w:color w:val="auto"/>
                      <w:sz w:val="21"/>
                      <w:szCs w:val="21"/>
                      <w:lang w:val="en-US" w:eastAsia="zh-CN"/>
                    </w:rPr>
                    <w:t>推动工业炉窑清洁能源替代。有序推进以电代煤，积极稳妥推进以气代煤。对以煤、石油焦、渣油、重油等为燃料的工业炉窑，加快使用工业余热、电能、天然气等清洁能源进行替代。</w:t>
                  </w:r>
                </w:p>
              </w:tc>
              <w:tc>
                <w:tcPr>
                  <w:tcW w:w="1674" w:type="pct"/>
                  <w:tcBorders>
                    <w:tl2br w:val="nil"/>
                    <w:tr2bl w:val="nil"/>
                  </w:tcBorders>
                  <w:noWrap w:val="0"/>
                  <w:vAlign w:val="center"/>
                </w:tcPr>
                <w:p w14:paraId="74C72BA3">
                  <w:pPr>
                    <w:pStyle w:val="85"/>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eastAsia"/>
                      <w:b w:val="0"/>
                      <w:bCs/>
                      <w:color w:val="auto"/>
                      <w:sz w:val="21"/>
                      <w:szCs w:val="21"/>
                      <w:lang w:val="en-US" w:eastAsia="zh-CN"/>
                    </w:rPr>
                  </w:pPr>
                  <w:r>
                    <w:rPr>
                      <w:rFonts w:hint="eastAsia" w:cs="Times New Roman"/>
                      <w:b w:val="0"/>
                      <w:bCs/>
                      <w:color w:val="auto"/>
                      <w:lang w:val="en-US" w:eastAsia="zh-CN"/>
                    </w:rPr>
                    <w:t>本项目砖瓦焙烧采用梭式窑，使用能源为优质低硫煤，配套建设可行性废气治理设施，有效减少大气污染物排放量</w:t>
                  </w:r>
                  <w:r>
                    <w:rPr>
                      <w:rFonts w:hint="eastAsia" w:cs="Times New Roman"/>
                      <w:b w:val="0"/>
                      <w:bCs/>
                      <w:color w:val="auto"/>
                      <w:sz w:val="21"/>
                      <w:szCs w:val="21"/>
                      <w:lang w:val="en-US" w:eastAsia="zh-CN"/>
                    </w:rPr>
                    <w:t>。</w:t>
                  </w:r>
                  <w:r>
                    <w:rPr>
                      <w:rFonts w:hint="eastAsia" w:cs="Times New Roman"/>
                      <w:color w:val="auto"/>
                      <w:kern w:val="2"/>
                      <w:sz w:val="21"/>
                      <w:szCs w:val="21"/>
                      <w:lang w:val="en-US" w:eastAsia="zh-CN" w:bidi="ar-SA"/>
                    </w:rPr>
                    <w:t>建议企业在经济条件及配套设施成熟时，及时实施煤改气。</w:t>
                  </w:r>
                </w:p>
              </w:tc>
              <w:tc>
                <w:tcPr>
                  <w:tcW w:w="416" w:type="pct"/>
                  <w:tcBorders>
                    <w:tl2br w:val="nil"/>
                    <w:tr2bl w:val="nil"/>
                  </w:tcBorders>
                  <w:noWrap w:val="0"/>
                  <w:vAlign w:val="center"/>
                </w:tcPr>
                <w:p w14:paraId="515D465C">
                  <w:pPr>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leftChars="0" w:right="0" w:firstLine="0" w:firstLineChars="0"/>
                    <w:jc w:val="center"/>
                    <w:textAlignment w:val="auto"/>
                    <w:rPr>
                      <w:rFonts w:hint="eastAsia"/>
                      <w:bCs/>
                      <w:color w:val="auto"/>
                      <w:sz w:val="21"/>
                      <w:szCs w:val="21"/>
                      <w:lang w:val="en-US" w:eastAsia="zh-CN"/>
                    </w:rPr>
                  </w:pPr>
                  <w:r>
                    <w:rPr>
                      <w:rFonts w:hint="eastAsia"/>
                      <w:bCs/>
                      <w:color w:val="auto"/>
                      <w:sz w:val="21"/>
                      <w:szCs w:val="21"/>
                      <w:lang w:val="en-US" w:eastAsia="zh-CN"/>
                    </w:rPr>
                    <w:t>符合</w:t>
                  </w:r>
                </w:p>
              </w:tc>
            </w:tr>
            <w:tr w14:paraId="17A31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tcBorders>
                    <w:tl2br w:val="nil"/>
                    <w:tr2bl w:val="nil"/>
                  </w:tcBorders>
                  <w:noWrap w:val="0"/>
                  <w:vAlign w:val="center"/>
                </w:tcPr>
                <w:p w14:paraId="5177E36A">
                  <w:pPr>
                    <w:pStyle w:val="85"/>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default"/>
                      <w:b w:val="0"/>
                      <w:bCs/>
                      <w:color w:val="auto"/>
                      <w:sz w:val="21"/>
                      <w:szCs w:val="21"/>
                      <w:lang w:val="en-US" w:eastAsia="zh-CN"/>
                    </w:rPr>
                  </w:pPr>
                  <w:r>
                    <w:rPr>
                      <w:rFonts w:hint="eastAsia"/>
                      <w:b w:val="0"/>
                      <w:bCs/>
                      <w:color w:val="auto"/>
                      <w:sz w:val="21"/>
                      <w:szCs w:val="21"/>
                      <w:lang w:val="en-US" w:eastAsia="zh-CN"/>
                    </w:rPr>
                    <w:t>7</w:t>
                  </w:r>
                </w:p>
              </w:tc>
              <w:tc>
                <w:tcPr>
                  <w:tcW w:w="2510" w:type="pct"/>
                  <w:tcBorders>
                    <w:tl2br w:val="nil"/>
                    <w:tr2bl w:val="nil"/>
                  </w:tcBorders>
                  <w:noWrap w:val="0"/>
                  <w:vAlign w:val="center"/>
                </w:tcPr>
                <w:p w14:paraId="59BDF99F">
                  <w:pPr>
                    <w:pStyle w:val="85"/>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eastAsia" w:eastAsia="宋体"/>
                      <w:b w:val="0"/>
                      <w:bCs/>
                      <w:color w:val="auto"/>
                      <w:sz w:val="21"/>
                      <w:szCs w:val="21"/>
                      <w:lang w:val="en-US" w:eastAsia="zh-CN"/>
                    </w:rPr>
                  </w:pPr>
                  <w:r>
                    <w:rPr>
                      <w:rFonts w:hint="eastAsia" w:eastAsia="宋体"/>
                      <w:b w:val="0"/>
                      <w:bCs/>
                      <w:color w:val="auto"/>
                      <w:sz w:val="21"/>
                      <w:szCs w:val="21"/>
                      <w:lang w:val="en-US" w:eastAsia="zh-CN"/>
                    </w:rPr>
                    <w:t>持续推动扬尘污染治理管控。严格落实建筑施工工地“六个百分之百”要求，对城市公共裸地进行排查建档并采取防尘措施。到2025年，城镇装配式建筑和采用装配式技术体系建筑占新开工建筑面积比重达30%；昆明市主城区道路机械化清扫率达90%左右，其他地级城市建成区达85%左右，县城达70%左右。</w:t>
                  </w:r>
                </w:p>
              </w:tc>
              <w:tc>
                <w:tcPr>
                  <w:tcW w:w="1674" w:type="pct"/>
                  <w:tcBorders>
                    <w:tl2br w:val="nil"/>
                    <w:tr2bl w:val="nil"/>
                  </w:tcBorders>
                  <w:noWrap w:val="0"/>
                  <w:vAlign w:val="center"/>
                </w:tcPr>
                <w:p w14:paraId="5147FBE3">
                  <w:pPr>
                    <w:pStyle w:val="85"/>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eastAsia" w:eastAsia="宋体"/>
                      <w:b w:val="0"/>
                      <w:bCs/>
                      <w:color w:val="auto"/>
                      <w:sz w:val="21"/>
                      <w:szCs w:val="21"/>
                      <w:lang w:val="en-US" w:eastAsia="zh-CN"/>
                    </w:rPr>
                  </w:pPr>
                  <w:r>
                    <w:rPr>
                      <w:rFonts w:hint="eastAsia"/>
                      <w:b w:val="0"/>
                      <w:bCs/>
                      <w:color w:val="auto"/>
                      <w:sz w:val="21"/>
                      <w:szCs w:val="21"/>
                    </w:rPr>
                    <w:t>本项目</w:t>
                  </w:r>
                  <w:r>
                    <w:rPr>
                      <w:rFonts w:hint="eastAsia"/>
                      <w:b w:val="0"/>
                      <w:bCs/>
                      <w:color w:val="auto"/>
                      <w:sz w:val="21"/>
                      <w:szCs w:val="21"/>
                      <w:lang w:val="en-US" w:eastAsia="zh-CN"/>
                    </w:rPr>
                    <w:t>施工期将严格落实</w:t>
                  </w:r>
                  <w:r>
                    <w:rPr>
                      <w:rFonts w:hint="eastAsia" w:eastAsia="宋体"/>
                      <w:b w:val="0"/>
                      <w:bCs/>
                      <w:color w:val="auto"/>
                      <w:sz w:val="21"/>
                      <w:szCs w:val="21"/>
                      <w:lang w:val="en-US" w:eastAsia="zh-CN"/>
                    </w:rPr>
                    <w:t>建筑施工工地“六个百分之百”要求</w:t>
                  </w:r>
                  <w:r>
                    <w:rPr>
                      <w:rFonts w:hint="eastAsia"/>
                      <w:b w:val="0"/>
                      <w:bCs/>
                      <w:color w:val="auto"/>
                      <w:sz w:val="21"/>
                      <w:szCs w:val="21"/>
                      <w:lang w:eastAsia="zh-CN"/>
                    </w:rPr>
                    <w:t>，</w:t>
                  </w:r>
                  <w:r>
                    <w:rPr>
                      <w:rFonts w:hint="eastAsia"/>
                      <w:b w:val="0"/>
                      <w:bCs/>
                      <w:color w:val="auto"/>
                      <w:sz w:val="21"/>
                      <w:szCs w:val="21"/>
                    </w:rPr>
                    <w:t>安排专人定期进行清扫，并采用喷水软管进行洒水降尘</w:t>
                  </w:r>
                  <w:r>
                    <w:rPr>
                      <w:rFonts w:hint="eastAsia"/>
                      <w:b w:val="0"/>
                      <w:bCs/>
                      <w:color w:val="auto"/>
                      <w:sz w:val="21"/>
                      <w:szCs w:val="21"/>
                      <w:lang w:eastAsia="zh-CN"/>
                    </w:rPr>
                    <w:t>。</w:t>
                  </w:r>
                </w:p>
              </w:tc>
              <w:tc>
                <w:tcPr>
                  <w:tcW w:w="416" w:type="pct"/>
                  <w:tcBorders>
                    <w:tl2br w:val="nil"/>
                    <w:tr2bl w:val="nil"/>
                  </w:tcBorders>
                  <w:noWrap w:val="0"/>
                  <w:vAlign w:val="center"/>
                </w:tcPr>
                <w:p w14:paraId="1AD0D29F">
                  <w:pPr>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leftChars="0" w:right="0" w:firstLine="0" w:firstLineChars="0"/>
                    <w:jc w:val="center"/>
                    <w:textAlignment w:val="auto"/>
                    <w:rPr>
                      <w:rFonts w:hint="eastAsia"/>
                      <w:bCs/>
                      <w:color w:val="auto"/>
                      <w:sz w:val="21"/>
                      <w:szCs w:val="21"/>
                      <w:lang w:val="en-US" w:eastAsia="zh-CN"/>
                    </w:rPr>
                  </w:pPr>
                  <w:r>
                    <w:rPr>
                      <w:rFonts w:hint="eastAsia"/>
                      <w:bCs/>
                      <w:color w:val="auto"/>
                      <w:sz w:val="21"/>
                      <w:szCs w:val="21"/>
                      <w:lang w:val="en-US" w:eastAsia="zh-CN"/>
                    </w:rPr>
                    <w:t>符合</w:t>
                  </w:r>
                </w:p>
              </w:tc>
            </w:tr>
            <w:tr w14:paraId="2A5E6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8" w:type="pct"/>
                  <w:tcBorders>
                    <w:tl2br w:val="nil"/>
                    <w:tr2bl w:val="nil"/>
                  </w:tcBorders>
                  <w:noWrap w:val="0"/>
                  <w:vAlign w:val="center"/>
                </w:tcPr>
                <w:p w14:paraId="2BCD1669">
                  <w:pPr>
                    <w:pStyle w:val="85"/>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default"/>
                      <w:b w:val="0"/>
                      <w:bCs/>
                      <w:color w:val="auto"/>
                      <w:sz w:val="21"/>
                      <w:szCs w:val="21"/>
                      <w:lang w:val="en-US" w:eastAsia="zh-CN"/>
                    </w:rPr>
                  </w:pPr>
                  <w:r>
                    <w:rPr>
                      <w:rFonts w:hint="eastAsia"/>
                      <w:b w:val="0"/>
                      <w:bCs/>
                      <w:color w:val="auto"/>
                      <w:sz w:val="21"/>
                      <w:szCs w:val="21"/>
                      <w:lang w:val="en-US" w:eastAsia="zh-CN"/>
                    </w:rPr>
                    <w:t>8</w:t>
                  </w:r>
                </w:p>
              </w:tc>
              <w:tc>
                <w:tcPr>
                  <w:tcW w:w="2510" w:type="pct"/>
                  <w:tcBorders>
                    <w:tl2br w:val="nil"/>
                    <w:tr2bl w:val="nil"/>
                  </w:tcBorders>
                  <w:noWrap w:val="0"/>
                  <w:vAlign w:val="center"/>
                </w:tcPr>
                <w:p w14:paraId="59B4D94A">
                  <w:pPr>
                    <w:pStyle w:val="85"/>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eastAsia" w:eastAsia="宋体"/>
                      <w:b w:val="0"/>
                      <w:bCs/>
                      <w:color w:val="auto"/>
                      <w:sz w:val="21"/>
                      <w:szCs w:val="21"/>
                      <w:lang w:val="en-US" w:eastAsia="zh-CN"/>
                    </w:rPr>
                  </w:pPr>
                  <w:r>
                    <w:rPr>
                      <w:rFonts w:hint="eastAsia" w:eastAsia="宋体"/>
                      <w:b w:val="0"/>
                      <w:bCs/>
                      <w:color w:val="auto"/>
                      <w:sz w:val="21"/>
                      <w:szCs w:val="21"/>
                      <w:lang w:val="en-US" w:eastAsia="zh-CN"/>
                    </w:rPr>
                    <w:t>加强VOCs全过程综合治理。污水处理场所高浓度有机废气要单独收集处理；含VOCs有机废水储罐、装置区集水井（池）有机废气要密闭收集处理。研究建立全省统一的泄漏检测与修复信息管理平台。及时收集处理企业开停工、检维修期间退料、清洗、吹扫等作业产生的VOCs废气。</w:t>
                  </w:r>
                </w:p>
              </w:tc>
              <w:tc>
                <w:tcPr>
                  <w:tcW w:w="1674" w:type="pct"/>
                  <w:tcBorders>
                    <w:tl2br w:val="nil"/>
                    <w:tr2bl w:val="nil"/>
                  </w:tcBorders>
                  <w:noWrap w:val="0"/>
                  <w:vAlign w:val="center"/>
                </w:tcPr>
                <w:p w14:paraId="7B0EC478">
                  <w:pPr>
                    <w:pStyle w:val="85"/>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eastAsia" w:eastAsia="宋体"/>
                      <w:b w:val="0"/>
                      <w:bCs/>
                      <w:color w:val="auto"/>
                      <w:sz w:val="21"/>
                      <w:szCs w:val="21"/>
                      <w:lang w:val="en-US" w:eastAsia="zh-CN"/>
                    </w:rPr>
                  </w:pPr>
                  <w:r>
                    <w:rPr>
                      <w:rFonts w:hint="eastAsia"/>
                      <w:b w:val="0"/>
                      <w:bCs/>
                      <w:color w:val="auto"/>
                      <w:sz w:val="21"/>
                      <w:szCs w:val="21"/>
                      <w:lang w:val="en-US" w:eastAsia="zh-CN"/>
                    </w:rPr>
                    <w:t>本项目不涉及</w:t>
                  </w:r>
                  <w:r>
                    <w:rPr>
                      <w:rFonts w:hint="eastAsia" w:eastAsia="宋体"/>
                      <w:b w:val="0"/>
                      <w:bCs/>
                      <w:color w:val="auto"/>
                      <w:sz w:val="21"/>
                      <w:szCs w:val="21"/>
                      <w:lang w:val="en-US" w:eastAsia="zh-CN"/>
                    </w:rPr>
                    <w:t>VOCs</w:t>
                  </w:r>
                  <w:r>
                    <w:rPr>
                      <w:rFonts w:hint="eastAsia"/>
                      <w:b w:val="0"/>
                      <w:bCs/>
                      <w:color w:val="auto"/>
                      <w:sz w:val="21"/>
                      <w:szCs w:val="21"/>
                      <w:lang w:val="en-US" w:eastAsia="zh-CN"/>
                    </w:rPr>
                    <w:t>的使用</w:t>
                  </w:r>
                  <w:r>
                    <w:rPr>
                      <w:rFonts w:hint="eastAsia" w:cs="Times New Roman"/>
                      <w:b w:val="0"/>
                      <w:bCs/>
                      <w:color w:val="auto"/>
                      <w:sz w:val="21"/>
                      <w:szCs w:val="21"/>
                      <w:lang w:val="en-US" w:eastAsia="zh-CN"/>
                    </w:rPr>
                    <w:t>。</w:t>
                  </w:r>
                </w:p>
              </w:tc>
              <w:tc>
                <w:tcPr>
                  <w:tcW w:w="416" w:type="pct"/>
                  <w:tcBorders>
                    <w:tl2br w:val="nil"/>
                    <w:tr2bl w:val="nil"/>
                  </w:tcBorders>
                  <w:noWrap w:val="0"/>
                  <w:vAlign w:val="center"/>
                </w:tcPr>
                <w:p w14:paraId="1DBE2573">
                  <w:pPr>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leftChars="0" w:right="0" w:firstLine="0" w:firstLineChars="0"/>
                    <w:jc w:val="center"/>
                    <w:textAlignment w:val="auto"/>
                    <w:rPr>
                      <w:rFonts w:hint="eastAsia"/>
                      <w:bCs/>
                      <w:color w:val="auto"/>
                      <w:sz w:val="21"/>
                      <w:szCs w:val="21"/>
                      <w:lang w:val="en-US" w:eastAsia="zh-CN"/>
                    </w:rPr>
                  </w:pPr>
                  <w:r>
                    <w:rPr>
                      <w:rFonts w:hint="eastAsia"/>
                      <w:bCs/>
                      <w:color w:val="auto"/>
                      <w:sz w:val="21"/>
                      <w:szCs w:val="21"/>
                      <w:lang w:val="en-US" w:eastAsia="zh-CN"/>
                    </w:rPr>
                    <w:t>符合</w:t>
                  </w:r>
                </w:p>
              </w:tc>
            </w:tr>
          </w:tbl>
          <w:p w14:paraId="6C56D82B">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eastAsia="宋体"/>
                <w:color w:val="auto"/>
                <w:sz w:val="21"/>
                <w:szCs w:val="21"/>
                <w:lang w:val="en-US" w:eastAsia="zh-CN"/>
              </w:rPr>
            </w:pPr>
            <w:r>
              <w:rPr>
                <w:rFonts w:hint="eastAsia"/>
                <w:color w:val="auto"/>
                <w:sz w:val="21"/>
                <w:szCs w:val="21"/>
                <w:lang w:eastAsia="zh-CN"/>
              </w:rPr>
              <w:t>注：本次分析仅选择《方案》中与本项目有关部分内容进行符合性分析。</w:t>
            </w:r>
          </w:p>
          <w:p w14:paraId="55A74CDE">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 w:val="21"/>
                <w:szCs w:val="21"/>
                <w:lang w:val="en-US" w:eastAsia="zh-CN"/>
              </w:rPr>
            </w:pPr>
            <w:r>
              <w:rPr>
                <w:rFonts w:hint="eastAsia"/>
                <w:color w:val="auto"/>
                <w:sz w:val="21"/>
                <w:szCs w:val="21"/>
              </w:rPr>
              <w:t>综上，本项目符合</w:t>
            </w:r>
            <w:r>
              <w:rPr>
                <w:rFonts w:hint="eastAsia"/>
                <w:color w:val="auto"/>
                <w:sz w:val="21"/>
                <w:szCs w:val="21"/>
                <w:lang w:val="en-US" w:eastAsia="zh-CN"/>
              </w:rPr>
              <w:t>《云南省空气质量持续改善行动实施方案》</w:t>
            </w:r>
            <w:r>
              <w:rPr>
                <w:rFonts w:hint="eastAsia"/>
                <w:color w:val="auto"/>
                <w:sz w:val="21"/>
                <w:szCs w:val="21"/>
              </w:rPr>
              <w:t>的相关要求。</w:t>
            </w:r>
          </w:p>
          <w:p w14:paraId="000B26E7">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b/>
                <w:bCs/>
                <w:color w:val="auto"/>
                <w:sz w:val="21"/>
                <w:szCs w:val="21"/>
                <w:lang w:val="en-US" w:eastAsia="zh-CN"/>
              </w:rPr>
            </w:pPr>
            <w:r>
              <w:rPr>
                <w:rFonts w:hint="eastAsia"/>
                <w:b/>
                <w:bCs/>
                <w:color w:val="auto"/>
                <w:sz w:val="21"/>
                <w:szCs w:val="21"/>
                <w:lang w:val="en-US" w:eastAsia="zh-CN"/>
              </w:rPr>
              <w:t>9、</w:t>
            </w:r>
            <w:r>
              <w:rPr>
                <w:rFonts w:hint="eastAsia"/>
                <w:b/>
                <w:bCs/>
                <w:color w:val="auto"/>
                <w:sz w:val="21"/>
                <w:szCs w:val="21"/>
                <w:highlight w:val="none"/>
              </w:rPr>
              <w:t>相关政策文件符合性分析</w:t>
            </w:r>
          </w:p>
          <w:p w14:paraId="75D48695">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b/>
                <w:bCs/>
                <w:color w:val="auto"/>
                <w:sz w:val="21"/>
                <w:szCs w:val="21"/>
                <w:lang w:val="en-US" w:eastAsia="zh-CN"/>
              </w:rPr>
            </w:pPr>
            <w:r>
              <w:rPr>
                <w:rFonts w:hint="eastAsia"/>
                <w:b/>
                <w:bCs/>
                <w:color w:val="auto"/>
                <w:sz w:val="21"/>
                <w:szCs w:val="21"/>
                <w:lang w:val="en-US" w:eastAsia="zh-CN"/>
              </w:rPr>
              <w:t>1）</w:t>
            </w:r>
            <w:r>
              <w:rPr>
                <w:rFonts w:hint="eastAsia"/>
                <w:b/>
                <w:bCs/>
                <w:color w:val="auto"/>
                <w:sz w:val="21"/>
                <w:szCs w:val="21"/>
                <w:highlight w:val="none"/>
                <w:lang w:val="en-US" w:eastAsia="zh-CN"/>
              </w:rPr>
              <w:t>与《全国墙体材料烧结砖瓦行业准入条件》符合性分析</w:t>
            </w:r>
          </w:p>
          <w:p w14:paraId="629E87B3">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eastAsia"/>
                <w:b w:val="0"/>
                <w:bCs w:val="0"/>
                <w:color w:val="auto"/>
                <w:sz w:val="21"/>
                <w:szCs w:val="21"/>
                <w:lang w:val="en-US" w:eastAsia="zh-CN"/>
              </w:rPr>
            </w:pPr>
            <w:r>
              <w:rPr>
                <w:rFonts w:hint="eastAsia"/>
                <w:color w:val="auto"/>
                <w:sz w:val="21"/>
                <w:szCs w:val="21"/>
                <w:highlight w:val="none"/>
                <w:lang w:val="en-US" w:eastAsia="zh-CN"/>
              </w:rPr>
              <w:t>为规范烧结砖瓦行业生产秩序，有效遏制低水平重复建设，加快产业结构调整，做好节能减排；保护耕地，保护环境；促进烧结砖瓦行业持续、健康发展，根据国家有关法律法规和产业政策，特制定烧结砖瓦行业准入条件。</w:t>
            </w:r>
          </w:p>
          <w:p w14:paraId="7132FAC0">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color w:val="auto"/>
                <w:sz w:val="21"/>
                <w:szCs w:val="21"/>
                <w:lang w:val="en-US" w:eastAsia="zh-CN"/>
              </w:rPr>
            </w:pPr>
            <w:r>
              <w:rPr>
                <w:rFonts w:hint="eastAsia"/>
                <w:color w:val="auto"/>
                <w:sz w:val="21"/>
                <w:szCs w:val="21"/>
                <w:lang w:val="en-US" w:eastAsia="zh-CN"/>
              </w:rPr>
              <w:t xml:space="preserve">表1-9  </w:t>
            </w:r>
            <w:r>
              <w:rPr>
                <w:rFonts w:hint="default"/>
                <w:color w:val="auto"/>
                <w:sz w:val="21"/>
                <w:szCs w:val="21"/>
              </w:rPr>
              <w:t>与</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lang w:val="en-US" w:eastAsia="zh-CN"/>
              </w:rPr>
              <w:t>全国墙体材料烧结砖瓦行业准入条件</w:t>
            </w:r>
            <w:r>
              <w:rPr>
                <w:rFonts w:hint="eastAsia" w:ascii="Times New Roman" w:hAnsi="Times New Roman" w:eastAsia="宋体"/>
                <w:color w:val="auto"/>
                <w:sz w:val="21"/>
                <w:szCs w:val="21"/>
                <w:lang w:eastAsia="zh-CN"/>
              </w:rPr>
              <w:t>》</w:t>
            </w:r>
            <w:r>
              <w:rPr>
                <w:rFonts w:hint="default"/>
                <w:color w:val="auto"/>
                <w:sz w:val="21"/>
                <w:szCs w:val="21"/>
              </w:rPr>
              <w:t>符合性分析</w:t>
            </w:r>
          </w:p>
          <w:tbl>
            <w:tblPr>
              <w:tblStyle w:val="30"/>
              <w:tblW w:w="8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3308"/>
              <w:gridCol w:w="3588"/>
              <w:gridCol w:w="1033"/>
            </w:tblGrid>
            <w:tr w14:paraId="3479E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exact"/>
                <w:jc w:val="center"/>
              </w:trPr>
              <w:tc>
                <w:tcPr>
                  <w:tcW w:w="463" w:type="pct"/>
                  <w:tcBorders>
                    <w:tl2br w:val="nil"/>
                    <w:tr2bl w:val="nil"/>
                  </w:tcBorders>
                  <w:noWrap w:val="0"/>
                  <w:vAlign w:val="center"/>
                </w:tcPr>
                <w:p w14:paraId="7D982BC8">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lang w:val="en-US" w:eastAsia="zh-CN"/>
                    </w:rPr>
                    <w:t>序号</w:t>
                  </w:r>
                </w:p>
              </w:tc>
              <w:tc>
                <w:tcPr>
                  <w:tcW w:w="1892" w:type="pct"/>
                  <w:tcBorders>
                    <w:tl2br w:val="nil"/>
                    <w:tr2bl w:val="nil"/>
                  </w:tcBorders>
                  <w:noWrap w:val="0"/>
                  <w:vAlign w:val="center"/>
                </w:tcPr>
                <w:p w14:paraId="46F26B6A">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lang w:eastAsia="zh-CN"/>
                    </w:rPr>
                    <w:t>《</w:t>
                  </w:r>
                  <w:r>
                    <w:rPr>
                      <w:rFonts w:hint="eastAsia"/>
                      <w:b w:val="0"/>
                      <w:bCs/>
                      <w:color w:val="auto"/>
                      <w:sz w:val="21"/>
                      <w:szCs w:val="21"/>
                      <w:lang w:val="en-US" w:eastAsia="zh-CN"/>
                    </w:rPr>
                    <w:t>条件</w:t>
                  </w:r>
                  <w:r>
                    <w:rPr>
                      <w:rFonts w:hint="eastAsia"/>
                      <w:b w:val="0"/>
                      <w:bCs/>
                      <w:color w:val="auto"/>
                      <w:sz w:val="21"/>
                      <w:szCs w:val="21"/>
                      <w:lang w:eastAsia="zh-CN"/>
                    </w:rPr>
                    <w:t>》</w:t>
                  </w:r>
                  <w:r>
                    <w:rPr>
                      <w:rFonts w:hint="eastAsia"/>
                      <w:b w:val="0"/>
                      <w:bCs/>
                      <w:color w:val="auto"/>
                      <w:sz w:val="21"/>
                      <w:szCs w:val="21"/>
                    </w:rPr>
                    <w:t>要求</w:t>
                  </w:r>
                </w:p>
              </w:tc>
              <w:tc>
                <w:tcPr>
                  <w:tcW w:w="2052" w:type="pct"/>
                  <w:tcBorders>
                    <w:tl2br w:val="nil"/>
                    <w:tr2bl w:val="nil"/>
                  </w:tcBorders>
                  <w:noWrap w:val="0"/>
                  <w:vAlign w:val="center"/>
                </w:tcPr>
                <w:p w14:paraId="38B57486">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b w:val="0"/>
                      <w:bCs/>
                      <w:color w:val="auto"/>
                      <w:sz w:val="21"/>
                      <w:szCs w:val="21"/>
                      <w:lang w:val="en-US" w:eastAsia="zh-CN"/>
                    </w:rPr>
                  </w:pPr>
                  <w:r>
                    <w:rPr>
                      <w:rFonts w:hint="default"/>
                      <w:b w:val="0"/>
                      <w:bCs/>
                      <w:color w:val="auto"/>
                      <w:sz w:val="21"/>
                      <w:szCs w:val="21"/>
                      <w:lang w:val="en-US" w:eastAsia="zh-CN"/>
                    </w:rPr>
                    <w:t>项目</w:t>
                  </w:r>
                  <w:r>
                    <w:rPr>
                      <w:rFonts w:hint="eastAsia"/>
                      <w:b w:val="0"/>
                      <w:bCs/>
                      <w:color w:val="auto"/>
                      <w:sz w:val="21"/>
                      <w:szCs w:val="21"/>
                      <w:lang w:val="en-US" w:eastAsia="zh-CN"/>
                    </w:rPr>
                    <w:t>情况</w:t>
                  </w:r>
                </w:p>
              </w:tc>
              <w:tc>
                <w:tcPr>
                  <w:tcW w:w="590" w:type="pct"/>
                  <w:tcBorders>
                    <w:tl2br w:val="nil"/>
                    <w:tr2bl w:val="nil"/>
                  </w:tcBorders>
                  <w:noWrap w:val="0"/>
                  <w:vAlign w:val="center"/>
                </w:tcPr>
                <w:p w14:paraId="479DEC90">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b w:val="0"/>
                      <w:bCs/>
                      <w:color w:val="auto"/>
                      <w:sz w:val="21"/>
                      <w:szCs w:val="21"/>
                      <w:lang w:val="en-US" w:eastAsia="zh-CN"/>
                    </w:rPr>
                  </w:pPr>
                  <w:r>
                    <w:rPr>
                      <w:rFonts w:hint="default"/>
                      <w:b w:val="0"/>
                      <w:bCs/>
                      <w:color w:val="auto"/>
                      <w:sz w:val="21"/>
                      <w:szCs w:val="21"/>
                      <w:lang w:val="en-US" w:eastAsia="zh-CN"/>
                    </w:rPr>
                    <w:t>符合性</w:t>
                  </w:r>
                </w:p>
              </w:tc>
            </w:tr>
            <w:tr w14:paraId="33EB8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l2br w:val="nil"/>
                    <w:tr2bl w:val="nil"/>
                  </w:tcBorders>
                  <w:noWrap w:val="0"/>
                  <w:vAlign w:val="center"/>
                </w:tcPr>
                <w:p w14:paraId="5D3286A2">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both"/>
                    <w:textAlignment w:val="auto"/>
                    <w:rPr>
                      <w:rFonts w:hint="default"/>
                      <w:b w:val="0"/>
                      <w:bCs/>
                      <w:color w:val="auto"/>
                      <w:sz w:val="21"/>
                      <w:szCs w:val="21"/>
                      <w:lang w:val="en-US" w:eastAsia="zh-CN"/>
                    </w:rPr>
                  </w:pPr>
                  <w:r>
                    <w:rPr>
                      <w:rFonts w:hint="default"/>
                      <w:b/>
                      <w:bCs w:val="0"/>
                      <w:color w:val="auto"/>
                      <w:sz w:val="21"/>
                      <w:szCs w:val="21"/>
                      <w:lang w:val="en-US" w:eastAsia="zh-CN"/>
                    </w:rPr>
                    <w:t>一、生产企业布局</w:t>
                  </w:r>
                </w:p>
              </w:tc>
            </w:tr>
            <w:tr w14:paraId="328BA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Borders>
                    <w:tl2br w:val="nil"/>
                    <w:tr2bl w:val="nil"/>
                  </w:tcBorders>
                  <w:noWrap w:val="0"/>
                  <w:vAlign w:val="center"/>
                </w:tcPr>
                <w:p w14:paraId="72259C66">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b w:val="0"/>
                      <w:bCs/>
                      <w:color w:val="auto"/>
                      <w:sz w:val="21"/>
                      <w:szCs w:val="21"/>
                      <w:lang w:val="en-US" w:eastAsia="zh-CN"/>
                    </w:rPr>
                  </w:pPr>
                  <w:r>
                    <w:rPr>
                      <w:rFonts w:hint="eastAsia"/>
                      <w:b w:val="0"/>
                      <w:bCs/>
                      <w:color w:val="auto"/>
                      <w:sz w:val="21"/>
                      <w:szCs w:val="21"/>
                      <w:lang w:val="en-US" w:eastAsia="zh-CN"/>
                    </w:rPr>
                    <w:t>1</w:t>
                  </w:r>
                </w:p>
              </w:tc>
              <w:tc>
                <w:tcPr>
                  <w:tcW w:w="1892" w:type="pct"/>
                  <w:tcBorders>
                    <w:tl2br w:val="nil"/>
                    <w:tr2bl w:val="nil"/>
                  </w:tcBorders>
                  <w:noWrap w:val="0"/>
                  <w:vAlign w:val="center"/>
                </w:tcPr>
                <w:p w14:paraId="1792B0AA">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default"/>
                      <w:b w:val="0"/>
                      <w:bCs/>
                      <w:color w:val="auto"/>
                      <w:sz w:val="21"/>
                      <w:szCs w:val="21"/>
                      <w:lang w:val="en-US" w:eastAsia="zh-CN"/>
                    </w:rPr>
                    <w:t>新建或改建扩建</w:t>
                  </w:r>
                  <w:r>
                    <w:rPr>
                      <w:rFonts w:hint="eastAsia"/>
                      <w:b w:val="0"/>
                      <w:bCs/>
                      <w:color w:val="auto"/>
                      <w:sz w:val="21"/>
                      <w:szCs w:val="21"/>
                      <w:lang w:val="en-US" w:eastAsia="zh-CN"/>
                    </w:rPr>
                    <w:t>（</w:t>
                  </w:r>
                  <w:r>
                    <w:rPr>
                      <w:rFonts w:hint="default"/>
                      <w:b w:val="0"/>
                      <w:bCs/>
                      <w:color w:val="auto"/>
                      <w:sz w:val="21"/>
                      <w:szCs w:val="21"/>
                      <w:lang w:val="en-US" w:eastAsia="zh-CN"/>
                    </w:rPr>
                    <w:t>以下简称改建</w:t>
                  </w:r>
                  <w:r>
                    <w:rPr>
                      <w:rFonts w:hint="eastAsia"/>
                      <w:b w:val="0"/>
                      <w:bCs/>
                      <w:color w:val="auto"/>
                      <w:sz w:val="21"/>
                      <w:szCs w:val="21"/>
                      <w:lang w:val="en-US" w:eastAsia="zh-CN"/>
                    </w:rPr>
                    <w:t>）</w:t>
                  </w:r>
                  <w:r>
                    <w:rPr>
                      <w:rFonts w:hint="default"/>
                      <w:b w:val="0"/>
                      <w:bCs/>
                      <w:color w:val="auto"/>
                      <w:sz w:val="21"/>
                      <w:szCs w:val="21"/>
                      <w:lang w:val="en-US" w:eastAsia="zh-CN"/>
                    </w:rPr>
                    <w:t>烧结砖瓦生产项目，必须符合国家产业政策和产业规划，新建或改建扩建砖瓦生产企业用地，必须符合城乡规划的要求，必须符合土地利用总体规划、土地供应政策和土地使用标准的规定严格执行环境保护有关规定，严格禁止毁田烧砖</w:t>
                  </w:r>
                  <w:r>
                    <w:rPr>
                      <w:rFonts w:hint="eastAsia"/>
                      <w:b w:val="0"/>
                      <w:bCs/>
                      <w:color w:val="auto"/>
                      <w:sz w:val="21"/>
                      <w:szCs w:val="21"/>
                      <w:lang w:val="en-US" w:eastAsia="zh-CN"/>
                    </w:rPr>
                    <w:t>。</w:t>
                  </w:r>
                </w:p>
              </w:tc>
              <w:tc>
                <w:tcPr>
                  <w:tcW w:w="2052" w:type="pct"/>
                  <w:tcBorders>
                    <w:tl2br w:val="nil"/>
                    <w:tr2bl w:val="nil"/>
                  </w:tcBorders>
                  <w:noWrap w:val="0"/>
                  <w:vAlign w:val="center"/>
                </w:tcPr>
                <w:p w14:paraId="5218B637">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ascii="Times New Roman" w:hAnsi="Times New Roman" w:eastAsia="宋体" w:cs="Times New Roman"/>
                      <w:color w:val="auto"/>
                      <w:szCs w:val="21"/>
                      <w:lang w:val="en-US" w:eastAsia="zh-CN"/>
                    </w:rPr>
                    <w:t>本项目属于利用废弃资源制造砖瓦的项目，</w:t>
                  </w:r>
                  <w:r>
                    <w:rPr>
                      <w:rFonts w:hint="eastAsia" w:cs="Times New Roman"/>
                      <w:color w:val="auto"/>
                      <w:sz w:val="21"/>
                      <w:szCs w:val="21"/>
                      <w:lang w:val="en-US" w:eastAsia="zh-CN"/>
                    </w:rPr>
                    <w:t>华宁县白塔山陶器厂（新厂）</w:t>
                  </w:r>
                  <w:r>
                    <w:rPr>
                      <w:rFonts w:hint="default" w:ascii="Times New Roman" w:hAnsi="Times New Roman" w:eastAsia="宋体" w:cs="Times New Roman"/>
                      <w:color w:val="auto"/>
                      <w:kern w:val="2"/>
                      <w:sz w:val="21"/>
                      <w:szCs w:val="21"/>
                      <w:lang w:val="en-US" w:eastAsia="zh-CN" w:bidi="ar-SA"/>
                    </w:rPr>
                    <w:t>于20</w:t>
                  </w:r>
                  <w:r>
                    <w:rPr>
                      <w:rFonts w:hint="eastAsia" w:cs="Times New Roman"/>
                      <w:color w:val="auto"/>
                      <w:kern w:val="2"/>
                      <w:sz w:val="21"/>
                      <w:szCs w:val="21"/>
                      <w:lang w:val="en-US" w:eastAsia="zh-CN" w:bidi="ar-SA"/>
                    </w:rPr>
                    <w:t>20</w:t>
                  </w:r>
                  <w:r>
                    <w:rPr>
                      <w:rFonts w:hint="default" w:ascii="Times New Roman" w:hAnsi="Times New Roman" w:eastAsia="宋体" w:cs="Times New Roman"/>
                      <w:color w:val="auto"/>
                      <w:kern w:val="2"/>
                      <w:sz w:val="21"/>
                      <w:szCs w:val="21"/>
                      <w:lang w:val="en-US" w:eastAsia="zh-CN" w:bidi="ar-SA"/>
                    </w:rPr>
                    <w:t>年</w:t>
                  </w:r>
                  <w:r>
                    <w:rPr>
                      <w:rFonts w:hint="eastAsia" w:cs="Times New Roman"/>
                      <w:color w:val="auto"/>
                      <w:kern w:val="2"/>
                      <w:sz w:val="21"/>
                      <w:szCs w:val="21"/>
                      <w:lang w:val="en-US" w:eastAsia="zh-CN" w:bidi="ar-SA"/>
                    </w:rPr>
                    <w:t>7</w:t>
                  </w:r>
                  <w:r>
                    <w:rPr>
                      <w:rFonts w:hint="default" w:ascii="Times New Roman" w:hAnsi="Times New Roman" w:eastAsia="宋体" w:cs="Times New Roman"/>
                      <w:color w:val="auto"/>
                      <w:kern w:val="2"/>
                      <w:sz w:val="21"/>
                      <w:szCs w:val="21"/>
                      <w:lang w:val="en-US" w:eastAsia="zh-CN" w:bidi="ar-SA"/>
                    </w:rPr>
                    <w:t>月</w:t>
                  </w:r>
                  <w:r>
                    <w:rPr>
                      <w:rFonts w:hint="eastAsia" w:cs="Times New Roman"/>
                      <w:color w:val="auto"/>
                      <w:kern w:val="2"/>
                      <w:sz w:val="21"/>
                      <w:szCs w:val="21"/>
                      <w:lang w:val="en-US" w:eastAsia="zh-CN" w:bidi="ar-SA"/>
                    </w:rPr>
                    <w:t>20日被华宁县环境监测大队查处，在未办理环境影响评价手续的情况下完成三座土窑的建设；10月9日玉溪市生态环境局华宁分局对项目进行了处罚，根据</w:t>
                  </w:r>
                  <w:r>
                    <w:rPr>
                      <w:rFonts w:hint="eastAsia" w:ascii="Times New Roman" w:hAnsi="Times New Roman" w:eastAsia="宋体" w:cs="Times New Roman"/>
                      <w:color w:val="auto"/>
                      <w:kern w:val="2"/>
                      <w:sz w:val="21"/>
                      <w:szCs w:val="21"/>
                      <w:lang w:val="en-US" w:eastAsia="zh-CN" w:bidi="ar-SA"/>
                    </w:rPr>
                    <w:t>2022年10月2日华宁县人民政府办公室发布的《华宁县人民政府办公室关于印发华宁县青砖瓦生产企业整治工作方案的通知》（华政办通〔2022〕38号），</w:t>
                  </w:r>
                  <w:r>
                    <w:rPr>
                      <w:rFonts w:hint="eastAsia" w:cs="Times New Roman"/>
                      <w:color w:val="auto"/>
                      <w:sz w:val="21"/>
                      <w:szCs w:val="21"/>
                      <w:lang w:val="en-US" w:eastAsia="zh-CN"/>
                    </w:rPr>
                    <w:t>华宁县白塔山陶器厂（老厂）已经依法关闭退出</w:t>
                  </w:r>
                  <w:r>
                    <w:rPr>
                      <w:rFonts w:hint="eastAsia" w:cs="Times New Roman"/>
                      <w:color w:val="auto"/>
                      <w:kern w:val="2"/>
                      <w:sz w:val="21"/>
                      <w:szCs w:val="21"/>
                      <w:lang w:val="en-US" w:eastAsia="zh-CN" w:bidi="ar-SA"/>
                    </w:rPr>
                    <w:t>；</w:t>
                  </w:r>
                  <w:r>
                    <w:rPr>
                      <w:rFonts w:hint="eastAsia" w:cs="Times New Roman"/>
                      <w:color w:val="auto"/>
                      <w:sz w:val="21"/>
                      <w:szCs w:val="21"/>
                      <w:lang w:val="en-US" w:eastAsia="zh-CN"/>
                    </w:rPr>
                    <w:t>华宁县白塔山陶器厂（新厂）</w:t>
                  </w:r>
                  <w:r>
                    <w:rPr>
                      <w:rFonts w:hint="eastAsia" w:cs="Times New Roman"/>
                      <w:color w:val="auto"/>
                      <w:kern w:val="2"/>
                      <w:sz w:val="21"/>
                      <w:szCs w:val="21"/>
                      <w:lang w:val="en-US" w:eastAsia="zh-CN" w:bidi="ar-SA"/>
                    </w:rPr>
                    <w:t>属于需要巩固提升的青砖瓦企业，项目改建后总产能不发生改变，仍为900万件；根据本次评价核算，改建后项目颗粒物排放量削减了27.96t/a；二氧化硫排放量削减了17.7t/a，氮氧化物排放量削减了1.378t/a，氟化物排放量削减了0.767t/a，符合</w:t>
                  </w:r>
                  <w:r>
                    <w:rPr>
                      <w:rFonts w:hint="eastAsia" w:ascii="Times New Roman" w:hAnsi="Times New Roman" w:eastAsia="宋体" w:cs="Times New Roman"/>
                      <w:color w:val="auto"/>
                      <w:sz w:val="21"/>
                      <w:szCs w:val="21"/>
                      <w:lang w:val="en-US" w:eastAsia="zh-CN"/>
                    </w:rPr>
                    <w:t>生态环境保护法律法规和相关法定规划</w:t>
                  </w:r>
                  <w:r>
                    <w:rPr>
                      <w:rFonts w:hint="eastAsia" w:cs="Times New Roman"/>
                      <w:b w:val="0"/>
                      <w:bCs/>
                      <w:color w:val="auto"/>
                      <w:sz w:val="21"/>
                      <w:szCs w:val="21"/>
                      <w:lang w:val="en-US" w:eastAsia="zh-CN"/>
                    </w:rPr>
                    <w:t>；</w:t>
                  </w:r>
                  <w:r>
                    <w:rPr>
                      <w:rFonts w:hint="default" w:ascii="Times New Roman" w:hAnsi="Times New Roman" w:cs="Times New Roman"/>
                      <w:b w:val="0"/>
                      <w:bCs/>
                      <w:color w:val="auto"/>
                      <w:sz w:val="21"/>
                      <w:szCs w:val="21"/>
                      <w:lang w:val="en-US" w:eastAsia="zh-CN"/>
                    </w:rPr>
                    <w:t>对照</w:t>
                  </w:r>
                  <w:r>
                    <w:rPr>
                      <w:rFonts w:cs="Times New Roman"/>
                      <w:b w:val="0"/>
                      <w:bCs/>
                      <w:snapToGrid w:val="0"/>
                      <w:color w:val="auto"/>
                      <w:kern w:val="0"/>
                      <w:sz w:val="21"/>
                      <w:szCs w:val="21"/>
                    </w:rPr>
                    <w:t>《产业结构调整指导目录（20</w:t>
                  </w:r>
                  <w:r>
                    <w:rPr>
                      <w:rFonts w:hint="eastAsia" w:cs="Times New Roman"/>
                      <w:b w:val="0"/>
                      <w:bCs/>
                      <w:snapToGrid w:val="0"/>
                      <w:color w:val="auto"/>
                      <w:kern w:val="0"/>
                      <w:sz w:val="21"/>
                      <w:szCs w:val="21"/>
                      <w:lang w:val="en-US" w:eastAsia="zh-CN"/>
                    </w:rPr>
                    <w:t>24</w:t>
                  </w:r>
                  <w:r>
                    <w:rPr>
                      <w:rFonts w:cs="Times New Roman"/>
                      <w:b w:val="0"/>
                      <w:bCs/>
                      <w:snapToGrid w:val="0"/>
                      <w:color w:val="auto"/>
                      <w:kern w:val="0"/>
                      <w:sz w:val="21"/>
                      <w:szCs w:val="21"/>
                    </w:rPr>
                    <w:t>年本）》</w:t>
                  </w:r>
                  <w:r>
                    <w:rPr>
                      <w:rFonts w:hint="eastAsia" w:cs="Times New Roman"/>
                      <w:b w:val="0"/>
                      <w:bCs/>
                      <w:snapToGrid w:val="0"/>
                      <w:color w:val="auto"/>
                      <w:kern w:val="0"/>
                      <w:sz w:val="21"/>
                      <w:szCs w:val="21"/>
                      <w:lang w:eastAsia="zh-CN"/>
                    </w:rPr>
                    <w:t>，</w:t>
                  </w:r>
                  <w:r>
                    <w:rPr>
                      <w:rFonts w:hint="default" w:ascii="Times New Roman" w:hAnsi="Times New Roman" w:cs="Times New Roman"/>
                      <w:b w:val="0"/>
                      <w:bCs/>
                      <w:color w:val="auto"/>
                      <w:sz w:val="21"/>
                      <w:szCs w:val="21"/>
                      <w:lang w:val="en-US" w:eastAsia="zh-CN"/>
                    </w:rPr>
                    <w:t>项目属于目录中鼓励类</w:t>
                  </w:r>
                  <w:r>
                    <w:rPr>
                      <w:rFonts w:hint="eastAsia" w:cs="Times New Roman"/>
                      <w:b w:val="0"/>
                      <w:bCs/>
                      <w:color w:val="auto"/>
                      <w:sz w:val="21"/>
                      <w:szCs w:val="21"/>
                      <w:lang w:val="en-US" w:eastAsia="zh-CN"/>
                    </w:rPr>
                    <w:t>，</w:t>
                  </w:r>
                  <w:r>
                    <w:rPr>
                      <w:b w:val="0"/>
                      <w:bCs/>
                      <w:color w:val="auto"/>
                      <w:sz w:val="21"/>
                      <w:szCs w:val="21"/>
                    </w:rPr>
                    <w:t>符合国家产业政策。</w:t>
                  </w:r>
                </w:p>
              </w:tc>
              <w:tc>
                <w:tcPr>
                  <w:tcW w:w="590" w:type="pct"/>
                  <w:tcBorders>
                    <w:tl2br w:val="nil"/>
                    <w:tr2bl w:val="nil"/>
                  </w:tcBorders>
                  <w:noWrap w:val="0"/>
                  <w:vAlign w:val="center"/>
                </w:tcPr>
                <w:p w14:paraId="4564A2B8">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lang w:val="en-US" w:eastAsia="zh-CN"/>
                    </w:rPr>
                    <w:t>符合</w:t>
                  </w:r>
                </w:p>
              </w:tc>
            </w:tr>
            <w:tr w14:paraId="2B648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Borders>
                    <w:tl2br w:val="nil"/>
                    <w:tr2bl w:val="nil"/>
                  </w:tcBorders>
                  <w:noWrap w:val="0"/>
                  <w:vAlign w:val="center"/>
                </w:tcPr>
                <w:p w14:paraId="0A90F849">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b w:val="0"/>
                      <w:bCs/>
                      <w:color w:val="auto"/>
                      <w:sz w:val="21"/>
                      <w:szCs w:val="21"/>
                      <w:lang w:val="en-US" w:eastAsia="zh-CN"/>
                    </w:rPr>
                  </w:pPr>
                  <w:r>
                    <w:rPr>
                      <w:rFonts w:hint="eastAsia"/>
                      <w:b w:val="0"/>
                      <w:bCs/>
                      <w:color w:val="auto"/>
                      <w:sz w:val="21"/>
                      <w:szCs w:val="21"/>
                      <w:lang w:val="en-US" w:eastAsia="zh-CN"/>
                    </w:rPr>
                    <w:t>2</w:t>
                  </w:r>
                </w:p>
              </w:tc>
              <w:tc>
                <w:tcPr>
                  <w:tcW w:w="1892" w:type="pct"/>
                  <w:tcBorders>
                    <w:tl2br w:val="nil"/>
                    <w:tr2bl w:val="nil"/>
                  </w:tcBorders>
                  <w:noWrap w:val="0"/>
                  <w:vAlign w:val="center"/>
                </w:tcPr>
                <w:p w14:paraId="76E58613">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default"/>
                      <w:b w:val="0"/>
                      <w:bCs/>
                      <w:color w:val="auto"/>
                      <w:sz w:val="21"/>
                      <w:szCs w:val="21"/>
                      <w:lang w:val="en-US" w:eastAsia="zh-CN"/>
                    </w:rPr>
                    <w:t>在国家法律、法规、行政规章及规划确定或县级以上人民政府批准的风景名胜、生态保护、自然和文化遗产以及饮用水源保护区，不得建设烧结砖瓦生产企业。上述区域内已经投产的烧结砖瓦生产企业要根据该区域规划通过</w:t>
                  </w:r>
                  <w:r>
                    <w:rPr>
                      <w:rFonts w:hint="eastAsia"/>
                      <w:b w:val="0"/>
                      <w:bCs/>
                      <w:color w:val="auto"/>
                      <w:sz w:val="21"/>
                      <w:szCs w:val="21"/>
                      <w:lang w:val="en-US" w:eastAsia="zh-CN"/>
                    </w:rPr>
                    <w:t>“</w:t>
                  </w:r>
                  <w:r>
                    <w:rPr>
                      <w:rFonts w:hint="default"/>
                      <w:b w:val="0"/>
                      <w:bCs/>
                      <w:color w:val="auto"/>
                      <w:sz w:val="21"/>
                      <w:szCs w:val="21"/>
                      <w:lang w:val="en-US" w:eastAsia="zh-CN"/>
                    </w:rPr>
                    <w:t>搬迁、转产</w:t>
                  </w:r>
                  <w:r>
                    <w:rPr>
                      <w:rFonts w:hint="eastAsia"/>
                      <w:b w:val="0"/>
                      <w:bCs/>
                      <w:color w:val="auto"/>
                      <w:sz w:val="21"/>
                      <w:szCs w:val="21"/>
                      <w:lang w:val="en-US" w:eastAsia="zh-CN"/>
                    </w:rPr>
                    <w:t>”</w:t>
                  </w:r>
                  <w:r>
                    <w:rPr>
                      <w:rFonts w:hint="default"/>
                      <w:b w:val="0"/>
                      <w:bCs/>
                      <w:color w:val="auto"/>
                      <w:sz w:val="21"/>
                      <w:szCs w:val="21"/>
                      <w:lang w:val="en-US" w:eastAsia="zh-CN"/>
                    </w:rPr>
                    <w:t>等方式逐步退出。</w:t>
                  </w:r>
                </w:p>
              </w:tc>
              <w:tc>
                <w:tcPr>
                  <w:tcW w:w="2052" w:type="pct"/>
                  <w:tcBorders>
                    <w:tl2br w:val="nil"/>
                    <w:tr2bl w:val="nil"/>
                  </w:tcBorders>
                  <w:noWrap w:val="0"/>
                  <w:vAlign w:val="center"/>
                </w:tcPr>
                <w:p w14:paraId="5EAC739A">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b w:val="0"/>
                      <w:bCs/>
                      <w:color w:val="auto"/>
                      <w:sz w:val="21"/>
                      <w:szCs w:val="21"/>
                    </w:rPr>
                    <w:t>本项目</w:t>
                  </w:r>
                  <w:r>
                    <w:rPr>
                      <w:rFonts w:hint="eastAsia"/>
                      <w:b w:val="0"/>
                      <w:bCs/>
                      <w:color w:val="auto"/>
                      <w:sz w:val="21"/>
                      <w:szCs w:val="21"/>
                      <w:lang w:val="en-US" w:eastAsia="zh-CN"/>
                    </w:rPr>
                    <w:t>不涉及</w:t>
                  </w:r>
                  <w:r>
                    <w:rPr>
                      <w:rFonts w:hint="default"/>
                      <w:b w:val="0"/>
                      <w:bCs/>
                      <w:color w:val="auto"/>
                      <w:sz w:val="21"/>
                      <w:szCs w:val="21"/>
                      <w:lang w:val="en-US" w:eastAsia="zh-CN"/>
                    </w:rPr>
                    <w:t>国家法律、法规、行政规章及规划确定或县级以上人民政府批准的风景名胜、生态保护、自然和文化遗产以及饮用水源保护区</w:t>
                  </w:r>
                  <w:r>
                    <w:rPr>
                      <w:b w:val="0"/>
                      <w:bCs/>
                      <w:color w:val="auto"/>
                      <w:sz w:val="21"/>
                      <w:szCs w:val="21"/>
                    </w:rPr>
                    <w:t>。</w:t>
                  </w:r>
                </w:p>
              </w:tc>
              <w:tc>
                <w:tcPr>
                  <w:tcW w:w="590" w:type="pct"/>
                  <w:tcBorders>
                    <w:tl2br w:val="nil"/>
                    <w:tr2bl w:val="nil"/>
                  </w:tcBorders>
                  <w:noWrap w:val="0"/>
                  <w:vAlign w:val="center"/>
                </w:tcPr>
                <w:p w14:paraId="18BF4D14">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lang w:val="en-US" w:eastAsia="zh-CN"/>
                    </w:rPr>
                    <w:t>符合</w:t>
                  </w:r>
                </w:p>
              </w:tc>
            </w:tr>
            <w:tr w14:paraId="16DBA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Borders>
                    <w:tl2br w:val="nil"/>
                    <w:tr2bl w:val="nil"/>
                  </w:tcBorders>
                  <w:noWrap w:val="0"/>
                  <w:vAlign w:val="center"/>
                </w:tcPr>
                <w:p w14:paraId="2C1DBAED">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b w:val="0"/>
                      <w:bCs/>
                      <w:color w:val="auto"/>
                      <w:sz w:val="21"/>
                      <w:szCs w:val="21"/>
                      <w:lang w:val="en-US" w:eastAsia="zh-CN"/>
                    </w:rPr>
                  </w:pPr>
                  <w:r>
                    <w:rPr>
                      <w:rFonts w:hint="eastAsia"/>
                      <w:b w:val="0"/>
                      <w:bCs/>
                      <w:color w:val="auto"/>
                      <w:sz w:val="21"/>
                      <w:szCs w:val="21"/>
                      <w:lang w:val="en-US" w:eastAsia="zh-CN"/>
                    </w:rPr>
                    <w:t>3</w:t>
                  </w:r>
                </w:p>
              </w:tc>
              <w:tc>
                <w:tcPr>
                  <w:tcW w:w="1892" w:type="pct"/>
                  <w:tcBorders>
                    <w:tl2br w:val="nil"/>
                    <w:tr2bl w:val="nil"/>
                  </w:tcBorders>
                  <w:noWrap w:val="0"/>
                  <w:vAlign w:val="center"/>
                </w:tcPr>
                <w:p w14:paraId="6F92567A">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default"/>
                      <w:b w:val="0"/>
                      <w:bCs/>
                      <w:color w:val="auto"/>
                      <w:sz w:val="21"/>
                      <w:szCs w:val="21"/>
                      <w:lang w:val="en-US" w:eastAsia="zh-CN"/>
                    </w:rPr>
                    <w:t>在距粉</w:t>
                  </w:r>
                  <w:r>
                    <w:rPr>
                      <w:rFonts w:hint="eastAsia"/>
                      <w:b w:val="0"/>
                      <w:bCs/>
                      <w:color w:val="auto"/>
                      <w:sz w:val="21"/>
                      <w:szCs w:val="21"/>
                      <w:lang w:val="en-US" w:eastAsia="zh-CN"/>
                    </w:rPr>
                    <w:t>煤渣</w:t>
                  </w:r>
                  <w:r>
                    <w:rPr>
                      <w:rFonts w:hint="default"/>
                      <w:b w:val="0"/>
                      <w:bCs/>
                      <w:color w:val="auto"/>
                      <w:sz w:val="21"/>
                      <w:szCs w:val="21"/>
                      <w:lang w:val="en-US" w:eastAsia="zh-CN"/>
                    </w:rPr>
                    <w:t>、煤矸石堆存地20公里范围内不准新建、扩建粘土砖</w:t>
                  </w:r>
                  <w:r>
                    <w:rPr>
                      <w:rFonts w:hint="eastAsia"/>
                      <w:b w:val="0"/>
                      <w:bCs/>
                      <w:color w:val="auto"/>
                      <w:sz w:val="21"/>
                      <w:szCs w:val="21"/>
                      <w:lang w:val="en-US" w:eastAsia="zh-CN"/>
                    </w:rPr>
                    <w:t>，</w:t>
                  </w:r>
                  <w:r>
                    <w:rPr>
                      <w:rFonts w:hint="default"/>
                      <w:b w:val="0"/>
                      <w:bCs/>
                      <w:color w:val="auto"/>
                      <w:sz w:val="21"/>
                      <w:szCs w:val="21"/>
                      <w:lang w:val="en-US" w:eastAsia="zh-CN"/>
                    </w:rPr>
                    <w:t>已建的粘土砖生产企业，必须掺用一定比例的粉</w:t>
                  </w:r>
                  <w:r>
                    <w:rPr>
                      <w:rFonts w:hint="eastAsia"/>
                      <w:b w:val="0"/>
                      <w:bCs/>
                      <w:color w:val="auto"/>
                      <w:sz w:val="21"/>
                      <w:szCs w:val="21"/>
                      <w:lang w:val="en-US" w:eastAsia="zh-CN"/>
                    </w:rPr>
                    <w:t>煤渣</w:t>
                  </w:r>
                  <w:r>
                    <w:rPr>
                      <w:rFonts w:hint="default"/>
                      <w:b w:val="0"/>
                      <w:bCs/>
                      <w:color w:val="auto"/>
                      <w:sz w:val="21"/>
                      <w:szCs w:val="21"/>
                      <w:lang w:val="en-US" w:eastAsia="zh-CN"/>
                    </w:rPr>
                    <w:t>、煤矸石。</w:t>
                  </w:r>
                </w:p>
              </w:tc>
              <w:tc>
                <w:tcPr>
                  <w:tcW w:w="2052" w:type="pct"/>
                  <w:tcBorders>
                    <w:tl2br w:val="nil"/>
                    <w:tr2bl w:val="nil"/>
                  </w:tcBorders>
                  <w:noWrap w:val="0"/>
                  <w:vAlign w:val="center"/>
                </w:tcPr>
                <w:p w14:paraId="0ABB850D">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lang w:val="en-US" w:eastAsia="zh-CN"/>
                    </w:rPr>
                    <w:t>本项目周边</w:t>
                  </w:r>
                  <w:r>
                    <w:rPr>
                      <w:rFonts w:hint="default"/>
                      <w:b w:val="0"/>
                      <w:bCs/>
                      <w:color w:val="auto"/>
                      <w:sz w:val="21"/>
                      <w:szCs w:val="21"/>
                      <w:lang w:val="en-US" w:eastAsia="zh-CN"/>
                    </w:rPr>
                    <w:t>20公里范围内</w:t>
                  </w:r>
                  <w:r>
                    <w:rPr>
                      <w:rFonts w:hint="eastAsia"/>
                      <w:b w:val="0"/>
                      <w:bCs/>
                      <w:color w:val="auto"/>
                      <w:sz w:val="21"/>
                      <w:szCs w:val="21"/>
                      <w:lang w:val="en-US" w:eastAsia="zh-CN"/>
                    </w:rPr>
                    <w:t>无</w:t>
                  </w:r>
                  <w:r>
                    <w:rPr>
                      <w:rFonts w:hint="default"/>
                      <w:b w:val="0"/>
                      <w:bCs/>
                      <w:color w:val="auto"/>
                      <w:sz w:val="21"/>
                      <w:szCs w:val="21"/>
                      <w:lang w:val="en-US" w:eastAsia="zh-CN"/>
                    </w:rPr>
                    <w:t>粉</w:t>
                  </w:r>
                  <w:r>
                    <w:rPr>
                      <w:rFonts w:hint="eastAsia"/>
                      <w:b w:val="0"/>
                      <w:bCs/>
                      <w:color w:val="auto"/>
                      <w:sz w:val="21"/>
                      <w:szCs w:val="21"/>
                      <w:lang w:val="en-US" w:eastAsia="zh-CN"/>
                    </w:rPr>
                    <w:t>煤渣</w:t>
                  </w:r>
                  <w:r>
                    <w:rPr>
                      <w:rFonts w:hint="default"/>
                      <w:b w:val="0"/>
                      <w:bCs/>
                      <w:color w:val="auto"/>
                      <w:sz w:val="21"/>
                      <w:szCs w:val="21"/>
                      <w:lang w:val="en-US" w:eastAsia="zh-CN"/>
                    </w:rPr>
                    <w:t>、煤矸石堆存地</w:t>
                  </w:r>
                  <w:r>
                    <w:rPr>
                      <w:rFonts w:hint="eastAsia"/>
                      <w:b w:val="0"/>
                      <w:bCs/>
                      <w:color w:val="auto"/>
                      <w:sz w:val="21"/>
                      <w:szCs w:val="21"/>
                      <w:lang w:val="en-US" w:eastAsia="zh-CN"/>
                    </w:rPr>
                    <w:t>。</w:t>
                  </w:r>
                </w:p>
              </w:tc>
              <w:tc>
                <w:tcPr>
                  <w:tcW w:w="590" w:type="pct"/>
                  <w:tcBorders>
                    <w:tl2br w:val="nil"/>
                    <w:tr2bl w:val="nil"/>
                  </w:tcBorders>
                  <w:noWrap w:val="0"/>
                  <w:vAlign w:val="center"/>
                </w:tcPr>
                <w:p w14:paraId="15BA7B12">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lang w:val="en-US" w:eastAsia="zh-CN"/>
                    </w:rPr>
                    <w:t>符合</w:t>
                  </w:r>
                </w:p>
              </w:tc>
            </w:tr>
            <w:tr w14:paraId="63047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Borders>
                    <w:tl2br w:val="nil"/>
                    <w:tr2bl w:val="nil"/>
                  </w:tcBorders>
                  <w:noWrap w:val="0"/>
                  <w:vAlign w:val="center"/>
                </w:tcPr>
                <w:p w14:paraId="60AA0FDE">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b w:val="0"/>
                      <w:bCs/>
                      <w:color w:val="auto"/>
                      <w:sz w:val="21"/>
                      <w:szCs w:val="21"/>
                      <w:lang w:val="en-US" w:eastAsia="zh-CN"/>
                    </w:rPr>
                  </w:pPr>
                  <w:r>
                    <w:rPr>
                      <w:rFonts w:hint="eastAsia"/>
                      <w:b w:val="0"/>
                      <w:bCs/>
                      <w:color w:val="auto"/>
                      <w:sz w:val="21"/>
                      <w:szCs w:val="21"/>
                      <w:lang w:val="en-US" w:eastAsia="zh-CN"/>
                    </w:rPr>
                    <w:t>4</w:t>
                  </w:r>
                </w:p>
              </w:tc>
              <w:tc>
                <w:tcPr>
                  <w:tcW w:w="1892" w:type="pct"/>
                  <w:tcBorders>
                    <w:tl2br w:val="nil"/>
                    <w:tr2bl w:val="nil"/>
                  </w:tcBorders>
                  <w:noWrap w:val="0"/>
                  <w:vAlign w:val="center"/>
                </w:tcPr>
                <w:p w14:paraId="492EF3BF">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default"/>
                      <w:b w:val="0"/>
                      <w:bCs/>
                      <w:color w:val="auto"/>
                      <w:sz w:val="21"/>
                      <w:szCs w:val="21"/>
                      <w:lang w:val="en-US" w:eastAsia="zh-CN"/>
                    </w:rPr>
                    <w:t>经济发达地区城市和人均耕地面积低于0.8亩的城市，禁止生产粘土实心砖</w:t>
                  </w:r>
                  <w:r>
                    <w:rPr>
                      <w:rFonts w:hint="eastAsia"/>
                      <w:b w:val="0"/>
                      <w:bCs/>
                      <w:color w:val="auto"/>
                      <w:sz w:val="21"/>
                      <w:szCs w:val="21"/>
                      <w:lang w:val="en-US" w:eastAsia="zh-CN"/>
                    </w:rPr>
                    <w:t>；</w:t>
                  </w:r>
                  <w:r>
                    <w:rPr>
                      <w:rFonts w:hint="default"/>
                      <w:b w:val="0"/>
                      <w:bCs/>
                      <w:color w:val="auto"/>
                      <w:sz w:val="21"/>
                      <w:szCs w:val="21"/>
                      <w:lang w:val="en-US" w:eastAsia="zh-CN"/>
                    </w:rPr>
                    <w:t>粘土资源较为丰富的西部地区，要发展粘土空心制品，限制生产粘土实心砖。</w:t>
                  </w:r>
                </w:p>
              </w:tc>
              <w:tc>
                <w:tcPr>
                  <w:tcW w:w="2052" w:type="pct"/>
                  <w:tcBorders>
                    <w:tl2br w:val="nil"/>
                    <w:tr2bl w:val="nil"/>
                  </w:tcBorders>
                  <w:noWrap w:val="0"/>
                  <w:vAlign w:val="center"/>
                </w:tcPr>
                <w:p w14:paraId="129D8494">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lang w:val="en-US" w:eastAsia="zh-CN"/>
                    </w:rPr>
                    <w:t>项目所在地为玉溪市华宁县，根据华宁县人民政府公开信息，2024年华宁县人均耕地面积1.89亩，不属于</w:t>
                  </w:r>
                  <w:r>
                    <w:rPr>
                      <w:rFonts w:hint="default"/>
                      <w:b w:val="0"/>
                      <w:bCs/>
                      <w:color w:val="auto"/>
                      <w:sz w:val="21"/>
                      <w:szCs w:val="21"/>
                      <w:lang w:val="en-US" w:eastAsia="zh-CN"/>
                    </w:rPr>
                    <w:t>人均耕地面积低于0.8亩的城市</w:t>
                  </w:r>
                  <w:r>
                    <w:rPr>
                      <w:rFonts w:hint="eastAsia"/>
                      <w:b w:val="0"/>
                      <w:bCs/>
                      <w:color w:val="auto"/>
                      <w:sz w:val="21"/>
                      <w:szCs w:val="21"/>
                      <w:lang w:val="en-US" w:eastAsia="zh-CN"/>
                    </w:rPr>
                    <w:t>。</w:t>
                  </w:r>
                  <w:r>
                    <w:rPr>
                      <w:rFonts w:hint="eastAsia"/>
                      <w:b w:val="0"/>
                      <w:bCs/>
                      <w:color w:val="auto"/>
                      <w:sz w:val="21"/>
                      <w:szCs w:val="21"/>
                    </w:rPr>
                    <w:t>项目所在地属于西部地区，主要成品为</w:t>
                  </w:r>
                  <w:r>
                    <w:rPr>
                      <w:rFonts w:hint="eastAsia"/>
                      <w:b w:val="0"/>
                      <w:bCs/>
                      <w:color w:val="auto"/>
                      <w:sz w:val="21"/>
                      <w:szCs w:val="21"/>
                      <w:lang w:val="en-US" w:eastAsia="zh-CN"/>
                    </w:rPr>
                    <w:t>仿古砖瓦</w:t>
                  </w:r>
                  <w:r>
                    <w:rPr>
                      <w:rFonts w:hint="eastAsia"/>
                      <w:b w:val="0"/>
                      <w:bCs/>
                      <w:color w:val="auto"/>
                      <w:sz w:val="21"/>
                      <w:szCs w:val="21"/>
                    </w:rPr>
                    <w:t>，不</w:t>
                  </w:r>
                  <w:r>
                    <w:rPr>
                      <w:rFonts w:hint="eastAsia"/>
                      <w:b w:val="0"/>
                      <w:bCs/>
                      <w:color w:val="auto"/>
                      <w:sz w:val="21"/>
                      <w:szCs w:val="21"/>
                      <w:lang w:eastAsia="zh-CN"/>
                    </w:rPr>
                    <w:t>属于粘土</w:t>
                  </w:r>
                  <w:r>
                    <w:rPr>
                      <w:rFonts w:hint="eastAsia"/>
                      <w:b w:val="0"/>
                      <w:bCs/>
                      <w:color w:val="auto"/>
                      <w:sz w:val="21"/>
                      <w:szCs w:val="21"/>
                    </w:rPr>
                    <w:t>实心砖</w:t>
                  </w:r>
                  <w:r>
                    <w:rPr>
                      <w:rFonts w:hint="eastAsia"/>
                      <w:b w:val="0"/>
                      <w:bCs/>
                      <w:color w:val="auto"/>
                      <w:sz w:val="21"/>
                      <w:szCs w:val="21"/>
                      <w:lang w:eastAsia="zh-CN"/>
                    </w:rPr>
                    <w:t>。</w:t>
                  </w:r>
                </w:p>
              </w:tc>
              <w:tc>
                <w:tcPr>
                  <w:tcW w:w="590" w:type="pct"/>
                  <w:tcBorders>
                    <w:tl2br w:val="nil"/>
                    <w:tr2bl w:val="nil"/>
                  </w:tcBorders>
                  <w:noWrap w:val="0"/>
                  <w:vAlign w:val="center"/>
                </w:tcPr>
                <w:p w14:paraId="73BD4639">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lang w:val="en-US" w:eastAsia="zh-CN"/>
                    </w:rPr>
                    <w:t>符合</w:t>
                  </w:r>
                </w:p>
              </w:tc>
            </w:tr>
            <w:tr w14:paraId="3BF73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Borders>
                    <w:tl2br w:val="nil"/>
                    <w:tr2bl w:val="nil"/>
                  </w:tcBorders>
                  <w:noWrap w:val="0"/>
                  <w:vAlign w:val="center"/>
                </w:tcPr>
                <w:p w14:paraId="478C625E">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b w:val="0"/>
                      <w:bCs/>
                      <w:color w:val="auto"/>
                      <w:sz w:val="21"/>
                      <w:szCs w:val="21"/>
                      <w:lang w:val="en-US" w:eastAsia="zh-CN"/>
                    </w:rPr>
                  </w:pPr>
                  <w:r>
                    <w:rPr>
                      <w:rFonts w:hint="eastAsia"/>
                      <w:b w:val="0"/>
                      <w:bCs/>
                      <w:color w:val="auto"/>
                      <w:sz w:val="21"/>
                      <w:szCs w:val="21"/>
                      <w:lang w:val="en-US" w:eastAsia="zh-CN"/>
                    </w:rPr>
                    <w:t>5</w:t>
                  </w:r>
                </w:p>
              </w:tc>
              <w:tc>
                <w:tcPr>
                  <w:tcW w:w="1892" w:type="pct"/>
                  <w:tcBorders>
                    <w:tl2br w:val="nil"/>
                    <w:tr2bl w:val="nil"/>
                  </w:tcBorders>
                  <w:noWrap w:val="0"/>
                  <w:vAlign w:val="center"/>
                </w:tcPr>
                <w:p w14:paraId="5F074B8A">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default"/>
                      <w:b w:val="0"/>
                      <w:bCs/>
                      <w:color w:val="auto"/>
                      <w:sz w:val="21"/>
                      <w:szCs w:val="21"/>
                      <w:lang w:val="en-US" w:eastAsia="zh-CN"/>
                    </w:rPr>
                    <w:t>烧结砖瓦企业和质量的管理必须满足《烧结砖瓦企业质量管理规程》和《烧结砖瓦企业检验室基本条件》要求，完善质量检测手段。</w:t>
                  </w:r>
                </w:p>
              </w:tc>
              <w:tc>
                <w:tcPr>
                  <w:tcW w:w="2052" w:type="pct"/>
                  <w:tcBorders>
                    <w:tl2br w:val="nil"/>
                    <w:tr2bl w:val="nil"/>
                  </w:tcBorders>
                  <w:noWrap w:val="0"/>
                  <w:vAlign w:val="center"/>
                </w:tcPr>
                <w:p w14:paraId="0CA7F17B">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lang w:val="en-US" w:eastAsia="zh-CN"/>
                    </w:rPr>
                    <w:t>项目建成投产后，企业将严格按照</w:t>
                  </w:r>
                  <w:r>
                    <w:rPr>
                      <w:rFonts w:hint="default"/>
                      <w:b w:val="0"/>
                      <w:bCs/>
                      <w:color w:val="auto"/>
                      <w:sz w:val="21"/>
                      <w:szCs w:val="21"/>
                      <w:lang w:val="en-US" w:eastAsia="zh-CN"/>
                    </w:rPr>
                    <w:t>《烧结砖瓦企业质量管理规程》和《烧结砖瓦企业检验室基本条件》要求，完善质量检测手段</w:t>
                  </w:r>
                  <w:r>
                    <w:rPr>
                      <w:rFonts w:hint="eastAsia"/>
                      <w:b w:val="0"/>
                      <w:bCs/>
                      <w:color w:val="auto"/>
                      <w:sz w:val="21"/>
                      <w:szCs w:val="21"/>
                      <w:lang w:val="en-US" w:eastAsia="zh-CN"/>
                    </w:rPr>
                    <w:t>。</w:t>
                  </w:r>
                </w:p>
              </w:tc>
              <w:tc>
                <w:tcPr>
                  <w:tcW w:w="590" w:type="pct"/>
                  <w:tcBorders>
                    <w:tl2br w:val="nil"/>
                    <w:tr2bl w:val="nil"/>
                  </w:tcBorders>
                  <w:noWrap w:val="0"/>
                  <w:vAlign w:val="center"/>
                </w:tcPr>
                <w:p w14:paraId="70343FB2">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lang w:val="en-US" w:eastAsia="zh-CN"/>
                    </w:rPr>
                    <w:t>符合</w:t>
                  </w:r>
                </w:p>
              </w:tc>
            </w:tr>
            <w:tr w14:paraId="0B9C6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l2br w:val="nil"/>
                    <w:tr2bl w:val="nil"/>
                  </w:tcBorders>
                  <w:noWrap w:val="0"/>
                  <w:vAlign w:val="center"/>
                </w:tcPr>
                <w:p w14:paraId="2C9A7EBF">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both"/>
                    <w:textAlignment w:val="auto"/>
                    <w:rPr>
                      <w:rFonts w:hint="eastAsia"/>
                      <w:b w:val="0"/>
                      <w:bCs/>
                      <w:color w:val="auto"/>
                      <w:sz w:val="21"/>
                      <w:szCs w:val="21"/>
                      <w:lang w:val="en-US" w:eastAsia="zh-CN"/>
                    </w:rPr>
                  </w:pPr>
                  <w:r>
                    <w:rPr>
                      <w:rFonts w:hint="eastAsia"/>
                      <w:b/>
                      <w:bCs w:val="0"/>
                      <w:color w:val="auto"/>
                      <w:sz w:val="21"/>
                      <w:szCs w:val="21"/>
                      <w:lang w:val="en-US" w:eastAsia="zh-CN"/>
                    </w:rPr>
                    <w:t>二、</w:t>
                  </w:r>
                  <w:r>
                    <w:rPr>
                      <w:rFonts w:hint="eastAsia"/>
                      <w:b/>
                      <w:bCs w:val="0"/>
                      <w:color w:val="auto"/>
                      <w:sz w:val="21"/>
                      <w:szCs w:val="21"/>
                    </w:rPr>
                    <w:t>工艺与装备</w:t>
                  </w:r>
                </w:p>
              </w:tc>
            </w:tr>
            <w:tr w14:paraId="720E7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Borders>
                    <w:tl2br w:val="nil"/>
                    <w:tr2bl w:val="nil"/>
                  </w:tcBorders>
                  <w:noWrap w:val="0"/>
                  <w:vAlign w:val="center"/>
                </w:tcPr>
                <w:p w14:paraId="41FB2590">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b w:val="0"/>
                      <w:bCs/>
                      <w:color w:val="auto"/>
                      <w:sz w:val="21"/>
                      <w:szCs w:val="21"/>
                      <w:lang w:val="en-US" w:eastAsia="zh-CN"/>
                    </w:rPr>
                  </w:pPr>
                  <w:r>
                    <w:rPr>
                      <w:rFonts w:hint="eastAsia"/>
                      <w:b w:val="0"/>
                      <w:bCs/>
                      <w:color w:val="auto"/>
                      <w:sz w:val="21"/>
                      <w:szCs w:val="21"/>
                      <w:lang w:val="en-US" w:eastAsia="zh-CN"/>
                    </w:rPr>
                    <w:t>1</w:t>
                  </w:r>
                </w:p>
              </w:tc>
              <w:tc>
                <w:tcPr>
                  <w:tcW w:w="1892" w:type="pct"/>
                  <w:tcBorders>
                    <w:tl2br w:val="nil"/>
                    <w:tr2bl w:val="nil"/>
                  </w:tcBorders>
                  <w:noWrap w:val="0"/>
                  <w:vAlign w:val="center"/>
                </w:tcPr>
                <w:p w14:paraId="72F88CB1">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b w:val="0"/>
                      <w:bCs/>
                      <w:color w:val="auto"/>
                      <w:sz w:val="21"/>
                      <w:szCs w:val="21"/>
                    </w:rPr>
                    <w:t>2020</w:t>
                  </w:r>
                  <w:r>
                    <w:rPr>
                      <w:rFonts w:hint="eastAsia"/>
                      <w:b w:val="0"/>
                      <w:bCs/>
                      <w:color w:val="auto"/>
                      <w:sz w:val="21"/>
                      <w:szCs w:val="21"/>
                    </w:rPr>
                    <w:t>年底前，全部淘汰轮窑焙烧的烧结砖厂和单线年产量</w:t>
                  </w:r>
                  <w:r>
                    <w:rPr>
                      <w:b w:val="0"/>
                      <w:bCs/>
                      <w:color w:val="auto"/>
                      <w:sz w:val="21"/>
                      <w:szCs w:val="21"/>
                    </w:rPr>
                    <w:t>50</w:t>
                  </w:r>
                  <w:r>
                    <w:rPr>
                      <w:rFonts w:hint="eastAsia"/>
                      <w:b w:val="0"/>
                      <w:bCs/>
                      <w:color w:val="auto"/>
                      <w:sz w:val="21"/>
                      <w:szCs w:val="21"/>
                    </w:rPr>
                    <w:t>万</w:t>
                  </w:r>
                  <w:r>
                    <w:rPr>
                      <w:b w:val="0"/>
                      <w:bCs/>
                      <w:color w:val="auto"/>
                      <w:sz w:val="21"/>
                      <w:szCs w:val="21"/>
                    </w:rPr>
                    <w:t>m</w:t>
                  </w:r>
                  <w:r>
                    <w:rPr>
                      <w:b w:val="0"/>
                      <w:bCs/>
                      <w:color w:val="auto"/>
                      <w:sz w:val="21"/>
                      <w:szCs w:val="21"/>
                      <w:vertAlign w:val="superscript"/>
                    </w:rPr>
                    <w:t>2</w:t>
                  </w:r>
                  <w:r>
                    <w:rPr>
                      <w:rFonts w:hint="eastAsia"/>
                      <w:b w:val="0"/>
                      <w:bCs/>
                      <w:color w:val="auto"/>
                      <w:sz w:val="21"/>
                      <w:szCs w:val="21"/>
                    </w:rPr>
                    <w:t>（含</w:t>
                  </w:r>
                  <w:r>
                    <w:rPr>
                      <w:b w:val="0"/>
                      <w:bCs/>
                      <w:color w:val="auto"/>
                      <w:sz w:val="21"/>
                      <w:szCs w:val="21"/>
                    </w:rPr>
                    <w:t>50</w:t>
                  </w:r>
                  <w:r>
                    <w:rPr>
                      <w:rFonts w:hint="eastAsia"/>
                      <w:b w:val="0"/>
                      <w:bCs/>
                      <w:color w:val="auto"/>
                      <w:sz w:val="21"/>
                      <w:szCs w:val="21"/>
                    </w:rPr>
                    <w:t>万</w:t>
                  </w:r>
                  <w:r>
                    <w:rPr>
                      <w:b w:val="0"/>
                      <w:bCs/>
                      <w:color w:val="auto"/>
                      <w:sz w:val="21"/>
                      <w:szCs w:val="21"/>
                    </w:rPr>
                    <w:t>m</w:t>
                  </w:r>
                  <w:r>
                    <w:rPr>
                      <w:b w:val="0"/>
                      <w:bCs/>
                      <w:color w:val="auto"/>
                      <w:sz w:val="21"/>
                      <w:szCs w:val="21"/>
                      <w:vertAlign w:val="superscript"/>
                    </w:rPr>
                    <w:t>2</w:t>
                  </w:r>
                  <w:r>
                    <w:rPr>
                      <w:rFonts w:hint="eastAsia"/>
                      <w:b w:val="0"/>
                      <w:bCs/>
                      <w:color w:val="auto"/>
                      <w:sz w:val="21"/>
                      <w:szCs w:val="21"/>
                    </w:rPr>
                    <w:t>）以下烧结瓦厂。</w:t>
                  </w:r>
                </w:p>
              </w:tc>
              <w:tc>
                <w:tcPr>
                  <w:tcW w:w="2052" w:type="pct"/>
                  <w:tcBorders>
                    <w:tl2br w:val="nil"/>
                    <w:tr2bl w:val="nil"/>
                  </w:tcBorders>
                  <w:noWrap w:val="0"/>
                  <w:vAlign w:val="center"/>
                </w:tcPr>
                <w:p w14:paraId="1D72EF51">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rPr>
                    <w:t>本项目</w:t>
                  </w:r>
                  <w:r>
                    <w:rPr>
                      <w:rFonts w:hint="eastAsia"/>
                      <w:b w:val="0"/>
                      <w:bCs/>
                      <w:color w:val="auto"/>
                      <w:sz w:val="21"/>
                      <w:szCs w:val="21"/>
                      <w:lang w:eastAsia="zh-CN"/>
                    </w:rPr>
                    <w:t>砖瓦焙烧采用梭式</w:t>
                  </w:r>
                  <w:r>
                    <w:rPr>
                      <w:rFonts w:hint="eastAsia"/>
                      <w:b w:val="0"/>
                      <w:bCs/>
                      <w:color w:val="auto"/>
                      <w:sz w:val="21"/>
                      <w:szCs w:val="21"/>
                    </w:rPr>
                    <w:t>窑，</w:t>
                  </w:r>
                  <w:r>
                    <w:rPr>
                      <w:rFonts w:hint="eastAsia"/>
                      <w:b w:val="0"/>
                      <w:bCs/>
                      <w:color w:val="auto"/>
                      <w:sz w:val="21"/>
                      <w:szCs w:val="21"/>
                      <w:lang w:eastAsia="zh-CN"/>
                    </w:rPr>
                    <w:t>不属于淘汰设备，</w:t>
                  </w:r>
                  <w:r>
                    <w:rPr>
                      <w:rFonts w:hint="eastAsia"/>
                      <w:b w:val="0"/>
                      <w:bCs/>
                      <w:color w:val="auto"/>
                      <w:sz w:val="21"/>
                      <w:szCs w:val="21"/>
                    </w:rPr>
                    <w:t>符合要求。</w:t>
                  </w:r>
                </w:p>
              </w:tc>
              <w:tc>
                <w:tcPr>
                  <w:tcW w:w="590" w:type="pct"/>
                  <w:tcBorders>
                    <w:tl2br w:val="nil"/>
                    <w:tr2bl w:val="nil"/>
                  </w:tcBorders>
                  <w:noWrap w:val="0"/>
                  <w:vAlign w:val="center"/>
                </w:tcPr>
                <w:p w14:paraId="7372F123">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rPr>
                    <w:t>符合</w:t>
                  </w:r>
                </w:p>
              </w:tc>
            </w:tr>
            <w:tr w14:paraId="24B1E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Borders>
                    <w:tl2br w:val="nil"/>
                    <w:tr2bl w:val="nil"/>
                  </w:tcBorders>
                  <w:noWrap w:val="0"/>
                  <w:vAlign w:val="center"/>
                </w:tcPr>
                <w:p w14:paraId="4F3F0ADE">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b w:val="0"/>
                      <w:bCs/>
                      <w:color w:val="auto"/>
                      <w:sz w:val="21"/>
                      <w:szCs w:val="21"/>
                      <w:lang w:val="en-US" w:eastAsia="zh-CN"/>
                    </w:rPr>
                  </w:pPr>
                  <w:r>
                    <w:rPr>
                      <w:rFonts w:hint="eastAsia"/>
                      <w:b w:val="0"/>
                      <w:bCs/>
                      <w:color w:val="auto"/>
                      <w:sz w:val="21"/>
                      <w:szCs w:val="21"/>
                      <w:lang w:val="en-US" w:eastAsia="zh-CN"/>
                    </w:rPr>
                    <w:t>2</w:t>
                  </w:r>
                </w:p>
              </w:tc>
              <w:tc>
                <w:tcPr>
                  <w:tcW w:w="1892" w:type="pct"/>
                  <w:tcBorders>
                    <w:tl2br w:val="nil"/>
                    <w:tr2bl w:val="nil"/>
                  </w:tcBorders>
                  <w:noWrap w:val="0"/>
                  <w:vAlign w:val="center"/>
                </w:tcPr>
                <w:p w14:paraId="33B2FAE2">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rPr>
                    <w:t>依法立即淘汰砖瓦简易轮窑、土窑生产工艺与装备。</w:t>
                  </w:r>
                </w:p>
              </w:tc>
              <w:tc>
                <w:tcPr>
                  <w:tcW w:w="2052" w:type="pct"/>
                  <w:tcBorders>
                    <w:tl2br w:val="nil"/>
                    <w:tr2bl w:val="nil"/>
                  </w:tcBorders>
                  <w:noWrap w:val="0"/>
                  <w:vAlign w:val="center"/>
                </w:tcPr>
                <w:p w14:paraId="6BC2BAA3">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rPr>
                    <w:t>项目采用</w:t>
                  </w:r>
                  <w:r>
                    <w:rPr>
                      <w:rFonts w:hint="eastAsia"/>
                      <w:b w:val="0"/>
                      <w:bCs/>
                      <w:color w:val="auto"/>
                      <w:sz w:val="21"/>
                      <w:szCs w:val="21"/>
                      <w:lang w:eastAsia="zh-CN"/>
                    </w:rPr>
                    <w:t>梭式窑进行</w:t>
                  </w:r>
                  <w:r>
                    <w:rPr>
                      <w:rFonts w:hint="eastAsia"/>
                      <w:b w:val="0"/>
                      <w:bCs/>
                      <w:color w:val="auto"/>
                      <w:sz w:val="21"/>
                      <w:szCs w:val="21"/>
                    </w:rPr>
                    <w:t>生产，</w:t>
                  </w:r>
                  <w:r>
                    <w:rPr>
                      <w:rFonts w:hint="eastAsia"/>
                      <w:b w:val="0"/>
                      <w:bCs/>
                      <w:color w:val="auto"/>
                      <w:sz w:val="21"/>
                      <w:szCs w:val="21"/>
                      <w:lang w:eastAsia="zh-CN"/>
                    </w:rPr>
                    <w:t>不属于淘汰生产</w:t>
                  </w:r>
                  <w:r>
                    <w:rPr>
                      <w:rFonts w:hint="eastAsia"/>
                      <w:b w:val="0"/>
                      <w:bCs/>
                      <w:color w:val="auto"/>
                      <w:sz w:val="21"/>
                      <w:szCs w:val="21"/>
                    </w:rPr>
                    <w:t>工艺与装备。</w:t>
                  </w:r>
                </w:p>
              </w:tc>
              <w:tc>
                <w:tcPr>
                  <w:tcW w:w="590" w:type="pct"/>
                  <w:tcBorders>
                    <w:tl2br w:val="nil"/>
                    <w:tr2bl w:val="nil"/>
                  </w:tcBorders>
                  <w:noWrap w:val="0"/>
                  <w:vAlign w:val="center"/>
                </w:tcPr>
                <w:p w14:paraId="4E596C14">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rPr>
                    <w:t>符合</w:t>
                  </w:r>
                </w:p>
              </w:tc>
            </w:tr>
          </w:tbl>
          <w:p w14:paraId="794D1604">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b w:val="0"/>
                <w:bCs w:val="0"/>
                <w:color w:val="auto"/>
                <w:sz w:val="21"/>
                <w:szCs w:val="21"/>
                <w:lang w:val="en-US" w:eastAsia="zh-CN"/>
              </w:rPr>
            </w:pPr>
            <w:r>
              <w:rPr>
                <w:rFonts w:hint="eastAsia"/>
                <w:color w:val="auto"/>
                <w:sz w:val="21"/>
                <w:szCs w:val="21"/>
              </w:rPr>
              <w:t>综上，本项目符合</w:t>
            </w:r>
            <w:r>
              <w:rPr>
                <w:rFonts w:hint="eastAsia"/>
                <w:color w:val="auto"/>
                <w:sz w:val="21"/>
                <w:szCs w:val="21"/>
                <w:lang w:val="en-US" w:eastAsia="zh-CN"/>
              </w:rPr>
              <w:t>《全国墙体材料烧结砖瓦行业准入条件》</w:t>
            </w:r>
            <w:r>
              <w:rPr>
                <w:rFonts w:hint="eastAsia"/>
                <w:color w:val="auto"/>
                <w:sz w:val="21"/>
                <w:szCs w:val="21"/>
              </w:rPr>
              <w:t>的相关要求。</w:t>
            </w:r>
          </w:p>
          <w:p w14:paraId="71A239E6">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b w:val="0"/>
                <w:bCs w:val="0"/>
                <w:color w:val="auto"/>
                <w:sz w:val="21"/>
                <w:szCs w:val="21"/>
                <w:lang w:val="en-US" w:eastAsia="zh-CN"/>
              </w:rPr>
            </w:pPr>
            <w:r>
              <w:rPr>
                <w:rFonts w:hint="eastAsia"/>
                <w:b/>
                <w:bCs/>
                <w:color w:val="auto"/>
                <w:sz w:val="21"/>
                <w:szCs w:val="21"/>
                <w:lang w:val="en-US" w:eastAsia="zh-CN"/>
              </w:rPr>
              <w:t>2）</w:t>
            </w:r>
            <w:r>
              <w:rPr>
                <w:b/>
                <w:bCs/>
                <w:color w:val="auto"/>
                <w:sz w:val="21"/>
                <w:szCs w:val="21"/>
                <w:highlight w:val="none"/>
              </w:rPr>
              <w:t>与《工业和信息化部 环境保护部 国家安全监管总局 关于加快烧结砖瓦行业转型发展的若干意见》符合性分析</w:t>
            </w:r>
          </w:p>
          <w:p w14:paraId="7C4619A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 w:val="21"/>
                <w:szCs w:val="21"/>
                <w:lang w:val="en-US" w:eastAsia="zh-CN"/>
              </w:rPr>
            </w:pPr>
            <w:r>
              <w:rPr>
                <w:rFonts w:hint="eastAsia"/>
                <w:color w:val="auto"/>
                <w:sz w:val="21"/>
                <w:szCs w:val="21"/>
                <w:highlight w:val="none"/>
                <w:lang w:val="en-US" w:eastAsia="zh-CN"/>
              </w:rPr>
              <w:t>本项目</w:t>
            </w:r>
            <w:r>
              <w:rPr>
                <w:rFonts w:hint="eastAsia"/>
                <w:color w:val="auto"/>
                <w:sz w:val="21"/>
                <w:szCs w:val="21"/>
                <w:highlight w:val="none"/>
              </w:rPr>
              <w:t>与《工业和信息化部 环境保护部 国家安全监管总局 关于加快烧结砖瓦行业转型发展的若干意见》（工信部联原〔2017〕279号）</w:t>
            </w:r>
            <w:r>
              <w:rPr>
                <w:rFonts w:hint="eastAsia"/>
                <w:color w:val="auto"/>
                <w:sz w:val="21"/>
                <w:szCs w:val="21"/>
                <w:highlight w:val="none"/>
                <w:lang w:eastAsia="zh-CN"/>
              </w:rPr>
              <w:t>相关符合性分析</w:t>
            </w:r>
            <w:r>
              <w:rPr>
                <w:rFonts w:hint="eastAsia"/>
                <w:color w:val="auto"/>
                <w:sz w:val="21"/>
                <w:szCs w:val="21"/>
                <w:highlight w:val="none"/>
              </w:rPr>
              <w:t>见表1</w:t>
            </w:r>
            <w:r>
              <w:rPr>
                <w:color w:val="auto"/>
                <w:sz w:val="21"/>
                <w:szCs w:val="21"/>
                <w:highlight w:val="none"/>
              </w:rPr>
              <w:t>-</w:t>
            </w:r>
            <w:r>
              <w:rPr>
                <w:rFonts w:hint="eastAsia"/>
                <w:color w:val="auto"/>
                <w:sz w:val="21"/>
                <w:szCs w:val="21"/>
                <w:highlight w:val="none"/>
                <w:lang w:val="en-US" w:eastAsia="zh-CN"/>
              </w:rPr>
              <w:t>10</w:t>
            </w:r>
            <w:r>
              <w:rPr>
                <w:rFonts w:hint="eastAsia"/>
                <w:color w:val="auto"/>
                <w:sz w:val="21"/>
                <w:szCs w:val="21"/>
                <w:highlight w:val="none"/>
              </w:rPr>
              <w:t>。</w:t>
            </w:r>
          </w:p>
          <w:p w14:paraId="07597BFE">
            <w:pPr>
              <w:pStyle w:val="41"/>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0" w:firstLineChars="0"/>
              <w:textAlignment w:val="auto"/>
              <w:rPr>
                <w:rFonts w:hint="eastAsia"/>
                <w:color w:val="auto"/>
                <w:sz w:val="21"/>
                <w:szCs w:val="21"/>
                <w:lang w:val="en-US" w:eastAsia="zh-CN"/>
              </w:rPr>
            </w:pPr>
            <w:r>
              <w:rPr>
                <w:rFonts w:hint="eastAsia"/>
                <w:color w:val="auto"/>
                <w:sz w:val="21"/>
                <w:szCs w:val="21"/>
                <w:lang w:val="en-US" w:eastAsia="zh-CN"/>
              </w:rPr>
              <w:t xml:space="preserve">表1-10  </w:t>
            </w:r>
            <w:r>
              <w:rPr>
                <w:rFonts w:hint="default"/>
                <w:color w:val="auto"/>
                <w:sz w:val="21"/>
                <w:szCs w:val="21"/>
              </w:rPr>
              <w:t>与</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lang w:val="en-US" w:eastAsia="zh-CN"/>
              </w:rPr>
              <w:t>加快烧结砖瓦行业转型发展的若干意见</w:t>
            </w:r>
            <w:r>
              <w:rPr>
                <w:rFonts w:hint="eastAsia" w:ascii="Times New Roman" w:hAnsi="Times New Roman" w:eastAsia="宋体"/>
                <w:color w:val="auto"/>
                <w:sz w:val="21"/>
                <w:szCs w:val="21"/>
                <w:lang w:eastAsia="zh-CN"/>
              </w:rPr>
              <w:t>》</w:t>
            </w:r>
            <w:r>
              <w:rPr>
                <w:rFonts w:hint="default"/>
                <w:color w:val="auto"/>
                <w:sz w:val="21"/>
                <w:szCs w:val="21"/>
              </w:rPr>
              <w:t>符合性分析</w:t>
            </w:r>
          </w:p>
          <w:tbl>
            <w:tblPr>
              <w:tblStyle w:val="30"/>
              <w:tblW w:w="86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3990"/>
              <w:gridCol w:w="3033"/>
              <w:gridCol w:w="863"/>
            </w:tblGrid>
            <w:tr w14:paraId="1565F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1" w:type="dxa"/>
                  <w:gridSpan w:val="2"/>
                  <w:vAlign w:val="center"/>
                </w:tcPr>
                <w:p w14:paraId="1AC902B6">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b w:val="0"/>
                      <w:bCs/>
                      <w:color w:val="auto"/>
                      <w:sz w:val="21"/>
                      <w:szCs w:val="21"/>
                    </w:rPr>
                    <w:t>要求（摘录）</w:t>
                  </w:r>
                </w:p>
              </w:tc>
              <w:tc>
                <w:tcPr>
                  <w:tcW w:w="3033" w:type="dxa"/>
                  <w:vAlign w:val="center"/>
                </w:tcPr>
                <w:p w14:paraId="41CE8F1C">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rPr>
                    <w:t>本项目情况</w:t>
                  </w:r>
                </w:p>
              </w:tc>
              <w:tc>
                <w:tcPr>
                  <w:tcW w:w="863" w:type="dxa"/>
                  <w:vAlign w:val="center"/>
                </w:tcPr>
                <w:p w14:paraId="281FD76D">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rPr>
                    <w:t>符合性</w:t>
                  </w:r>
                </w:p>
              </w:tc>
            </w:tr>
            <w:tr w14:paraId="30B06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Merge w:val="restart"/>
                  <w:vAlign w:val="center"/>
                </w:tcPr>
                <w:p w14:paraId="083130CA">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rPr>
                    <w:t>三、大力发展先进产品，坚决淘汰落后产能</w:t>
                  </w:r>
                </w:p>
              </w:tc>
              <w:tc>
                <w:tcPr>
                  <w:tcW w:w="3990" w:type="dxa"/>
                  <w:vAlign w:val="center"/>
                </w:tcPr>
                <w:p w14:paraId="18329AFC">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rPr>
                    <w:t>（一）发展绿色建筑、装配式建筑和海绵城市等建设所需新产品。大力发展轻质高强、保温防火、与建筑同寿命、多功能一体化的装配式墙材、屋面及围护结构部品。引导砖瓦产品向高掺量、高孔洞率、高强度、多功能和自装饰等方向发展，重点发展结构功能一体化的烧结多孔砖、空心砖、自保温砌块、复合保温砌块、清水墙砖、透水路面砖、烧结墙板等产品，防水防腐防火保温一体化的装配式墙材、屋面等产品，以及综合性能好的烧结瓦和太阳能屋面瓦等。</w:t>
                  </w:r>
                </w:p>
              </w:tc>
              <w:tc>
                <w:tcPr>
                  <w:tcW w:w="3033" w:type="dxa"/>
                  <w:vAlign w:val="center"/>
                </w:tcPr>
                <w:p w14:paraId="1CA021C4">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eastAsia="宋体"/>
                      <w:b w:val="0"/>
                      <w:bCs/>
                      <w:color w:val="auto"/>
                      <w:sz w:val="21"/>
                      <w:szCs w:val="21"/>
                      <w:lang w:val="en-US" w:eastAsia="zh-CN"/>
                    </w:rPr>
                  </w:pPr>
                  <w:r>
                    <w:rPr>
                      <w:rFonts w:hint="eastAsia"/>
                      <w:b w:val="0"/>
                      <w:bCs/>
                      <w:color w:val="auto"/>
                      <w:sz w:val="21"/>
                      <w:szCs w:val="21"/>
                    </w:rPr>
                    <w:t>本项目产品为</w:t>
                  </w:r>
                  <w:r>
                    <w:rPr>
                      <w:rFonts w:hint="eastAsia"/>
                      <w:b w:val="0"/>
                      <w:bCs/>
                      <w:color w:val="auto"/>
                      <w:sz w:val="21"/>
                      <w:szCs w:val="21"/>
                      <w:lang w:val="en-US" w:eastAsia="zh-CN"/>
                    </w:rPr>
                    <w:t>仿古砖瓦</w:t>
                  </w:r>
                  <w:r>
                    <w:rPr>
                      <w:rFonts w:hint="eastAsia"/>
                      <w:b w:val="0"/>
                      <w:bCs/>
                      <w:color w:val="auto"/>
                      <w:sz w:val="21"/>
                      <w:szCs w:val="21"/>
                    </w:rPr>
                    <w:t>，</w:t>
                  </w:r>
                  <w:r>
                    <w:rPr>
                      <w:rFonts w:hint="eastAsia"/>
                      <w:b w:val="0"/>
                      <w:bCs/>
                      <w:color w:val="auto"/>
                      <w:sz w:val="21"/>
                      <w:szCs w:val="21"/>
                      <w:lang w:eastAsia="zh-CN"/>
                    </w:rPr>
                    <w:t>属于</w:t>
                  </w:r>
                  <w:r>
                    <w:rPr>
                      <w:rFonts w:hint="eastAsia"/>
                      <w:b w:val="0"/>
                      <w:bCs/>
                      <w:color w:val="auto"/>
                      <w:sz w:val="21"/>
                      <w:szCs w:val="21"/>
                    </w:rPr>
                    <w:t>装配式建筑</w:t>
                  </w:r>
                  <w:r>
                    <w:rPr>
                      <w:rFonts w:hint="eastAsia"/>
                      <w:b w:val="0"/>
                      <w:bCs/>
                      <w:color w:val="auto"/>
                      <w:sz w:val="21"/>
                      <w:szCs w:val="21"/>
                      <w:lang w:val="en-US" w:eastAsia="zh-CN"/>
                    </w:rPr>
                    <w:t>所需产品，</w:t>
                  </w:r>
                  <w:r>
                    <w:rPr>
                      <w:rFonts w:hint="eastAsia"/>
                      <w:b w:val="0"/>
                      <w:bCs/>
                      <w:color w:val="auto"/>
                      <w:sz w:val="21"/>
                      <w:szCs w:val="21"/>
                      <w:lang w:eastAsia="zh-CN"/>
                    </w:rPr>
                    <w:t>为</w:t>
                  </w:r>
                  <w:r>
                    <w:rPr>
                      <w:rFonts w:hint="eastAsia"/>
                      <w:b w:val="0"/>
                      <w:bCs/>
                      <w:color w:val="auto"/>
                      <w:sz w:val="21"/>
                      <w:szCs w:val="21"/>
                    </w:rPr>
                    <w:t>综合性能好的烧结瓦</w:t>
                  </w:r>
                  <w:r>
                    <w:rPr>
                      <w:rFonts w:hint="eastAsia"/>
                      <w:b w:val="0"/>
                      <w:bCs/>
                      <w:color w:val="auto"/>
                      <w:sz w:val="21"/>
                      <w:szCs w:val="21"/>
                      <w:lang w:eastAsia="zh-CN"/>
                    </w:rPr>
                    <w:t>。</w:t>
                  </w:r>
                </w:p>
              </w:tc>
              <w:tc>
                <w:tcPr>
                  <w:tcW w:w="863" w:type="dxa"/>
                  <w:vAlign w:val="center"/>
                </w:tcPr>
                <w:p w14:paraId="5398FF2D">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rPr>
                    <w:t>符合</w:t>
                  </w:r>
                </w:p>
              </w:tc>
            </w:tr>
            <w:tr w14:paraId="3B9CB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Merge w:val="continue"/>
                  <w:vAlign w:val="center"/>
                </w:tcPr>
                <w:p w14:paraId="328E31FD">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p>
              </w:tc>
              <w:tc>
                <w:tcPr>
                  <w:tcW w:w="3990" w:type="dxa"/>
                  <w:vAlign w:val="center"/>
                </w:tcPr>
                <w:p w14:paraId="6991C8BA">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rPr>
                    <w:t>（三）淘汰落后产品和落后产能。认真落实</w:t>
                  </w:r>
                  <w:r>
                    <w:rPr>
                      <w:rFonts w:hint="eastAsia"/>
                      <w:b w:val="0"/>
                      <w:bCs/>
                      <w:color w:val="auto"/>
                      <w:sz w:val="21"/>
                      <w:szCs w:val="21"/>
                      <w:lang w:val="en-US" w:eastAsia="zh-CN"/>
                    </w:rPr>
                    <w:t xml:space="preserve"> </w:t>
                  </w:r>
                  <w:r>
                    <w:rPr>
                      <w:rFonts w:hint="eastAsia"/>
                      <w:b w:val="0"/>
                      <w:bCs/>
                      <w:color w:val="auto"/>
                      <w:sz w:val="21"/>
                      <w:szCs w:val="21"/>
                    </w:rPr>
                    <w:t>《产业结构调整指导目录（</w:t>
                  </w:r>
                  <w:r>
                    <w:rPr>
                      <w:b w:val="0"/>
                      <w:bCs/>
                      <w:color w:val="auto"/>
                      <w:sz w:val="21"/>
                      <w:szCs w:val="21"/>
                    </w:rPr>
                    <w:t>2011</w:t>
                  </w:r>
                  <w:r>
                    <w:rPr>
                      <w:rFonts w:hint="eastAsia"/>
                      <w:b w:val="0"/>
                      <w:bCs/>
                      <w:color w:val="auto"/>
                      <w:sz w:val="21"/>
                      <w:szCs w:val="21"/>
                    </w:rPr>
                    <w:t>年本）（</w:t>
                  </w:r>
                  <w:r>
                    <w:rPr>
                      <w:b w:val="0"/>
                      <w:bCs/>
                      <w:color w:val="auto"/>
                      <w:sz w:val="21"/>
                      <w:szCs w:val="21"/>
                    </w:rPr>
                    <w:t>2013</w:t>
                  </w:r>
                  <w:r>
                    <w:rPr>
                      <w:rFonts w:hint="eastAsia"/>
                      <w:b w:val="0"/>
                      <w:bCs/>
                      <w:color w:val="auto"/>
                      <w:sz w:val="21"/>
                      <w:szCs w:val="21"/>
                    </w:rPr>
                    <w:t>年修订）》</w:t>
                  </w:r>
                  <w:r>
                    <w:rPr>
                      <w:rFonts w:hint="eastAsia"/>
                      <w:b w:val="0"/>
                      <w:bCs/>
                      <w:color w:val="auto"/>
                      <w:sz w:val="21"/>
                      <w:szCs w:val="21"/>
                      <w:lang w:val="en-US" w:eastAsia="zh-CN"/>
                    </w:rPr>
                    <w:t xml:space="preserve"> </w:t>
                  </w:r>
                  <w:r>
                    <w:rPr>
                      <w:rFonts w:hint="eastAsia"/>
                      <w:b w:val="0"/>
                      <w:bCs/>
                      <w:color w:val="auto"/>
                      <w:sz w:val="21"/>
                      <w:szCs w:val="21"/>
                    </w:rPr>
                    <w:t>和</w:t>
                  </w:r>
                  <w:r>
                    <w:rPr>
                      <w:rFonts w:hint="eastAsia"/>
                      <w:b w:val="0"/>
                      <w:bCs/>
                      <w:color w:val="auto"/>
                      <w:sz w:val="21"/>
                      <w:szCs w:val="21"/>
                      <w:lang w:val="en-US" w:eastAsia="zh-CN"/>
                    </w:rPr>
                    <w:t xml:space="preserve"> </w:t>
                  </w:r>
                  <w:r>
                    <w:rPr>
                      <w:rFonts w:hint="eastAsia"/>
                      <w:b w:val="0"/>
                      <w:bCs/>
                      <w:color w:val="auto"/>
                      <w:sz w:val="21"/>
                      <w:szCs w:val="21"/>
                    </w:rPr>
                    <w:t>《关于利用综合标准依法依规推动落后产能退出的指导意见》（工信部联产业〔</w:t>
                  </w:r>
                  <w:r>
                    <w:rPr>
                      <w:b w:val="0"/>
                      <w:bCs/>
                      <w:color w:val="auto"/>
                      <w:sz w:val="21"/>
                      <w:szCs w:val="21"/>
                    </w:rPr>
                    <w:t>2017</w:t>
                  </w:r>
                  <w:r>
                    <w:rPr>
                      <w:rFonts w:hint="eastAsia"/>
                      <w:b w:val="0"/>
                      <w:bCs/>
                      <w:color w:val="auto"/>
                      <w:sz w:val="21"/>
                      <w:szCs w:val="21"/>
                    </w:rPr>
                    <w:t>〕</w:t>
                  </w:r>
                  <w:r>
                    <w:rPr>
                      <w:b w:val="0"/>
                      <w:bCs/>
                      <w:color w:val="auto"/>
                      <w:sz w:val="21"/>
                      <w:szCs w:val="21"/>
                    </w:rPr>
                    <w:t>30</w:t>
                  </w:r>
                  <w:r>
                    <w:rPr>
                      <w:rFonts w:hint="eastAsia"/>
                      <w:b w:val="0"/>
                      <w:bCs/>
                      <w:color w:val="auto"/>
                      <w:sz w:val="21"/>
                      <w:szCs w:val="21"/>
                    </w:rPr>
                    <w:t>号），依法淘汰落后工艺、装备和产品。执行环保、节能等强制性标准规范，强化环保、节能、质量、安全等执法监管，利用法治化市场化手段，督促达不到环保、能耗等标准的砖瓦企业加快整改，对整改仍不达标的依法责令关停，淘汰整改达标无望的生产线，鼓励东中部地区率先淘汰轮窑生产线。</w:t>
                  </w:r>
                </w:p>
              </w:tc>
              <w:tc>
                <w:tcPr>
                  <w:tcW w:w="3033" w:type="dxa"/>
                  <w:vAlign w:val="center"/>
                </w:tcPr>
                <w:p w14:paraId="5A792F7D">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rPr>
                    <w:t>本项目工艺、装备和产品均不属于《产业结构调整指导目录（</w:t>
                  </w:r>
                  <w:r>
                    <w:rPr>
                      <w:b w:val="0"/>
                      <w:bCs/>
                      <w:color w:val="auto"/>
                      <w:sz w:val="21"/>
                      <w:szCs w:val="21"/>
                    </w:rPr>
                    <w:t>20</w:t>
                  </w:r>
                  <w:r>
                    <w:rPr>
                      <w:rFonts w:hint="eastAsia"/>
                      <w:b w:val="0"/>
                      <w:bCs/>
                      <w:color w:val="auto"/>
                      <w:sz w:val="21"/>
                      <w:szCs w:val="21"/>
                      <w:lang w:val="en-US" w:eastAsia="zh-CN"/>
                    </w:rPr>
                    <w:t>24</w:t>
                  </w:r>
                  <w:r>
                    <w:rPr>
                      <w:rFonts w:hint="eastAsia"/>
                      <w:b w:val="0"/>
                      <w:bCs/>
                      <w:color w:val="auto"/>
                      <w:sz w:val="21"/>
                      <w:szCs w:val="21"/>
                    </w:rPr>
                    <w:t>年本）》和《关于利用综合标准依法依规推动落后产能退出的指导意见》（工信部联产业〔</w:t>
                  </w:r>
                  <w:r>
                    <w:rPr>
                      <w:b w:val="0"/>
                      <w:bCs/>
                      <w:color w:val="auto"/>
                      <w:sz w:val="21"/>
                      <w:szCs w:val="21"/>
                    </w:rPr>
                    <w:t>2017</w:t>
                  </w:r>
                  <w:r>
                    <w:rPr>
                      <w:rFonts w:hint="eastAsia"/>
                      <w:b w:val="0"/>
                      <w:bCs/>
                      <w:color w:val="auto"/>
                      <w:sz w:val="21"/>
                      <w:szCs w:val="21"/>
                    </w:rPr>
                    <w:t>〕</w:t>
                  </w:r>
                  <w:r>
                    <w:rPr>
                      <w:b w:val="0"/>
                      <w:bCs/>
                      <w:color w:val="auto"/>
                      <w:sz w:val="21"/>
                      <w:szCs w:val="21"/>
                    </w:rPr>
                    <w:t>30</w:t>
                  </w:r>
                  <w:r>
                    <w:rPr>
                      <w:rFonts w:hint="eastAsia"/>
                      <w:b w:val="0"/>
                      <w:bCs/>
                      <w:color w:val="auto"/>
                      <w:sz w:val="21"/>
                      <w:szCs w:val="21"/>
                    </w:rPr>
                    <w:t>号）中淘汰类和限制类；</w:t>
                  </w:r>
                  <w:r>
                    <w:rPr>
                      <w:rFonts w:hint="eastAsia"/>
                      <w:b w:val="0"/>
                      <w:bCs/>
                      <w:color w:val="auto"/>
                      <w:sz w:val="21"/>
                      <w:szCs w:val="21"/>
                      <w:lang w:eastAsia="zh-CN"/>
                    </w:rPr>
                    <w:t>企业</w:t>
                  </w:r>
                  <w:r>
                    <w:rPr>
                      <w:rFonts w:hint="eastAsia"/>
                      <w:b w:val="0"/>
                      <w:bCs/>
                      <w:color w:val="auto"/>
                      <w:sz w:val="21"/>
                      <w:szCs w:val="21"/>
                    </w:rPr>
                    <w:t>生产过程严格执行环保、节能等强制性标准规范要求。</w:t>
                  </w:r>
                </w:p>
              </w:tc>
              <w:tc>
                <w:tcPr>
                  <w:tcW w:w="863" w:type="dxa"/>
                  <w:vAlign w:val="center"/>
                </w:tcPr>
                <w:p w14:paraId="7CE28F29">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rPr>
                    <w:t>符合</w:t>
                  </w:r>
                </w:p>
              </w:tc>
            </w:tr>
            <w:tr w14:paraId="287DF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Merge w:val="restart"/>
                  <w:vAlign w:val="center"/>
                </w:tcPr>
                <w:p w14:paraId="69FC05BC">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rPr>
                    <w:t>四、推进绿色生产，促进节能减排</w:t>
                  </w:r>
                </w:p>
              </w:tc>
              <w:tc>
                <w:tcPr>
                  <w:tcW w:w="3990" w:type="dxa"/>
                  <w:vAlign w:val="center"/>
                </w:tcPr>
                <w:p w14:paraId="7274A6EB">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rPr>
                    <w:t>（一）狠抓治污减排。开发并推广适用于砖瓦窑炉烟气脱硫、脱硝、除尘综合治理成套技术和装备，鼓励采用低氮烧成技术，使用清洁燃料（洁净煤制气或天然气）。开展清洁生产技术改造，原燃料应密闭存储或采取防风、抑尘、降尘等措施。严格控制并强化治理原燃料破碎、干燥焙烧、制备成型等工段无组织排放烟（粉）尘。安装污染物在线监控系统并与监管部门联网，主动披露污染物排放信息。全面实施排污许可证，严格按证排放污染物，禁止无证排污。加强氟化物等其他有毒有害污染物治理技术研发和应用。</w:t>
                  </w:r>
                </w:p>
              </w:tc>
              <w:tc>
                <w:tcPr>
                  <w:tcW w:w="3033" w:type="dxa"/>
                  <w:vAlign w:val="center"/>
                </w:tcPr>
                <w:p w14:paraId="34892543">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rPr>
                    <w:t>本项目</w:t>
                  </w:r>
                  <w:r>
                    <w:rPr>
                      <w:rFonts w:hint="eastAsia"/>
                      <w:b w:val="0"/>
                      <w:bCs/>
                      <w:color w:val="auto"/>
                      <w:sz w:val="21"/>
                      <w:szCs w:val="21"/>
                      <w:lang w:eastAsia="zh-CN"/>
                    </w:rPr>
                    <w:t>砖瓦焙烧采用梭式窑，燃料为</w:t>
                  </w:r>
                  <w:r>
                    <w:rPr>
                      <w:rFonts w:hint="eastAsia"/>
                      <w:b w:val="0"/>
                      <w:bCs/>
                      <w:color w:val="auto"/>
                      <w:sz w:val="21"/>
                      <w:szCs w:val="21"/>
                      <w:lang w:val="en-US" w:eastAsia="zh-CN"/>
                    </w:rPr>
                    <w:t>煤</w:t>
                  </w:r>
                  <w:r>
                    <w:rPr>
                      <w:rFonts w:hint="eastAsia"/>
                      <w:b w:val="0"/>
                      <w:bCs/>
                      <w:color w:val="auto"/>
                      <w:sz w:val="21"/>
                      <w:szCs w:val="21"/>
                      <w:lang w:eastAsia="zh-CN"/>
                    </w:rPr>
                    <w:t>，建设</w:t>
                  </w:r>
                  <w:r>
                    <w:rPr>
                      <w:rFonts w:hint="eastAsia"/>
                      <w:b w:val="0"/>
                      <w:bCs/>
                      <w:color w:val="auto"/>
                      <w:sz w:val="21"/>
                      <w:szCs w:val="21"/>
                      <w:lang w:val="en-US" w:eastAsia="zh-CN"/>
                    </w:rPr>
                    <w:t>1</w:t>
                  </w:r>
                  <w:r>
                    <w:rPr>
                      <w:rFonts w:hint="eastAsia"/>
                      <w:b w:val="0"/>
                      <w:bCs/>
                      <w:color w:val="auto"/>
                      <w:sz w:val="21"/>
                      <w:szCs w:val="21"/>
                      <w:lang w:eastAsia="zh-CN"/>
                    </w:rPr>
                    <w:t>套</w:t>
                  </w:r>
                  <w:r>
                    <w:rPr>
                      <w:rFonts w:hint="eastAsia" w:cs="Times New Roman"/>
                      <w:b w:val="0"/>
                      <w:bCs/>
                      <w:color w:val="auto"/>
                      <w:sz w:val="21"/>
                      <w:szCs w:val="21"/>
                      <w:lang w:val="en-US" w:eastAsia="zh-CN"/>
                    </w:rPr>
                    <w:t>布袋除尘+脱硫塔治理设施处理焙烧废气，根据文本核算，项目废气污染物可达到</w:t>
                  </w:r>
                  <w:r>
                    <w:rPr>
                      <w:rFonts w:hint="eastAsia" w:eastAsia="宋体"/>
                      <w:color w:val="auto"/>
                      <w:kern w:val="0"/>
                      <w:szCs w:val="21"/>
                    </w:rPr>
                    <w:t>《砖瓦工业大气污染物排放标准》（GB29620-2013）</w:t>
                  </w:r>
                  <w:r>
                    <w:rPr>
                      <w:rFonts w:hint="eastAsia" w:eastAsia="宋体"/>
                      <w:color w:val="auto"/>
                      <w:kern w:val="0"/>
                      <w:szCs w:val="21"/>
                      <w:lang w:val="en-US" w:eastAsia="zh-CN"/>
                    </w:rPr>
                    <w:t>及修改单中“表2 新建企业大气污染物排放限值”</w:t>
                  </w:r>
                  <w:r>
                    <w:rPr>
                      <w:rFonts w:hint="default" w:ascii="Times New Roman" w:hAnsi="Times New Roman" w:eastAsia="宋体" w:cs="Times New Roman"/>
                      <w:color w:val="auto"/>
                      <w:kern w:val="0"/>
                      <w:szCs w:val="21"/>
                      <w:lang w:val="en-US" w:eastAsia="zh-CN"/>
                    </w:rPr>
                    <w:t>要求</w:t>
                  </w:r>
                  <w:r>
                    <w:rPr>
                      <w:rFonts w:hint="eastAsia" w:cs="Times New Roman"/>
                      <w:color w:val="auto"/>
                      <w:kern w:val="0"/>
                      <w:szCs w:val="21"/>
                      <w:lang w:val="en-US" w:eastAsia="zh-CN"/>
                    </w:rPr>
                    <w:t>后</w:t>
                  </w:r>
                  <w:r>
                    <w:rPr>
                      <w:rFonts w:hint="eastAsia" w:cs="Times New Roman"/>
                      <w:b w:val="0"/>
                      <w:bCs/>
                      <w:color w:val="auto"/>
                      <w:sz w:val="21"/>
                      <w:szCs w:val="21"/>
                      <w:lang w:val="en-US" w:eastAsia="zh-CN"/>
                    </w:rPr>
                    <w:t>，由15m高的排气筒排放</w:t>
                  </w:r>
                  <w:r>
                    <w:rPr>
                      <w:rFonts w:hint="eastAsia"/>
                      <w:b w:val="0"/>
                      <w:bCs/>
                      <w:color w:val="auto"/>
                      <w:sz w:val="21"/>
                      <w:szCs w:val="21"/>
                      <w:lang w:eastAsia="zh-CN"/>
                    </w:rPr>
                    <w:t>。</w:t>
                  </w:r>
                  <w:r>
                    <w:rPr>
                      <w:rFonts w:hint="eastAsia" w:cs="Times New Roman"/>
                      <w:b w:val="0"/>
                      <w:bCs/>
                      <w:color w:val="auto"/>
                      <w:sz w:val="21"/>
                      <w:szCs w:val="21"/>
                      <w:lang w:val="en-US" w:eastAsia="zh-CN"/>
                    </w:rPr>
                    <w:t>本项目原料堆存于原料车间或陈化车间内，为钢架结构+彩钢瓦遮挡结构，生产设备均设置于封闭车间内，其生产过程均为封闭式作业</w:t>
                  </w:r>
                  <w:r>
                    <w:rPr>
                      <w:rFonts w:hint="eastAsia"/>
                      <w:b w:val="0"/>
                      <w:bCs/>
                      <w:color w:val="auto"/>
                      <w:sz w:val="21"/>
                      <w:szCs w:val="21"/>
                      <w:lang w:eastAsia="zh-CN"/>
                    </w:rPr>
                    <w:t>。本项目</w:t>
                  </w:r>
                  <w:r>
                    <w:rPr>
                      <w:rFonts w:hint="eastAsia"/>
                      <w:b w:val="0"/>
                      <w:bCs/>
                      <w:color w:val="auto"/>
                      <w:sz w:val="21"/>
                      <w:szCs w:val="21"/>
                      <w:lang w:val="en-US" w:eastAsia="zh-CN"/>
                    </w:rPr>
                    <w:t>使用优质低硫煤作为燃料</w:t>
                  </w:r>
                  <w:r>
                    <w:rPr>
                      <w:rFonts w:hint="eastAsia"/>
                      <w:b w:val="0"/>
                      <w:bCs/>
                      <w:color w:val="auto"/>
                      <w:sz w:val="21"/>
                      <w:szCs w:val="21"/>
                      <w:lang w:eastAsia="zh-CN"/>
                    </w:rPr>
                    <w:t>，</w:t>
                  </w:r>
                  <w:r>
                    <w:rPr>
                      <w:color w:val="auto"/>
                    </w:rPr>
                    <w:t>根据</w:t>
                  </w:r>
                  <w:r>
                    <w:rPr>
                      <w:rFonts w:hint="eastAsia"/>
                      <w:color w:val="auto"/>
                    </w:rPr>
                    <w:t>《固定污染源排污许可分类管理名录》（2019版）</w:t>
                  </w:r>
                  <w:r>
                    <w:rPr>
                      <w:rFonts w:hint="eastAsia"/>
                      <w:color w:val="auto"/>
                      <w:lang w:eastAsia="zh-CN"/>
                    </w:rPr>
                    <w:t>，</w:t>
                  </w:r>
                  <w:r>
                    <w:rPr>
                      <w:rFonts w:hint="eastAsia"/>
                      <w:color w:val="auto"/>
                    </w:rPr>
                    <w:t>本项目属于</w:t>
                  </w:r>
                  <w:r>
                    <w:rPr>
                      <w:rFonts w:hint="eastAsia"/>
                      <w:color w:val="auto"/>
                      <w:lang w:eastAsia="zh-CN"/>
                    </w:rPr>
                    <w:t>“</w:t>
                  </w:r>
                  <w:r>
                    <w:rPr>
                      <w:rFonts w:hint="eastAsia"/>
                      <w:color w:val="auto"/>
                      <w:lang w:val="en-US" w:eastAsia="zh-CN"/>
                    </w:rPr>
                    <w:t>二十五</w:t>
                  </w:r>
                  <w:r>
                    <w:rPr>
                      <w:rFonts w:hint="eastAsia"/>
                      <w:color w:val="auto"/>
                      <w:lang w:eastAsia="zh-CN"/>
                    </w:rPr>
                    <w:t>、</w:t>
                  </w:r>
                  <w:r>
                    <w:rPr>
                      <w:rFonts w:hint="eastAsia"/>
                      <w:color w:val="auto"/>
                      <w:lang w:val="en-US" w:eastAsia="zh-CN"/>
                    </w:rPr>
                    <w:t>非金属矿物制品业30-砖瓦、石材等建筑材料制造303-粘土砖瓦及建筑砌块制造</w:t>
                  </w:r>
                  <w:r>
                    <w:rPr>
                      <w:rFonts w:hint="eastAsia"/>
                      <w:color w:val="auto"/>
                      <w:lang w:eastAsia="zh-CN"/>
                    </w:rPr>
                    <w:t>”，</w:t>
                  </w:r>
                  <w:r>
                    <w:rPr>
                      <w:rFonts w:hint="eastAsia"/>
                      <w:color w:val="auto"/>
                      <w:lang w:val="en-US" w:eastAsia="zh-CN"/>
                    </w:rPr>
                    <w:t>“五十一、通用工序-工业炉窑-除纳入重点排污单位名录的，除以天然气或者电为能源的加热炉、热处理炉、干燥炉（窑）以外的其他工业炉窑”，本项目未纳入《玉溪市环境监管重点单位名录》，但企业使用煤作为燃料，待纳入《玉溪市环境监管重点单位名录》后，实行排污重点管理</w:t>
                  </w:r>
                  <w:r>
                    <w:rPr>
                      <w:rFonts w:hint="eastAsia"/>
                      <w:b w:val="0"/>
                      <w:bCs/>
                      <w:color w:val="auto"/>
                      <w:sz w:val="21"/>
                      <w:szCs w:val="21"/>
                      <w:lang w:eastAsia="zh-CN"/>
                    </w:rPr>
                    <w:t>，</w:t>
                  </w:r>
                  <w:r>
                    <w:rPr>
                      <w:rFonts w:hint="eastAsia"/>
                      <w:b w:val="0"/>
                      <w:bCs/>
                      <w:color w:val="auto"/>
                      <w:sz w:val="21"/>
                      <w:szCs w:val="21"/>
                      <w:lang w:val="en-US" w:eastAsia="zh-CN"/>
                    </w:rPr>
                    <w:t>要求安</w:t>
                  </w:r>
                  <w:r>
                    <w:rPr>
                      <w:rFonts w:hint="eastAsia"/>
                      <w:b w:val="0"/>
                      <w:bCs/>
                      <w:color w:val="auto"/>
                      <w:sz w:val="21"/>
                      <w:szCs w:val="21"/>
                    </w:rPr>
                    <w:t>装</w:t>
                  </w:r>
                  <w:r>
                    <w:rPr>
                      <w:rFonts w:hint="eastAsia"/>
                      <w:b w:val="0"/>
                      <w:bCs/>
                      <w:color w:val="auto"/>
                      <w:sz w:val="21"/>
                      <w:szCs w:val="21"/>
                      <w:lang w:eastAsia="zh-CN"/>
                    </w:rPr>
                    <w:t>污染物</w:t>
                  </w:r>
                  <w:r>
                    <w:rPr>
                      <w:rFonts w:hint="eastAsia"/>
                      <w:b w:val="0"/>
                      <w:bCs/>
                      <w:color w:val="auto"/>
                      <w:sz w:val="21"/>
                      <w:szCs w:val="21"/>
                    </w:rPr>
                    <w:t>在线监控系统</w:t>
                  </w:r>
                  <w:r>
                    <w:rPr>
                      <w:rFonts w:hint="eastAsia"/>
                      <w:b w:val="0"/>
                      <w:bCs/>
                      <w:color w:val="auto"/>
                      <w:sz w:val="21"/>
                      <w:szCs w:val="21"/>
                      <w:lang w:val="en-US" w:eastAsia="zh-CN"/>
                    </w:rPr>
                    <w:t>并与</w:t>
                  </w:r>
                  <w:r>
                    <w:rPr>
                      <w:rFonts w:hint="eastAsia"/>
                      <w:b w:val="0"/>
                      <w:bCs/>
                      <w:color w:val="auto"/>
                      <w:sz w:val="21"/>
                      <w:szCs w:val="21"/>
                    </w:rPr>
                    <w:t>监管部门</w:t>
                  </w:r>
                  <w:r>
                    <w:rPr>
                      <w:rFonts w:hint="eastAsia"/>
                      <w:b w:val="0"/>
                      <w:bCs/>
                      <w:color w:val="auto"/>
                      <w:sz w:val="21"/>
                      <w:szCs w:val="21"/>
                      <w:lang w:val="en-US" w:eastAsia="zh-CN"/>
                    </w:rPr>
                    <w:t>联网</w:t>
                  </w:r>
                  <w:r>
                    <w:rPr>
                      <w:rFonts w:hint="eastAsia"/>
                      <w:b w:val="0"/>
                      <w:bCs/>
                      <w:color w:val="auto"/>
                      <w:sz w:val="21"/>
                      <w:szCs w:val="21"/>
                    </w:rPr>
                    <w:t>。</w:t>
                  </w:r>
                  <w:r>
                    <w:rPr>
                      <w:rFonts w:hint="eastAsia"/>
                      <w:b w:val="0"/>
                      <w:bCs/>
                      <w:color w:val="auto"/>
                      <w:sz w:val="21"/>
                      <w:szCs w:val="21"/>
                      <w:lang w:val="en-US" w:eastAsia="zh-CN"/>
                    </w:rPr>
                    <w:t>企业取得项目批复后，应向玉溪市生态环境局申请全国排污许可证。</w:t>
                  </w:r>
                </w:p>
              </w:tc>
              <w:tc>
                <w:tcPr>
                  <w:tcW w:w="863" w:type="dxa"/>
                  <w:vAlign w:val="center"/>
                </w:tcPr>
                <w:p w14:paraId="78F8CDA2">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rPr>
                    <w:t>符合</w:t>
                  </w:r>
                </w:p>
              </w:tc>
            </w:tr>
            <w:tr w14:paraId="4AB24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Merge w:val="continue"/>
                  <w:vAlign w:val="center"/>
                </w:tcPr>
                <w:p w14:paraId="5B2512F8">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p>
              </w:tc>
              <w:tc>
                <w:tcPr>
                  <w:tcW w:w="3990" w:type="dxa"/>
                  <w:vAlign w:val="center"/>
                </w:tcPr>
                <w:p w14:paraId="314CBAFC">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rPr>
                    <w:t>（二）推进节能降耗。支持利用适用技术装备进行节能改造，提升砖瓦窑炉热工效率，推广大断面隧道窑和自动焙烧技术。鼓励烧结砖瓦生产企业推进合同能源管理，建立能耗综合监测系统，开展窑炉热平衡测试，对主要能源消耗、重点耗能设备实施实时可视化管理。对现有生产烧结墙体材料的企业，要确保达到</w:t>
                  </w:r>
                  <w:r>
                    <w:rPr>
                      <w:b w:val="0"/>
                      <w:bCs/>
                      <w:color w:val="auto"/>
                      <w:sz w:val="21"/>
                      <w:szCs w:val="21"/>
                    </w:rPr>
                    <w:t>GB 30526</w:t>
                  </w:r>
                  <w:r>
                    <w:rPr>
                      <w:rFonts w:hint="eastAsia"/>
                      <w:b w:val="0"/>
                      <w:bCs/>
                      <w:color w:val="auto"/>
                      <w:sz w:val="21"/>
                      <w:szCs w:val="21"/>
                    </w:rPr>
                    <w:t>《烧结墙体材料单位产品能源消耗限额》限定值，争取达到先进值。引导生产烧结屋面材料的企业比照该标准执行。</w:t>
                  </w:r>
                </w:p>
              </w:tc>
              <w:tc>
                <w:tcPr>
                  <w:tcW w:w="3033" w:type="dxa"/>
                  <w:vAlign w:val="center"/>
                </w:tcPr>
                <w:p w14:paraId="5BB39276">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lang w:eastAsia="zh-CN"/>
                    </w:rPr>
                    <w:t>本项目燃料为</w:t>
                  </w:r>
                  <w:r>
                    <w:rPr>
                      <w:rFonts w:hint="eastAsia"/>
                      <w:b w:val="0"/>
                      <w:bCs/>
                      <w:color w:val="auto"/>
                      <w:sz w:val="21"/>
                      <w:szCs w:val="21"/>
                      <w:lang w:val="en-US" w:eastAsia="zh-CN"/>
                    </w:rPr>
                    <w:t>优质低硫煤，且使用量较小</w:t>
                  </w:r>
                  <w:r>
                    <w:rPr>
                      <w:rFonts w:hint="eastAsia"/>
                      <w:b w:val="0"/>
                      <w:bCs/>
                      <w:color w:val="auto"/>
                      <w:sz w:val="21"/>
                      <w:szCs w:val="21"/>
                      <w:lang w:eastAsia="zh-CN"/>
                    </w:rPr>
                    <w:t>；砖瓦焙烧采用梭式窑，符合节能降耗要求，满足</w:t>
                  </w:r>
                  <w:r>
                    <w:rPr>
                      <w:rFonts w:hint="eastAsia"/>
                      <w:b w:val="0"/>
                      <w:bCs/>
                      <w:color w:val="auto"/>
                      <w:sz w:val="21"/>
                      <w:szCs w:val="21"/>
                    </w:rPr>
                    <w:t>《烧结墙体材料单位产品能源消耗限额》</w:t>
                  </w:r>
                  <w:r>
                    <w:rPr>
                      <w:rFonts w:hint="eastAsia"/>
                      <w:b w:val="0"/>
                      <w:bCs/>
                      <w:color w:val="auto"/>
                      <w:sz w:val="21"/>
                      <w:szCs w:val="21"/>
                      <w:lang w:eastAsia="zh-CN"/>
                    </w:rPr>
                    <w:t>（</w:t>
                  </w:r>
                  <w:r>
                    <w:rPr>
                      <w:b w:val="0"/>
                      <w:bCs/>
                      <w:color w:val="auto"/>
                      <w:sz w:val="21"/>
                      <w:szCs w:val="21"/>
                    </w:rPr>
                    <w:t>GB 30526</w:t>
                  </w:r>
                  <w:r>
                    <w:rPr>
                      <w:rFonts w:hint="eastAsia"/>
                      <w:b w:val="0"/>
                      <w:bCs/>
                      <w:color w:val="auto"/>
                      <w:sz w:val="21"/>
                      <w:szCs w:val="21"/>
                      <w:lang w:eastAsia="zh-CN"/>
                    </w:rPr>
                    <w:t>）</w:t>
                  </w:r>
                  <w:r>
                    <w:rPr>
                      <w:rFonts w:hint="eastAsia"/>
                      <w:b w:val="0"/>
                      <w:bCs/>
                      <w:color w:val="auto"/>
                      <w:sz w:val="21"/>
                      <w:szCs w:val="21"/>
                    </w:rPr>
                    <w:t>限定值</w:t>
                  </w:r>
                  <w:r>
                    <w:rPr>
                      <w:rFonts w:hint="eastAsia"/>
                      <w:b w:val="0"/>
                      <w:bCs/>
                      <w:color w:val="auto"/>
                      <w:sz w:val="21"/>
                      <w:szCs w:val="21"/>
                      <w:lang w:eastAsia="zh-CN"/>
                    </w:rPr>
                    <w:t>要求。建议企业在经济条件及配套设施成熟时，及时实施煤改气。</w:t>
                  </w:r>
                </w:p>
              </w:tc>
              <w:tc>
                <w:tcPr>
                  <w:tcW w:w="863" w:type="dxa"/>
                  <w:vAlign w:val="center"/>
                </w:tcPr>
                <w:p w14:paraId="2012C154">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rPr>
                    <w:t>符合</w:t>
                  </w:r>
                </w:p>
              </w:tc>
            </w:tr>
            <w:tr w14:paraId="19342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Merge w:val="continue"/>
                  <w:vAlign w:val="center"/>
                </w:tcPr>
                <w:p w14:paraId="7A2B121D">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p>
              </w:tc>
              <w:tc>
                <w:tcPr>
                  <w:tcW w:w="3990" w:type="dxa"/>
                  <w:vAlign w:val="center"/>
                </w:tcPr>
                <w:p w14:paraId="3C4057C8">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rPr>
                    <w:t>（三）强化综合利用。鼓励利用工业固废、矿物尾渣、淤泥、污泥、农林废弃物等替代一次原燃料，支持利用建筑垃圾生产砖瓦制品，进一步扩大资源综合利用范围，提高原燃料中固废掺配比例，减少对天然资源的消耗。加大力度研发利用砖瓦烧结窑炉协同处置河湖淤泥、建筑废弃土、建筑渣土及其他废弃物的成套技术，探索利用大型烧结砖隧道窑安全处置城市污泥，提高综合处置能力和利用效率。</w:t>
                  </w:r>
                </w:p>
              </w:tc>
              <w:tc>
                <w:tcPr>
                  <w:tcW w:w="3033" w:type="dxa"/>
                  <w:vAlign w:val="center"/>
                </w:tcPr>
                <w:p w14:paraId="6BA88D1D">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lang w:eastAsia="zh-CN"/>
                    </w:rPr>
                    <w:t>本项目砖瓦生产原料为</w:t>
                  </w:r>
                  <w:r>
                    <w:rPr>
                      <w:rFonts w:hint="eastAsia" w:cs="Times New Roman"/>
                      <w:b w:val="0"/>
                      <w:bCs/>
                      <w:i w:val="0"/>
                      <w:iCs w:val="0"/>
                      <w:caps w:val="0"/>
                      <w:color w:val="auto"/>
                      <w:spacing w:val="0"/>
                      <w:sz w:val="21"/>
                      <w:szCs w:val="21"/>
                      <w:shd w:val="clear" w:fill="FFFFFF"/>
                      <w:lang w:val="en-US" w:eastAsia="zh-CN"/>
                    </w:rPr>
                    <w:t>建筑基坑弃土</w:t>
                  </w:r>
                  <w:r>
                    <w:rPr>
                      <w:rFonts w:hint="eastAsia"/>
                      <w:b w:val="0"/>
                      <w:bCs/>
                      <w:color w:val="auto"/>
                      <w:sz w:val="21"/>
                      <w:szCs w:val="21"/>
                      <w:lang w:eastAsia="zh-CN"/>
                    </w:rPr>
                    <w:t>。企业后期将积极响应</w:t>
                  </w:r>
                  <w:r>
                    <w:rPr>
                      <w:rFonts w:hint="eastAsia"/>
                      <w:b w:val="0"/>
                      <w:bCs/>
                      <w:color w:val="auto"/>
                      <w:sz w:val="21"/>
                      <w:szCs w:val="21"/>
                    </w:rPr>
                    <w:t>砖瓦烧结窑炉协同处置</w:t>
                  </w:r>
                  <w:r>
                    <w:rPr>
                      <w:rFonts w:hint="eastAsia"/>
                      <w:b w:val="0"/>
                      <w:bCs/>
                      <w:color w:val="auto"/>
                      <w:sz w:val="21"/>
                      <w:szCs w:val="21"/>
                      <w:lang w:eastAsia="zh-CN"/>
                    </w:rPr>
                    <w:t>废弃物的技术，</w:t>
                  </w:r>
                  <w:r>
                    <w:rPr>
                      <w:rFonts w:hint="eastAsia"/>
                      <w:b w:val="0"/>
                      <w:bCs/>
                      <w:color w:val="auto"/>
                      <w:sz w:val="21"/>
                      <w:szCs w:val="21"/>
                    </w:rPr>
                    <w:t>提高综合处置能力和利用效率。</w:t>
                  </w:r>
                </w:p>
              </w:tc>
              <w:tc>
                <w:tcPr>
                  <w:tcW w:w="863" w:type="dxa"/>
                  <w:vAlign w:val="center"/>
                </w:tcPr>
                <w:p w14:paraId="76D95F85">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rPr>
                    <w:t>符合</w:t>
                  </w:r>
                </w:p>
              </w:tc>
            </w:tr>
            <w:tr w14:paraId="728B6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61" w:type="dxa"/>
                  <w:vMerge w:val="restart"/>
                  <w:vAlign w:val="center"/>
                </w:tcPr>
                <w:p w14:paraId="124DBA41">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rPr>
                    <w:t>五、推动智能制造，提高质量安全</w:t>
                  </w:r>
                </w:p>
              </w:tc>
              <w:tc>
                <w:tcPr>
                  <w:tcW w:w="3990" w:type="dxa"/>
                  <w:vAlign w:val="center"/>
                </w:tcPr>
                <w:p w14:paraId="793535D2">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rPr>
                    <w:t>（一）加快自动化改造，推进智能制造。从原料制备、挤出成型、干燥焙烧、包装入库到运输，实现全过程自动化生产、信息化控制。推进互联网、云计算、大数据在砖瓦行业应用。开发推广电子计量精准控制配料和自动控制挤出成型、烘干焙烧系统。加快</w:t>
                  </w:r>
                  <w:r>
                    <w:rPr>
                      <w:b w:val="0"/>
                      <w:bCs/>
                      <w:color w:val="auto"/>
                      <w:sz w:val="21"/>
                      <w:szCs w:val="21"/>
                    </w:rPr>
                    <w:t>“</w:t>
                  </w:r>
                  <w:r>
                    <w:rPr>
                      <w:rFonts w:hint="eastAsia"/>
                      <w:b w:val="0"/>
                      <w:bCs/>
                      <w:color w:val="auto"/>
                      <w:sz w:val="21"/>
                      <w:szCs w:val="21"/>
                    </w:rPr>
                    <w:t>机器代人</w:t>
                  </w:r>
                  <w:r>
                    <w:rPr>
                      <w:b w:val="0"/>
                      <w:bCs/>
                      <w:color w:val="auto"/>
                      <w:sz w:val="21"/>
                      <w:szCs w:val="21"/>
                    </w:rPr>
                    <w:t>”</w:t>
                  </w:r>
                  <w:r>
                    <w:rPr>
                      <w:rFonts w:hint="eastAsia"/>
                      <w:b w:val="0"/>
                      <w:bCs/>
                      <w:color w:val="auto"/>
                      <w:sz w:val="21"/>
                      <w:szCs w:val="21"/>
                    </w:rPr>
                    <w:t>改造，实现高精度切坯、翻坯、码卸坯、包装仓储等环节自动化机器人化，提升砖瓦生产智能化和本质安全水平，逐步建立个性化定制的产品配送系统。</w:t>
                  </w:r>
                </w:p>
              </w:tc>
              <w:tc>
                <w:tcPr>
                  <w:tcW w:w="3033" w:type="dxa"/>
                  <w:vAlign w:val="center"/>
                </w:tcPr>
                <w:p w14:paraId="17F1B9A4">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lang w:val="en-US" w:eastAsia="zh-CN"/>
                    </w:rPr>
                    <w:t>本项目设置</w:t>
                  </w:r>
                  <w:r>
                    <w:rPr>
                      <w:rFonts w:hint="eastAsia" w:ascii="Times New Roman" w:hAnsi="Times New Roman" w:eastAsia="宋体" w:cs="Times New Roman"/>
                      <w:b w:val="0"/>
                      <w:bCs/>
                      <w:color w:val="auto"/>
                      <w:sz w:val="21"/>
                      <w:szCs w:val="21"/>
                      <w:lang w:eastAsia="zh-CN"/>
                    </w:rPr>
                    <w:t>自动切割机</w:t>
                  </w:r>
                  <w:r>
                    <w:rPr>
                      <w:rFonts w:hint="eastAsia" w:cs="Times New Roman"/>
                      <w:b w:val="0"/>
                      <w:bCs/>
                      <w:color w:val="auto"/>
                      <w:sz w:val="21"/>
                      <w:szCs w:val="21"/>
                      <w:lang w:eastAsia="zh-CN"/>
                    </w:rPr>
                    <w:t>、</w:t>
                  </w:r>
                  <w:r>
                    <w:rPr>
                      <w:rFonts w:hint="eastAsia" w:ascii="Times New Roman" w:hAnsi="Times New Roman" w:eastAsia="宋体" w:cs="Times New Roman"/>
                      <w:b w:val="0"/>
                      <w:bCs/>
                      <w:color w:val="auto"/>
                      <w:sz w:val="21"/>
                      <w:szCs w:val="21"/>
                      <w:lang w:eastAsia="zh-CN"/>
                    </w:rPr>
                    <w:t>自动压瓦机</w:t>
                  </w:r>
                  <w:r>
                    <w:rPr>
                      <w:rFonts w:hint="eastAsia" w:cs="Times New Roman"/>
                      <w:b w:val="0"/>
                      <w:bCs/>
                      <w:color w:val="auto"/>
                      <w:sz w:val="21"/>
                      <w:szCs w:val="21"/>
                      <w:lang w:eastAsia="zh-CN"/>
                    </w:rPr>
                    <w:t>等设备，</w:t>
                  </w:r>
                  <w:r>
                    <w:rPr>
                      <w:rFonts w:hint="eastAsia"/>
                      <w:b w:val="0"/>
                      <w:bCs/>
                      <w:color w:val="auto"/>
                      <w:sz w:val="21"/>
                      <w:szCs w:val="21"/>
                      <w:lang w:val="en-US" w:eastAsia="zh-CN"/>
                    </w:rPr>
                    <w:t>生产设备之间采用皮带输送机连接，生产过程基本实现自动化生产</w:t>
                  </w:r>
                  <w:r>
                    <w:rPr>
                      <w:rFonts w:hint="eastAsia"/>
                      <w:b w:val="0"/>
                      <w:bCs/>
                      <w:color w:val="auto"/>
                      <w:sz w:val="21"/>
                      <w:szCs w:val="21"/>
                    </w:rPr>
                    <w:t>、</w:t>
                  </w:r>
                  <w:r>
                    <w:rPr>
                      <w:rFonts w:hint="eastAsia"/>
                      <w:b w:val="0"/>
                      <w:bCs/>
                      <w:color w:val="auto"/>
                      <w:sz w:val="21"/>
                      <w:szCs w:val="21"/>
                      <w:lang w:val="en-US" w:eastAsia="zh-CN"/>
                    </w:rPr>
                    <w:t>DCS</w:t>
                  </w:r>
                  <w:r>
                    <w:rPr>
                      <w:rFonts w:hint="eastAsia"/>
                      <w:b w:val="0"/>
                      <w:bCs/>
                      <w:color w:val="auto"/>
                      <w:sz w:val="21"/>
                      <w:szCs w:val="21"/>
                    </w:rPr>
                    <w:t>信息化控制</w:t>
                  </w:r>
                  <w:r>
                    <w:rPr>
                      <w:rFonts w:hint="eastAsia"/>
                      <w:b w:val="0"/>
                      <w:bCs/>
                      <w:color w:val="auto"/>
                      <w:sz w:val="21"/>
                      <w:szCs w:val="21"/>
                      <w:lang w:eastAsia="zh-CN"/>
                    </w:rPr>
                    <w:t>要求。</w:t>
                  </w:r>
                </w:p>
              </w:tc>
              <w:tc>
                <w:tcPr>
                  <w:tcW w:w="863" w:type="dxa"/>
                  <w:vAlign w:val="center"/>
                </w:tcPr>
                <w:p w14:paraId="130D0844">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rPr>
                    <w:t>符合</w:t>
                  </w:r>
                </w:p>
              </w:tc>
            </w:tr>
            <w:tr w14:paraId="031AE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dxa"/>
                  <w:vMerge w:val="continue"/>
                  <w:vAlign w:val="center"/>
                </w:tcPr>
                <w:p w14:paraId="0338EC4B">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p>
              </w:tc>
              <w:tc>
                <w:tcPr>
                  <w:tcW w:w="3990" w:type="dxa"/>
                  <w:vAlign w:val="center"/>
                </w:tcPr>
                <w:p w14:paraId="15AE4CDC">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rPr>
                    <w:t>（二）加强质量管理，提升质保能力。落实企业质量主体责任，完善质量管理体系和管理制度。推行砖瓦企业检验室建设，推进原料标准化，加强破碎、均化、陈化等过程管理，严控原料粒度及分布和颗粒级配，严格生产工艺规范，切实提高质量和产品合格率。探索建立可追溯的产品质量管理制度，支持企业发布质量自我声明承诺，编制发布企业社会责任报告，发挥诚信示范引领作用。</w:t>
                  </w:r>
                </w:p>
              </w:tc>
              <w:tc>
                <w:tcPr>
                  <w:tcW w:w="3033" w:type="dxa"/>
                  <w:vAlign w:val="center"/>
                </w:tcPr>
                <w:p w14:paraId="31C720DE">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lang w:val="en-US" w:eastAsia="zh-CN"/>
                    </w:rPr>
                    <w:t>本</w:t>
                  </w:r>
                  <w:r>
                    <w:rPr>
                      <w:rFonts w:hint="eastAsia"/>
                      <w:b w:val="0"/>
                      <w:bCs/>
                      <w:color w:val="auto"/>
                      <w:sz w:val="21"/>
                      <w:szCs w:val="21"/>
                    </w:rPr>
                    <w:t>项目运营期生产线严格控制产品质量，强化质量管理体系，严格生产工艺规范化、标准化，有效提高产品质量和合格率。</w:t>
                  </w:r>
                </w:p>
              </w:tc>
              <w:tc>
                <w:tcPr>
                  <w:tcW w:w="863" w:type="dxa"/>
                  <w:vAlign w:val="center"/>
                </w:tcPr>
                <w:p w14:paraId="6E865F1A">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rPr>
                    <w:t>符合</w:t>
                  </w:r>
                </w:p>
              </w:tc>
            </w:tr>
          </w:tbl>
          <w:p w14:paraId="33688D28">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b/>
                <w:bCs/>
                <w:color w:val="auto"/>
                <w:sz w:val="21"/>
                <w:szCs w:val="21"/>
                <w:lang w:val="en-US" w:eastAsia="zh-CN"/>
              </w:rPr>
            </w:pPr>
            <w:r>
              <w:rPr>
                <w:rFonts w:hint="eastAsia"/>
                <w:color w:val="auto"/>
                <w:sz w:val="21"/>
                <w:szCs w:val="21"/>
              </w:rPr>
              <w:t>综上，本项目符合</w:t>
            </w:r>
            <w:r>
              <w:rPr>
                <w:rFonts w:hint="eastAsia"/>
                <w:color w:val="auto"/>
                <w:sz w:val="21"/>
                <w:szCs w:val="21"/>
                <w:lang w:val="en-US" w:eastAsia="zh-CN"/>
              </w:rPr>
              <w:t>《工业和信息化部 环境保护部 国家安全监管总局 关于加快烧结砖瓦行业转型发展的若干意见》</w:t>
            </w:r>
            <w:r>
              <w:rPr>
                <w:rFonts w:hint="eastAsia"/>
                <w:color w:val="auto"/>
                <w:sz w:val="21"/>
                <w:szCs w:val="21"/>
                <w:highlight w:val="none"/>
              </w:rPr>
              <w:t>（工信部联原〔2017〕279号）</w:t>
            </w:r>
            <w:r>
              <w:rPr>
                <w:rFonts w:hint="eastAsia"/>
                <w:color w:val="auto"/>
                <w:sz w:val="21"/>
                <w:szCs w:val="21"/>
              </w:rPr>
              <w:t>的相关要求。</w:t>
            </w:r>
          </w:p>
          <w:p w14:paraId="2ACC956D">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b/>
                <w:bCs/>
                <w:color w:val="auto"/>
                <w:sz w:val="21"/>
                <w:szCs w:val="21"/>
                <w:lang w:val="en-US" w:eastAsia="zh-CN"/>
              </w:rPr>
            </w:pPr>
            <w:r>
              <w:rPr>
                <w:rFonts w:hint="eastAsia"/>
                <w:b/>
                <w:bCs/>
                <w:color w:val="auto"/>
                <w:sz w:val="21"/>
                <w:szCs w:val="21"/>
                <w:lang w:val="en-US" w:eastAsia="zh-CN"/>
              </w:rPr>
              <w:t>3）</w:t>
            </w:r>
            <w:r>
              <w:rPr>
                <w:b/>
                <w:bCs/>
                <w:color w:val="auto"/>
                <w:sz w:val="21"/>
                <w:szCs w:val="21"/>
                <w:highlight w:val="none"/>
              </w:rPr>
              <w:t>与《工业炉窑大气污染综合治理方案》符合性分析</w:t>
            </w:r>
          </w:p>
          <w:p w14:paraId="73DBF2D3">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b/>
                <w:bCs/>
                <w:color w:val="auto"/>
                <w:sz w:val="21"/>
                <w:szCs w:val="21"/>
                <w:lang w:val="en-US" w:eastAsia="zh-CN"/>
              </w:rPr>
            </w:pPr>
            <w:r>
              <w:rPr>
                <w:rFonts w:hint="eastAsia"/>
                <w:b w:val="0"/>
                <w:bCs w:val="0"/>
                <w:color w:val="auto"/>
                <w:sz w:val="21"/>
                <w:szCs w:val="21"/>
                <w:lang w:val="en-US" w:eastAsia="zh-CN"/>
              </w:rPr>
              <w:t>2019年7月1日，生态环境部 发展改革委 工业和信息化部 财政部印发了《工业炉窑大气污染综合治理方案》（环大气〔2019〕56号）。</w:t>
            </w:r>
            <w:r>
              <w:rPr>
                <w:rFonts w:hint="eastAsia"/>
                <w:color w:val="auto"/>
                <w:sz w:val="21"/>
                <w:szCs w:val="21"/>
                <w:lang w:eastAsia="zh-CN"/>
              </w:rPr>
              <w:t>本项目与</w:t>
            </w:r>
            <w:r>
              <w:rPr>
                <w:rFonts w:hint="eastAsia" w:ascii="Times New Roman" w:hAnsi="Times New Roman" w:eastAsia="宋体"/>
                <w:color w:val="auto"/>
                <w:sz w:val="21"/>
                <w:szCs w:val="21"/>
                <w:lang w:eastAsia="zh-CN"/>
              </w:rPr>
              <w:t>《</w:t>
            </w:r>
            <w:r>
              <w:rPr>
                <w:rFonts w:hint="eastAsia" w:ascii="Times New Roman" w:hAnsi="Times New Roman" w:eastAsia="宋体"/>
                <w:color w:val="auto"/>
                <w:sz w:val="21"/>
                <w:szCs w:val="21"/>
                <w:lang w:val="en-US" w:eastAsia="zh-CN"/>
              </w:rPr>
              <w:t>方案</w:t>
            </w:r>
            <w:r>
              <w:rPr>
                <w:rFonts w:hint="eastAsia" w:ascii="Times New Roman" w:hAnsi="Times New Roman" w:eastAsia="宋体"/>
                <w:color w:val="auto"/>
                <w:sz w:val="21"/>
                <w:szCs w:val="21"/>
                <w:lang w:eastAsia="zh-CN"/>
              </w:rPr>
              <w:t>》</w:t>
            </w:r>
            <w:r>
              <w:rPr>
                <w:rFonts w:hint="eastAsia"/>
                <w:color w:val="auto"/>
                <w:sz w:val="21"/>
                <w:szCs w:val="21"/>
              </w:rPr>
              <w:t>相关要求</w:t>
            </w:r>
            <w:r>
              <w:rPr>
                <w:rFonts w:hint="eastAsia"/>
                <w:color w:val="auto"/>
                <w:sz w:val="21"/>
                <w:szCs w:val="21"/>
                <w:lang w:eastAsia="zh-CN"/>
              </w:rPr>
              <w:t>符合</w:t>
            </w:r>
            <w:r>
              <w:rPr>
                <w:rFonts w:hint="eastAsia"/>
                <w:color w:val="auto"/>
                <w:sz w:val="21"/>
                <w:szCs w:val="21"/>
              </w:rPr>
              <w:t>性分析</w:t>
            </w:r>
            <w:r>
              <w:rPr>
                <w:rFonts w:hint="default"/>
                <w:color w:val="auto"/>
                <w:sz w:val="21"/>
                <w:szCs w:val="21"/>
              </w:rPr>
              <w:t>如下</w:t>
            </w:r>
            <w:r>
              <w:rPr>
                <w:rFonts w:hint="eastAsia"/>
                <w:color w:val="auto"/>
                <w:sz w:val="21"/>
                <w:szCs w:val="21"/>
                <w:lang w:eastAsia="zh-CN"/>
              </w:rPr>
              <w:t>：</w:t>
            </w:r>
          </w:p>
          <w:p w14:paraId="2A7D3F6F">
            <w:pPr>
              <w:pStyle w:val="41"/>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color w:val="auto"/>
                <w:sz w:val="21"/>
                <w:szCs w:val="21"/>
                <w:lang w:val="en-US" w:eastAsia="zh-CN"/>
              </w:rPr>
            </w:pPr>
            <w:r>
              <w:rPr>
                <w:rFonts w:hint="eastAsia"/>
                <w:color w:val="auto"/>
                <w:sz w:val="21"/>
                <w:szCs w:val="21"/>
                <w:lang w:val="en-US" w:eastAsia="zh-CN"/>
              </w:rPr>
              <w:t xml:space="preserve">表1-11  </w:t>
            </w:r>
            <w:r>
              <w:rPr>
                <w:rFonts w:hint="default"/>
                <w:color w:val="auto"/>
                <w:sz w:val="21"/>
                <w:szCs w:val="21"/>
              </w:rPr>
              <w:t>与</w:t>
            </w:r>
            <w:r>
              <w:rPr>
                <w:rFonts w:hint="eastAsia"/>
                <w:color w:val="auto"/>
                <w:sz w:val="21"/>
                <w:szCs w:val="21"/>
                <w:lang w:eastAsia="zh-CN"/>
              </w:rPr>
              <w:t>《</w:t>
            </w:r>
            <w:r>
              <w:rPr>
                <w:rFonts w:hint="eastAsia"/>
                <w:color w:val="auto"/>
                <w:sz w:val="21"/>
                <w:szCs w:val="21"/>
                <w:lang w:val="en-US" w:eastAsia="zh-CN"/>
              </w:rPr>
              <w:t>工业炉窑大气污染综合治理方案</w:t>
            </w:r>
            <w:r>
              <w:rPr>
                <w:rFonts w:hint="eastAsia"/>
                <w:color w:val="auto"/>
                <w:sz w:val="21"/>
                <w:szCs w:val="21"/>
                <w:lang w:eastAsia="zh-CN"/>
              </w:rPr>
              <w:t>》</w:t>
            </w:r>
            <w:r>
              <w:rPr>
                <w:rFonts w:hint="default"/>
                <w:color w:val="auto"/>
                <w:sz w:val="21"/>
                <w:szCs w:val="21"/>
              </w:rPr>
              <w:t>符合性分析</w:t>
            </w:r>
          </w:p>
          <w:tbl>
            <w:tblPr>
              <w:tblStyle w:val="30"/>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3816"/>
              <w:gridCol w:w="3161"/>
              <w:gridCol w:w="872"/>
            </w:tblGrid>
            <w:tr w14:paraId="5730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jc w:val="center"/>
              </w:trPr>
              <w:tc>
                <w:tcPr>
                  <w:tcW w:w="504" w:type="pct"/>
                  <w:tcBorders>
                    <w:tl2br w:val="nil"/>
                    <w:tr2bl w:val="nil"/>
                  </w:tcBorders>
                  <w:noWrap w:val="0"/>
                  <w:vAlign w:val="center"/>
                </w:tcPr>
                <w:p w14:paraId="720F3D26">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lang w:val="en-US" w:eastAsia="zh-CN"/>
                    </w:rPr>
                    <w:t>序号</w:t>
                  </w:r>
                </w:p>
              </w:tc>
              <w:tc>
                <w:tcPr>
                  <w:tcW w:w="2185" w:type="pct"/>
                  <w:tcBorders>
                    <w:tl2br w:val="nil"/>
                    <w:tr2bl w:val="nil"/>
                  </w:tcBorders>
                  <w:noWrap w:val="0"/>
                  <w:vAlign w:val="center"/>
                </w:tcPr>
                <w:p w14:paraId="4DC37ECE">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lang w:eastAsia="zh-CN"/>
                    </w:rPr>
                    <w:t>《</w:t>
                  </w:r>
                  <w:r>
                    <w:rPr>
                      <w:rFonts w:hint="eastAsia"/>
                      <w:b w:val="0"/>
                      <w:bCs/>
                      <w:color w:val="auto"/>
                      <w:sz w:val="21"/>
                      <w:szCs w:val="21"/>
                      <w:lang w:val="en-US" w:eastAsia="zh-CN"/>
                    </w:rPr>
                    <w:t>方案</w:t>
                  </w:r>
                  <w:r>
                    <w:rPr>
                      <w:rFonts w:hint="eastAsia"/>
                      <w:b w:val="0"/>
                      <w:bCs/>
                      <w:color w:val="auto"/>
                      <w:sz w:val="21"/>
                      <w:szCs w:val="21"/>
                      <w:lang w:eastAsia="zh-CN"/>
                    </w:rPr>
                    <w:t>》</w:t>
                  </w:r>
                  <w:r>
                    <w:rPr>
                      <w:rFonts w:hint="eastAsia"/>
                      <w:b w:val="0"/>
                      <w:bCs/>
                      <w:color w:val="auto"/>
                      <w:sz w:val="21"/>
                      <w:szCs w:val="21"/>
                    </w:rPr>
                    <w:t>要求</w:t>
                  </w:r>
                </w:p>
              </w:tc>
              <w:tc>
                <w:tcPr>
                  <w:tcW w:w="1810" w:type="pct"/>
                  <w:tcBorders>
                    <w:tl2br w:val="nil"/>
                    <w:tr2bl w:val="nil"/>
                  </w:tcBorders>
                  <w:noWrap w:val="0"/>
                  <w:vAlign w:val="center"/>
                </w:tcPr>
                <w:p w14:paraId="70278CEF">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b w:val="0"/>
                      <w:bCs/>
                      <w:color w:val="auto"/>
                      <w:sz w:val="21"/>
                      <w:szCs w:val="21"/>
                      <w:lang w:val="en-US" w:eastAsia="zh-CN"/>
                    </w:rPr>
                  </w:pPr>
                  <w:r>
                    <w:rPr>
                      <w:rFonts w:hint="default"/>
                      <w:b w:val="0"/>
                      <w:bCs/>
                      <w:color w:val="auto"/>
                      <w:sz w:val="21"/>
                      <w:szCs w:val="21"/>
                      <w:lang w:val="en-US" w:eastAsia="zh-CN"/>
                    </w:rPr>
                    <w:t>项目</w:t>
                  </w:r>
                  <w:r>
                    <w:rPr>
                      <w:rFonts w:hint="eastAsia"/>
                      <w:b w:val="0"/>
                      <w:bCs/>
                      <w:color w:val="auto"/>
                      <w:sz w:val="21"/>
                      <w:szCs w:val="21"/>
                      <w:lang w:val="en-US" w:eastAsia="zh-CN"/>
                    </w:rPr>
                    <w:t>情况</w:t>
                  </w:r>
                </w:p>
              </w:tc>
              <w:tc>
                <w:tcPr>
                  <w:tcW w:w="499" w:type="pct"/>
                  <w:tcBorders>
                    <w:tl2br w:val="nil"/>
                    <w:tr2bl w:val="nil"/>
                  </w:tcBorders>
                  <w:noWrap w:val="0"/>
                  <w:vAlign w:val="center"/>
                </w:tcPr>
                <w:p w14:paraId="3B2ABAD7">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b w:val="0"/>
                      <w:bCs/>
                      <w:color w:val="auto"/>
                      <w:sz w:val="21"/>
                      <w:szCs w:val="21"/>
                      <w:lang w:val="en-US" w:eastAsia="zh-CN"/>
                    </w:rPr>
                  </w:pPr>
                  <w:r>
                    <w:rPr>
                      <w:rFonts w:hint="default"/>
                      <w:b w:val="0"/>
                      <w:bCs/>
                      <w:color w:val="auto"/>
                      <w:sz w:val="21"/>
                      <w:szCs w:val="21"/>
                      <w:lang w:val="en-US" w:eastAsia="zh-CN"/>
                    </w:rPr>
                    <w:t>符合性</w:t>
                  </w:r>
                </w:p>
              </w:tc>
            </w:tr>
            <w:tr w14:paraId="5C514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 w:type="pct"/>
                  <w:tcBorders>
                    <w:tl2br w:val="nil"/>
                    <w:tr2bl w:val="nil"/>
                  </w:tcBorders>
                  <w:noWrap w:val="0"/>
                  <w:vAlign w:val="center"/>
                </w:tcPr>
                <w:p w14:paraId="1A9D4D90">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lang w:val="en-US" w:eastAsia="zh-CN"/>
                    </w:rPr>
                    <w:t>1</w:t>
                  </w:r>
                </w:p>
              </w:tc>
              <w:tc>
                <w:tcPr>
                  <w:tcW w:w="2185" w:type="pct"/>
                  <w:tcBorders>
                    <w:tl2br w:val="nil"/>
                    <w:tr2bl w:val="nil"/>
                  </w:tcBorders>
                  <w:noWrap w:val="0"/>
                  <w:vAlign w:val="center"/>
                </w:tcPr>
                <w:p w14:paraId="6AAFD381">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b w:val="0"/>
                      <w:bCs/>
                      <w:color w:val="auto"/>
                      <w:sz w:val="21"/>
                      <w:szCs w:val="21"/>
                    </w:rPr>
                    <w:t>加大产业结构调整力度。严格建设项目环境准入。新建涉工业炉窑的建设项目，原则上要入园区，配套建设高效环保治理设施。</w:t>
                  </w:r>
                </w:p>
              </w:tc>
              <w:tc>
                <w:tcPr>
                  <w:tcW w:w="1810" w:type="pct"/>
                  <w:tcBorders>
                    <w:tl2br w:val="nil"/>
                    <w:tr2bl w:val="nil"/>
                  </w:tcBorders>
                  <w:noWrap w:val="0"/>
                  <w:vAlign w:val="center"/>
                </w:tcPr>
                <w:p w14:paraId="6D5E113B">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b w:val="0"/>
                      <w:bCs/>
                      <w:color w:val="auto"/>
                      <w:sz w:val="21"/>
                      <w:szCs w:val="21"/>
                      <w:lang w:val="en-US" w:eastAsia="zh-CN"/>
                    </w:rPr>
                  </w:pPr>
                  <w:r>
                    <w:rPr>
                      <w:rFonts w:hint="eastAsia" w:cs="Times New Roman"/>
                      <w:color w:val="auto"/>
                      <w:kern w:val="2"/>
                      <w:sz w:val="21"/>
                      <w:szCs w:val="21"/>
                      <w:lang w:val="en-US" w:eastAsia="zh-CN" w:bidi="ar-SA"/>
                    </w:rPr>
                    <w:t>根据</w:t>
                  </w:r>
                  <w:r>
                    <w:rPr>
                      <w:rFonts w:hint="eastAsia" w:ascii="Times New Roman" w:hAnsi="Times New Roman" w:eastAsia="宋体" w:cs="Times New Roman"/>
                      <w:color w:val="auto"/>
                      <w:kern w:val="2"/>
                      <w:sz w:val="21"/>
                      <w:szCs w:val="21"/>
                      <w:lang w:val="en-US" w:eastAsia="zh-CN" w:bidi="ar-SA"/>
                    </w:rPr>
                    <w:t>2022年10月2日华宁县人民政府办公室发布的《华宁县人民政府办公室关于印发华宁县青砖瓦生产企业整治工作方案的通知》（华政办通〔2022〕38号），</w:t>
                  </w:r>
                  <w:r>
                    <w:rPr>
                      <w:rFonts w:hint="eastAsia" w:cs="Times New Roman"/>
                      <w:color w:val="auto"/>
                      <w:sz w:val="21"/>
                      <w:szCs w:val="21"/>
                      <w:lang w:val="en-US" w:eastAsia="zh-CN"/>
                    </w:rPr>
                    <w:t>华宁县白塔山陶器厂（新厂）</w:t>
                  </w:r>
                  <w:r>
                    <w:rPr>
                      <w:rFonts w:hint="eastAsia" w:cs="Times New Roman"/>
                      <w:color w:val="auto"/>
                      <w:kern w:val="2"/>
                      <w:sz w:val="21"/>
                      <w:szCs w:val="21"/>
                      <w:lang w:val="en-US" w:eastAsia="zh-CN" w:bidi="ar-SA"/>
                    </w:rPr>
                    <w:t>属于需要巩固提升的青砖瓦企业，</w:t>
                  </w:r>
                  <w:r>
                    <w:rPr>
                      <w:rFonts w:hint="eastAsia" w:ascii="Times New Roman" w:hAnsi="Times New Roman" w:eastAsia="宋体" w:cs="Times New Roman"/>
                      <w:color w:val="auto"/>
                      <w:kern w:val="2"/>
                      <w:sz w:val="21"/>
                      <w:szCs w:val="21"/>
                      <w:lang w:val="en-US" w:eastAsia="zh-CN" w:bidi="ar-SA"/>
                    </w:rPr>
                    <w:t>需按照要求安装环保设施设备并正常运行，确保排放达标后方可生产；</w:t>
                  </w:r>
                  <w:r>
                    <w:rPr>
                      <w:rFonts w:hint="eastAsia" w:cs="Times New Roman"/>
                      <w:color w:val="auto"/>
                      <w:kern w:val="2"/>
                      <w:sz w:val="21"/>
                      <w:szCs w:val="21"/>
                      <w:lang w:val="en-US" w:eastAsia="zh-CN" w:bidi="ar-SA"/>
                    </w:rPr>
                    <w:t>本次</w:t>
                  </w:r>
                  <w:r>
                    <w:rPr>
                      <w:rFonts w:hint="eastAsia"/>
                      <w:b w:val="0"/>
                      <w:bCs/>
                      <w:color w:val="auto"/>
                      <w:sz w:val="21"/>
                      <w:szCs w:val="21"/>
                      <w:lang w:val="en-US" w:eastAsia="zh-CN"/>
                    </w:rPr>
                    <w:t>项目建设性质性质为原址改建，将现有的土窑拆除改建梭式窑，产能不变仍为900万件陶瓷器；烧成废气设置1套布袋除尘+脱硫塔治理措施，</w:t>
                  </w:r>
                  <w:r>
                    <w:rPr>
                      <w:rFonts w:hint="eastAsia"/>
                      <w:color w:val="auto"/>
                      <w:lang w:val="en-US" w:eastAsia="zh-CN"/>
                    </w:rPr>
                    <w:t>根据《排污许可证申请与核发技术规范-工业炉窑》（HJ1121-2020）、《排污许可证申请与核发技术规范-陶瓷砖瓦工业》（HJ954-2018）属于</w:t>
                  </w:r>
                  <w:r>
                    <w:rPr>
                      <w:rFonts w:hint="eastAsia"/>
                      <w:b w:val="0"/>
                      <w:bCs/>
                      <w:color w:val="auto"/>
                      <w:sz w:val="21"/>
                      <w:szCs w:val="21"/>
                      <w:lang w:val="en-US" w:eastAsia="zh-CN"/>
                    </w:rPr>
                    <w:t>可行性工艺</w:t>
                  </w:r>
                  <w:r>
                    <w:rPr>
                      <w:rFonts w:hint="eastAsia" w:cs="Times New Roman"/>
                      <w:b w:val="0"/>
                      <w:bCs/>
                      <w:color w:val="auto"/>
                      <w:sz w:val="21"/>
                      <w:szCs w:val="21"/>
                      <w:lang w:eastAsia="zh-CN"/>
                    </w:rPr>
                    <w:t>。</w:t>
                  </w:r>
                </w:p>
              </w:tc>
              <w:tc>
                <w:tcPr>
                  <w:tcW w:w="499" w:type="pct"/>
                  <w:tcBorders>
                    <w:tl2br w:val="nil"/>
                    <w:tr2bl w:val="nil"/>
                  </w:tcBorders>
                  <w:noWrap w:val="0"/>
                  <w:vAlign w:val="center"/>
                </w:tcPr>
                <w:p w14:paraId="4593486C">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b w:val="0"/>
                      <w:bCs/>
                      <w:color w:val="auto"/>
                      <w:sz w:val="21"/>
                      <w:szCs w:val="21"/>
                      <w:lang w:val="en-US" w:eastAsia="zh-CN"/>
                    </w:rPr>
                  </w:pPr>
                  <w:r>
                    <w:rPr>
                      <w:rFonts w:hint="eastAsia"/>
                      <w:b w:val="0"/>
                      <w:bCs/>
                      <w:color w:val="auto"/>
                      <w:sz w:val="21"/>
                      <w:szCs w:val="21"/>
                      <w:lang w:val="en-US" w:eastAsia="zh-CN"/>
                    </w:rPr>
                    <w:t>符合</w:t>
                  </w:r>
                </w:p>
              </w:tc>
            </w:tr>
            <w:tr w14:paraId="60E0E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 w:type="pct"/>
                  <w:tcBorders>
                    <w:tl2br w:val="nil"/>
                    <w:tr2bl w:val="nil"/>
                  </w:tcBorders>
                  <w:noWrap w:val="0"/>
                  <w:vAlign w:val="center"/>
                </w:tcPr>
                <w:p w14:paraId="138B2F87">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b w:val="0"/>
                      <w:bCs/>
                      <w:color w:val="auto"/>
                      <w:sz w:val="21"/>
                      <w:szCs w:val="21"/>
                      <w:lang w:val="en-US" w:eastAsia="zh-CN"/>
                    </w:rPr>
                  </w:pPr>
                  <w:r>
                    <w:rPr>
                      <w:rFonts w:hint="eastAsia"/>
                      <w:b w:val="0"/>
                      <w:bCs/>
                      <w:color w:val="auto"/>
                      <w:sz w:val="21"/>
                      <w:szCs w:val="21"/>
                      <w:lang w:val="en-US" w:eastAsia="zh-CN"/>
                    </w:rPr>
                    <w:t>2</w:t>
                  </w:r>
                </w:p>
              </w:tc>
              <w:tc>
                <w:tcPr>
                  <w:tcW w:w="2185" w:type="pct"/>
                  <w:tcBorders>
                    <w:tl2br w:val="nil"/>
                    <w:tr2bl w:val="nil"/>
                  </w:tcBorders>
                  <w:noWrap w:val="0"/>
                  <w:vAlign w:val="center"/>
                </w:tcPr>
                <w:p w14:paraId="6FC062C9">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b w:val="0"/>
                      <w:bCs/>
                      <w:color w:val="auto"/>
                      <w:sz w:val="21"/>
                      <w:szCs w:val="21"/>
                    </w:rPr>
                    <w:t>加快燃料清洁低碳化替代。对以煤、石油焦、渣油、重油等为燃料的工业炉窑，加快使用清洁低碳能源以及利用工厂余热、电厂热力等进行替代。</w:t>
                  </w:r>
                </w:p>
              </w:tc>
              <w:tc>
                <w:tcPr>
                  <w:tcW w:w="1810" w:type="pct"/>
                  <w:tcBorders>
                    <w:tl2br w:val="nil"/>
                    <w:tr2bl w:val="nil"/>
                  </w:tcBorders>
                  <w:noWrap w:val="0"/>
                  <w:vAlign w:val="center"/>
                </w:tcPr>
                <w:p w14:paraId="5B4E5C25">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b w:val="0"/>
                      <w:bCs/>
                      <w:color w:val="auto"/>
                      <w:sz w:val="21"/>
                      <w:szCs w:val="21"/>
                      <w:lang w:val="en-US" w:eastAsia="zh-CN"/>
                    </w:rPr>
                  </w:pPr>
                  <w:r>
                    <w:rPr>
                      <w:rFonts w:hint="eastAsia" w:cs="Times New Roman"/>
                      <w:b w:val="0"/>
                      <w:bCs/>
                      <w:color w:val="auto"/>
                      <w:sz w:val="21"/>
                      <w:szCs w:val="21"/>
                      <w:lang w:val="en-US" w:eastAsia="zh-CN"/>
                    </w:rPr>
                    <w:t>本项目梭式窑使用能源为优质低硫煤且使用量较少，配套建设可行性的废气治理设施，有效减少大气污染物的排放量。在天然气供气</w:t>
                  </w:r>
                  <w:r>
                    <w:rPr>
                      <w:rFonts w:hint="eastAsia"/>
                      <w:color w:val="auto"/>
                      <w:lang w:val="en-US" w:eastAsia="zh-CN"/>
                    </w:rPr>
                    <w:t>条件成熟时，实施煤改气。</w:t>
                  </w:r>
                </w:p>
              </w:tc>
              <w:tc>
                <w:tcPr>
                  <w:tcW w:w="499" w:type="pct"/>
                  <w:tcBorders>
                    <w:tl2br w:val="nil"/>
                    <w:tr2bl w:val="nil"/>
                  </w:tcBorders>
                  <w:noWrap w:val="0"/>
                  <w:vAlign w:val="center"/>
                </w:tcPr>
                <w:p w14:paraId="3F9FE780">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lang w:val="en-US" w:eastAsia="zh-CN"/>
                    </w:rPr>
                    <w:t>符合</w:t>
                  </w:r>
                </w:p>
              </w:tc>
            </w:tr>
            <w:tr w14:paraId="28AB0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 w:type="pct"/>
                  <w:tcBorders>
                    <w:tl2br w:val="nil"/>
                    <w:tr2bl w:val="nil"/>
                  </w:tcBorders>
                  <w:noWrap w:val="0"/>
                  <w:vAlign w:val="center"/>
                </w:tcPr>
                <w:p w14:paraId="23575502">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b w:val="0"/>
                      <w:bCs/>
                      <w:color w:val="auto"/>
                      <w:sz w:val="21"/>
                      <w:szCs w:val="21"/>
                      <w:lang w:val="en-US" w:eastAsia="zh-CN"/>
                    </w:rPr>
                  </w:pPr>
                  <w:r>
                    <w:rPr>
                      <w:rFonts w:hint="eastAsia"/>
                      <w:b w:val="0"/>
                      <w:bCs/>
                      <w:color w:val="auto"/>
                      <w:sz w:val="21"/>
                      <w:szCs w:val="21"/>
                      <w:lang w:val="en-US" w:eastAsia="zh-CN"/>
                    </w:rPr>
                    <w:t>3</w:t>
                  </w:r>
                </w:p>
              </w:tc>
              <w:tc>
                <w:tcPr>
                  <w:tcW w:w="2185" w:type="pct"/>
                  <w:tcBorders>
                    <w:tl2br w:val="nil"/>
                    <w:tr2bl w:val="nil"/>
                  </w:tcBorders>
                  <w:noWrap w:val="0"/>
                  <w:vAlign w:val="center"/>
                </w:tcPr>
                <w:p w14:paraId="661DBF14">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b w:val="0"/>
                      <w:bCs/>
                      <w:color w:val="auto"/>
                      <w:sz w:val="21"/>
                      <w:szCs w:val="21"/>
                    </w:rPr>
                    <w:t>实施污染深度治理。推进工业炉窑全面达标排放。已有行业排放标准的工业炉窑，严格执行行业排放标准相关规定，配套建设高效脱硫脱硝除尘设施</w:t>
                  </w:r>
                  <w:r>
                    <w:rPr>
                      <w:b w:val="0"/>
                      <w:bCs/>
                      <w:color w:val="auto"/>
                      <w:sz w:val="21"/>
                      <w:szCs w:val="21"/>
                      <w:highlight w:val="none"/>
                    </w:rPr>
                    <w:t>（即：以煤、煤矸石等为燃料的烧结砖瓦窑应配备高效除尘设施，配备石灰石石膏法等高效脱硫设施；以天然气为燃料的烧结砖瓦窑配备除尘设施。），确保稳定达标排放。</w:t>
                  </w:r>
                </w:p>
              </w:tc>
              <w:tc>
                <w:tcPr>
                  <w:tcW w:w="1810" w:type="pct"/>
                  <w:tcBorders>
                    <w:tl2br w:val="nil"/>
                    <w:tr2bl w:val="nil"/>
                  </w:tcBorders>
                  <w:noWrap w:val="0"/>
                  <w:vAlign w:val="center"/>
                </w:tcPr>
                <w:p w14:paraId="00576D29">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eastAsia="宋体"/>
                      <w:b w:val="0"/>
                      <w:bCs/>
                      <w:color w:val="auto"/>
                      <w:sz w:val="21"/>
                      <w:szCs w:val="21"/>
                      <w:lang w:val="en-US" w:eastAsia="zh-CN"/>
                    </w:rPr>
                  </w:pPr>
                  <w:r>
                    <w:rPr>
                      <w:rFonts w:hint="eastAsia" w:cs="Times New Roman"/>
                      <w:b w:val="0"/>
                      <w:bCs/>
                      <w:color w:val="auto"/>
                      <w:sz w:val="21"/>
                      <w:szCs w:val="21"/>
                      <w:lang w:val="en-US" w:eastAsia="zh-CN"/>
                    </w:rPr>
                    <w:t>本项目梭式窑使用能源为优质低硫煤且使用量较少，配套建设1</w:t>
                  </w:r>
                  <w:r>
                    <w:rPr>
                      <w:rFonts w:hint="eastAsia"/>
                      <w:b w:val="0"/>
                      <w:bCs/>
                      <w:color w:val="auto"/>
                      <w:sz w:val="21"/>
                      <w:szCs w:val="21"/>
                      <w:lang w:eastAsia="zh-CN"/>
                    </w:rPr>
                    <w:t>套</w:t>
                  </w:r>
                  <w:r>
                    <w:rPr>
                      <w:rFonts w:hint="eastAsia"/>
                      <w:b w:val="0"/>
                      <w:bCs/>
                      <w:color w:val="auto"/>
                      <w:sz w:val="21"/>
                      <w:szCs w:val="21"/>
                      <w:lang w:val="en-US" w:eastAsia="zh-CN"/>
                    </w:rPr>
                    <w:t>布袋除尘+脱硫塔的</w:t>
                  </w:r>
                  <w:r>
                    <w:rPr>
                      <w:rFonts w:hint="eastAsia"/>
                      <w:b w:val="0"/>
                      <w:bCs/>
                      <w:color w:val="auto"/>
                      <w:sz w:val="21"/>
                      <w:szCs w:val="21"/>
                      <w:lang w:eastAsia="zh-CN"/>
                    </w:rPr>
                    <w:t>废气处理装置</w:t>
                  </w:r>
                  <w:r>
                    <w:rPr>
                      <w:rFonts w:hint="eastAsia" w:cs="Times New Roman"/>
                      <w:b w:val="0"/>
                      <w:bCs/>
                      <w:color w:val="auto"/>
                      <w:sz w:val="21"/>
                      <w:szCs w:val="21"/>
                      <w:lang w:val="en-US" w:eastAsia="zh-CN"/>
                    </w:rPr>
                    <w:t>，脱硫塔为双碱法</w:t>
                  </w:r>
                  <w:r>
                    <w:rPr>
                      <w:rFonts w:hint="eastAsia" w:ascii="Times New Roman" w:hAnsi="Times New Roman" w:eastAsia="宋体" w:cs="Times New Roman"/>
                      <w:color w:val="auto"/>
                      <w:kern w:val="2"/>
                      <w:sz w:val="21"/>
                      <w:szCs w:val="21"/>
                      <w:lang w:val="en-US" w:eastAsia="zh-CN" w:bidi="ar-SA"/>
                    </w:rPr>
                    <w:t>湿法脱硫技术</w:t>
                  </w:r>
                  <w:r>
                    <w:rPr>
                      <w:rFonts w:hint="eastAsia" w:ascii="Times New Roman" w:hAnsi="Times New Roman" w:cs="Times New Roman"/>
                      <w:color w:val="auto"/>
                      <w:kern w:val="2"/>
                      <w:sz w:val="21"/>
                      <w:szCs w:val="21"/>
                      <w:lang w:val="en-US" w:eastAsia="zh-CN" w:bidi="ar-SA"/>
                    </w:rPr>
                    <w:t>，属于高效的脱硫设施。</w:t>
                  </w:r>
                  <w:r>
                    <w:rPr>
                      <w:rFonts w:hint="eastAsia"/>
                      <w:b w:val="0"/>
                      <w:bCs/>
                      <w:color w:val="auto"/>
                      <w:sz w:val="21"/>
                      <w:szCs w:val="21"/>
                      <w:lang w:eastAsia="zh-CN"/>
                    </w:rPr>
                    <w:t>梭式窑</w:t>
                  </w:r>
                  <w:r>
                    <w:rPr>
                      <w:rFonts w:hint="eastAsia"/>
                      <w:b w:val="0"/>
                      <w:bCs/>
                      <w:color w:val="auto"/>
                      <w:sz w:val="21"/>
                      <w:szCs w:val="21"/>
                    </w:rPr>
                    <w:t>废气经</w:t>
                  </w:r>
                  <w:r>
                    <w:rPr>
                      <w:rFonts w:hint="eastAsia"/>
                      <w:b w:val="0"/>
                      <w:bCs/>
                      <w:color w:val="auto"/>
                      <w:sz w:val="21"/>
                      <w:szCs w:val="21"/>
                      <w:lang w:eastAsia="zh-CN"/>
                    </w:rPr>
                    <w:t>处理达标后</w:t>
                  </w:r>
                  <w:r>
                    <w:rPr>
                      <w:rFonts w:hint="eastAsia"/>
                      <w:b w:val="0"/>
                      <w:bCs/>
                      <w:color w:val="auto"/>
                      <w:sz w:val="21"/>
                      <w:szCs w:val="21"/>
                    </w:rPr>
                    <w:t>排放，排放高度为15m</w:t>
                  </w:r>
                  <w:r>
                    <w:rPr>
                      <w:rFonts w:hint="eastAsia" w:cs="Times New Roman"/>
                      <w:b w:val="0"/>
                      <w:bCs/>
                      <w:color w:val="auto"/>
                      <w:sz w:val="21"/>
                      <w:szCs w:val="21"/>
                      <w:lang w:val="en-US" w:eastAsia="zh-CN"/>
                    </w:rPr>
                    <w:t>，</w:t>
                  </w:r>
                  <w:r>
                    <w:rPr>
                      <w:rFonts w:hint="eastAsia"/>
                      <w:b w:val="0"/>
                      <w:bCs/>
                      <w:color w:val="auto"/>
                      <w:sz w:val="21"/>
                      <w:szCs w:val="21"/>
                    </w:rPr>
                    <w:t>颗粒物、SO</w:t>
                  </w:r>
                  <w:r>
                    <w:rPr>
                      <w:rFonts w:hint="eastAsia"/>
                      <w:b w:val="0"/>
                      <w:bCs/>
                      <w:color w:val="auto"/>
                      <w:sz w:val="21"/>
                      <w:szCs w:val="21"/>
                      <w:vertAlign w:val="subscript"/>
                    </w:rPr>
                    <w:t>2</w:t>
                  </w:r>
                  <w:r>
                    <w:rPr>
                      <w:rFonts w:hint="eastAsia"/>
                      <w:b w:val="0"/>
                      <w:bCs/>
                      <w:color w:val="auto"/>
                      <w:sz w:val="21"/>
                      <w:szCs w:val="21"/>
                      <w:lang w:eastAsia="zh-CN"/>
                    </w:rPr>
                    <w:t>、</w:t>
                  </w:r>
                  <w:r>
                    <w:rPr>
                      <w:rFonts w:hint="eastAsia"/>
                      <w:b w:val="0"/>
                      <w:bCs/>
                      <w:color w:val="auto"/>
                      <w:sz w:val="21"/>
                      <w:szCs w:val="21"/>
                    </w:rPr>
                    <w:t>NO</w:t>
                  </w:r>
                  <w:r>
                    <w:rPr>
                      <w:rFonts w:hint="eastAsia"/>
                      <w:b w:val="0"/>
                      <w:bCs/>
                      <w:color w:val="auto"/>
                      <w:sz w:val="21"/>
                      <w:szCs w:val="21"/>
                      <w:vertAlign w:val="subscript"/>
                    </w:rPr>
                    <w:t>x</w:t>
                  </w:r>
                  <w:r>
                    <w:rPr>
                      <w:rFonts w:hint="eastAsia"/>
                      <w:b w:val="0"/>
                      <w:bCs/>
                      <w:color w:val="auto"/>
                      <w:sz w:val="21"/>
                      <w:szCs w:val="21"/>
                      <w:vertAlign w:val="baseline"/>
                      <w:lang w:eastAsia="zh-CN"/>
                    </w:rPr>
                    <w:t>及氟化物</w:t>
                  </w:r>
                  <w:r>
                    <w:rPr>
                      <w:rFonts w:hint="eastAsia"/>
                      <w:b w:val="0"/>
                      <w:bCs/>
                      <w:color w:val="auto"/>
                      <w:sz w:val="21"/>
                      <w:szCs w:val="21"/>
                      <w:lang w:eastAsia="zh-CN"/>
                    </w:rPr>
                    <w:t>排放浓度均</w:t>
                  </w:r>
                  <w:r>
                    <w:rPr>
                      <w:rFonts w:hint="eastAsia" w:cs="Times New Roman"/>
                      <w:b w:val="0"/>
                      <w:bCs/>
                      <w:color w:val="auto"/>
                      <w:sz w:val="21"/>
                      <w:szCs w:val="21"/>
                      <w:lang w:val="en-US" w:eastAsia="zh-CN"/>
                    </w:rPr>
                    <w:t>满足</w:t>
                  </w:r>
                  <w:r>
                    <w:rPr>
                      <w:rFonts w:hint="eastAsia" w:cs="Times New Roman"/>
                      <w:b w:val="0"/>
                      <w:bCs/>
                      <w:color w:val="auto"/>
                      <w:sz w:val="21"/>
                      <w:szCs w:val="21"/>
                    </w:rPr>
                    <w:t>《砖瓦工业大气污染物排放标准》（GB29620-2013）表2标准限值及其修改单</w:t>
                  </w:r>
                  <w:r>
                    <w:rPr>
                      <w:rFonts w:hint="eastAsia" w:cs="Times New Roman"/>
                      <w:b w:val="0"/>
                      <w:bCs/>
                      <w:color w:val="auto"/>
                      <w:sz w:val="21"/>
                      <w:szCs w:val="21"/>
                      <w:lang w:eastAsia="zh-CN"/>
                    </w:rPr>
                    <w:t>。</w:t>
                  </w:r>
                </w:p>
              </w:tc>
              <w:tc>
                <w:tcPr>
                  <w:tcW w:w="499" w:type="pct"/>
                  <w:tcBorders>
                    <w:tl2br w:val="nil"/>
                    <w:tr2bl w:val="nil"/>
                  </w:tcBorders>
                  <w:noWrap w:val="0"/>
                  <w:vAlign w:val="center"/>
                </w:tcPr>
                <w:p w14:paraId="0C8AB784">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lang w:val="en-US" w:eastAsia="zh-CN"/>
                    </w:rPr>
                    <w:t>符合</w:t>
                  </w:r>
                </w:p>
              </w:tc>
            </w:tr>
            <w:tr w14:paraId="384E5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 w:type="pct"/>
                  <w:tcBorders>
                    <w:tl2br w:val="nil"/>
                    <w:tr2bl w:val="nil"/>
                  </w:tcBorders>
                  <w:noWrap w:val="0"/>
                  <w:vAlign w:val="center"/>
                </w:tcPr>
                <w:p w14:paraId="2241A187">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b w:val="0"/>
                      <w:bCs/>
                      <w:color w:val="auto"/>
                      <w:sz w:val="21"/>
                      <w:szCs w:val="21"/>
                      <w:lang w:val="en-US" w:eastAsia="zh-CN"/>
                    </w:rPr>
                  </w:pPr>
                  <w:r>
                    <w:rPr>
                      <w:rFonts w:hint="eastAsia"/>
                      <w:b w:val="0"/>
                      <w:bCs/>
                      <w:color w:val="auto"/>
                      <w:sz w:val="21"/>
                      <w:szCs w:val="21"/>
                      <w:lang w:val="en-US" w:eastAsia="zh-CN"/>
                    </w:rPr>
                    <w:t>4</w:t>
                  </w:r>
                </w:p>
              </w:tc>
              <w:tc>
                <w:tcPr>
                  <w:tcW w:w="2185" w:type="pct"/>
                  <w:tcBorders>
                    <w:tl2br w:val="nil"/>
                    <w:tr2bl w:val="nil"/>
                  </w:tcBorders>
                  <w:noWrap w:val="0"/>
                  <w:vAlign w:val="center"/>
                </w:tcPr>
                <w:p w14:paraId="7FEBF8E2">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b w:val="0"/>
                      <w:bCs/>
                      <w:color w:val="auto"/>
                      <w:sz w:val="21"/>
                      <w:szCs w:val="21"/>
                    </w:rPr>
                    <w:t>全面加强无组织排放管理。严格控制工业炉窑生产工艺过程及相关物料储存、输送等无组织排放，在保障生产安全的前提下，采取密闭、封闭等有效措施，有效提高废气收集率，产尘点及车间不得有可见烟粉尘外逸。生产工艺产尘点（装置）应采取密闭、封闭或设置集气罩等措施。煤粉、粉</w:t>
                  </w:r>
                  <w:r>
                    <w:rPr>
                      <w:rFonts w:hint="eastAsia"/>
                      <w:b w:val="0"/>
                      <w:bCs/>
                      <w:color w:val="auto"/>
                      <w:sz w:val="21"/>
                      <w:szCs w:val="21"/>
                      <w:lang w:eastAsia="zh-CN"/>
                    </w:rPr>
                    <w:t>煤渣</w:t>
                  </w:r>
                  <w:r>
                    <w:rPr>
                      <w:b w:val="0"/>
                      <w:bCs/>
                      <w:color w:val="auto"/>
                      <w:sz w:val="21"/>
                      <w:szCs w:val="21"/>
                    </w:rPr>
                    <w:t>、石灰、除尘灰、脱硫灰等粉状物料应密闭或封闭储存，采用密闭皮带、封闭通廊、管状带式输送机或密闭车厢、真空罐车、气力输送等方式输送。粒状、块状物料应采用入棚入仓或建设防风抑尘网等方式进行储存，粒状物料采用密闭、封闭等方式输送。物料输送过程中产尘点应采取有效抑尘措施。</w:t>
                  </w:r>
                </w:p>
              </w:tc>
              <w:tc>
                <w:tcPr>
                  <w:tcW w:w="1810" w:type="pct"/>
                  <w:tcBorders>
                    <w:tl2br w:val="nil"/>
                    <w:tr2bl w:val="nil"/>
                  </w:tcBorders>
                  <w:noWrap w:val="0"/>
                  <w:vAlign w:val="center"/>
                </w:tcPr>
                <w:p w14:paraId="1FA59495">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eastAsia="宋体"/>
                      <w:b w:val="0"/>
                      <w:bCs/>
                      <w:color w:val="auto"/>
                      <w:sz w:val="21"/>
                      <w:szCs w:val="21"/>
                      <w:lang w:val="en-US" w:eastAsia="zh-CN"/>
                    </w:rPr>
                  </w:pPr>
                  <w:r>
                    <w:rPr>
                      <w:rFonts w:hint="eastAsia" w:cs="Times New Roman"/>
                      <w:b w:val="0"/>
                      <w:bCs/>
                      <w:color w:val="auto"/>
                      <w:sz w:val="21"/>
                      <w:szCs w:val="21"/>
                      <w:lang w:val="en-US" w:eastAsia="zh-CN"/>
                    </w:rPr>
                    <w:t>本项目梭式窑使用能源为优质低硫煤且使用量较少，配套建设1</w:t>
                  </w:r>
                  <w:r>
                    <w:rPr>
                      <w:rFonts w:hint="eastAsia"/>
                      <w:b w:val="0"/>
                      <w:bCs/>
                      <w:color w:val="auto"/>
                      <w:sz w:val="21"/>
                      <w:szCs w:val="21"/>
                      <w:lang w:eastAsia="zh-CN"/>
                    </w:rPr>
                    <w:t>套</w:t>
                  </w:r>
                  <w:r>
                    <w:rPr>
                      <w:rFonts w:hint="eastAsia"/>
                      <w:b w:val="0"/>
                      <w:bCs/>
                      <w:color w:val="auto"/>
                      <w:sz w:val="21"/>
                      <w:szCs w:val="21"/>
                      <w:lang w:val="en-US" w:eastAsia="zh-CN"/>
                    </w:rPr>
                    <w:t>布袋除尘+脱硫塔的</w:t>
                  </w:r>
                  <w:r>
                    <w:rPr>
                      <w:rFonts w:hint="eastAsia"/>
                      <w:b w:val="0"/>
                      <w:bCs/>
                      <w:color w:val="auto"/>
                      <w:sz w:val="21"/>
                      <w:szCs w:val="21"/>
                      <w:lang w:eastAsia="zh-CN"/>
                    </w:rPr>
                    <w:t>废气处理装置</w:t>
                  </w:r>
                  <w:r>
                    <w:rPr>
                      <w:rFonts w:hint="eastAsia"/>
                      <w:b w:val="0"/>
                      <w:bCs/>
                      <w:color w:val="auto"/>
                      <w:sz w:val="21"/>
                      <w:szCs w:val="21"/>
                      <w:lang w:val="en-US" w:eastAsia="zh-CN"/>
                    </w:rPr>
                    <w:t>，</w:t>
                  </w:r>
                  <w:r>
                    <w:rPr>
                      <w:rFonts w:hint="eastAsia"/>
                      <w:b w:val="0"/>
                      <w:bCs/>
                      <w:color w:val="auto"/>
                      <w:sz w:val="21"/>
                      <w:szCs w:val="21"/>
                      <w:lang w:eastAsia="zh-CN"/>
                    </w:rPr>
                    <w:t>梭式窑</w:t>
                  </w:r>
                  <w:r>
                    <w:rPr>
                      <w:rFonts w:hint="eastAsia"/>
                      <w:b w:val="0"/>
                      <w:bCs/>
                      <w:color w:val="auto"/>
                      <w:sz w:val="21"/>
                      <w:szCs w:val="21"/>
                    </w:rPr>
                    <w:t>废气经</w:t>
                  </w:r>
                  <w:r>
                    <w:rPr>
                      <w:rFonts w:hint="eastAsia"/>
                      <w:b w:val="0"/>
                      <w:bCs/>
                      <w:color w:val="auto"/>
                      <w:sz w:val="21"/>
                      <w:szCs w:val="21"/>
                      <w:lang w:eastAsia="zh-CN"/>
                    </w:rPr>
                    <w:t>处理达标后</w:t>
                  </w:r>
                  <w:r>
                    <w:rPr>
                      <w:rFonts w:hint="eastAsia"/>
                      <w:b w:val="0"/>
                      <w:bCs/>
                      <w:color w:val="auto"/>
                      <w:sz w:val="21"/>
                      <w:szCs w:val="21"/>
                    </w:rPr>
                    <w:t>排放，排放高度为15m</w:t>
                  </w:r>
                  <w:r>
                    <w:rPr>
                      <w:rFonts w:hint="eastAsia" w:cs="Times New Roman"/>
                      <w:b w:val="0"/>
                      <w:bCs/>
                      <w:color w:val="auto"/>
                      <w:sz w:val="21"/>
                      <w:szCs w:val="21"/>
                      <w:lang w:val="en-US" w:eastAsia="zh-CN"/>
                    </w:rPr>
                    <w:t>，</w:t>
                  </w:r>
                  <w:r>
                    <w:rPr>
                      <w:rFonts w:hint="eastAsia"/>
                      <w:b w:val="0"/>
                      <w:bCs/>
                      <w:color w:val="auto"/>
                      <w:sz w:val="21"/>
                      <w:szCs w:val="21"/>
                      <w:lang w:eastAsia="zh-CN"/>
                    </w:rPr>
                    <w:t>。</w:t>
                  </w:r>
                  <w:r>
                    <w:rPr>
                      <w:rFonts w:hint="eastAsia" w:cs="Times New Roman"/>
                      <w:b w:val="0"/>
                      <w:bCs/>
                      <w:color w:val="auto"/>
                      <w:sz w:val="21"/>
                      <w:szCs w:val="21"/>
                      <w:lang w:val="en-US" w:eastAsia="zh-CN"/>
                    </w:rPr>
                    <w:t>本项目原料堆存于原料车间或陈化车间内，为钢架结构+彩钢瓦遮挡结构，生产设备均设置于封闭车间内，其生产过程均为封闭式作业</w:t>
                  </w:r>
                  <w:r>
                    <w:rPr>
                      <w:rFonts w:hint="eastAsia"/>
                      <w:b w:val="0"/>
                      <w:bCs/>
                      <w:color w:val="auto"/>
                      <w:sz w:val="21"/>
                      <w:szCs w:val="21"/>
                      <w:lang w:eastAsia="zh-CN"/>
                    </w:rPr>
                    <w:t>；装卸</w:t>
                  </w:r>
                  <w:r>
                    <w:rPr>
                      <w:rFonts w:hint="eastAsia"/>
                      <w:b w:val="0"/>
                      <w:bCs/>
                      <w:color w:val="auto"/>
                      <w:sz w:val="21"/>
                      <w:szCs w:val="21"/>
                    </w:rPr>
                    <w:t>扬尘</w:t>
                  </w:r>
                  <w:r>
                    <w:rPr>
                      <w:rFonts w:hint="eastAsia"/>
                      <w:b w:val="0"/>
                      <w:bCs/>
                      <w:color w:val="auto"/>
                      <w:sz w:val="21"/>
                      <w:szCs w:val="21"/>
                      <w:lang w:eastAsia="zh-CN"/>
                    </w:rPr>
                    <w:t>、</w:t>
                  </w:r>
                  <w:r>
                    <w:rPr>
                      <w:rFonts w:hint="eastAsia"/>
                      <w:b w:val="0"/>
                      <w:bCs/>
                      <w:color w:val="auto"/>
                      <w:sz w:val="21"/>
                      <w:szCs w:val="21"/>
                    </w:rPr>
                    <w:t>道路运输粉尘等无组织粉尘通过</w:t>
                  </w:r>
                  <w:r>
                    <w:rPr>
                      <w:rFonts w:hint="eastAsia"/>
                      <w:b w:val="0"/>
                      <w:bCs/>
                      <w:color w:val="auto"/>
                      <w:sz w:val="21"/>
                      <w:szCs w:val="21"/>
                      <w:lang w:eastAsia="zh-CN"/>
                    </w:rPr>
                    <w:t>堆棚</w:t>
                  </w:r>
                  <w:r>
                    <w:rPr>
                      <w:rFonts w:hint="eastAsia"/>
                      <w:b w:val="0"/>
                      <w:bCs/>
                      <w:color w:val="auto"/>
                      <w:sz w:val="21"/>
                      <w:szCs w:val="21"/>
                    </w:rPr>
                    <w:t>封闭、洒水降尘等措施进行控制，各产尘点均采取有效抑尘措施。</w:t>
                  </w:r>
                </w:p>
              </w:tc>
              <w:tc>
                <w:tcPr>
                  <w:tcW w:w="499" w:type="pct"/>
                  <w:tcBorders>
                    <w:tl2br w:val="nil"/>
                    <w:tr2bl w:val="nil"/>
                  </w:tcBorders>
                  <w:noWrap w:val="0"/>
                  <w:vAlign w:val="center"/>
                </w:tcPr>
                <w:p w14:paraId="5E104154">
                  <w:pPr>
                    <w:pStyle w:val="85"/>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lang w:val="en-US" w:eastAsia="zh-CN"/>
                    </w:rPr>
                    <w:t>符合</w:t>
                  </w:r>
                </w:p>
              </w:tc>
            </w:tr>
          </w:tbl>
          <w:p w14:paraId="045B00A2">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eastAsia="宋体"/>
                <w:color w:val="auto"/>
                <w:sz w:val="21"/>
                <w:szCs w:val="21"/>
                <w:lang w:val="en-US" w:eastAsia="zh-CN"/>
              </w:rPr>
            </w:pPr>
            <w:r>
              <w:rPr>
                <w:rFonts w:hint="eastAsia"/>
                <w:color w:val="auto"/>
                <w:sz w:val="21"/>
                <w:szCs w:val="21"/>
                <w:lang w:eastAsia="zh-CN"/>
              </w:rPr>
              <w:t>注：本次分析仅选择《方案》中与本项目有关部分内容进行符合性分析。</w:t>
            </w:r>
          </w:p>
          <w:p w14:paraId="11ACB951">
            <w:pPr>
              <w:keepNext w:val="0"/>
              <w:keepLines w:val="0"/>
              <w:pageBreakBefore w:val="0"/>
              <w:widowControl w:val="0"/>
              <w:kinsoku/>
              <w:wordWrap/>
              <w:overflowPunct/>
              <w:topLinePunct w:val="0"/>
              <w:bidi w:val="0"/>
              <w:snapToGrid w:val="0"/>
              <w:spacing w:line="360" w:lineRule="auto"/>
              <w:ind w:firstLine="482"/>
              <w:textAlignment w:val="auto"/>
              <w:rPr>
                <w:rFonts w:hint="eastAsia"/>
                <w:b w:val="0"/>
                <w:bCs w:val="0"/>
                <w:color w:val="auto"/>
                <w:sz w:val="21"/>
                <w:szCs w:val="21"/>
                <w:lang w:val="en-US" w:eastAsia="zh-CN"/>
              </w:rPr>
            </w:pPr>
            <w:r>
              <w:rPr>
                <w:rFonts w:hint="eastAsia"/>
                <w:color w:val="auto"/>
                <w:sz w:val="21"/>
                <w:szCs w:val="21"/>
              </w:rPr>
              <w:t>综上，本项目符合</w:t>
            </w:r>
            <w:r>
              <w:rPr>
                <w:rFonts w:hint="eastAsia"/>
                <w:color w:val="auto"/>
                <w:sz w:val="21"/>
                <w:szCs w:val="21"/>
                <w:lang w:val="en-US" w:eastAsia="zh-CN"/>
              </w:rPr>
              <w:t>《工业炉窑大气污染综合治理方案》</w:t>
            </w:r>
            <w:r>
              <w:rPr>
                <w:rFonts w:hint="eastAsia"/>
                <w:color w:val="auto"/>
                <w:sz w:val="21"/>
                <w:szCs w:val="21"/>
              </w:rPr>
              <w:t>的相关要求。</w:t>
            </w:r>
          </w:p>
          <w:p w14:paraId="53DB6909">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textAlignment w:val="auto"/>
              <w:rPr>
                <w:rFonts w:eastAsia="宋体"/>
                <w:b/>
                <w:color w:val="auto"/>
                <w:sz w:val="21"/>
                <w:szCs w:val="21"/>
              </w:rPr>
            </w:pPr>
            <w:r>
              <w:rPr>
                <w:rFonts w:hint="eastAsia"/>
                <w:b/>
                <w:bCs/>
                <w:color w:val="auto"/>
                <w:sz w:val="21"/>
                <w:szCs w:val="21"/>
                <w:lang w:val="en-US" w:eastAsia="zh-CN"/>
              </w:rPr>
              <w:t>4）</w:t>
            </w:r>
            <w:r>
              <w:rPr>
                <w:rFonts w:eastAsia="宋体"/>
                <w:b/>
                <w:bCs/>
                <w:color w:val="auto"/>
                <w:sz w:val="21"/>
                <w:szCs w:val="21"/>
              </w:rPr>
              <w:t>与《</w:t>
            </w:r>
            <w:r>
              <w:rPr>
                <w:rFonts w:hint="eastAsia" w:eastAsia="宋体"/>
                <w:b/>
                <w:bCs/>
                <w:color w:val="auto"/>
                <w:sz w:val="21"/>
                <w:szCs w:val="21"/>
                <w:lang w:val="en-US" w:eastAsia="zh-CN"/>
              </w:rPr>
              <w:t>云南省人民政府关</w:t>
            </w:r>
            <w:r>
              <w:rPr>
                <w:rFonts w:hint="eastAsia" w:eastAsia="宋体"/>
                <w:b/>
                <w:color w:val="auto"/>
                <w:sz w:val="21"/>
                <w:szCs w:val="21"/>
                <w:lang w:val="en-US" w:eastAsia="zh-CN"/>
              </w:rPr>
              <w:t>于深入打好污染防治攻坚战的实施意见</w:t>
            </w:r>
            <w:r>
              <w:rPr>
                <w:rFonts w:eastAsia="宋体"/>
                <w:b/>
                <w:color w:val="auto"/>
                <w:sz w:val="21"/>
                <w:szCs w:val="21"/>
              </w:rPr>
              <w:t>》相符性</w:t>
            </w:r>
          </w:p>
          <w:p w14:paraId="1EAE249E">
            <w:pPr>
              <w:keepNext w:val="0"/>
              <w:keepLines w:val="0"/>
              <w:pageBreakBefore w:val="0"/>
              <w:widowControl w:val="0"/>
              <w:kinsoku/>
              <w:wordWrap/>
              <w:overflowPunct/>
              <w:topLinePunct w:val="0"/>
              <w:bidi w:val="0"/>
              <w:snapToGrid w:val="0"/>
              <w:spacing w:line="360" w:lineRule="auto"/>
              <w:ind w:firstLine="420" w:firstLineChars="20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2022年7月27日云南省发布了《中共云南省委 云南省人民政府 关于深入打好污染防治攻坚战的实施意见》，</w:t>
            </w:r>
            <w:r>
              <w:rPr>
                <w:rFonts w:hint="eastAsia" w:ascii="Times New Roman" w:hAnsi="Times New Roman" w:eastAsia="宋体" w:cs="Times New Roman"/>
                <w:b w:val="0"/>
                <w:bCs w:val="0"/>
                <w:color w:val="auto"/>
                <w:kern w:val="2"/>
                <w:sz w:val="21"/>
                <w:szCs w:val="21"/>
                <w:lang w:val="en-US" w:eastAsia="zh-CN" w:bidi="ar-SA"/>
              </w:rPr>
              <w:t>本项目与其符合性分析见下表所示：</w:t>
            </w:r>
          </w:p>
          <w:p w14:paraId="72E73D97">
            <w:pPr>
              <w:widowControl w:val="0"/>
              <w:bidi w:val="0"/>
              <w:spacing w:line="360" w:lineRule="auto"/>
              <w:ind w:left="0" w:leftChars="0" w:firstLine="0" w:firstLineChars="0"/>
              <w:jc w:val="center"/>
              <w:rPr>
                <w:rFonts w:ascii="Times New Roman" w:hAnsi="Times New Roman" w:eastAsia="宋体" w:cs="Times New Roman"/>
                <w:b/>
                <w:bCs/>
                <w:color w:val="auto"/>
                <w:kern w:val="2"/>
                <w:sz w:val="21"/>
                <w:szCs w:val="21"/>
                <w:lang w:val="en-US" w:eastAsia="zh-CN" w:bidi="ar-SA"/>
              </w:rPr>
            </w:pPr>
            <w:r>
              <w:rPr>
                <w:rFonts w:ascii="Times New Roman" w:hAnsi="Times New Roman" w:eastAsia="宋体" w:cs="Times New Roman"/>
                <w:b/>
                <w:bCs/>
                <w:color w:val="auto"/>
                <w:kern w:val="2"/>
                <w:sz w:val="21"/>
                <w:szCs w:val="21"/>
                <w:lang w:val="en-US" w:eastAsia="zh-CN" w:bidi="ar-SA"/>
              </w:rPr>
              <w:t>表1-</w:t>
            </w:r>
            <w:r>
              <w:rPr>
                <w:rFonts w:hint="eastAsia" w:cs="Times New Roman"/>
                <w:b/>
                <w:bCs/>
                <w:color w:val="auto"/>
                <w:kern w:val="2"/>
                <w:sz w:val="21"/>
                <w:szCs w:val="21"/>
                <w:lang w:val="en-US" w:eastAsia="zh-CN" w:bidi="ar-SA"/>
              </w:rPr>
              <w:t>12</w:t>
            </w:r>
            <w:r>
              <w:rPr>
                <w:rFonts w:hint="eastAsia" w:ascii="Times New Roman" w:hAnsi="Times New Roman" w:eastAsia="宋体" w:cs="Times New Roman"/>
                <w:b/>
                <w:bCs/>
                <w:color w:val="auto"/>
                <w:kern w:val="2"/>
                <w:sz w:val="21"/>
                <w:szCs w:val="21"/>
                <w:lang w:val="en-US" w:eastAsia="zh-CN" w:bidi="ar-SA"/>
              </w:rPr>
              <w:t xml:space="preserve">  </w:t>
            </w:r>
            <w:r>
              <w:rPr>
                <w:rFonts w:ascii="Times New Roman" w:hAnsi="Times New Roman" w:eastAsia="宋体" w:cs="Times New Roman"/>
                <w:b/>
                <w:bCs/>
                <w:color w:val="auto"/>
                <w:kern w:val="2"/>
                <w:sz w:val="21"/>
                <w:szCs w:val="21"/>
                <w:lang w:val="en-US" w:eastAsia="zh-CN" w:bidi="ar-SA"/>
              </w:rPr>
              <w:t>项目与《</w:t>
            </w:r>
            <w:r>
              <w:rPr>
                <w:rFonts w:hint="eastAsia" w:ascii="Times New Roman" w:hAnsi="Times New Roman" w:eastAsia="宋体" w:cs="Times New Roman"/>
                <w:b/>
                <w:bCs/>
                <w:color w:val="auto"/>
                <w:kern w:val="2"/>
                <w:sz w:val="21"/>
                <w:szCs w:val="21"/>
                <w:lang w:val="en-US" w:eastAsia="zh-CN" w:bidi="ar-SA"/>
              </w:rPr>
              <w:t>意见</w:t>
            </w:r>
            <w:r>
              <w:rPr>
                <w:rFonts w:ascii="Times New Roman" w:hAnsi="Times New Roman" w:eastAsia="宋体" w:cs="Times New Roman"/>
                <w:b/>
                <w:bCs/>
                <w:color w:val="auto"/>
                <w:kern w:val="2"/>
                <w:sz w:val="21"/>
                <w:szCs w:val="21"/>
                <w:lang w:val="en-US" w:eastAsia="zh-CN" w:bidi="ar-SA"/>
              </w:rPr>
              <w:t>》符合分析表</w:t>
            </w:r>
          </w:p>
          <w:tbl>
            <w:tblPr>
              <w:tblStyle w:val="30"/>
              <w:tblW w:w="86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68"/>
              <w:gridCol w:w="3816"/>
              <w:gridCol w:w="955"/>
            </w:tblGrid>
            <w:tr w14:paraId="5F10E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3868" w:type="dxa"/>
                  <w:vAlign w:val="center"/>
                </w:tcPr>
                <w:p w14:paraId="28428D29">
                  <w:pPr>
                    <w:pStyle w:val="65"/>
                    <w:keepNext w:val="0"/>
                    <w:keepLines w:val="0"/>
                    <w:pageBreakBefore w:val="0"/>
                    <w:widowControl w:val="0"/>
                    <w:kinsoku/>
                    <w:wordWrap/>
                    <w:overflowPunct/>
                    <w:topLinePunct w:val="0"/>
                    <w:bidi w:val="0"/>
                    <w:snapToGrid w:val="0"/>
                    <w:spacing w:before="95" w:beforeLines="30" w:after="95" w:afterLines="30" w:line="240" w:lineRule="auto"/>
                    <w:ind w:firstLine="0" w:firstLineChars="0"/>
                    <w:jc w:val="center"/>
                    <w:textAlignment w:val="auto"/>
                    <w:rPr>
                      <w:rFonts w:hint="default" w:eastAsia="宋体"/>
                      <w:b/>
                      <w:bCs/>
                      <w:color w:val="auto"/>
                      <w:sz w:val="21"/>
                      <w:szCs w:val="21"/>
                      <w:lang w:val="en-US" w:eastAsia="zh-CN"/>
                    </w:rPr>
                  </w:pPr>
                  <w:r>
                    <w:rPr>
                      <w:rFonts w:hint="eastAsia" w:eastAsia="宋体"/>
                      <w:b/>
                      <w:bCs/>
                      <w:color w:val="auto"/>
                      <w:sz w:val="21"/>
                      <w:szCs w:val="21"/>
                      <w:lang w:val="en-US" w:eastAsia="zh-CN"/>
                    </w:rPr>
                    <w:t>意见要求</w:t>
                  </w:r>
                </w:p>
              </w:tc>
              <w:tc>
                <w:tcPr>
                  <w:tcW w:w="3816" w:type="dxa"/>
                  <w:vAlign w:val="center"/>
                </w:tcPr>
                <w:p w14:paraId="75236D61">
                  <w:pPr>
                    <w:pStyle w:val="65"/>
                    <w:keepNext w:val="0"/>
                    <w:keepLines w:val="0"/>
                    <w:pageBreakBefore w:val="0"/>
                    <w:widowControl w:val="0"/>
                    <w:kinsoku/>
                    <w:wordWrap/>
                    <w:overflowPunct/>
                    <w:topLinePunct w:val="0"/>
                    <w:bidi w:val="0"/>
                    <w:snapToGrid w:val="0"/>
                    <w:spacing w:before="95" w:beforeLines="30" w:after="95" w:afterLines="30" w:line="240" w:lineRule="auto"/>
                    <w:ind w:firstLine="0" w:firstLineChars="0"/>
                    <w:jc w:val="center"/>
                    <w:textAlignment w:val="auto"/>
                    <w:rPr>
                      <w:rFonts w:hint="default" w:eastAsia="宋体"/>
                      <w:b/>
                      <w:bCs/>
                      <w:color w:val="auto"/>
                      <w:sz w:val="21"/>
                      <w:szCs w:val="21"/>
                      <w:lang w:val="en-US" w:eastAsia="zh-CN"/>
                    </w:rPr>
                  </w:pPr>
                  <w:r>
                    <w:rPr>
                      <w:rFonts w:hint="eastAsia" w:eastAsia="宋体"/>
                      <w:b/>
                      <w:bCs/>
                      <w:color w:val="auto"/>
                      <w:sz w:val="21"/>
                      <w:szCs w:val="21"/>
                      <w:lang w:val="en-US" w:eastAsia="zh-CN"/>
                    </w:rPr>
                    <w:t>项目情况</w:t>
                  </w:r>
                </w:p>
              </w:tc>
              <w:tc>
                <w:tcPr>
                  <w:tcW w:w="955" w:type="dxa"/>
                  <w:vAlign w:val="center"/>
                </w:tcPr>
                <w:p w14:paraId="2F533DEF">
                  <w:pPr>
                    <w:pStyle w:val="65"/>
                    <w:keepNext w:val="0"/>
                    <w:keepLines w:val="0"/>
                    <w:pageBreakBefore w:val="0"/>
                    <w:widowControl w:val="0"/>
                    <w:kinsoku/>
                    <w:wordWrap/>
                    <w:overflowPunct/>
                    <w:topLinePunct w:val="0"/>
                    <w:bidi w:val="0"/>
                    <w:snapToGrid w:val="0"/>
                    <w:spacing w:before="95" w:beforeLines="30" w:after="95" w:afterLines="30" w:line="240" w:lineRule="auto"/>
                    <w:ind w:firstLine="0" w:firstLineChars="0"/>
                    <w:jc w:val="center"/>
                    <w:textAlignment w:val="auto"/>
                    <w:rPr>
                      <w:rFonts w:hint="default" w:eastAsia="宋体"/>
                      <w:b/>
                      <w:bCs/>
                      <w:color w:val="auto"/>
                      <w:sz w:val="21"/>
                      <w:szCs w:val="21"/>
                      <w:lang w:val="en-US" w:eastAsia="zh-CN"/>
                    </w:rPr>
                  </w:pPr>
                  <w:r>
                    <w:rPr>
                      <w:rFonts w:hint="eastAsia" w:eastAsia="宋体"/>
                      <w:b/>
                      <w:bCs/>
                      <w:color w:val="auto"/>
                      <w:sz w:val="21"/>
                      <w:szCs w:val="21"/>
                      <w:lang w:val="en-US" w:eastAsia="zh-CN"/>
                    </w:rPr>
                    <w:t>符合性</w:t>
                  </w:r>
                </w:p>
              </w:tc>
            </w:tr>
            <w:tr w14:paraId="4EFD8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639" w:type="dxa"/>
                  <w:gridSpan w:val="3"/>
                  <w:vAlign w:val="center"/>
                </w:tcPr>
                <w:p w14:paraId="4F79D8DB">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0" w:firstLineChars="0"/>
                    <w:jc w:val="both"/>
                    <w:textAlignment w:val="auto"/>
                    <w:rPr>
                      <w:rFonts w:hint="eastAsia" w:eastAsia="宋体"/>
                      <w:color w:val="auto"/>
                      <w:sz w:val="21"/>
                      <w:szCs w:val="21"/>
                      <w:vertAlign w:val="baseline"/>
                      <w:lang w:val="en-US" w:eastAsia="zh-CN"/>
                    </w:rPr>
                  </w:pPr>
                  <w:r>
                    <w:rPr>
                      <w:rFonts w:hint="eastAsia" w:eastAsia="宋体"/>
                      <w:color w:val="auto"/>
                      <w:sz w:val="21"/>
                      <w:szCs w:val="21"/>
                      <w:lang w:val="en-US" w:eastAsia="zh-CN"/>
                    </w:rPr>
                    <w:t>三、深入打好蓝天保卫战</w:t>
                  </w:r>
                </w:p>
              </w:tc>
            </w:tr>
            <w:tr w14:paraId="47517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3868" w:type="dxa"/>
                  <w:vAlign w:val="center"/>
                </w:tcPr>
                <w:p w14:paraId="18CB15F8">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持续打好柴油货车污染治理攻坚战。深入开展清洁柴油车（机）行动，基本淘汰国三及以下排放标准汽车。加大清洁能源汽车推广力度，推动氢燃料电池汽车示范应用。以大宗货物运输“公转铁”、“公转水”为重点推进运输结构调整。</w:t>
                  </w:r>
                </w:p>
              </w:tc>
              <w:tc>
                <w:tcPr>
                  <w:tcW w:w="3816" w:type="dxa"/>
                  <w:vAlign w:val="center"/>
                </w:tcPr>
                <w:p w14:paraId="6EEFB931">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both"/>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本项目</w:t>
                  </w:r>
                  <w:r>
                    <w:rPr>
                      <w:rFonts w:hint="eastAsia" w:cs="Times New Roman"/>
                      <w:color w:val="auto"/>
                      <w:kern w:val="2"/>
                      <w:sz w:val="21"/>
                      <w:szCs w:val="21"/>
                      <w:lang w:val="en-US" w:eastAsia="zh-CN" w:bidi="ar-SA"/>
                    </w:rPr>
                    <w:t>使用国六排放标准汽车</w:t>
                  </w:r>
                  <w:r>
                    <w:rPr>
                      <w:rFonts w:hint="eastAsia" w:ascii="Times New Roman" w:hAnsi="Times New Roman" w:eastAsia="宋体" w:cs="Times New Roman"/>
                      <w:color w:val="auto"/>
                      <w:kern w:val="2"/>
                      <w:sz w:val="21"/>
                      <w:szCs w:val="21"/>
                      <w:lang w:val="en-US" w:eastAsia="zh-CN" w:bidi="ar-SA"/>
                    </w:rPr>
                    <w:t>运输车辆，不属于</w:t>
                  </w:r>
                  <w:r>
                    <w:rPr>
                      <w:rFonts w:hint="default" w:ascii="Times New Roman" w:hAnsi="Times New Roman" w:eastAsia="宋体" w:cs="Times New Roman"/>
                      <w:color w:val="auto"/>
                      <w:kern w:val="2"/>
                      <w:sz w:val="21"/>
                      <w:szCs w:val="21"/>
                      <w:lang w:val="en-US" w:eastAsia="zh-CN" w:bidi="ar-SA"/>
                    </w:rPr>
                    <w:t>国三及以下排放标准汽车</w:t>
                  </w:r>
                  <w:r>
                    <w:rPr>
                      <w:rFonts w:hint="eastAsia" w:ascii="Times New Roman" w:hAnsi="Times New Roman" w:eastAsia="宋体" w:cs="Times New Roman"/>
                      <w:color w:val="auto"/>
                      <w:kern w:val="2"/>
                      <w:sz w:val="21"/>
                      <w:szCs w:val="21"/>
                      <w:lang w:val="en-US" w:eastAsia="zh-CN" w:bidi="ar-SA"/>
                    </w:rPr>
                    <w:t>。</w:t>
                  </w:r>
                </w:p>
              </w:tc>
              <w:tc>
                <w:tcPr>
                  <w:tcW w:w="955" w:type="dxa"/>
                  <w:vAlign w:val="center"/>
                </w:tcPr>
                <w:p w14:paraId="212C9C45">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0" w:firstLineChars="0"/>
                    <w:jc w:val="center"/>
                    <w:textAlignment w:val="auto"/>
                    <w:rPr>
                      <w:rFonts w:hint="default" w:eastAsia="宋体"/>
                      <w:color w:val="auto"/>
                      <w:sz w:val="21"/>
                      <w:szCs w:val="21"/>
                      <w:vertAlign w:val="baseline"/>
                      <w:lang w:val="en-US" w:eastAsia="zh-CN"/>
                    </w:rPr>
                  </w:pPr>
                  <w:r>
                    <w:rPr>
                      <w:rFonts w:hint="eastAsia" w:eastAsia="宋体"/>
                      <w:color w:val="auto"/>
                      <w:sz w:val="21"/>
                      <w:szCs w:val="21"/>
                      <w:vertAlign w:val="baseline"/>
                      <w:lang w:val="en-US" w:eastAsia="zh-CN"/>
                    </w:rPr>
                    <w:t>符合</w:t>
                  </w:r>
                </w:p>
              </w:tc>
            </w:tr>
            <w:tr w14:paraId="2CF21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3868" w:type="dxa"/>
                  <w:vAlign w:val="center"/>
                </w:tcPr>
                <w:p w14:paraId="74DA1A02">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二）深入打好建筑施工工地扬尘污染治理攻坚战。全面推行绿色施工，落实施工期采取扬尘治理方案，推动扬尘精细化管控。加强建筑渣土运输管理，严格落实密闭运输措施。强化施工、道路、堆场、裸露地面等扬尘管控。</w:t>
                  </w:r>
                </w:p>
              </w:tc>
              <w:tc>
                <w:tcPr>
                  <w:tcW w:w="3816" w:type="dxa"/>
                  <w:vAlign w:val="center"/>
                </w:tcPr>
                <w:p w14:paraId="5A2E1264">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both"/>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本项目施工期采取扬尘治理方案</w:t>
                  </w:r>
                  <w:r>
                    <w:rPr>
                      <w:rFonts w:hint="eastAsia" w:cs="Times New Roman"/>
                      <w:color w:val="auto"/>
                      <w:kern w:val="2"/>
                      <w:sz w:val="21"/>
                      <w:szCs w:val="21"/>
                      <w:lang w:val="en-US" w:eastAsia="zh-CN" w:bidi="ar-SA"/>
                    </w:rPr>
                    <w:t>，实行施工期采取扬尘治理方案</w:t>
                  </w:r>
                  <w:r>
                    <w:rPr>
                      <w:rFonts w:hint="eastAsia" w:ascii="Times New Roman" w:hAnsi="Times New Roman" w:eastAsia="宋体" w:cs="Times New Roman"/>
                      <w:color w:val="auto"/>
                      <w:kern w:val="2"/>
                      <w:sz w:val="21"/>
                      <w:szCs w:val="21"/>
                      <w:lang w:val="en-US" w:eastAsia="zh-CN" w:bidi="ar-SA"/>
                    </w:rPr>
                    <w:t>。施工期产生的废包装材料由厂家回收利用；生活垃圾统一收集后，由环卫部门清运处置；建筑垃圾可回收利用的，集中收集后交由有回收资质的废品收购站处理；不能回收利用的，集中收集后交由专业的运渣公司清运至指定的建筑垃圾堆放点进行处置，运输过程车厢设置覆盖设施，严禁随意倾弃。</w:t>
                  </w:r>
                </w:p>
              </w:tc>
              <w:tc>
                <w:tcPr>
                  <w:tcW w:w="955" w:type="dxa"/>
                  <w:vAlign w:val="center"/>
                </w:tcPr>
                <w:p w14:paraId="3844BF80">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0" w:firstLineChars="0"/>
                    <w:jc w:val="center"/>
                    <w:textAlignment w:val="auto"/>
                    <w:rPr>
                      <w:rFonts w:hint="default" w:eastAsia="宋体"/>
                      <w:color w:val="auto"/>
                      <w:sz w:val="21"/>
                      <w:szCs w:val="21"/>
                      <w:vertAlign w:val="baseline"/>
                      <w:lang w:val="en-US" w:eastAsia="zh-CN"/>
                    </w:rPr>
                  </w:pPr>
                  <w:r>
                    <w:rPr>
                      <w:rFonts w:hint="eastAsia" w:eastAsia="宋体"/>
                      <w:color w:val="auto"/>
                      <w:sz w:val="21"/>
                      <w:szCs w:val="21"/>
                      <w:vertAlign w:val="baseline"/>
                      <w:lang w:val="en-US" w:eastAsia="zh-CN"/>
                    </w:rPr>
                    <w:t>符合</w:t>
                  </w:r>
                </w:p>
              </w:tc>
            </w:tr>
            <w:tr w14:paraId="5E66F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trPr>
              <w:tc>
                <w:tcPr>
                  <w:tcW w:w="3868" w:type="dxa"/>
                  <w:vAlign w:val="center"/>
                </w:tcPr>
                <w:p w14:paraId="7545238C">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三）推进挥发性有机物和氮氧化物协同治理。安全高效推进挥发性有机物综合治理，实施原辅材料和产品源头替代工程。推进氮氧化物排放深度治理，完成钢铁企业超低排放改造，实施煤电、水泥、焦化企业超低排放改造。</w:t>
                  </w:r>
                </w:p>
              </w:tc>
              <w:tc>
                <w:tcPr>
                  <w:tcW w:w="3816" w:type="dxa"/>
                  <w:vAlign w:val="center"/>
                </w:tcPr>
                <w:p w14:paraId="4EBA3053">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both"/>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本项目</w:t>
                  </w:r>
                  <w:r>
                    <w:rPr>
                      <w:rFonts w:hint="eastAsia" w:ascii="Times New Roman" w:hAnsi="Times New Roman" w:eastAsia="宋体" w:cs="Times New Roman"/>
                      <w:color w:val="auto"/>
                      <w:kern w:val="0"/>
                      <w:sz w:val="21"/>
                      <w:szCs w:val="21"/>
                      <w:lang w:val="en-US" w:eastAsia="zh-CN" w:bidi="ar-SA"/>
                    </w:rPr>
                    <w:t>产生的烧成废气经一套</w:t>
                  </w:r>
                  <w:r>
                    <w:rPr>
                      <w:rFonts w:hint="eastAsia" w:cs="Times New Roman"/>
                      <w:color w:val="auto"/>
                      <w:kern w:val="0"/>
                      <w:sz w:val="21"/>
                      <w:szCs w:val="21"/>
                      <w:lang w:val="en-US" w:eastAsia="zh-CN" w:bidi="ar-SA"/>
                    </w:rPr>
                    <w:t>布袋除尘+脱硫塔</w:t>
                  </w:r>
                  <w:r>
                    <w:rPr>
                      <w:rFonts w:hint="eastAsia" w:ascii="Times New Roman" w:hAnsi="Times New Roman" w:eastAsia="宋体" w:cs="Times New Roman"/>
                      <w:color w:val="auto"/>
                      <w:kern w:val="0"/>
                      <w:sz w:val="21"/>
                      <w:szCs w:val="21"/>
                      <w:lang w:val="en-US" w:eastAsia="zh-CN" w:bidi="ar-SA"/>
                    </w:rPr>
                    <w:t>处理后</w:t>
                  </w:r>
                  <w:r>
                    <w:rPr>
                      <w:rFonts w:hint="eastAsia" w:ascii="Times New Roman" w:hAnsi="Times New Roman" w:cs="Times New Roman"/>
                      <w:color w:val="auto"/>
                      <w:kern w:val="0"/>
                      <w:sz w:val="21"/>
                      <w:szCs w:val="21"/>
                      <w:lang w:val="en-US" w:eastAsia="zh-CN" w:bidi="ar-SA"/>
                    </w:rPr>
                    <w:t>通过15</w:t>
                  </w:r>
                  <w:r>
                    <w:rPr>
                      <w:rFonts w:hint="eastAsia" w:ascii="Times New Roman" w:hAnsi="Times New Roman" w:eastAsia="宋体" w:cs="Times New Roman"/>
                      <w:color w:val="auto"/>
                      <w:kern w:val="0"/>
                      <w:sz w:val="21"/>
                      <w:szCs w:val="21"/>
                      <w:lang w:val="en-US" w:eastAsia="zh-CN" w:bidi="ar-SA"/>
                    </w:rPr>
                    <w:t>m高排气筒排放，排放口编码为DA001</w:t>
                  </w:r>
                  <w:r>
                    <w:rPr>
                      <w:rFonts w:hint="eastAsia" w:ascii="Times New Roman" w:hAnsi="Times New Roman" w:eastAsia="宋体" w:cs="Times New Roman"/>
                      <w:b w:val="0"/>
                      <w:bCs w:val="0"/>
                      <w:color w:val="auto"/>
                      <w:kern w:val="2"/>
                      <w:sz w:val="21"/>
                      <w:szCs w:val="21"/>
                      <w:lang w:val="en-US" w:eastAsia="zh-CN" w:bidi="ar-SA"/>
                    </w:rPr>
                    <w:t>。不属于钢铁、</w:t>
                  </w:r>
                  <w:r>
                    <w:rPr>
                      <w:rFonts w:hint="default" w:ascii="Times New Roman" w:hAnsi="Times New Roman" w:eastAsia="宋体" w:cs="Times New Roman"/>
                      <w:color w:val="auto"/>
                      <w:kern w:val="2"/>
                      <w:sz w:val="21"/>
                      <w:szCs w:val="21"/>
                      <w:lang w:val="en-US" w:eastAsia="zh-CN" w:bidi="ar-SA"/>
                    </w:rPr>
                    <w:t>煤电、水泥、焦化企业</w:t>
                  </w:r>
                  <w:r>
                    <w:rPr>
                      <w:rFonts w:hint="eastAsia" w:ascii="Times New Roman" w:hAnsi="Times New Roman" w:eastAsia="宋体" w:cs="Times New Roman"/>
                      <w:color w:val="auto"/>
                      <w:kern w:val="2"/>
                      <w:sz w:val="21"/>
                      <w:szCs w:val="21"/>
                      <w:lang w:val="en-US" w:eastAsia="zh-CN" w:bidi="ar-SA"/>
                    </w:rPr>
                    <w:t>。</w:t>
                  </w:r>
                </w:p>
              </w:tc>
              <w:tc>
                <w:tcPr>
                  <w:tcW w:w="955" w:type="dxa"/>
                  <w:vAlign w:val="center"/>
                </w:tcPr>
                <w:p w14:paraId="7679269E">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0" w:firstLineChars="0"/>
                    <w:jc w:val="center"/>
                    <w:textAlignment w:val="auto"/>
                    <w:rPr>
                      <w:rFonts w:hint="default" w:eastAsia="宋体"/>
                      <w:color w:val="auto"/>
                      <w:sz w:val="21"/>
                      <w:szCs w:val="21"/>
                      <w:vertAlign w:val="baseline"/>
                      <w:lang w:val="en-US" w:eastAsia="zh-CN"/>
                    </w:rPr>
                  </w:pPr>
                  <w:r>
                    <w:rPr>
                      <w:rFonts w:hint="eastAsia" w:eastAsia="宋体"/>
                      <w:color w:val="auto"/>
                      <w:sz w:val="21"/>
                      <w:szCs w:val="21"/>
                      <w:vertAlign w:val="baseline"/>
                      <w:lang w:val="en-US" w:eastAsia="zh-CN"/>
                    </w:rPr>
                    <w:t>符合</w:t>
                  </w:r>
                </w:p>
              </w:tc>
            </w:tr>
            <w:tr w14:paraId="4494D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1" w:hRule="atLeast"/>
              </w:trPr>
              <w:tc>
                <w:tcPr>
                  <w:tcW w:w="3868" w:type="dxa"/>
                  <w:vAlign w:val="center"/>
                </w:tcPr>
                <w:p w14:paraId="331FA937">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四）改善区域大气和声环境质量。持续开展春夏季攻坚行动，提升滇西南、滇南环境空气质量。完善滇中地区大气污染联防联控机制。加大餐饮油烟污染、恶臭异味治理力度。实施噪声污染防治行动，解决群众关心的噪声污染问题。</w:t>
                  </w:r>
                </w:p>
              </w:tc>
              <w:tc>
                <w:tcPr>
                  <w:tcW w:w="3816" w:type="dxa"/>
                  <w:vAlign w:val="center"/>
                </w:tcPr>
                <w:p w14:paraId="702BB0B9">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both"/>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本项目有效治理废气、防治噪声污染，对区域大气和声环境质量影响不大。</w:t>
                  </w:r>
                </w:p>
              </w:tc>
              <w:tc>
                <w:tcPr>
                  <w:tcW w:w="955" w:type="dxa"/>
                  <w:vAlign w:val="center"/>
                </w:tcPr>
                <w:p w14:paraId="15410DB7">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ind w:firstLine="0" w:firstLineChars="0"/>
                    <w:jc w:val="center"/>
                    <w:textAlignment w:val="auto"/>
                    <w:rPr>
                      <w:rFonts w:hint="default" w:eastAsia="宋体"/>
                      <w:color w:val="auto"/>
                      <w:sz w:val="21"/>
                      <w:szCs w:val="21"/>
                      <w:vertAlign w:val="baseline"/>
                      <w:lang w:val="en-US" w:eastAsia="zh-CN"/>
                    </w:rPr>
                  </w:pPr>
                  <w:r>
                    <w:rPr>
                      <w:rFonts w:hint="eastAsia" w:eastAsia="宋体"/>
                      <w:color w:val="auto"/>
                      <w:sz w:val="21"/>
                      <w:szCs w:val="21"/>
                      <w:vertAlign w:val="baseline"/>
                      <w:lang w:val="en-US" w:eastAsia="zh-CN"/>
                    </w:rPr>
                    <w:t>符合</w:t>
                  </w:r>
                </w:p>
              </w:tc>
            </w:tr>
          </w:tbl>
          <w:p w14:paraId="421F1E07">
            <w:pPr>
              <w:keepNext w:val="0"/>
              <w:keepLines w:val="0"/>
              <w:pageBreakBefore w:val="0"/>
              <w:kinsoku/>
              <w:wordWrap/>
              <w:overflowPunct/>
              <w:topLinePunct w:val="0"/>
              <w:autoSpaceDE w:val="0"/>
              <w:autoSpaceDN w:val="0"/>
              <w:bidi w:val="0"/>
              <w:adjustRightInd w:val="0"/>
              <w:snapToGrid w:val="0"/>
              <w:spacing w:line="360" w:lineRule="auto"/>
              <w:ind w:left="0" w:leftChars="0" w:firstLine="422" w:firstLineChars="200"/>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9</w:t>
            </w:r>
            <w:r>
              <w:rPr>
                <w:rFonts w:hint="eastAsia" w:ascii="Times New Roman" w:hAnsi="Times New Roman" w:eastAsia="宋体" w:cs="Times New Roman"/>
                <w:b/>
                <w:bCs/>
                <w:color w:val="auto"/>
                <w:sz w:val="21"/>
                <w:szCs w:val="21"/>
                <w:lang w:val="en-US" w:eastAsia="zh-CN"/>
              </w:rPr>
              <w:t>、项目与《云南省空气质量持续改善行动计划》（云政发〔2024〕14号）相符性分析</w:t>
            </w:r>
          </w:p>
          <w:p w14:paraId="0F5C1886">
            <w:pPr>
              <w:keepNext w:val="0"/>
              <w:keepLines w:val="0"/>
              <w:pageBreakBefore w:val="0"/>
              <w:widowControl w:val="0"/>
              <w:kinsoku/>
              <w:wordWrap/>
              <w:overflowPunct/>
              <w:topLinePunct w:val="0"/>
              <w:bidi w:val="0"/>
              <w:snapToGrid w:val="0"/>
              <w:spacing w:line="360" w:lineRule="auto"/>
              <w:ind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摘选部分与本项目相关内容，与其符合性分析见下表所示：</w:t>
            </w:r>
          </w:p>
          <w:p w14:paraId="4E30FE5B">
            <w:pPr>
              <w:keepNext w:val="0"/>
              <w:keepLines w:val="0"/>
              <w:pageBreakBefore w:val="0"/>
              <w:widowControl w:val="0"/>
              <w:kinsoku/>
              <w:wordWrap/>
              <w:overflowPunct/>
              <w:topLinePunct w:val="0"/>
              <w:bidi w:val="0"/>
              <w:snapToGrid w:val="0"/>
              <w:spacing w:line="360" w:lineRule="auto"/>
              <w:ind w:firstLine="0" w:firstLineChars="0"/>
              <w:jc w:val="center"/>
              <w:textAlignment w:val="auto"/>
              <w:rPr>
                <w:rFonts w:ascii="Times New Roman" w:hAnsi="Times New Roman" w:eastAsia="宋体" w:cs="Times New Roman"/>
                <w:b/>
                <w:bCs/>
                <w:color w:val="auto"/>
                <w:kern w:val="2"/>
                <w:sz w:val="21"/>
                <w:szCs w:val="21"/>
                <w:lang w:val="en-US" w:eastAsia="zh-CN" w:bidi="ar-SA"/>
              </w:rPr>
            </w:pPr>
            <w:r>
              <w:rPr>
                <w:rFonts w:ascii="Times New Roman" w:hAnsi="Times New Roman" w:eastAsia="宋体" w:cs="Times New Roman"/>
                <w:b/>
                <w:bCs/>
                <w:color w:val="auto"/>
                <w:kern w:val="2"/>
                <w:sz w:val="21"/>
                <w:szCs w:val="21"/>
                <w:lang w:val="en-US" w:eastAsia="zh-CN" w:bidi="ar-SA"/>
              </w:rPr>
              <w:t>表1-</w:t>
            </w:r>
            <w:r>
              <w:rPr>
                <w:rFonts w:hint="eastAsia" w:cs="Times New Roman"/>
                <w:b/>
                <w:bCs/>
                <w:color w:val="auto"/>
                <w:kern w:val="2"/>
                <w:sz w:val="21"/>
                <w:szCs w:val="21"/>
                <w:lang w:val="en-US" w:eastAsia="zh-CN" w:bidi="ar-SA"/>
              </w:rPr>
              <w:t>13</w:t>
            </w:r>
            <w:r>
              <w:rPr>
                <w:rFonts w:hint="eastAsia" w:ascii="Times New Roman" w:hAnsi="Times New Roman" w:eastAsia="宋体" w:cs="Times New Roman"/>
                <w:b/>
                <w:bCs/>
                <w:color w:val="auto"/>
                <w:kern w:val="2"/>
                <w:sz w:val="21"/>
                <w:szCs w:val="21"/>
                <w:lang w:val="en-US" w:eastAsia="zh-CN" w:bidi="ar-SA"/>
              </w:rPr>
              <w:t xml:space="preserve">  </w:t>
            </w:r>
            <w:r>
              <w:rPr>
                <w:rFonts w:ascii="Times New Roman" w:hAnsi="Times New Roman" w:eastAsia="宋体" w:cs="Times New Roman"/>
                <w:b/>
                <w:bCs/>
                <w:color w:val="auto"/>
                <w:kern w:val="2"/>
                <w:sz w:val="21"/>
                <w:szCs w:val="21"/>
                <w:lang w:val="en-US" w:eastAsia="zh-CN" w:bidi="ar-SA"/>
              </w:rPr>
              <w:t>项目与</w:t>
            </w:r>
            <w:r>
              <w:rPr>
                <w:rFonts w:hint="eastAsia" w:ascii="Times New Roman" w:hAnsi="Times New Roman" w:eastAsia="宋体" w:cs="Times New Roman"/>
                <w:b/>
                <w:bCs/>
                <w:color w:val="auto"/>
                <w:kern w:val="2"/>
                <w:sz w:val="21"/>
                <w:szCs w:val="21"/>
                <w:lang w:val="en-US" w:eastAsia="zh-CN" w:bidi="ar-SA"/>
              </w:rPr>
              <w:t>《云南省空气质量持续改善行动计划》</w:t>
            </w:r>
            <w:r>
              <w:rPr>
                <w:rFonts w:ascii="Times New Roman" w:hAnsi="Times New Roman" w:eastAsia="宋体" w:cs="Times New Roman"/>
                <w:b/>
                <w:bCs/>
                <w:color w:val="auto"/>
                <w:kern w:val="2"/>
                <w:sz w:val="21"/>
                <w:szCs w:val="21"/>
                <w:lang w:val="en-US" w:eastAsia="zh-CN" w:bidi="ar-SA"/>
              </w:rPr>
              <w:t>符合分析表</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3964"/>
              <w:gridCol w:w="2837"/>
              <w:gridCol w:w="940"/>
            </w:tblGrid>
            <w:tr w14:paraId="47D0E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6" w:type="pct"/>
                  <w:gridSpan w:val="2"/>
                  <w:vAlign w:val="center"/>
                </w:tcPr>
                <w:p w14:paraId="4FACC196">
                  <w:pPr>
                    <w:pStyle w:val="70"/>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通知要求</w:t>
                  </w:r>
                </w:p>
              </w:tc>
              <w:tc>
                <w:tcPr>
                  <w:tcW w:w="1647" w:type="pct"/>
                  <w:vAlign w:val="center"/>
                </w:tcPr>
                <w:p w14:paraId="298A43AC">
                  <w:pPr>
                    <w:pStyle w:val="70"/>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项目情况</w:t>
                  </w:r>
                </w:p>
              </w:tc>
              <w:tc>
                <w:tcPr>
                  <w:tcW w:w="545" w:type="pct"/>
                  <w:vAlign w:val="center"/>
                </w:tcPr>
                <w:p w14:paraId="7B055D36">
                  <w:pPr>
                    <w:pStyle w:val="70"/>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14:paraId="4AA27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 w:type="pct"/>
                  <w:vAlign w:val="center"/>
                </w:tcPr>
                <w:p w14:paraId="5D2C8043">
                  <w:pPr>
                    <w:pStyle w:val="70"/>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sz w:val="21"/>
                      <w:szCs w:val="21"/>
                    </w:rPr>
                  </w:pPr>
                  <w:r>
                    <w:rPr>
                      <w:rStyle w:val="32"/>
                      <w:rFonts w:hint="default" w:ascii="Times New Roman" w:hAnsi="Times New Roman" w:eastAsia="宋体" w:cs="Times New Roman"/>
                      <w:i w:val="0"/>
                      <w:iCs w:val="0"/>
                      <w:caps w:val="0"/>
                      <w:color w:val="auto"/>
                      <w:spacing w:val="0"/>
                      <w:sz w:val="21"/>
                      <w:szCs w:val="21"/>
                      <w:shd w:val="clear" w:fill="FFFFFF"/>
                    </w:rPr>
                    <w:t>二、优化产业结构</w:t>
                  </w:r>
                </w:p>
              </w:tc>
              <w:tc>
                <w:tcPr>
                  <w:tcW w:w="2302" w:type="pct"/>
                  <w:vAlign w:val="center"/>
                </w:tcPr>
                <w:p w14:paraId="7D66EDF6">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both"/>
                    <w:textAlignment w:val="auto"/>
                    <w:rPr>
                      <w:rFonts w:hint="eastAsia" w:ascii="Times New Roman" w:hAnsi="Times New Roman" w:eastAsia="宋体" w:cs="Times New Roman"/>
                      <w:i w:val="0"/>
                      <w:iCs w:val="0"/>
                      <w:caps w:val="0"/>
                      <w:color w:val="auto"/>
                      <w:spacing w:val="0"/>
                      <w:sz w:val="21"/>
                      <w:szCs w:val="21"/>
                      <w:shd w:val="clear" w:fill="FFFFFF"/>
                      <w:lang w:eastAsia="zh-CN"/>
                    </w:rPr>
                  </w:pPr>
                  <w:r>
                    <w:rPr>
                      <w:rFonts w:hint="eastAsia" w:ascii="Times New Roman" w:hAnsi="Times New Roman" w:eastAsia="宋体" w:cs="Times New Roman"/>
                      <w:i w:val="0"/>
                      <w:iCs w:val="0"/>
                      <w:caps w:val="0"/>
                      <w:color w:val="auto"/>
                      <w:spacing w:val="0"/>
                      <w:sz w:val="21"/>
                      <w:szCs w:val="21"/>
                      <w:shd w:val="clear" w:fill="FFFFFF"/>
                      <w:lang w:eastAsia="zh-CN"/>
                    </w:rPr>
                    <w:t>（</w:t>
                  </w:r>
                  <w:r>
                    <w:rPr>
                      <w:rFonts w:hint="eastAsia" w:ascii="Times New Roman" w:hAnsi="Times New Roman" w:eastAsia="宋体" w:cs="Times New Roman"/>
                      <w:i w:val="0"/>
                      <w:iCs w:val="0"/>
                      <w:caps w:val="0"/>
                      <w:color w:val="auto"/>
                      <w:spacing w:val="0"/>
                      <w:sz w:val="21"/>
                      <w:szCs w:val="21"/>
                      <w:shd w:val="clear" w:fill="FFFFFF"/>
                      <w:lang w:val="en-US" w:eastAsia="zh-CN"/>
                    </w:rPr>
                    <w:t>一</w:t>
                  </w:r>
                  <w:r>
                    <w:rPr>
                      <w:rFonts w:hint="eastAsia" w:ascii="Times New Roman" w:hAnsi="Times New Roman" w:eastAsia="宋体" w:cs="Times New Roman"/>
                      <w:i w:val="0"/>
                      <w:iCs w:val="0"/>
                      <w:caps w:val="0"/>
                      <w:color w:val="auto"/>
                      <w:spacing w:val="0"/>
                      <w:sz w:val="21"/>
                      <w:szCs w:val="21"/>
                      <w:shd w:val="clear" w:fill="FFFFFF"/>
                      <w:lang w:eastAsia="zh-CN"/>
                    </w:rPr>
                    <w:t>）坚决遏制“两高一低”项目盲目上马。新改扩建项目严格落实国家和省产业规划、产业政策、生态环境分区管控方案、规划环评、项目环评、节能审查、产能置换、重点污染物总量控制、污染物排放区域削减、碳排放达峰目标等相关要求，原则上采用清洁运输方式。加快推进钢铁产业转型升级，鼓励钢铁、焦化、烧结一体化布局，减少独立焦化、烧结、球团和热轧企业及工序。到2025年，短流程炼钢产量占比达15%。</w:t>
                  </w:r>
                </w:p>
                <w:p w14:paraId="60B6CCE0">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both"/>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i w:val="0"/>
                      <w:iCs w:val="0"/>
                      <w:caps w:val="0"/>
                      <w:color w:val="auto"/>
                      <w:spacing w:val="0"/>
                      <w:sz w:val="21"/>
                      <w:szCs w:val="21"/>
                      <w:shd w:val="clear" w:fill="FFFFFF"/>
                      <w:lang w:eastAsia="zh-CN"/>
                    </w:rPr>
                    <w:t>（二）推动落后产能退出。推动能耗、环保、质量、安全、技术达不到标准和生产不合格产品或淘汰类产能依法依规关停退出。不予审批限制类新建项目，按照国家要求对属于限制类的现有生产能力进行升级改造。</w:t>
                  </w:r>
                </w:p>
              </w:tc>
              <w:tc>
                <w:tcPr>
                  <w:tcW w:w="1647" w:type="pct"/>
                  <w:vAlign w:val="center"/>
                </w:tcPr>
                <w:p w14:paraId="4D7727D0">
                  <w:pPr>
                    <w:pStyle w:val="70"/>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符合《产业结构调整指导目录（2024年版）》、《玉溪市“三线一单”生态环境分区管控实施意见的通知》（玉政发〔2021〕15号）和玉溪市生态环境分区管控动态更新调整方案（2023年）等一系列行业政策文件</w:t>
                  </w:r>
                  <w:r>
                    <w:rPr>
                      <w:rFonts w:hint="default" w:ascii="Times New Roman" w:hAnsi="Times New Roman" w:eastAsia="宋体" w:cs="Times New Roman"/>
                      <w:i w:val="0"/>
                      <w:iCs w:val="0"/>
                      <w:caps w:val="0"/>
                      <w:color w:val="auto"/>
                      <w:spacing w:val="0"/>
                      <w:sz w:val="21"/>
                      <w:szCs w:val="21"/>
                      <w:shd w:val="clear" w:fill="FFFFFF"/>
                      <w:lang w:eastAsia="zh-CN"/>
                    </w:rPr>
                    <w:t>。</w:t>
                  </w:r>
                  <w:r>
                    <w:rPr>
                      <w:rFonts w:hint="eastAsia" w:ascii="Times New Roman" w:hAnsi="Times New Roman" w:eastAsia="宋体" w:cs="Times New Roman"/>
                      <w:color w:val="auto"/>
                      <w:szCs w:val="21"/>
                      <w:lang w:val="en-US" w:eastAsia="zh-CN"/>
                    </w:rPr>
                    <w:t>本项目属于利用废弃资源制造砖瓦的项目，</w:t>
                  </w:r>
                  <w:r>
                    <w:rPr>
                      <w:rFonts w:hint="eastAsia" w:cs="Times New Roman"/>
                      <w:color w:val="auto"/>
                      <w:sz w:val="21"/>
                      <w:szCs w:val="21"/>
                      <w:lang w:val="en-US" w:eastAsia="zh-CN"/>
                    </w:rPr>
                    <w:t>华宁县白塔山陶器厂（新厂）</w:t>
                  </w:r>
                  <w:r>
                    <w:rPr>
                      <w:rFonts w:hint="default" w:ascii="Times New Roman" w:hAnsi="Times New Roman" w:eastAsia="宋体" w:cs="Times New Roman"/>
                      <w:color w:val="auto"/>
                      <w:kern w:val="2"/>
                      <w:sz w:val="21"/>
                      <w:szCs w:val="21"/>
                      <w:lang w:val="en-US" w:eastAsia="zh-CN" w:bidi="ar-SA"/>
                    </w:rPr>
                    <w:t>于20</w:t>
                  </w:r>
                  <w:r>
                    <w:rPr>
                      <w:rFonts w:hint="eastAsia" w:cs="Times New Roman"/>
                      <w:color w:val="auto"/>
                      <w:kern w:val="2"/>
                      <w:sz w:val="21"/>
                      <w:szCs w:val="21"/>
                      <w:lang w:val="en-US" w:eastAsia="zh-CN" w:bidi="ar-SA"/>
                    </w:rPr>
                    <w:t>20</w:t>
                  </w:r>
                  <w:r>
                    <w:rPr>
                      <w:rFonts w:hint="default" w:ascii="Times New Roman" w:hAnsi="Times New Roman" w:eastAsia="宋体" w:cs="Times New Roman"/>
                      <w:color w:val="auto"/>
                      <w:kern w:val="2"/>
                      <w:sz w:val="21"/>
                      <w:szCs w:val="21"/>
                      <w:lang w:val="en-US" w:eastAsia="zh-CN" w:bidi="ar-SA"/>
                    </w:rPr>
                    <w:t>年</w:t>
                  </w:r>
                  <w:r>
                    <w:rPr>
                      <w:rFonts w:hint="eastAsia" w:cs="Times New Roman"/>
                      <w:color w:val="auto"/>
                      <w:kern w:val="2"/>
                      <w:sz w:val="21"/>
                      <w:szCs w:val="21"/>
                      <w:lang w:val="en-US" w:eastAsia="zh-CN" w:bidi="ar-SA"/>
                    </w:rPr>
                    <w:t>7</w:t>
                  </w:r>
                  <w:r>
                    <w:rPr>
                      <w:rFonts w:hint="default" w:ascii="Times New Roman" w:hAnsi="Times New Roman" w:eastAsia="宋体" w:cs="Times New Roman"/>
                      <w:color w:val="auto"/>
                      <w:kern w:val="2"/>
                      <w:sz w:val="21"/>
                      <w:szCs w:val="21"/>
                      <w:lang w:val="en-US" w:eastAsia="zh-CN" w:bidi="ar-SA"/>
                    </w:rPr>
                    <w:t>月</w:t>
                  </w:r>
                  <w:r>
                    <w:rPr>
                      <w:rFonts w:hint="eastAsia" w:cs="Times New Roman"/>
                      <w:color w:val="auto"/>
                      <w:kern w:val="2"/>
                      <w:sz w:val="21"/>
                      <w:szCs w:val="21"/>
                      <w:lang w:val="en-US" w:eastAsia="zh-CN" w:bidi="ar-SA"/>
                    </w:rPr>
                    <w:t>20日被华宁县环境监测大队查处，在未办理环境影响评价手续的情况下完成三座土窑的建设；10月9日玉溪市生态环境局华宁分局对项目进行了处罚，根据</w:t>
                  </w:r>
                  <w:r>
                    <w:rPr>
                      <w:rFonts w:hint="eastAsia" w:ascii="Times New Roman" w:hAnsi="Times New Roman" w:eastAsia="宋体" w:cs="Times New Roman"/>
                      <w:color w:val="auto"/>
                      <w:kern w:val="2"/>
                      <w:sz w:val="21"/>
                      <w:szCs w:val="21"/>
                      <w:lang w:val="en-US" w:eastAsia="zh-CN" w:bidi="ar-SA"/>
                    </w:rPr>
                    <w:t>2022年10月2日华宁县人民政府办公室发布的《华宁县人民政府办公室关于印发华宁县青砖瓦生产企业整治工作方案的通知》（华政办通〔2022〕38号），</w:t>
                  </w:r>
                  <w:r>
                    <w:rPr>
                      <w:rFonts w:hint="eastAsia" w:cs="Times New Roman"/>
                      <w:color w:val="auto"/>
                      <w:sz w:val="21"/>
                      <w:szCs w:val="21"/>
                      <w:lang w:val="en-US" w:eastAsia="zh-CN"/>
                    </w:rPr>
                    <w:t>华宁县白塔山陶器厂（老厂）已经依法关闭退出</w:t>
                  </w:r>
                  <w:r>
                    <w:rPr>
                      <w:rFonts w:hint="eastAsia" w:cs="Times New Roman"/>
                      <w:color w:val="auto"/>
                      <w:kern w:val="2"/>
                      <w:sz w:val="21"/>
                      <w:szCs w:val="21"/>
                      <w:lang w:val="en-US" w:eastAsia="zh-CN" w:bidi="ar-SA"/>
                    </w:rPr>
                    <w:t>；</w:t>
                  </w:r>
                  <w:r>
                    <w:rPr>
                      <w:rFonts w:hint="eastAsia" w:cs="Times New Roman"/>
                      <w:color w:val="auto"/>
                      <w:sz w:val="21"/>
                      <w:szCs w:val="21"/>
                      <w:lang w:val="en-US" w:eastAsia="zh-CN"/>
                    </w:rPr>
                    <w:t>华宁县白塔山陶器厂（新厂）</w:t>
                  </w:r>
                  <w:r>
                    <w:rPr>
                      <w:rFonts w:hint="eastAsia" w:cs="Times New Roman"/>
                      <w:color w:val="auto"/>
                      <w:kern w:val="2"/>
                      <w:sz w:val="21"/>
                      <w:szCs w:val="21"/>
                      <w:lang w:val="en-US" w:eastAsia="zh-CN" w:bidi="ar-SA"/>
                    </w:rPr>
                    <w:t>属于需要巩固提升的青砖瓦企业，项目改建后总产能不发生改变，仍为900万件；根据本次评价核算，改建后项目颗粒物排放量削减了27.96t/a；二氧化硫排放量削减了17.7t/a，氮氧化物排放量削减了1.378t/a，氟化物排放量削减了0.767t/a，符合</w:t>
                  </w:r>
                  <w:r>
                    <w:rPr>
                      <w:rFonts w:hint="eastAsia" w:ascii="Times New Roman" w:hAnsi="Times New Roman" w:eastAsia="宋体" w:cs="Times New Roman"/>
                      <w:color w:val="auto"/>
                      <w:sz w:val="21"/>
                      <w:szCs w:val="21"/>
                      <w:lang w:val="en-US" w:eastAsia="zh-CN"/>
                    </w:rPr>
                    <w:t>生态环境保护法律法规和相关法定规划</w:t>
                  </w:r>
                  <w:r>
                    <w:rPr>
                      <w:rFonts w:hint="eastAsia" w:ascii="Times New Roman" w:hAnsi="Times New Roman" w:eastAsia="宋体" w:cs="Times New Roman"/>
                      <w:i w:val="0"/>
                      <w:iCs w:val="0"/>
                      <w:caps w:val="0"/>
                      <w:color w:val="auto"/>
                      <w:spacing w:val="0"/>
                      <w:sz w:val="21"/>
                      <w:szCs w:val="21"/>
                      <w:shd w:val="clear" w:fill="FFFFFF"/>
                      <w:lang w:val="en-US" w:eastAsia="zh-CN"/>
                    </w:rPr>
                    <w:t>。</w:t>
                  </w:r>
                </w:p>
                <w:p w14:paraId="2144642D">
                  <w:pPr>
                    <w:pStyle w:val="70"/>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本项目不属于落后产能，对照《产业结构调整指导目录（2024年版）》，属于“</w:t>
                  </w:r>
                  <w:r>
                    <w:rPr>
                      <w:rFonts w:hint="eastAsia" w:cs="Times New Roman"/>
                      <w:color w:val="auto"/>
                      <w:sz w:val="21"/>
                      <w:szCs w:val="21"/>
                      <w:lang w:val="en-US" w:eastAsia="zh-CN"/>
                    </w:rPr>
                    <w:t>鼓励类</w:t>
                  </w:r>
                  <w:r>
                    <w:rPr>
                      <w:rFonts w:hint="eastAsia" w:ascii="Times New Roman" w:hAnsi="Times New Roman" w:eastAsia="宋体" w:cs="Times New Roman"/>
                      <w:color w:val="auto"/>
                      <w:sz w:val="21"/>
                      <w:szCs w:val="21"/>
                      <w:lang w:val="en-US" w:eastAsia="zh-CN"/>
                    </w:rPr>
                    <w:t>”，符合产业政策</w:t>
                  </w:r>
                  <w:r>
                    <w:rPr>
                      <w:rFonts w:hint="default" w:ascii="Times New Roman" w:hAnsi="Times New Roman" w:eastAsia="宋体" w:cs="Times New Roman"/>
                      <w:color w:val="auto"/>
                      <w:sz w:val="21"/>
                      <w:szCs w:val="21"/>
                    </w:rPr>
                    <w:t>。</w:t>
                  </w:r>
                </w:p>
              </w:tc>
              <w:tc>
                <w:tcPr>
                  <w:tcW w:w="545" w:type="pct"/>
                  <w:vAlign w:val="center"/>
                </w:tcPr>
                <w:p w14:paraId="3D33DADC">
                  <w:pPr>
                    <w:pStyle w:val="70"/>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79110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 w:type="pct"/>
                  <w:vAlign w:val="center"/>
                </w:tcPr>
                <w:p w14:paraId="69D065CA">
                  <w:pPr>
                    <w:pStyle w:val="70"/>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sz w:val="21"/>
                      <w:szCs w:val="21"/>
                    </w:rPr>
                  </w:pPr>
                  <w:r>
                    <w:rPr>
                      <w:rStyle w:val="32"/>
                      <w:rFonts w:hint="default" w:ascii="Times New Roman" w:hAnsi="Times New Roman" w:eastAsia="宋体" w:cs="Times New Roman"/>
                      <w:i w:val="0"/>
                      <w:iCs w:val="0"/>
                      <w:caps w:val="0"/>
                      <w:color w:val="auto"/>
                      <w:spacing w:val="0"/>
                      <w:sz w:val="21"/>
                      <w:szCs w:val="21"/>
                      <w:shd w:val="clear" w:fill="FFFFFF"/>
                    </w:rPr>
                    <w:t>三、优化能源结构</w:t>
                  </w:r>
                </w:p>
              </w:tc>
              <w:tc>
                <w:tcPr>
                  <w:tcW w:w="2302" w:type="pct"/>
                  <w:vAlign w:val="center"/>
                </w:tcPr>
                <w:p w14:paraId="43F6E523">
                  <w:pPr>
                    <w:pStyle w:val="70"/>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aps w:val="0"/>
                      <w:color w:val="auto"/>
                      <w:spacing w:val="0"/>
                      <w:sz w:val="21"/>
                      <w:szCs w:val="21"/>
                      <w:shd w:val="clear" w:fill="FFFFFF"/>
                    </w:rPr>
                    <w:t>（九）推动工业炉窑清洁能源替代。有序推进以电代煤，积极稳妥推进以气代煤。对以煤、石油焦、渣油、重油等为燃料的工业炉窑，加快使用工业余热、电能、天然气等清洁能源进行替代</w:t>
                  </w:r>
                  <w:r>
                    <w:rPr>
                      <w:rFonts w:hint="default" w:ascii="Times New Roman" w:hAnsi="Times New Roman" w:eastAsia="宋体" w:cs="Times New Roman"/>
                      <w:color w:val="auto"/>
                      <w:sz w:val="21"/>
                      <w:szCs w:val="21"/>
                    </w:rPr>
                    <w:t>。</w:t>
                  </w:r>
                </w:p>
              </w:tc>
              <w:tc>
                <w:tcPr>
                  <w:tcW w:w="1647" w:type="pct"/>
                  <w:vAlign w:val="center"/>
                </w:tcPr>
                <w:p w14:paraId="42F63AAE">
                  <w:pPr>
                    <w:pStyle w:val="70"/>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i w:val="0"/>
                      <w:iCs w:val="0"/>
                      <w:caps w:val="0"/>
                      <w:color w:val="auto"/>
                      <w:spacing w:val="0"/>
                      <w:sz w:val="21"/>
                      <w:szCs w:val="21"/>
                      <w:shd w:val="clear" w:fill="FFFFFF"/>
                      <w:lang w:val="en-US" w:eastAsia="zh-CN"/>
                    </w:rPr>
                    <w:t>本项目</w:t>
                  </w:r>
                  <w:r>
                    <w:rPr>
                      <w:rFonts w:hint="eastAsia" w:cs="Times New Roman"/>
                      <w:i w:val="0"/>
                      <w:iCs w:val="0"/>
                      <w:caps w:val="0"/>
                      <w:color w:val="auto"/>
                      <w:spacing w:val="0"/>
                      <w:sz w:val="21"/>
                      <w:szCs w:val="21"/>
                      <w:shd w:val="clear" w:fill="FFFFFF"/>
                      <w:lang w:val="en-US" w:eastAsia="zh-CN"/>
                    </w:rPr>
                    <w:t>使用优质低硫煤且用量较少，若后期天然气接通，企业则响应政府号召进行能源替代。</w:t>
                  </w:r>
                </w:p>
              </w:tc>
              <w:tc>
                <w:tcPr>
                  <w:tcW w:w="545" w:type="pct"/>
                  <w:vAlign w:val="center"/>
                </w:tcPr>
                <w:p w14:paraId="19994E94">
                  <w:pPr>
                    <w:pStyle w:val="70"/>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662D3961">
            <w:pPr>
              <w:autoSpaceDE w:val="0"/>
              <w:autoSpaceDN w:val="0"/>
              <w:adjustRightInd w:val="0"/>
              <w:snapToGrid w:val="0"/>
              <w:spacing w:line="360" w:lineRule="auto"/>
              <w:ind w:firstLine="422" w:firstLineChars="200"/>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10</w:t>
            </w:r>
            <w:r>
              <w:rPr>
                <w:rFonts w:hint="eastAsia" w:ascii="Times New Roman" w:hAnsi="Times New Roman" w:eastAsia="宋体" w:cs="Times New Roman"/>
                <w:b/>
                <w:bCs/>
                <w:color w:val="auto"/>
                <w:sz w:val="21"/>
                <w:szCs w:val="21"/>
                <w:lang w:val="en-US" w:eastAsia="zh-CN"/>
              </w:rPr>
              <w:t>、与《关于推动仿古砖瓦行业转型升级的指导意见》符合性分析</w:t>
            </w:r>
          </w:p>
          <w:p w14:paraId="09B3BA2A">
            <w:pPr>
              <w:keepNext w:val="0"/>
              <w:keepLines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color w:val="auto"/>
                <w:sz w:val="21"/>
                <w:szCs w:val="21"/>
                <w:lang w:eastAsia="zh-CN"/>
              </w:rPr>
            </w:pPr>
            <w:r>
              <w:rPr>
                <w:rFonts w:hint="eastAsia"/>
                <w:color w:val="auto"/>
                <w:sz w:val="21"/>
                <w:szCs w:val="21"/>
                <w:lang w:val="en-US" w:eastAsia="zh-CN"/>
              </w:rPr>
              <w:t>2024年11月6日华宁县发展和改革局、华宁县工业商贸和科技信息局联合发布的《华宁县发展和改革局、华宁县工业商贸和科技信息局关于印发&lt;关于推动仿古砖瓦行业转型升级的指导意见&gt;的通知》（华发改联发〔2024〕377号）。摘选部分与本项目相关内容，与其符合性分析见下表所示。</w:t>
            </w:r>
          </w:p>
          <w:p w14:paraId="1D836D75">
            <w:pPr>
              <w:widowControl w:val="0"/>
              <w:bidi w:val="0"/>
              <w:spacing w:line="360" w:lineRule="auto"/>
              <w:ind w:firstLine="422" w:firstLineChars="200"/>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表1-</w:t>
            </w:r>
            <w:r>
              <w:rPr>
                <w:rFonts w:hint="eastAsia" w:cs="Times New Roman"/>
                <w:b/>
                <w:bCs/>
                <w:color w:val="auto"/>
                <w:kern w:val="2"/>
                <w:sz w:val="21"/>
                <w:szCs w:val="21"/>
                <w:lang w:val="en-US" w:eastAsia="zh-CN" w:bidi="ar-SA"/>
              </w:rPr>
              <w:t>14</w:t>
            </w:r>
            <w:r>
              <w:rPr>
                <w:rFonts w:hint="eastAsia" w:ascii="Times New Roman" w:hAnsi="Times New Roman" w:eastAsia="宋体" w:cs="Times New Roman"/>
                <w:b/>
                <w:bCs/>
                <w:color w:val="auto"/>
                <w:kern w:val="2"/>
                <w:sz w:val="21"/>
                <w:szCs w:val="21"/>
                <w:lang w:val="en-US" w:eastAsia="zh-CN" w:bidi="ar-SA"/>
              </w:rPr>
              <w:t xml:space="preserve">  本项目与《关于推动仿古砖瓦行业转型升级的指导意见》符合性分析（摘抄）</w:t>
            </w:r>
          </w:p>
          <w:tbl>
            <w:tblPr>
              <w:tblStyle w:val="29"/>
              <w:tblW w:w="86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9"/>
              <w:gridCol w:w="4533"/>
              <w:gridCol w:w="2465"/>
              <w:gridCol w:w="1015"/>
            </w:tblGrid>
            <w:tr w14:paraId="3D880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609" w:type="dxa"/>
                  <w:noWrap w:val="0"/>
                  <w:vAlign w:val="center"/>
                </w:tcPr>
                <w:p w14:paraId="13F2E27D">
                  <w:pPr>
                    <w:pStyle w:val="70"/>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序号</w:t>
                  </w:r>
                </w:p>
              </w:tc>
              <w:tc>
                <w:tcPr>
                  <w:tcW w:w="4533" w:type="dxa"/>
                  <w:noWrap w:val="0"/>
                  <w:vAlign w:val="center"/>
                </w:tcPr>
                <w:p w14:paraId="4EBBDF7D">
                  <w:pPr>
                    <w:pStyle w:val="70"/>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val="en-US" w:eastAsia="zh-CN"/>
                    </w:rPr>
                    <w:t>条例</w:t>
                  </w:r>
                  <w:r>
                    <w:rPr>
                      <w:rFonts w:hint="eastAsia" w:ascii="Times New Roman" w:hAnsi="Times New Roman" w:eastAsia="宋体" w:cs="Times New Roman"/>
                      <w:b/>
                      <w:bCs/>
                      <w:color w:val="auto"/>
                      <w:sz w:val="21"/>
                      <w:szCs w:val="21"/>
                    </w:rPr>
                    <w:t>规定</w:t>
                  </w:r>
                </w:p>
              </w:tc>
              <w:tc>
                <w:tcPr>
                  <w:tcW w:w="2465" w:type="dxa"/>
                  <w:noWrap w:val="0"/>
                  <w:vAlign w:val="center"/>
                </w:tcPr>
                <w:p w14:paraId="39F03555">
                  <w:pPr>
                    <w:pStyle w:val="70"/>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本项目情况</w:t>
                  </w:r>
                </w:p>
              </w:tc>
              <w:tc>
                <w:tcPr>
                  <w:tcW w:w="1015" w:type="dxa"/>
                  <w:noWrap w:val="0"/>
                  <w:vAlign w:val="center"/>
                </w:tcPr>
                <w:p w14:paraId="02EA78B3">
                  <w:pPr>
                    <w:pStyle w:val="70"/>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14:paraId="0F67D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8622" w:type="dxa"/>
                  <w:gridSpan w:val="4"/>
                  <w:noWrap w:val="0"/>
                  <w:vAlign w:val="center"/>
                </w:tcPr>
                <w:p w14:paraId="2C3B3483">
                  <w:pPr>
                    <w:pStyle w:val="70"/>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bCs/>
                      <w:color w:val="auto"/>
                      <w:sz w:val="21"/>
                      <w:szCs w:val="21"/>
                      <w:lang w:val="en-US" w:eastAsia="zh-CN"/>
                    </w:rPr>
                    <w:t>二</w:t>
                  </w:r>
                  <w:r>
                    <w:rPr>
                      <w:rFonts w:hint="eastAsia" w:cs="Times New Roman"/>
                      <w:b/>
                      <w:bCs/>
                      <w:color w:val="auto"/>
                      <w:sz w:val="21"/>
                      <w:szCs w:val="21"/>
                      <w:lang w:val="en-US" w:eastAsia="zh-CN"/>
                    </w:rPr>
                    <w:t>、主要任务和发展举措</w:t>
                  </w:r>
                </w:p>
              </w:tc>
            </w:tr>
            <w:tr w14:paraId="46AA0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6" w:hRule="atLeast"/>
                <w:jc w:val="center"/>
              </w:trPr>
              <w:tc>
                <w:tcPr>
                  <w:tcW w:w="609" w:type="dxa"/>
                  <w:noWrap w:val="0"/>
                  <w:vAlign w:val="center"/>
                </w:tcPr>
                <w:p w14:paraId="59293B71">
                  <w:pPr>
                    <w:pStyle w:val="70"/>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Style w:val="32"/>
                      <w:rFonts w:hint="default" w:ascii="Times New Roman" w:hAnsi="Times New Roman" w:eastAsia="宋体" w:cs="Times New Roman"/>
                      <w:i w:val="0"/>
                      <w:iCs w:val="0"/>
                      <w:caps w:val="0"/>
                      <w:color w:val="auto"/>
                      <w:spacing w:val="0"/>
                      <w:sz w:val="21"/>
                      <w:szCs w:val="21"/>
                      <w:shd w:val="clear" w:fill="FFFFFF"/>
                      <w:lang w:val="en-US"/>
                    </w:rPr>
                  </w:pPr>
                  <w:r>
                    <w:rPr>
                      <w:rStyle w:val="32"/>
                      <w:rFonts w:hint="eastAsia" w:ascii="Times New Roman" w:hAnsi="Times New Roman" w:eastAsia="宋体" w:cs="Times New Roman"/>
                      <w:b/>
                      <w:bCs w:val="0"/>
                      <w:i w:val="0"/>
                      <w:iCs w:val="0"/>
                      <w:caps w:val="0"/>
                      <w:color w:val="auto"/>
                      <w:spacing w:val="0"/>
                      <w:sz w:val="21"/>
                      <w:szCs w:val="21"/>
                      <w:shd w:val="clear" w:fill="FFFFFF"/>
                    </w:rPr>
                    <w:t>1</w:t>
                  </w:r>
                  <w:r>
                    <w:rPr>
                      <w:rStyle w:val="32"/>
                      <w:rFonts w:hint="eastAsia" w:cs="Times New Roman"/>
                      <w:b/>
                      <w:bCs w:val="0"/>
                      <w:i w:val="0"/>
                      <w:iCs w:val="0"/>
                      <w:caps w:val="0"/>
                      <w:color w:val="auto"/>
                      <w:spacing w:val="0"/>
                      <w:sz w:val="21"/>
                      <w:szCs w:val="21"/>
                      <w:shd w:val="clear" w:fill="FFFFFF"/>
                      <w:lang w:val="en-US" w:eastAsia="zh-CN"/>
                    </w:rPr>
                    <w:t>.</w:t>
                  </w:r>
                  <w:r>
                    <w:rPr>
                      <w:rFonts w:hint="eastAsia" w:cs="Times New Roman"/>
                      <w:b/>
                      <w:bCs w:val="0"/>
                      <w:i w:val="0"/>
                      <w:iCs w:val="0"/>
                      <w:caps w:val="0"/>
                      <w:color w:val="auto"/>
                      <w:spacing w:val="0"/>
                      <w:sz w:val="21"/>
                      <w:szCs w:val="21"/>
                      <w:shd w:val="clear" w:fill="FFFFFF"/>
                      <w:lang w:val="en-US" w:eastAsia="zh-CN"/>
                    </w:rPr>
                    <w:t>有序淘汰落后产能</w:t>
                  </w:r>
                </w:p>
              </w:tc>
              <w:tc>
                <w:tcPr>
                  <w:tcW w:w="4533" w:type="dxa"/>
                  <w:noWrap w:val="0"/>
                  <w:vAlign w:val="center"/>
                </w:tcPr>
                <w:p w14:paraId="1F90276F">
                  <w:pPr>
                    <w:pStyle w:val="70"/>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ascii="Times New Roman" w:hAnsi="Times New Roman" w:eastAsia="宋体" w:cs="Times New Roman"/>
                      <w:i w:val="0"/>
                      <w:iCs w:val="0"/>
                      <w:caps w:val="0"/>
                      <w:color w:val="auto"/>
                      <w:spacing w:val="0"/>
                      <w:sz w:val="21"/>
                      <w:szCs w:val="21"/>
                      <w:shd w:val="clear" w:fill="FFFFFF"/>
                      <w:lang w:eastAsia="zh-CN"/>
                    </w:rPr>
                  </w:pPr>
                  <w:r>
                    <w:rPr>
                      <w:rFonts w:hint="eastAsia" w:cs="Times New Roman"/>
                      <w:i w:val="0"/>
                      <w:iCs w:val="0"/>
                      <w:caps w:val="0"/>
                      <w:color w:val="auto"/>
                      <w:spacing w:val="0"/>
                      <w:sz w:val="21"/>
                      <w:szCs w:val="21"/>
                      <w:shd w:val="clear" w:fill="FFFFFF"/>
                      <w:lang w:val="en-US" w:eastAsia="zh-CN"/>
                    </w:rPr>
                    <w:t>严格落实《产业结构调整指导目录(2024年本)》，综合运用环保、能耗、质量、安全、技术等法治化和市场化手段，推进落后工艺装备、落后产品退出市场，督促质量、安全、环保、能耗等不达标企业加快整改,督促对逾期未整改或经整改仍未达标的企业，要依法关停退出。新入园企业按照园区有关管理办法依照产业政策进行项目备案，取得相关审批手续后依法依规生产经营；符合原址建设条件的企业，就地进行改造提升，须按国家鼓励的窑型(梭式窑、辊道窑、隧道窑等)新建项目，按照政策备案后方可施工，办理相关审批手续后组织生产</w:t>
                  </w:r>
                  <w:r>
                    <w:rPr>
                      <w:rFonts w:hint="eastAsia" w:ascii="Times New Roman" w:hAnsi="Times New Roman" w:eastAsia="宋体" w:cs="Times New Roman"/>
                      <w:i w:val="0"/>
                      <w:iCs w:val="0"/>
                      <w:caps w:val="0"/>
                      <w:color w:val="auto"/>
                      <w:spacing w:val="0"/>
                      <w:sz w:val="21"/>
                      <w:szCs w:val="21"/>
                      <w:shd w:val="clear" w:fill="FFFFFF"/>
                      <w:lang w:eastAsia="zh-CN"/>
                    </w:rPr>
                    <w:t>。</w:t>
                  </w:r>
                </w:p>
              </w:tc>
              <w:tc>
                <w:tcPr>
                  <w:tcW w:w="2465" w:type="dxa"/>
                  <w:noWrap w:val="0"/>
                  <w:vAlign w:val="center"/>
                </w:tcPr>
                <w:p w14:paraId="16190958">
                  <w:pPr>
                    <w:pStyle w:val="70"/>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i w:val="0"/>
                      <w:iCs w:val="0"/>
                      <w:caps w:val="0"/>
                      <w:color w:val="auto"/>
                      <w:spacing w:val="0"/>
                      <w:sz w:val="21"/>
                      <w:szCs w:val="21"/>
                      <w:shd w:val="clear" w:fill="FFFFFF"/>
                      <w:lang w:val="en-US" w:eastAsia="zh-CN"/>
                    </w:rPr>
                  </w:pPr>
                  <w:r>
                    <w:rPr>
                      <w:rFonts w:hint="eastAsia" w:cs="Times New Roman"/>
                      <w:i w:val="0"/>
                      <w:iCs w:val="0"/>
                      <w:caps w:val="0"/>
                      <w:color w:val="auto"/>
                      <w:spacing w:val="0"/>
                      <w:sz w:val="21"/>
                      <w:szCs w:val="21"/>
                      <w:shd w:val="clear" w:fill="FFFFFF"/>
                      <w:lang w:val="en-US" w:eastAsia="zh-CN"/>
                    </w:rPr>
                    <w:t>对照《产业结构调整指导目录(2024年本)》本项目属于“鼓励类”，</w:t>
                  </w:r>
                  <w:r>
                    <w:rPr>
                      <w:rFonts w:hint="eastAsia" w:cs="Times New Roman"/>
                      <w:color w:val="auto"/>
                      <w:sz w:val="21"/>
                      <w:szCs w:val="21"/>
                      <w:u w:val="none"/>
                      <w:lang w:val="en-US" w:eastAsia="zh-CN"/>
                    </w:rPr>
                    <w:t>华宁县白塔山陶器厂</w:t>
                  </w:r>
                  <w:r>
                    <w:rPr>
                      <w:rFonts w:hint="eastAsia" w:cs="Times New Roman"/>
                      <w:color w:val="auto"/>
                      <w:kern w:val="2"/>
                      <w:sz w:val="21"/>
                      <w:szCs w:val="21"/>
                      <w:lang w:val="en-US" w:eastAsia="zh-CN" w:bidi="ar-SA"/>
                    </w:rPr>
                    <w:t>于2021年通过国有土地出让，取得《不动产权证》，文号：云（2021）华宁县不动产权第0000286号，厂区规划工业用地10624.66㎡；2025年2月21日取得了华宁县自然资源局出具的《华宁县2025年度第一批次村庄建设用地》的缴费通知，企业依法缴纳费用，取得了0.8928公顷的建设用地使用权；全厂合计占地面积为19552.66㎡，符合土地规划</w:t>
                  </w:r>
                  <w:r>
                    <w:rPr>
                      <w:rFonts w:hint="eastAsia" w:ascii="Times New Roman" w:hAnsi="Times New Roman" w:eastAsia="宋体" w:cs="Times New Roman"/>
                      <w:i w:val="0"/>
                      <w:iCs w:val="0"/>
                      <w:caps w:val="0"/>
                      <w:color w:val="auto"/>
                      <w:spacing w:val="0"/>
                      <w:sz w:val="21"/>
                      <w:szCs w:val="21"/>
                      <w:shd w:val="clear" w:fill="FFFFFF"/>
                      <w:lang w:val="en-US" w:eastAsia="zh-CN"/>
                    </w:rPr>
                    <w:t>。</w:t>
                  </w:r>
                </w:p>
              </w:tc>
              <w:tc>
                <w:tcPr>
                  <w:tcW w:w="1015" w:type="dxa"/>
                  <w:noWrap w:val="0"/>
                  <w:vAlign w:val="center"/>
                </w:tcPr>
                <w:p w14:paraId="72C1F721">
                  <w:pPr>
                    <w:pStyle w:val="70"/>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0D35A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5" w:hRule="atLeast"/>
                <w:jc w:val="center"/>
              </w:trPr>
              <w:tc>
                <w:tcPr>
                  <w:tcW w:w="609" w:type="dxa"/>
                  <w:noWrap w:val="0"/>
                  <w:vAlign w:val="center"/>
                </w:tcPr>
                <w:p w14:paraId="0666C777">
                  <w:pPr>
                    <w:pStyle w:val="70"/>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Style w:val="32"/>
                      <w:rFonts w:hint="eastAsia" w:ascii="Times New Roman" w:hAnsi="Times New Roman" w:eastAsia="宋体" w:cs="Times New Roman"/>
                      <w:i w:val="0"/>
                      <w:iCs w:val="0"/>
                      <w:caps w:val="0"/>
                      <w:color w:val="auto"/>
                      <w:spacing w:val="0"/>
                      <w:sz w:val="21"/>
                      <w:szCs w:val="21"/>
                      <w:shd w:val="clear" w:fill="FFFFFF"/>
                      <w:lang w:val="en-US" w:eastAsia="zh-CN"/>
                    </w:rPr>
                  </w:pPr>
                  <w:r>
                    <w:rPr>
                      <w:rStyle w:val="32"/>
                      <w:rFonts w:hint="eastAsia" w:ascii="Times New Roman" w:hAnsi="Times New Roman" w:eastAsia="宋体" w:cs="Times New Roman"/>
                      <w:i w:val="0"/>
                      <w:iCs w:val="0"/>
                      <w:caps w:val="0"/>
                      <w:color w:val="auto"/>
                      <w:spacing w:val="0"/>
                      <w:sz w:val="21"/>
                      <w:szCs w:val="21"/>
                      <w:shd w:val="clear" w:fill="FFFFFF"/>
                      <w:lang w:val="en-US" w:eastAsia="zh-CN"/>
                    </w:rPr>
                    <w:t>2</w:t>
                  </w:r>
                  <w:r>
                    <w:rPr>
                      <w:rStyle w:val="32"/>
                      <w:rFonts w:hint="eastAsia" w:cs="Times New Roman"/>
                      <w:i w:val="0"/>
                      <w:iCs w:val="0"/>
                      <w:caps w:val="0"/>
                      <w:color w:val="auto"/>
                      <w:spacing w:val="0"/>
                      <w:sz w:val="21"/>
                      <w:szCs w:val="21"/>
                      <w:shd w:val="clear" w:fill="FFFFFF"/>
                      <w:lang w:val="en-US" w:eastAsia="zh-CN"/>
                    </w:rPr>
                    <w:t>.</w:t>
                  </w:r>
                  <w:r>
                    <w:rPr>
                      <w:rStyle w:val="32"/>
                      <w:rFonts w:hint="eastAsia" w:ascii="Times New Roman" w:hAnsi="Times New Roman" w:eastAsia="宋体" w:cs="Times New Roman"/>
                      <w:i w:val="0"/>
                      <w:iCs w:val="0"/>
                      <w:caps w:val="0"/>
                      <w:color w:val="auto"/>
                      <w:spacing w:val="0"/>
                      <w:sz w:val="21"/>
                      <w:szCs w:val="21"/>
                      <w:shd w:val="clear" w:fill="FFFFFF"/>
                      <w:lang w:val="en-US" w:eastAsia="zh-CN"/>
                    </w:rPr>
                    <w:t>加快推进绿色转型</w:t>
                  </w:r>
                </w:p>
              </w:tc>
              <w:tc>
                <w:tcPr>
                  <w:tcW w:w="4533" w:type="dxa"/>
                  <w:noWrap w:val="0"/>
                  <w:vAlign w:val="center"/>
                </w:tcPr>
                <w:p w14:paraId="7CBC5A16">
                  <w:pPr>
                    <w:pStyle w:val="70"/>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ascii="Times New Roman" w:hAnsi="Times New Roman" w:eastAsia="宋体" w:cs="Times New Roman"/>
                      <w:i w:val="0"/>
                      <w:iCs w:val="0"/>
                      <w:caps w:val="0"/>
                      <w:color w:val="auto"/>
                      <w:spacing w:val="0"/>
                      <w:sz w:val="21"/>
                      <w:szCs w:val="21"/>
                      <w:shd w:val="clear" w:fill="FFFFFF"/>
                      <w:lang w:eastAsia="zh-CN"/>
                    </w:rPr>
                  </w:pPr>
                  <w:r>
                    <w:rPr>
                      <w:rFonts w:hint="eastAsia" w:ascii="Times New Roman" w:hAnsi="Times New Roman" w:eastAsia="宋体" w:cs="Times New Roman"/>
                      <w:i w:val="0"/>
                      <w:iCs w:val="0"/>
                      <w:caps w:val="0"/>
                      <w:color w:val="auto"/>
                      <w:spacing w:val="0"/>
                      <w:sz w:val="21"/>
                      <w:szCs w:val="21"/>
                      <w:shd w:val="clear" w:fill="FFFFFF"/>
                    </w:rPr>
                    <w:t>有序开展砖瓦行业的绿色工厂评价、绿色设计产品评价、绿色供应链评价、绿色建材产品认证，推进绿色低碳转型。引进适用于砖瓦窑炉烟气脱硫、脱硝、除尘综合治理成套技术和装备鼓励采用天然气等清洁能源替代传统化石能源，推广厂房屋顶太阳能发电。支持利用适用技术装备进行节能改造，提升砖瓦察炉热工效率，推广大断面隧道察和自动焙烧技术。鼓励利用工业固废、煤矸石、矿物尾渣、淤泥、污泥、农林废弃物等替代一次原燃料，支持利用建筑垃圾生产砖瓦制品，进一步扩大资源综合利用范围，提高原燃料中固废掺配比例，减少对天然资源的消耗。加快粘土整合、保护、储备、开发、利用和替代，实现产业高质量可持续发展</w:t>
                  </w:r>
                  <w:r>
                    <w:rPr>
                      <w:rFonts w:hint="eastAsia" w:ascii="Times New Roman" w:hAnsi="Times New Roman" w:eastAsia="宋体" w:cs="Times New Roman"/>
                      <w:i w:val="0"/>
                      <w:iCs w:val="0"/>
                      <w:caps w:val="0"/>
                      <w:color w:val="auto"/>
                      <w:spacing w:val="0"/>
                      <w:sz w:val="21"/>
                      <w:szCs w:val="21"/>
                      <w:shd w:val="clear" w:fill="FFFFFF"/>
                      <w:lang w:eastAsia="zh-CN"/>
                    </w:rPr>
                    <w:t>。</w:t>
                  </w:r>
                </w:p>
              </w:tc>
              <w:tc>
                <w:tcPr>
                  <w:tcW w:w="2465" w:type="dxa"/>
                  <w:noWrap w:val="0"/>
                  <w:vAlign w:val="center"/>
                </w:tcPr>
                <w:p w14:paraId="71E0612A">
                  <w:pPr>
                    <w:pStyle w:val="70"/>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i w:val="0"/>
                      <w:iCs w:val="0"/>
                      <w:caps w:val="0"/>
                      <w:color w:val="auto"/>
                      <w:spacing w:val="0"/>
                      <w:sz w:val="21"/>
                      <w:szCs w:val="21"/>
                      <w:shd w:val="clear" w:fill="FFFFFF"/>
                      <w:lang w:val="en-US" w:eastAsia="zh-CN"/>
                    </w:rPr>
                  </w:pPr>
                  <w:r>
                    <w:rPr>
                      <w:rFonts w:hint="eastAsia" w:cs="Times New Roman"/>
                      <w:i w:val="0"/>
                      <w:iCs w:val="0"/>
                      <w:caps w:val="0"/>
                      <w:color w:val="auto"/>
                      <w:spacing w:val="0"/>
                      <w:sz w:val="21"/>
                      <w:szCs w:val="21"/>
                      <w:shd w:val="clear" w:fill="FFFFFF"/>
                      <w:lang w:val="en-US" w:eastAsia="zh-CN"/>
                    </w:rPr>
                    <w:t>本项目废气采用布袋除尘+脱硫塔进行处理，处理达标后排放</w:t>
                  </w:r>
                  <w:r>
                    <w:rPr>
                      <w:rFonts w:hint="eastAsia" w:ascii="Times New Roman" w:hAnsi="Times New Roman" w:eastAsia="宋体" w:cs="Times New Roman"/>
                      <w:i w:val="0"/>
                      <w:iCs w:val="0"/>
                      <w:caps w:val="0"/>
                      <w:color w:val="auto"/>
                      <w:spacing w:val="0"/>
                      <w:sz w:val="21"/>
                      <w:szCs w:val="21"/>
                      <w:shd w:val="clear" w:fill="FFFFFF"/>
                      <w:lang w:val="en-US" w:eastAsia="zh-CN"/>
                    </w:rPr>
                    <w:t>。</w:t>
                  </w:r>
                  <w:r>
                    <w:rPr>
                      <w:rFonts w:hint="eastAsia" w:cs="Times New Roman"/>
                      <w:i w:val="0"/>
                      <w:iCs w:val="0"/>
                      <w:caps w:val="0"/>
                      <w:color w:val="auto"/>
                      <w:spacing w:val="0"/>
                      <w:sz w:val="21"/>
                      <w:szCs w:val="21"/>
                      <w:shd w:val="clear" w:fill="FFFFFF"/>
                      <w:lang w:val="en-US" w:eastAsia="zh-CN"/>
                    </w:rPr>
                    <w:t>产生的脱硫渣回收后，委托免烧砖厂清运处置。本项目使用弃土作为原料，有利于减少固体废弃物的产生。</w:t>
                  </w:r>
                </w:p>
              </w:tc>
              <w:tc>
                <w:tcPr>
                  <w:tcW w:w="1015" w:type="dxa"/>
                  <w:noWrap w:val="0"/>
                  <w:vAlign w:val="center"/>
                </w:tcPr>
                <w:p w14:paraId="33AF0AD4">
                  <w:pPr>
                    <w:pStyle w:val="70"/>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5AE9C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6" w:hRule="atLeast"/>
                <w:jc w:val="center"/>
              </w:trPr>
              <w:tc>
                <w:tcPr>
                  <w:tcW w:w="609" w:type="dxa"/>
                  <w:noWrap w:val="0"/>
                  <w:vAlign w:val="center"/>
                </w:tcPr>
                <w:p w14:paraId="2E2848AD">
                  <w:pPr>
                    <w:pStyle w:val="70"/>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Style w:val="32"/>
                      <w:rFonts w:hint="eastAsia" w:ascii="Times New Roman" w:hAnsi="Times New Roman" w:eastAsia="宋体" w:cs="Times New Roman"/>
                      <w:i w:val="0"/>
                      <w:iCs w:val="0"/>
                      <w:caps w:val="0"/>
                      <w:color w:val="auto"/>
                      <w:spacing w:val="0"/>
                      <w:sz w:val="21"/>
                      <w:szCs w:val="21"/>
                      <w:shd w:val="clear" w:fill="FFFFFF"/>
                      <w:lang w:val="en-US" w:eastAsia="zh-CN"/>
                    </w:rPr>
                  </w:pPr>
                  <w:r>
                    <w:rPr>
                      <w:rStyle w:val="32"/>
                      <w:rFonts w:hint="eastAsia" w:cs="Times New Roman"/>
                      <w:i w:val="0"/>
                      <w:iCs w:val="0"/>
                      <w:caps w:val="0"/>
                      <w:color w:val="auto"/>
                      <w:spacing w:val="0"/>
                      <w:sz w:val="21"/>
                      <w:szCs w:val="21"/>
                      <w:shd w:val="clear" w:fill="FFFFFF"/>
                      <w:lang w:val="en-US" w:eastAsia="zh-CN"/>
                    </w:rPr>
                    <w:t>3.</w:t>
                  </w:r>
                  <w:r>
                    <w:rPr>
                      <w:rStyle w:val="32"/>
                      <w:rFonts w:hint="eastAsia" w:ascii="Times New Roman" w:hAnsi="Times New Roman" w:eastAsia="宋体" w:cs="Times New Roman"/>
                      <w:i w:val="0"/>
                      <w:iCs w:val="0"/>
                      <w:caps w:val="0"/>
                      <w:color w:val="auto"/>
                      <w:spacing w:val="0"/>
                      <w:sz w:val="21"/>
                      <w:szCs w:val="21"/>
                      <w:shd w:val="clear" w:fill="FFFFFF"/>
                      <w:lang w:val="en-US" w:eastAsia="zh-CN"/>
                    </w:rPr>
                    <w:t>全面强化行业治理水平</w:t>
                  </w:r>
                </w:p>
              </w:tc>
              <w:tc>
                <w:tcPr>
                  <w:tcW w:w="4533" w:type="dxa"/>
                  <w:noWrap w:val="0"/>
                  <w:vAlign w:val="center"/>
                </w:tcPr>
                <w:p w14:paraId="175F6F0D">
                  <w:pPr>
                    <w:pStyle w:val="70"/>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ascii="Times New Roman" w:hAnsi="Times New Roman" w:eastAsia="宋体" w:cs="Times New Roman"/>
                      <w:i w:val="0"/>
                      <w:iCs w:val="0"/>
                      <w:caps w:val="0"/>
                      <w:color w:val="auto"/>
                      <w:spacing w:val="0"/>
                      <w:sz w:val="21"/>
                      <w:szCs w:val="21"/>
                      <w:shd w:val="clear" w:fill="FFFFFF"/>
                    </w:rPr>
                  </w:pPr>
                  <w:r>
                    <w:rPr>
                      <w:rFonts w:hint="eastAsia" w:ascii="Times New Roman" w:hAnsi="Times New Roman" w:eastAsia="宋体" w:cs="Times New Roman"/>
                      <w:i w:val="0"/>
                      <w:iCs w:val="0"/>
                      <w:caps w:val="0"/>
                      <w:color w:val="auto"/>
                      <w:spacing w:val="0"/>
                      <w:sz w:val="21"/>
                      <w:szCs w:val="21"/>
                      <w:shd w:val="clear" w:fill="FFFFFF"/>
                    </w:rPr>
                    <w:t>督促企业建立完善责任体系，全面压实企业主体责任。建立健全企业“双控”系统，在全工艺流程开展安全风险辨识，完善原料开采、转运、破碎、筛分、陈化、配料、成型、烘烧、装卸、仓储等工序安全防护和防尘措施，从根本上提升管控水乎。定期开展安全隐患排查治理，建立隐患排查整治台账，形成对安全隐患的闭环管理，防范生产安全事故的发生。加强应急救援体系建设，建立企业专兼职应急队伍，常态化组织“企企”“企地”演练，提高处置突发事故的能力。</w:t>
                  </w:r>
                </w:p>
              </w:tc>
              <w:tc>
                <w:tcPr>
                  <w:tcW w:w="2465" w:type="dxa"/>
                  <w:noWrap w:val="0"/>
                  <w:vAlign w:val="center"/>
                </w:tcPr>
                <w:p w14:paraId="2DCEFACD">
                  <w:pPr>
                    <w:pStyle w:val="70"/>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i w:val="0"/>
                      <w:iCs w:val="0"/>
                      <w:caps w:val="0"/>
                      <w:color w:val="auto"/>
                      <w:spacing w:val="0"/>
                      <w:sz w:val="21"/>
                      <w:szCs w:val="21"/>
                      <w:shd w:val="clear" w:fill="FFFFFF"/>
                      <w:lang w:val="en-US" w:eastAsia="zh-CN"/>
                    </w:rPr>
                  </w:pPr>
                  <w:r>
                    <w:rPr>
                      <w:rFonts w:hint="eastAsia" w:cs="Times New Roman"/>
                      <w:i w:val="0"/>
                      <w:iCs w:val="0"/>
                      <w:caps w:val="0"/>
                      <w:color w:val="auto"/>
                      <w:spacing w:val="0"/>
                      <w:sz w:val="21"/>
                      <w:szCs w:val="21"/>
                      <w:shd w:val="clear" w:fill="FFFFFF"/>
                      <w:lang w:val="en-US" w:eastAsia="zh-CN"/>
                    </w:rPr>
                    <w:t>本项目生产过程均设置安全防护措施和防尘措施，均在厂房内进行，定期开展安全隐患排查治理，建立隐患排查整治台账，建设事故应急体系，本项目审批后进行事故应急预案修编工作。</w:t>
                  </w:r>
                </w:p>
              </w:tc>
              <w:tc>
                <w:tcPr>
                  <w:tcW w:w="1015" w:type="dxa"/>
                  <w:noWrap w:val="0"/>
                  <w:vAlign w:val="center"/>
                </w:tcPr>
                <w:p w14:paraId="6788E563">
                  <w:pPr>
                    <w:pStyle w:val="70"/>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624B6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8622" w:type="dxa"/>
                  <w:gridSpan w:val="4"/>
                  <w:noWrap w:val="0"/>
                  <w:vAlign w:val="center"/>
                </w:tcPr>
                <w:p w14:paraId="2DF1F16F">
                  <w:pPr>
                    <w:pStyle w:val="70"/>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b/>
                      <w:bCs/>
                      <w:color w:val="auto"/>
                      <w:sz w:val="21"/>
                      <w:szCs w:val="21"/>
                      <w:lang w:val="en-US" w:eastAsia="zh-CN"/>
                    </w:rPr>
                    <w:t>华宁县仿古砖瓦行业准入指引</w:t>
                  </w:r>
                </w:p>
              </w:tc>
            </w:tr>
            <w:tr w14:paraId="11E51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6" w:hRule="atLeast"/>
                <w:jc w:val="center"/>
              </w:trPr>
              <w:tc>
                <w:tcPr>
                  <w:tcW w:w="609" w:type="dxa"/>
                  <w:noWrap w:val="0"/>
                  <w:vAlign w:val="center"/>
                </w:tcPr>
                <w:p w14:paraId="214E382D">
                  <w:pPr>
                    <w:pStyle w:val="70"/>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Style w:val="32"/>
                      <w:rFonts w:hint="eastAsia" w:ascii="Times New Roman" w:hAnsi="Times New Roman" w:eastAsia="宋体" w:cs="Times New Roman"/>
                      <w:i w:val="0"/>
                      <w:iCs w:val="0"/>
                      <w:caps w:val="0"/>
                      <w:color w:val="auto"/>
                      <w:spacing w:val="0"/>
                      <w:sz w:val="21"/>
                      <w:szCs w:val="21"/>
                      <w:shd w:val="clear" w:fill="FFFFFF"/>
                      <w:lang w:val="en-US" w:eastAsia="zh-CN"/>
                    </w:rPr>
                  </w:pPr>
                  <w:r>
                    <w:rPr>
                      <w:rStyle w:val="32"/>
                      <w:rFonts w:hint="eastAsia" w:ascii="Times New Roman" w:hAnsi="Times New Roman" w:eastAsia="宋体" w:cs="Times New Roman"/>
                      <w:i w:val="0"/>
                      <w:iCs w:val="0"/>
                      <w:caps w:val="0"/>
                      <w:color w:val="auto"/>
                      <w:spacing w:val="0"/>
                      <w:sz w:val="21"/>
                      <w:szCs w:val="21"/>
                      <w:shd w:val="clear" w:fill="FFFFFF"/>
                      <w:lang w:val="en-US" w:eastAsia="zh-CN"/>
                    </w:rPr>
                    <w:t>1行业准入</w:t>
                  </w:r>
                </w:p>
              </w:tc>
              <w:tc>
                <w:tcPr>
                  <w:tcW w:w="4533" w:type="dxa"/>
                  <w:noWrap w:val="0"/>
                  <w:vAlign w:val="center"/>
                </w:tcPr>
                <w:p w14:paraId="0DC1BD3B">
                  <w:pPr>
                    <w:pStyle w:val="70"/>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ascii="Times New Roman" w:hAnsi="Times New Roman" w:eastAsia="宋体" w:cs="Times New Roman"/>
                      <w:i w:val="0"/>
                      <w:iCs w:val="0"/>
                      <w:caps w:val="0"/>
                      <w:color w:val="auto"/>
                      <w:spacing w:val="0"/>
                      <w:sz w:val="21"/>
                      <w:szCs w:val="21"/>
                      <w:shd w:val="clear" w:fill="FFFFFF"/>
                    </w:rPr>
                  </w:pPr>
                  <w:r>
                    <w:rPr>
                      <w:rFonts w:hint="eastAsia" w:ascii="Times New Roman" w:hAnsi="Times New Roman" w:eastAsia="宋体" w:cs="Times New Roman"/>
                      <w:i w:val="0"/>
                      <w:iCs w:val="0"/>
                      <w:caps w:val="0"/>
                      <w:color w:val="auto"/>
                      <w:spacing w:val="0"/>
                      <w:sz w:val="21"/>
                      <w:szCs w:val="21"/>
                      <w:shd w:val="clear" w:fill="FFFFFF"/>
                    </w:rPr>
                    <w:t>(一)新建或改建扩建仿古砖瓦生产项目，必须符合国家产业政策和产业规划，新建或改建扩建仿古砖瓦生产企业用地，必须符合城乡规划的要求，必须符合土地利用总体规划、土地供应政策和土地使用标准的规定。严格执行环境保护有关规定。</w:t>
                  </w:r>
                </w:p>
                <w:p w14:paraId="71EB5C76">
                  <w:pPr>
                    <w:pStyle w:val="70"/>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ascii="Times New Roman" w:hAnsi="Times New Roman" w:eastAsia="宋体" w:cs="Times New Roman"/>
                      <w:i w:val="0"/>
                      <w:iCs w:val="0"/>
                      <w:caps w:val="0"/>
                      <w:color w:val="auto"/>
                      <w:spacing w:val="0"/>
                      <w:sz w:val="21"/>
                      <w:szCs w:val="21"/>
                      <w:shd w:val="clear" w:fill="FFFFFF"/>
                    </w:rPr>
                  </w:pPr>
                  <w:r>
                    <w:rPr>
                      <w:rFonts w:hint="eastAsia" w:ascii="Times New Roman" w:hAnsi="Times New Roman" w:eastAsia="宋体" w:cs="Times New Roman"/>
                      <w:i w:val="0"/>
                      <w:iCs w:val="0"/>
                      <w:caps w:val="0"/>
                      <w:color w:val="auto"/>
                      <w:spacing w:val="0"/>
                      <w:sz w:val="21"/>
                      <w:szCs w:val="21"/>
                      <w:shd w:val="clear" w:fill="FFFFFF"/>
                    </w:rPr>
                    <w:t>(二)鼓励企业按照公平竞争、自愿原则搬迁至华宁古建新材料产业园。</w:t>
                  </w:r>
                </w:p>
                <w:p w14:paraId="1E4C52E8">
                  <w:pPr>
                    <w:pStyle w:val="70"/>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ascii="Times New Roman" w:hAnsi="Times New Roman" w:eastAsia="宋体" w:cs="Times New Roman"/>
                      <w:i w:val="0"/>
                      <w:iCs w:val="0"/>
                      <w:caps w:val="0"/>
                      <w:color w:val="auto"/>
                      <w:spacing w:val="0"/>
                      <w:sz w:val="21"/>
                      <w:szCs w:val="21"/>
                      <w:shd w:val="clear" w:fill="FFFFFF"/>
                    </w:rPr>
                  </w:pPr>
                  <w:r>
                    <w:rPr>
                      <w:rFonts w:hint="eastAsia" w:ascii="Times New Roman" w:hAnsi="Times New Roman" w:eastAsia="宋体" w:cs="Times New Roman"/>
                      <w:i w:val="0"/>
                      <w:iCs w:val="0"/>
                      <w:caps w:val="0"/>
                      <w:color w:val="auto"/>
                      <w:spacing w:val="0"/>
                      <w:sz w:val="21"/>
                      <w:szCs w:val="21"/>
                      <w:shd w:val="clear" w:fill="FFFFFF"/>
                    </w:rPr>
                    <w:t>(三)新入园企业按照园区有关规定，取得入园通知，依照产业政策进行项目备案，取得相关审批手续后依法依规生产经营。</w:t>
                  </w:r>
                </w:p>
                <w:p w14:paraId="22FCD697">
                  <w:pPr>
                    <w:pStyle w:val="70"/>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ascii="Times New Roman" w:hAnsi="Times New Roman" w:eastAsia="宋体" w:cs="Times New Roman"/>
                      <w:i w:val="0"/>
                      <w:iCs w:val="0"/>
                      <w:caps w:val="0"/>
                      <w:color w:val="auto"/>
                      <w:spacing w:val="0"/>
                      <w:sz w:val="21"/>
                      <w:szCs w:val="21"/>
                      <w:shd w:val="clear" w:fill="FFFFFF"/>
                      <w:lang w:eastAsia="zh-CN"/>
                    </w:rPr>
                  </w:pPr>
                  <w:r>
                    <w:rPr>
                      <w:rFonts w:hint="eastAsia" w:ascii="Times New Roman" w:hAnsi="Times New Roman" w:eastAsia="宋体" w:cs="Times New Roman"/>
                      <w:i w:val="0"/>
                      <w:iCs w:val="0"/>
                      <w:caps w:val="0"/>
                      <w:color w:val="auto"/>
                      <w:spacing w:val="0"/>
                      <w:sz w:val="21"/>
                      <w:szCs w:val="21"/>
                      <w:shd w:val="clear" w:fill="FFFFFF"/>
                    </w:rPr>
                    <w:t>(四)符合原址建设条件的企业，就地进行改造提升，须按国家鼓励的窑型(梭式窑、辊道窑、隧道窑等)新建项目，按照政策备案后方可施工，办理相关审批手续后组织生产。.</w:t>
                  </w:r>
                </w:p>
              </w:tc>
              <w:tc>
                <w:tcPr>
                  <w:tcW w:w="2465" w:type="dxa"/>
                  <w:noWrap w:val="0"/>
                  <w:vAlign w:val="center"/>
                </w:tcPr>
                <w:p w14:paraId="07F325CF">
                  <w:pPr>
                    <w:pStyle w:val="70"/>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i w:val="0"/>
                      <w:iCs w:val="0"/>
                      <w:caps w:val="0"/>
                      <w:color w:val="auto"/>
                      <w:spacing w:val="0"/>
                      <w:sz w:val="21"/>
                      <w:szCs w:val="21"/>
                      <w:shd w:val="clear" w:fill="FFFFFF"/>
                    </w:rPr>
                  </w:pPr>
                  <w:r>
                    <w:rPr>
                      <w:rFonts w:hint="eastAsia" w:ascii="Times New Roman" w:hAnsi="Times New Roman" w:eastAsia="宋体" w:cs="Times New Roman"/>
                      <w:i w:val="0"/>
                      <w:iCs w:val="0"/>
                      <w:caps w:val="0"/>
                      <w:color w:val="auto"/>
                      <w:spacing w:val="0"/>
                      <w:sz w:val="21"/>
                      <w:szCs w:val="21"/>
                      <w:shd w:val="clear" w:fill="FFFFFF"/>
                      <w:lang w:val="en-US" w:eastAsia="zh-CN"/>
                    </w:rPr>
                    <w:t>本项目</w:t>
                  </w:r>
                  <w:r>
                    <w:rPr>
                      <w:rFonts w:hint="eastAsia" w:cs="Times New Roman"/>
                      <w:i w:val="0"/>
                      <w:iCs w:val="0"/>
                      <w:caps w:val="0"/>
                      <w:color w:val="auto"/>
                      <w:spacing w:val="0"/>
                      <w:sz w:val="21"/>
                      <w:szCs w:val="21"/>
                      <w:shd w:val="clear" w:fill="FFFFFF"/>
                      <w:lang w:val="en-US" w:eastAsia="zh-CN"/>
                    </w:rPr>
                    <w:t>为仿古砖瓦生产项目，对照《产业结构调整指导目录(2024年本)》本项目属于“鼓励类”，</w:t>
                  </w:r>
                  <w:r>
                    <w:rPr>
                      <w:rFonts w:hint="eastAsia" w:cs="Times New Roman"/>
                      <w:color w:val="auto"/>
                      <w:sz w:val="21"/>
                      <w:szCs w:val="21"/>
                      <w:u w:val="none"/>
                      <w:lang w:val="en-US" w:eastAsia="zh-CN"/>
                    </w:rPr>
                    <w:t>华宁县白塔山陶器厂</w:t>
                  </w:r>
                  <w:r>
                    <w:rPr>
                      <w:rFonts w:hint="eastAsia" w:cs="Times New Roman"/>
                      <w:color w:val="auto"/>
                      <w:kern w:val="2"/>
                      <w:sz w:val="21"/>
                      <w:szCs w:val="21"/>
                      <w:lang w:val="en-US" w:eastAsia="zh-CN" w:bidi="ar-SA"/>
                    </w:rPr>
                    <w:t>于2021年通过国有土地出让，取得《不动产权证》，文号：云（2021）华宁县不动产权第0000286号，厂区规划工业用地10624.66㎡；2025年2月21日取得了华宁县自然资源局出具的《华宁县2025年度第一批次村庄建设用地》的缴费通知，企业依法缴纳费用，取得了0.8928公顷的建设用地使用权；全厂合计占地面积为19552.66㎡，符合土地规划</w:t>
                  </w:r>
                  <w:r>
                    <w:rPr>
                      <w:rFonts w:hint="eastAsia" w:cs="Times New Roman"/>
                      <w:i w:val="0"/>
                      <w:iCs w:val="0"/>
                      <w:caps w:val="0"/>
                      <w:color w:val="auto"/>
                      <w:spacing w:val="0"/>
                      <w:sz w:val="21"/>
                      <w:szCs w:val="21"/>
                      <w:shd w:val="clear" w:fill="FFFFFF"/>
                      <w:lang w:val="en-US" w:eastAsia="zh-CN"/>
                    </w:rPr>
                    <w:t>。</w:t>
                  </w:r>
                </w:p>
              </w:tc>
              <w:tc>
                <w:tcPr>
                  <w:tcW w:w="1015" w:type="dxa"/>
                  <w:noWrap w:val="0"/>
                  <w:vAlign w:val="center"/>
                </w:tcPr>
                <w:p w14:paraId="3362851F">
                  <w:pPr>
                    <w:pStyle w:val="70"/>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677A6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609" w:type="dxa"/>
                  <w:noWrap w:val="0"/>
                  <w:vAlign w:val="center"/>
                </w:tcPr>
                <w:p w14:paraId="0CFCDECA">
                  <w:pPr>
                    <w:pStyle w:val="70"/>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Style w:val="32"/>
                      <w:rFonts w:hint="default" w:ascii="Times New Roman" w:hAnsi="Times New Roman" w:eastAsia="宋体" w:cs="Times New Roman"/>
                      <w:i w:val="0"/>
                      <w:iCs w:val="0"/>
                      <w:caps w:val="0"/>
                      <w:color w:val="auto"/>
                      <w:spacing w:val="0"/>
                      <w:sz w:val="21"/>
                      <w:szCs w:val="21"/>
                      <w:shd w:val="clear" w:fill="FFFFFF"/>
                      <w:lang w:val="en-US" w:eastAsia="zh-CN"/>
                    </w:rPr>
                  </w:pPr>
                  <w:r>
                    <w:rPr>
                      <w:rStyle w:val="32"/>
                      <w:rFonts w:hint="eastAsia" w:ascii="Times New Roman" w:hAnsi="Times New Roman" w:eastAsia="宋体" w:cs="Times New Roman"/>
                      <w:i w:val="0"/>
                      <w:iCs w:val="0"/>
                      <w:caps w:val="0"/>
                      <w:color w:val="auto"/>
                      <w:spacing w:val="0"/>
                      <w:sz w:val="21"/>
                      <w:szCs w:val="21"/>
                      <w:shd w:val="clear" w:fill="FFFFFF"/>
                      <w:lang w:val="en-US" w:eastAsia="zh-CN"/>
                    </w:rPr>
                    <w:t>2</w:t>
                  </w:r>
                  <w:r>
                    <w:rPr>
                      <w:rStyle w:val="32"/>
                      <w:rFonts w:hint="eastAsia" w:cs="Times New Roman"/>
                      <w:i w:val="0"/>
                      <w:iCs w:val="0"/>
                      <w:caps w:val="0"/>
                      <w:color w:val="auto"/>
                      <w:spacing w:val="0"/>
                      <w:sz w:val="21"/>
                      <w:szCs w:val="21"/>
                      <w:shd w:val="clear" w:fill="FFFFFF"/>
                      <w:lang w:val="en-US" w:eastAsia="zh-CN"/>
                    </w:rPr>
                    <w:t>工艺装备</w:t>
                  </w:r>
                </w:p>
              </w:tc>
              <w:tc>
                <w:tcPr>
                  <w:tcW w:w="4533" w:type="dxa"/>
                  <w:noWrap w:val="0"/>
                  <w:vAlign w:val="center"/>
                </w:tcPr>
                <w:p w14:paraId="52EAE4DE">
                  <w:pPr>
                    <w:pStyle w:val="70"/>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ascii="Times New Roman" w:hAnsi="Times New Roman" w:eastAsia="宋体" w:cs="Times New Roman"/>
                      <w:i w:val="0"/>
                      <w:iCs w:val="0"/>
                      <w:caps w:val="0"/>
                      <w:color w:val="auto"/>
                      <w:spacing w:val="0"/>
                      <w:sz w:val="21"/>
                      <w:szCs w:val="21"/>
                      <w:shd w:val="clear" w:fill="FFFFFF"/>
                    </w:rPr>
                  </w:pPr>
                  <w:r>
                    <w:rPr>
                      <w:rFonts w:hint="eastAsia" w:ascii="Times New Roman" w:hAnsi="Times New Roman" w:eastAsia="宋体" w:cs="Times New Roman"/>
                      <w:i w:val="0"/>
                      <w:iCs w:val="0"/>
                      <w:caps w:val="0"/>
                      <w:color w:val="auto"/>
                      <w:spacing w:val="0"/>
                      <w:sz w:val="21"/>
                      <w:szCs w:val="21"/>
                      <w:shd w:val="clear" w:fill="FFFFFF"/>
                    </w:rPr>
                    <w:t>(一)鼓励部分</w:t>
                  </w:r>
                </w:p>
                <w:p w14:paraId="719BD65F">
                  <w:pPr>
                    <w:pStyle w:val="70"/>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ascii="Times New Roman" w:hAnsi="Times New Roman" w:eastAsia="宋体" w:cs="Times New Roman"/>
                      <w:i w:val="0"/>
                      <w:iCs w:val="0"/>
                      <w:caps w:val="0"/>
                      <w:color w:val="auto"/>
                      <w:spacing w:val="0"/>
                      <w:sz w:val="21"/>
                      <w:szCs w:val="21"/>
                      <w:shd w:val="clear" w:fill="FFFFFF"/>
                    </w:rPr>
                  </w:pPr>
                  <w:r>
                    <w:rPr>
                      <w:rFonts w:hint="eastAsia" w:ascii="Times New Roman" w:hAnsi="Times New Roman" w:eastAsia="宋体" w:cs="Times New Roman"/>
                      <w:i w:val="0"/>
                      <w:iCs w:val="0"/>
                      <w:caps w:val="0"/>
                      <w:color w:val="auto"/>
                      <w:spacing w:val="0"/>
                      <w:sz w:val="21"/>
                      <w:szCs w:val="21"/>
                      <w:shd w:val="clear" w:fill="FFFFFF"/>
                    </w:rPr>
                    <w:t>1.仿古砖瓦产品及绿色低碳建材产品技术开发与生产应用;2.鼓励采用以煤矸石、粉</w:t>
                  </w:r>
                  <w:r>
                    <w:rPr>
                      <w:rFonts w:hint="eastAsia" w:cs="Times New Roman"/>
                      <w:i w:val="0"/>
                      <w:iCs w:val="0"/>
                      <w:caps w:val="0"/>
                      <w:color w:val="auto"/>
                      <w:spacing w:val="0"/>
                      <w:sz w:val="21"/>
                      <w:szCs w:val="21"/>
                      <w:shd w:val="clear" w:fill="FFFFFF"/>
                      <w:lang w:eastAsia="zh-CN"/>
                    </w:rPr>
                    <w:t>煤渣</w:t>
                  </w:r>
                  <w:r>
                    <w:rPr>
                      <w:rFonts w:hint="eastAsia" w:ascii="Times New Roman" w:hAnsi="Times New Roman" w:eastAsia="宋体" w:cs="Times New Roman"/>
                      <w:i w:val="0"/>
                      <w:iCs w:val="0"/>
                      <w:caps w:val="0"/>
                      <w:color w:val="auto"/>
                      <w:spacing w:val="0"/>
                      <w:sz w:val="21"/>
                      <w:szCs w:val="21"/>
                      <w:shd w:val="clear" w:fill="FFFFFF"/>
                    </w:rPr>
                    <w:t>、页岩、建筑基坑土、建筑渣土、江河湖(渠)海淤泥、污泥、为建设用地平整土丘荒坡土等废物为原料;3.仿古砖瓦项目设计和建设，执行《烧结砖瓦工厂节能设计规范》( GB/T50528-2018)。</w:t>
                  </w:r>
                </w:p>
                <w:p w14:paraId="5771F605">
                  <w:pPr>
                    <w:pStyle w:val="70"/>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ascii="Times New Roman" w:hAnsi="Times New Roman" w:eastAsia="宋体" w:cs="Times New Roman"/>
                      <w:i w:val="0"/>
                      <w:iCs w:val="0"/>
                      <w:caps w:val="0"/>
                      <w:color w:val="auto"/>
                      <w:spacing w:val="0"/>
                      <w:sz w:val="21"/>
                      <w:szCs w:val="21"/>
                      <w:shd w:val="clear" w:fill="FFFFFF"/>
                    </w:rPr>
                  </w:pPr>
                  <w:r>
                    <w:rPr>
                      <w:rFonts w:hint="eastAsia" w:ascii="Times New Roman" w:hAnsi="Times New Roman" w:eastAsia="宋体" w:cs="Times New Roman"/>
                      <w:i w:val="0"/>
                      <w:iCs w:val="0"/>
                      <w:caps w:val="0"/>
                      <w:color w:val="auto"/>
                      <w:spacing w:val="0"/>
                      <w:sz w:val="21"/>
                      <w:szCs w:val="21"/>
                      <w:shd w:val="clear" w:fill="FFFFFF"/>
                    </w:rPr>
                    <w:t>其它工艺、技术、装备、产品按《产业结构调整指导目录(2024年本)执行》)</w:t>
                  </w:r>
                </w:p>
                <w:p w14:paraId="1B4D0C6E">
                  <w:pPr>
                    <w:pStyle w:val="70"/>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ascii="Times New Roman" w:hAnsi="Times New Roman" w:eastAsia="宋体" w:cs="Times New Roman"/>
                      <w:i w:val="0"/>
                      <w:iCs w:val="0"/>
                      <w:caps w:val="0"/>
                      <w:color w:val="auto"/>
                      <w:spacing w:val="0"/>
                      <w:sz w:val="21"/>
                      <w:szCs w:val="21"/>
                      <w:shd w:val="clear" w:fill="FFFFFF"/>
                    </w:rPr>
                  </w:pPr>
                  <w:r>
                    <w:rPr>
                      <w:rFonts w:hint="eastAsia" w:ascii="Times New Roman" w:hAnsi="Times New Roman" w:eastAsia="宋体" w:cs="Times New Roman"/>
                      <w:i w:val="0"/>
                      <w:iCs w:val="0"/>
                      <w:caps w:val="0"/>
                      <w:color w:val="auto"/>
                      <w:spacing w:val="0"/>
                      <w:sz w:val="21"/>
                      <w:szCs w:val="21"/>
                      <w:shd w:val="clear" w:fill="FFFFFF"/>
                    </w:rPr>
                    <w:t>(二)限制部分</w:t>
                  </w:r>
                </w:p>
                <w:p w14:paraId="202788C4">
                  <w:pPr>
                    <w:pStyle w:val="70"/>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ascii="Times New Roman" w:hAnsi="Times New Roman" w:eastAsia="宋体" w:cs="Times New Roman"/>
                      <w:i w:val="0"/>
                      <w:iCs w:val="0"/>
                      <w:caps w:val="0"/>
                      <w:color w:val="auto"/>
                      <w:spacing w:val="0"/>
                      <w:sz w:val="21"/>
                      <w:szCs w:val="21"/>
                      <w:shd w:val="clear" w:fill="FFFFFF"/>
                    </w:rPr>
                  </w:pPr>
                  <w:r>
                    <w:rPr>
                      <w:rFonts w:hint="eastAsia" w:ascii="Times New Roman" w:hAnsi="Times New Roman" w:eastAsia="宋体" w:cs="Times New Roman"/>
                      <w:i w:val="0"/>
                      <w:iCs w:val="0"/>
                      <w:caps w:val="0"/>
                      <w:color w:val="auto"/>
                      <w:spacing w:val="0"/>
                      <w:sz w:val="21"/>
                      <w:szCs w:val="21"/>
                      <w:shd w:val="clear" w:fill="FFFFFF"/>
                    </w:rPr>
                    <w:t>黏土空心砖生产线。</w:t>
                  </w:r>
                </w:p>
                <w:p w14:paraId="47F8E6E4">
                  <w:pPr>
                    <w:pStyle w:val="70"/>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ascii="Times New Roman" w:hAnsi="Times New Roman" w:eastAsia="宋体" w:cs="Times New Roman"/>
                      <w:i w:val="0"/>
                      <w:iCs w:val="0"/>
                      <w:caps w:val="0"/>
                      <w:color w:val="auto"/>
                      <w:spacing w:val="0"/>
                      <w:sz w:val="21"/>
                      <w:szCs w:val="21"/>
                      <w:shd w:val="clear" w:fill="FFFFFF"/>
                    </w:rPr>
                  </w:pPr>
                  <w:r>
                    <w:rPr>
                      <w:rFonts w:hint="eastAsia" w:ascii="Times New Roman" w:hAnsi="Times New Roman" w:eastAsia="宋体" w:cs="Times New Roman"/>
                      <w:i w:val="0"/>
                      <w:iCs w:val="0"/>
                      <w:caps w:val="0"/>
                      <w:color w:val="auto"/>
                      <w:spacing w:val="0"/>
                      <w:sz w:val="21"/>
                      <w:szCs w:val="21"/>
                      <w:shd w:val="clear" w:fill="FFFFFF"/>
                    </w:rPr>
                    <w:t>(三)淘汰部分</w:t>
                  </w:r>
                </w:p>
                <w:p w14:paraId="101AFFB4">
                  <w:pPr>
                    <w:pStyle w:val="70"/>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i w:val="0"/>
                      <w:iCs w:val="0"/>
                      <w:caps w:val="0"/>
                      <w:color w:val="auto"/>
                      <w:spacing w:val="0"/>
                      <w:sz w:val="21"/>
                      <w:szCs w:val="21"/>
                      <w:shd w:val="clear" w:fill="FFFFFF"/>
                    </w:rPr>
                  </w:pPr>
                  <w:r>
                    <w:rPr>
                      <w:rFonts w:hint="eastAsia" w:ascii="Times New Roman" w:hAnsi="Times New Roman" w:eastAsia="宋体" w:cs="Times New Roman"/>
                      <w:i w:val="0"/>
                      <w:iCs w:val="0"/>
                      <w:caps w:val="0"/>
                      <w:color w:val="auto"/>
                      <w:spacing w:val="0"/>
                      <w:sz w:val="21"/>
                      <w:szCs w:val="21"/>
                      <w:shd w:val="clear" w:fill="FFFFFF"/>
                    </w:rPr>
                    <w:t>按照《产业结构调整指导目录(2024年本)》执行。对淘汰类项目，禁止投资。对国家明令淘汰的生产工艺技术、装备和产品，一律不得进口、转移、生产、销售、使用和采用。对不按期淘汰生产工艺技术、装备和产品的企业，县人民政府及有关部门要依据国家有关法律法规责令其停产或予以关闭，并采取妥善措施安置企业人员、保全金融机构信贷资产安全等:环境保护管理部门要吊销其排污许可证;电力供应企业要依法停止供电。</w:t>
                  </w:r>
                </w:p>
              </w:tc>
              <w:tc>
                <w:tcPr>
                  <w:tcW w:w="2465" w:type="dxa"/>
                  <w:noWrap w:val="0"/>
                  <w:vAlign w:val="center"/>
                </w:tcPr>
                <w:p w14:paraId="1CD600DA">
                  <w:pPr>
                    <w:pStyle w:val="70"/>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i w:val="0"/>
                      <w:iCs w:val="0"/>
                      <w:caps w:val="0"/>
                      <w:color w:val="auto"/>
                      <w:spacing w:val="0"/>
                      <w:sz w:val="21"/>
                      <w:szCs w:val="21"/>
                      <w:shd w:val="clear" w:fill="FFFFFF"/>
                      <w:lang w:val="en-US" w:eastAsia="zh-CN"/>
                    </w:rPr>
                  </w:pPr>
                  <w:r>
                    <w:rPr>
                      <w:rFonts w:hint="eastAsia" w:ascii="Times New Roman" w:hAnsi="Times New Roman" w:eastAsia="宋体" w:cs="Times New Roman"/>
                      <w:i w:val="0"/>
                      <w:iCs w:val="0"/>
                      <w:caps w:val="0"/>
                      <w:color w:val="auto"/>
                      <w:spacing w:val="0"/>
                      <w:sz w:val="21"/>
                      <w:szCs w:val="21"/>
                      <w:shd w:val="clear" w:fill="FFFFFF"/>
                      <w:lang w:val="en-US" w:eastAsia="zh-CN"/>
                    </w:rPr>
                    <w:t>本项目</w:t>
                  </w:r>
                  <w:r>
                    <w:rPr>
                      <w:rFonts w:hint="eastAsia" w:cs="Times New Roman"/>
                      <w:i w:val="0"/>
                      <w:iCs w:val="0"/>
                      <w:caps w:val="0"/>
                      <w:color w:val="auto"/>
                      <w:spacing w:val="0"/>
                      <w:sz w:val="21"/>
                      <w:szCs w:val="21"/>
                      <w:shd w:val="clear" w:fill="FFFFFF"/>
                      <w:lang w:val="en-US" w:eastAsia="zh-CN"/>
                    </w:rPr>
                    <w:t>产品为仿古砖瓦，原料采用建筑基坑土</w:t>
                  </w:r>
                  <w:r>
                    <w:rPr>
                      <w:rFonts w:hint="eastAsia" w:ascii="Times New Roman" w:hAnsi="Times New Roman" w:eastAsia="宋体" w:cs="Times New Roman"/>
                      <w:i w:val="0"/>
                      <w:iCs w:val="0"/>
                      <w:caps w:val="0"/>
                      <w:color w:val="auto"/>
                      <w:spacing w:val="0"/>
                      <w:sz w:val="21"/>
                      <w:szCs w:val="21"/>
                      <w:shd w:val="clear" w:fill="FFFFFF"/>
                      <w:lang w:eastAsia="zh-CN"/>
                    </w:rPr>
                    <w:t>。</w:t>
                  </w:r>
                  <w:r>
                    <w:rPr>
                      <w:rFonts w:hint="eastAsia" w:cs="Times New Roman"/>
                      <w:i w:val="0"/>
                      <w:iCs w:val="0"/>
                      <w:caps w:val="0"/>
                      <w:color w:val="auto"/>
                      <w:spacing w:val="0"/>
                      <w:sz w:val="21"/>
                      <w:szCs w:val="21"/>
                      <w:shd w:val="clear" w:fill="FFFFFF"/>
                      <w:lang w:val="en-US" w:eastAsia="zh-CN"/>
                    </w:rPr>
                    <w:t>项目设计和建设执行《烧结砖瓦工厂节能设计规范》( GB/T50528-2018)，本项目设计的工艺、技术、装备均不涉及《产业结构调整指导目录(2024年本)》中的“限值类”、“淘汰类”，产品属于其中的“鼓励类”，符合产业政策。</w:t>
                  </w:r>
                </w:p>
              </w:tc>
              <w:tc>
                <w:tcPr>
                  <w:tcW w:w="1015" w:type="dxa"/>
                  <w:noWrap w:val="0"/>
                  <w:vAlign w:val="center"/>
                </w:tcPr>
                <w:p w14:paraId="4A877C4B">
                  <w:pPr>
                    <w:pStyle w:val="70"/>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6709E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5" w:hRule="atLeast"/>
                <w:jc w:val="center"/>
              </w:trPr>
              <w:tc>
                <w:tcPr>
                  <w:tcW w:w="609" w:type="dxa"/>
                  <w:noWrap w:val="0"/>
                  <w:vAlign w:val="center"/>
                </w:tcPr>
                <w:p w14:paraId="7F79991B">
                  <w:pPr>
                    <w:pStyle w:val="70"/>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Style w:val="32"/>
                      <w:rFonts w:hint="default" w:ascii="Times New Roman" w:hAnsi="Times New Roman" w:eastAsia="宋体" w:cs="Times New Roman"/>
                      <w:i w:val="0"/>
                      <w:iCs w:val="0"/>
                      <w:caps w:val="0"/>
                      <w:color w:val="auto"/>
                      <w:spacing w:val="0"/>
                      <w:sz w:val="21"/>
                      <w:szCs w:val="21"/>
                      <w:shd w:val="clear" w:fill="FFFFFF"/>
                      <w:lang w:val="en-US" w:eastAsia="zh-CN"/>
                    </w:rPr>
                  </w:pPr>
                  <w:r>
                    <w:rPr>
                      <w:rStyle w:val="32"/>
                      <w:rFonts w:hint="eastAsia" w:ascii="Times New Roman" w:hAnsi="Times New Roman" w:eastAsia="宋体" w:cs="Times New Roman"/>
                      <w:i w:val="0"/>
                      <w:iCs w:val="0"/>
                      <w:caps w:val="0"/>
                      <w:color w:val="auto"/>
                      <w:spacing w:val="0"/>
                      <w:sz w:val="21"/>
                      <w:szCs w:val="21"/>
                      <w:shd w:val="clear" w:fill="FFFFFF"/>
                      <w:lang w:val="en-US" w:eastAsia="zh-CN"/>
                    </w:rPr>
                    <w:t>4</w:t>
                  </w:r>
                  <w:r>
                    <w:rPr>
                      <w:rStyle w:val="32"/>
                      <w:rFonts w:hint="eastAsia" w:cs="Times New Roman"/>
                      <w:i w:val="0"/>
                      <w:iCs w:val="0"/>
                      <w:caps w:val="0"/>
                      <w:color w:val="auto"/>
                      <w:spacing w:val="0"/>
                      <w:sz w:val="21"/>
                      <w:szCs w:val="21"/>
                      <w:shd w:val="clear" w:fill="FFFFFF"/>
                      <w:lang w:val="en-US" w:eastAsia="zh-CN"/>
                    </w:rPr>
                    <w:t>环境保护</w:t>
                  </w:r>
                </w:p>
              </w:tc>
              <w:tc>
                <w:tcPr>
                  <w:tcW w:w="4533" w:type="dxa"/>
                  <w:noWrap w:val="0"/>
                  <w:vAlign w:val="center"/>
                </w:tcPr>
                <w:p w14:paraId="7DEB4D66">
                  <w:pPr>
                    <w:pStyle w:val="70"/>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ascii="Times New Roman" w:hAnsi="Times New Roman" w:eastAsia="宋体" w:cs="Times New Roman"/>
                      <w:i w:val="0"/>
                      <w:iCs w:val="0"/>
                      <w:caps w:val="0"/>
                      <w:color w:val="auto"/>
                      <w:spacing w:val="0"/>
                      <w:sz w:val="21"/>
                      <w:szCs w:val="21"/>
                      <w:shd w:val="clear" w:fill="FFFFFF"/>
                    </w:rPr>
                  </w:pPr>
                  <w:r>
                    <w:rPr>
                      <w:rFonts w:hint="eastAsia" w:ascii="Times New Roman" w:hAnsi="Times New Roman" w:eastAsia="宋体" w:cs="Times New Roman"/>
                      <w:i w:val="0"/>
                      <w:iCs w:val="0"/>
                      <w:caps w:val="0"/>
                      <w:color w:val="auto"/>
                      <w:spacing w:val="0"/>
                      <w:sz w:val="21"/>
                      <w:szCs w:val="21"/>
                      <w:shd w:val="clear" w:fill="FFFFFF"/>
                    </w:rPr>
                    <w:t>(一)按规定办理环保手续，建设治污设施，通过环保竣工验收，持证排污，确保稳定达标排放。</w:t>
                  </w:r>
                </w:p>
                <w:p w14:paraId="6DF3459C">
                  <w:pPr>
                    <w:pStyle w:val="70"/>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ascii="Times New Roman" w:hAnsi="Times New Roman" w:eastAsia="宋体" w:cs="Times New Roman"/>
                      <w:i w:val="0"/>
                      <w:iCs w:val="0"/>
                      <w:caps w:val="0"/>
                      <w:color w:val="auto"/>
                      <w:spacing w:val="0"/>
                      <w:sz w:val="21"/>
                      <w:szCs w:val="21"/>
                      <w:shd w:val="clear" w:fill="FFFFFF"/>
                    </w:rPr>
                  </w:pPr>
                  <w:r>
                    <w:rPr>
                      <w:rFonts w:hint="eastAsia" w:ascii="Times New Roman" w:hAnsi="Times New Roman" w:eastAsia="宋体" w:cs="Times New Roman"/>
                      <w:i w:val="0"/>
                      <w:iCs w:val="0"/>
                      <w:caps w:val="0"/>
                      <w:color w:val="auto"/>
                      <w:spacing w:val="0"/>
                      <w:sz w:val="21"/>
                      <w:szCs w:val="21"/>
                      <w:shd w:val="clear" w:fill="FFFFFF"/>
                    </w:rPr>
                    <w:t>(二)仿古砖瓦企业大气污染物排放执行《砖瓦工业大气污染物排放标准》(GB29620-2013)《烧结砖瓦工业大气污染物治理设施工程技术规范》(T/CBTA0001-2018)标准。</w:t>
                  </w:r>
                </w:p>
                <w:p w14:paraId="1ECE2B54">
                  <w:pPr>
                    <w:pStyle w:val="70"/>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ascii="Times New Roman" w:hAnsi="Times New Roman" w:eastAsia="宋体" w:cs="Times New Roman"/>
                      <w:i w:val="0"/>
                      <w:iCs w:val="0"/>
                      <w:caps w:val="0"/>
                      <w:color w:val="auto"/>
                      <w:spacing w:val="0"/>
                      <w:sz w:val="21"/>
                      <w:szCs w:val="21"/>
                      <w:shd w:val="clear" w:fill="FFFFFF"/>
                    </w:rPr>
                  </w:pPr>
                  <w:r>
                    <w:rPr>
                      <w:rFonts w:hint="eastAsia" w:ascii="Times New Roman" w:hAnsi="Times New Roman" w:eastAsia="宋体" w:cs="Times New Roman"/>
                      <w:i w:val="0"/>
                      <w:iCs w:val="0"/>
                      <w:caps w:val="0"/>
                      <w:color w:val="auto"/>
                      <w:spacing w:val="0"/>
                      <w:sz w:val="21"/>
                      <w:szCs w:val="21"/>
                      <w:shd w:val="clear" w:fill="FFFFFF"/>
                    </w:rPr>
                    <w:t>(三)仿古砖瓦企业原材料矿点开采后必须对其进行复垦或绿化，保护生态环境。</w:t>
                  </w:r>
                </w:p>
                <w:p w14:paraId="21398AC9">
                  <w:pPr>
                    <w:pStyle w:val="70"/>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ascii="Times New Roman" w:hAnsi="Times New Roman" w:eastAsia="宋体" w:cs="Times New Roman"/>
                      <w:i w:val="0"/>
                      <w:iCs w:val="0"/>
                      <w:caps w:val="0"/>
                      <w:color w:val="auto"/>
                      <w:spacing w:val="0"/>
                      <w:sz w:val="21"/>
                      <w:szCs w:val="21"/>
                      <w:shd w:val="clear" w:fill="FFFFFF"/>
                    </w:rPr>
                  </w:pPr>
                  <w:r>
                    <w:rPr>
                      <w:rFonts w:hint="eastAsia" w:ascii="Times New Roman" w:hAnsi="Times New Roman" w:eastAsia="宋体" w:cs="Times New Roman"/>
                      <w:i w:val="0"/>
                      <w:iCs w:val="0"/>
                      <w:caps w:val="0"/>
                      <w:color w:val="auto"/>
                      <w:spacing w:val="0"/>
                      <w:sz w:val="21"/>
                      <w:szCs w:val="21"/>
                      <w:shd w:val="clear" w:fill="FFFFFF"/>
                    </w:rPr>
                    <w:t>(四)厂区污水排放应符合《污水综合排放标准》(GB8978)要求。</w:t>
                  </w:r>
                </w:p>
                <w:p w14:paraId="1FC4D351">
                  <w:pPr>
                    <w:pStyle w:val="70"/>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ascii="Times New Roman" w:hAnsi="Times New Roman" w:eastAsia="宋体" w:cs="Times New Roman"/>
                      <w:i w:val="0"/>
                      <w:iCs w:val="0"/>
                      <w:caps w:val="0"/>
                      <w:color w:val="auto"/>
                      <w:spacing w:val="0"/>
                      <w:sz w:val="21"/>
                      <w:szCs w:val="21"/>
                      <w:shd w:val="clear" w:fill="FFFFFF"/>
                    </w:rPr>
                  </w:pPr>
                  <w:r>
                    <w:rPr>
                      <w:rFonts w:hint="eastAsia" w:ascii="Times New Roman" w:hAnsi="Times New Roman" w:eastAsia="宋体" w:cs="Times New Roman"/>
                      <w:i w:val="0"/>
                      <w:iCs w:val="0"/>
                      <w:caps w:val="0"/>
                      <w:color w:val="auto"/>
                      <w:spacing w:val="0"/>
                      <w:sz w:val="21"/>
                      <w:szCs w:val="21"/>
                      <w:shd w:val="clear" w:fill="FFFFFF"/>
                    </w:rPr>
                    <w:t>(五)厂界噪声应符合《工业企业厂界环境噪声排放标准》GB12348)要求。</w:t>
                  </w:r>
                </w:p>
                <w:p w14:paraId="524E8A36">
                  <w:pPr>
                    <w:pStyle w:val="70"/>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eastAsia" w:ascii="Times New Roman" w:hAnsi="Times New Roman" w:eastAsia="宋体" w:cs="Times New Roman"/>
                      <w:i w:val="0"/>
                      <w:iCs w:val="0"/>
                      <w:caps w:val="0"/>
                      <w:color w:val="auto"/>
                      <w:spacing w:val="0"/>
                      <w:sz w:val="21"/>
                      <w:szCs w:val="21"/>
                      <w:shd w:val="clear" w:fill="FFFFFF"/>
                      <w:lang w:eastAsia="zh-CN"/>
                    </w:rPr>
                  </w:pPr>
                  <w:r>
                    <w:rPr>
                      <w:rFonts w:hint="eastAsia" w:ascii="Times New Roman" w:hAnsi="Times New Roman" w:eastAsia="宋体" w:cs="Times New Roman"/>
                      <w:i w:val="0"/>
                      <w:iCs w:val="0"/>
                      <w:caps w:val="0"/>
                      <w:color w:val="auto"/>
                      <w:spacing w:val="0"/>
                      <w:sz w:val="21"/>
                      <w:szCs w:val="21"/>
                      <w:shd w:val="clear" w:fill="FFFFFF"/>
                    </w:rPr>
                    <w:t>(六)仿古砖瓦企业应按照《一般工业固体废物贮存和填埋污染控制标准》( GB18599-2020)相关规定处理固废</w:t>
                  </w:r>
                  <w:r>
                    <w:rPr>
                      <w:rFonts w:hint="eastAsia" w:ascii="Times New Roman" w:hAnsi="Times New Roman" w:eastAsia="宋体" w:cs="Times New Roman"/>
                      <w:i w:val="0"/>
                      <w:iCs w:val="0"/>
                      <w:caps w:val="0"/>
                      <w:color w:val="auto"/>
                      <w:spacing w:val="0"/>
                      <w:sz w:val="21"/>
                      <w:szCs w:val="21"/>
                      <w:shd w:val="clear" w:fill="FFFFFF"/>
                      <w:lang w:eastAsia="zh-CN"/>
                    </w:rPr>
                    <w:t>。</w:t>
                  </w:r>
                </w:p>
              </w:tc>
              <w:tc>
                <w:tcPr>
                  <w:tcW w:w="2465" w:type="dxa"/>
                  <w:noWrap w:val="0"/>
                  <w:vAlign w:val="center"/>
                </w:tcPr>
                <w:p w14:paraId="2E23B12E">
                  <w:pPr>
                    <w:pStyle w:val="70"/>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textAlignment w:val="auto"/>
                    <w:rPr>
                      <w:rFonts w:hint="default" w:ascii="Times New Roman" w:hAnsi="Times New Roman" w:eastAsia="宋体" w:cs="Times New Roman"/>
                      <w:i w:val="0"/>
                      <w:iCs w:val="0"/>
                      <w:caps w:val="0"/>
                      <w:color w:val="auto"/>
                      <w:spacing w:val="0"/>
                      <w:sz w:val="21"/>
                      <w:szCs w:val="21"/>
                      <w:shd w:val="clear" w:fill="FFFFFF"/>
                      <w:lang w:val="en-US" w:eastAsia="zh-CN"/>
                    </w:rPr>
                  </w:pPr>
                  <w:r>
                    <w:rPr>
                      <w:rFonts w:hint="eastAsia" w:ascii="Times New Roman" w:hAnsi="Times New Roman" w:eastAsia="宋体" w:cs="Times New Roman"/>
                      <w:i w:val="0"/>
                      <w:iCs w:val="0"/>
                      <w:caps w:val="0"/>
                      <w:color w:val="auto"/>
                      <w:spacing w:val="0"/>
                      <w:sz w:val="21"/>
                      <w:szCs w:val="21"/>
                      <w:shd w:val="clear" w:fill="FFFFFF"/>
                      <w:lang w:val="en-US" w:eastAsia="zh-CN"/>
                    </w:rPr>
                    <w:t>本项目</w:t>
                  </w:r>
                  <w:r>
                    <w:rPr>
                      <w:rFonts w:hint="eastAsia" w:cs="Times New Roman"/>
                      <w:i w:val="0"/>
                      <w:iCs w:val="0"/>
                      <w:caps w:val="0"/>
                      <w:color w:val="auto"/>
                      <w:spacing w:val="0"/>
                      <w:sz w:val="21"/>
                      <w:szCs w:val="21"/>
                      <w:shd w:val="clear" w:fill="FFFFFF"/>
                      <w:lang w:val="en-US" w:eastAsia="zh-CN"/>
                    </w:rPr>
                    <w:t>依法履行“环保三同时”梭式窑生产产生的废气采用布袋除尘+脱硫塔进行处理，处理达《砖瓦工业大气污染物排放标准》(GB29620-2013)</w:t>
                  </w:r>
                  <w:r>
                    <w:rPr>
                      <w:rFonts w:hint="eastAsia" w:cs="Times New Roman"/>
                      <w:color w:val="auto"/>
                      <w:lang w:val="en-US" w:eastAsia="zh-CN"/>
                    </w:rPr>
                    <w:t>及修改单</w:t>
                  </w:r>
                  <w:r>
                    <w:rPr>
                      <w:rFonts w:hint="eastAsia" w:cs="Times New Roman"/>
                      <w:i w:val="0"/>
                      <w:iCs w:val="0"/>
                      <w:caps w:val="0"/>
                      <w:color w:val="auto"/>
                      <w:spacing w:val="0"/>
                      <w:sz w:val="21"/>
                      <w:szCs w:val="21"/>
                      <w:shd w:val="clear" w:fill="FFFFFF"/>
                      <w:lang w:val="en-US" w:eastAsia="zh-CN"/>
                    </w:rPr>
                    <w:t>标准后排放</w:t>
                  </w:r>
                  <w:r>
                    <w:rPr>
                      <w:rFonts w:hint="eastAsia" w:ascii="Times New Roman" w:hAnsi="Times New Roman" w:eastAsia="宋体" w:cs="Times New Roman"/>
                      <w:i w:val="0"/>
                      <w:iCs w:val="0"/>
                      <w:caps w:val="0"/>
                      <w:color w:val="auto"/>
                      <w:spacing w:val="0"/>
                      <w:sz w:val="21"/>
                      <w:szCs w:val="21"/>
                      <w:shd w:val="clear" w:fill="FFFFFF"/>
                      <w:lang w:eastAsia="zh-CN"/>
                    </w:rPr>
                    <w:t>。</w:t>
                  </w:r>
                  <w:r>
                    <w:rPr>
                      <w:rFonts w:hint="eastAsia" w:cs="Times New Roman"/>
                      <w:i w:val="0"/>
                      <w:iCs w:val="0"/>
                      <w:caps w:val="0"/>
                      <w:color w:val="auto"/>
                      <w:spacing w:val="0"/>
                      <w:sz w:val="21"/>
                      <w:szCs w:val="21"/>
                      <w:shd w:val="clear" w:fill="FFFFFF"/>
                      <w:lang w:val="en-US" w:eastAsia="zh-CN"/>
                    </w:rPr>
                    <w:t>本项目原料均为外购，不涉及原材料矿点的开采。厂区废水循环使用不外排，厂界噪声符合《工业企业厂界环境噪声排放标准》GB12348)要求，固体废物按照《一般工业固体废物贮存和填埋污染控制标准》(GB18599-2020)相关规定处理。</w:t>
                  </w:r>
                </w:p>
              </w:tc>
              <w:tc>
                <w:tcPr>
                  <w:tcW w:w="1015" w:type="dxa"/>
                  <w:noWrap w:val="0"/>
                  <w:vAlign w:val="center"/>
                </w:tcPr>
                <w:p w14:paraId="33F775EE">
                  <w:pPr>
                    <w:pStyle w:val="70"/>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bl>
          <w:p w14:paraId="70EBC3E7">
            <w:pPr>
              <w:autoSpaceDE w:val="0"/>
              <w:autoSpaceDN w:val="0"/>
              <w:adjustRightInd w:val="0"/>
              <w:snapToGrid w:val="0"/>
              <w:spacing w:line="360" w:lineRule="auto"/>
              <w:ind w:firstLine="422" w:firstLineChars="200"/>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1</w:t>
            </w:r>
            <w:r>
              <w:rPr>
                <w:rFonts w:hint="eastAsia" w:ascii="Times New Roman" w:hAnsi="Times New Roman" w:cs="Times New Roman"/>
                <w:b/>
                <w:bCs/>
                <w:color w:val="auto"/>
                <w:sz w:val="21"/>
                <w:szCs w:val="21"/>
                <w:lang w:val="en-US" w:eastAsia="zh-CN"/>
              </w:rPr>
              <w:t>1</w:t>
            </w:r>
            <w:r>
              <w:rPr>
                <w:rFonts w:hint="eastAsia" w:ascii="Times New Roman" w:hAnsi="Times New Roman" w:eastAsia="宋体" w:cs="Times New Roman"/>
                <w:b/>
                <w:bCs/>
                <w:color w:val="auto"/>
                <w:sz w:val="21"/>
                <w:szCs w:val="21"/>
                <w:lang w:val="en-US" w:eastAsia="zh-CN"/>
              </w:rPr>
              <w:t>、与《华宁县国土空间总体规划（2021-2035年）》的符合性分析</w:t>
            </w:r>
          </w:p>
          <w:p w14:paraId="724E8FE1">
            <w:pPr>
              <w:keepNext w:val="0"/>
              <w:keepLines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摘选部分与本项目相关内容，与其符合性分析见下表所示。</w:t>
            </w:r>
          </w:p>
          <w:p w14:paraId="5D09BBCE">
            <w:pPr>
              <w:widowControl w:val="0"/>
              <w:bidi w:val="0"/>
              <w:spacing w:line="360" w:lineRule="auto"/>
              <w:ind w:firstLine="422" w:firstLineChars="200"/>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表1-1</w:t>
            </w:r>
            <w:r>
              <w:rPr>
                <w:rFonts w:hint="eastAsia" w:cs="Times New Roman"/>
                <w:b/>
                <w:bCs/>
                <w:color w:val="auto"/>
                <w:kern w:val="2"/>
                <w:sz w:val="21"/>
                <w:szCs w:val="21"/>
                <w:lang w:val="en-US" w:eastAsia="zh-CN" w:bidi="ar-SA"/>
              </w:rPr>
              <w:t>5</w:t>
            </w:r>
            <w:r>
              <w:rPr>
                <w:rFonts w:hint="eastAsia" w:ascii="Times New Roman" w:hAnsi="Times New Roman" w:eastAsia="宋体" w:cs="Times New Roman"/>
                <w:b/>
                <w:bCs/>
                <w:color w:val="auto"/>
                <w:kern w:val="2"/>
                <w:sz w:val="21"/>
                <w:szCs w:val="21"/>
                <w:lang w:val="en-US" w:eastAsia="zh-CN" w:bidi="ar-SA"/>
              </w:rPr>
              <w:t xml:space="preserve">  本项目与《华宁县国土空间总体规划（2021-2035年）》符合性分析（摘抄）</w:t>
            </w:r>
          </w:p>
          <w:tbl>
            <w:tblPr>
              <w:tblStyle w:val="29"/>
              <w:tblW w:w="8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6"/>
              <w:gridCol w:w="1995"/>
              <w:gridCol w:w="869"/>
            </w:tblGrid>
            <w:tr w14:paraId="06B41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5736" w:type="dxa"/>
                  <w:noWrap w:val="0"/>
                  <w:vAlign w:val="center"/>
                </w:tcPr>
                <w:p w14:paraId="02C88A04">
                  <w:pPr>
                    <w:widowControl w:val="0"/>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方案要求</w:t>
                  </w:r>
                </w:p>
              </w:tc>
              <w:tc>
                <w:tcPr>
                  <w:tcW w:w="1995" w:type="dxa"/>
                  <w:noWrap w:val="0"/>
                  <w:vAlign w:val="center"/>
                </w:tcPr>
                <w:p w14:paraId="00E6C9B2">
                  <w:pPr>
                    <w:widowControl w:val="0"/>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本项目情况</w:t>
                  </w:r>
                </w:p>
              </w:tc>
              <w:tc>
                <w:tcPr>
                  <w:tcW w:w="869" w:type="dxa"/>
                  <w:noWrap w:val="0"/>
                  <w:vAlign w:val="center"/>
                </w:tcPr>
                <w:p w14:paraId="06BBFEF8">
                  <w:pPr>
                    <w:widowControl w:val="0"/>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符合性</w:t>
                  </w:r>
                </w:p>
              </w:tc>
            </w:tr>
            <w:tr w14:paraId="68571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jc w:val="center"/>
              </w:trPr>
              <w:tc>
                <w:tcPr>
                  <w:tcW w:w="5736" w:type="dxa"/>
                  <w:noWrap w:val="0"/>
                  <w:vAlign w:val="center"/>
                </w:tcPr>
                <w:p w14:paraId="5AD8880C">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both"/>
                    <w:textAlignment w:val="auto"/>
                    <w:rPr>
                      <w:rFonts w:hint="eastAsia" w:ascii="Times New Roman" w:hAnsi="Times New Roman" w:eastAsia="宋体" w:cs="Times New Roman"/>
                      <w:i w:val="0"/>
                      <w:iCs w:val="0"/>
                      <w:caps w:val="0"/>
                      <w:color w:val="auto"/>
                      <w:spacing w:val="0"/>
                      <w:kern w:val="2"/>
                      <w:sz w:val="21"/>
                      <w:szCs w:val="21"/>
                      <w:shd w:val="clear" w:fill="FFFFFF"/>
                      <w:lang w:val="en-US" w:eastAsia="zh-CN" w:bidi="ar-SA"/>
                    </w:rPr>
                  </w:pPr>
                  <w:r>
                    <w:rPr>
                      <w:rFonts w:hint="eastAsia" w:ascii="Times New Roman" w:hAnsi="Times New Roman" w:eastAsia="宋体" w:cs="Times New Roman"/>
                      <w:i w:val="0"/>
                      <w:iCs w:val="0"/>
                      <w:caps w:val="0"/>
                      <w:color w:val="auto"/>
                      <w:spacing w:val="0"/>
                      <w:kern w:val="2"/>
                      <w:sz w:val="21"/>
                      <w:szCs w:val="21"/>
                      <w:shd w:val="clear" w:fill="FFFFFF"/>
                      <w:lang w:val="en-US" w:eastAsia="zh-CN" w:bidi="ar-SA"/>
                    </w:rPr>
                    <w:t>第61条 规划结构</w:t>
                  </w:r>
                </w:p>
                <w:p w14:paraId="5A5C01A2">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both"/>
                    <w:textAlignment w:val="auto"/>
                    <w:rPr>
                      <w:rFonts w:hint="eastAsia" w:ascii="Times New Roman" w:hAnsi="Times New Roman" w:eastAsia="宋体" w:cs="Times New Roman"/>
                      <w:i w:val="0"/>
                      <w:iCs w:val="0"/>
                      <w:caps w:val="0"/>
                      <w:color w:val="auto"/>
                      <w:spacing w:val="0"/>
                      <w:kern w:val="2"/>
                      <w:sz w:val="21"/>
                      <w:szCs w:val="21"/>
                      <w:shd w:val="clear" w:fill="FFFFFF"/>
                      <w:lang w:val="en-US" w:eastAsia="zh-CN" w:bidi="ar-SA"/>
                    </w:rPr>
                  </w:pPr>
                  <w:r>
                    <w:rPr>
                      <w:rFonts w:hint="eastAsia" w:ascii="Times New Roman" w:hAnsi="Times New Roman" w:eastAsia="宋体" w:cs="Times New Roman"/>
                      <w:i w:val="0"/>
                      <w:iCs w:val="0"/>
                      <w:caps w:val="0"/>
                      <w:color w:val="auto"/>
                      <w:spacing w:val="0"/>
                      <w:kern w:val="2"/>
                      <w:sz w:val="21"/>
                      <w:szCs w:val="21"/>
                      <w:shd w:val="clear" w:fill="FFFFFF"/>
                      <w:lang w:val="en-US" w:eastAsia="zh-CN" w:bidi="ar-SA"/>
                    </w:rPr>
                    <w:t>依托特色的城市景观资源，塑造“山城相依、林城相拥、水城相映、田城相望、陶城相融”的山水人文意境，延续老城历史文脉，构建“一核一轴一带七区”的空间结构。</w:t>
                  </w:r>
                </w:p>
                <w:p w14:paraId="0FE47A4D">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both"/>
                    <w:textAlignment w:val="auto"/>
                    <w:rPr>
                      <w:rFonts w:hint="eastAsia" w:ascii="Times New Roman" w:hAnsi="Times New Roman" w:eastAsia="宋体" w:cs="Times New Roman"/>
                      <w:i w:val="0"/>
                      <w:iCs w:val="0"/>
                      <w:caps w:val="0"/>
                      <w:color w:val="auto"/>
                      <w:spacing w:val="0"/>
                      <w:kern w:val="2"/>
                      <w:sz w:val="21"/>
                      <w:szCs w:val="21"/>
                      <w:shd w:val="clear" w:fill="FFFFFF"/>
                      <w:lang w:val="en-US" w:eastAsia="zh-CN" w:bidi="ar-SA"/>
                    </w:rPr>
                  </w:pPr>
                  <w:r>
                    <w:rPr>
                      <w:rFonts w:hint="eastAsia" w:ascii="Times New Roman" w:hAnsi="Times New Roman" w:eastAsia="宋体" w:cs="Times New Roman"/>
                      <w:i w:val="0"/>
                      <w:iCs w:val="0"/>
                      <w:caps w:val="0"/>
                      <w:color w:val="auto"/>
                      <w:spacing w:val="0"/>
                      <w:kern w:val="2"/>
                      <w:sz w:val="21"/>
                      <w:szCs w:val="21"/>
                      <w:shd w:val="clear" w:fill="FFFFFF"/>
                      <w:lang w:val="en-US" w:eastAsia="zh-CN" w:bidi="ar-SA"/>
                    </w:rPr>
                    <w:t>一核：以泉陶文化中心引领周围商贸商务功能形成的城市核心。</w:t>
                  </w:r>
                </w:p>
                <w:p w14:paraId="52CF852C">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both"/>
                    <w:textAlignment w:val="auto"/>
                    <w:rPr>
                      <w:rFonts w:hint="eastAsia" w:ascii="Times New Roman" w:hAnsi="Times New Roman" w:eastAsia="宋体" w:cs="Times New Roman"/>
                      <w:i w:val="0"/>
                      <w:iCs w:val="0"/>
                      <w:caps w:val="0"/>
                      <w:color w:val="auto"/>
                      <w:spacing w:val="0"/>
                      <w:kern w:val="2"/>
                      <w:sz w:val="21"/>
                      <w:szCs w:val="21"/>
                      <w:shd w:val="clear" w:fill="FFFFFF"/>
                      <w:lang w:val="en-US" w:eastAsia="zh-CN" w:bidi="ar-SA"/>
                    </w:rPr>
                  </w:pPr>
                  <w:r>
                    <w:rPr>
                      <w:rFonts w:hint="eastAsia" w:ascii="Times New Roman" w:hAnsi="Times New Roman" w:eastAsia="宋体" w:cs="Times New Roman"/>
                      <w:i w:val="0"/>
                      <w:iCs w:val="0"/>
                      <w:caps w:val="0"/>
                      <w:color w:val="auto"/>
                      <w:spacing w:val="0"/>
                      <w:kern w:val="2"/>
                      <w:sz w:val="21"/>
                      <w:szCs w:val="21"/>
                      <w:shd w:val="clear" w:fill="FFFFFF"/>
                      <w:lang w:val="en-US" w:eastAsia="zh-CN" w:bidi="ar-SA"/>
                    </w:rPr>
                    <w:t>碗窑传统村落功能区：环城北路北侧碗窑村及周边片区，以传统建筑风貌、华宁陶历史文化风貌为特色。</w:t>
                  </w:r>
                </w:p>
              </w:tc>
              <w:tc>
                <w:tcPr>
                  <w:tcW w:w="1995" w:type="dxa"/>
                  <w:vMerge w:val="restart"/>
                  <w:noWrap w:val="0"/>
                  <w:vAlign w:val="center"/>
                </w:tcPr>
                <w:p w14:paraId="6A52FB4D">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both"/>
                    <w:textAlignment w:val="auto"/>
                    <w:rPr>
                      <w:rFonts w:hint="default" w:ascii="Times New Roman" w:hAnsi="Times New Roman" w:eastAsia="宋体" w:cs="Times New Roman"/>
                      <w:i w:val="0"/>
                      <w:iCs w:val="0"/>
                      <w:caps w:val="0"/>
                      <w:color w:val="auto"/>
                      <w:spacing w:val="0"/>
                      <w:kern w:val="2"/>
                      <w:sz w:val="21"/>
                      <w:szCs w:val="21"/>
                      <w:shd w:val="clear" w:fill="FFFFFF"/>
                      <w:lang w:val="en-US" w:eastAsia="zh-CN" w:bidi="ar-SA"/>
                    </w:rPr>
                  </w:pPr>
                  <w:r>
                    <w:rPr>
                      <w:rFonts w:hint="eastAsia" w:ascii="Times New Roman" w:hAnsi="Times New Roman" w:eastAsia="宋体" w:cs="Times New Roman"/>
                      <w:i w:val="0"/>
                      <w:iCs w:val="0"/>
                      <w:caps w:val="0"/>
                      <w:color w:val="auto"/>
                      <w:spacing w:val="0"/>
                      <w:kern w:val="2"/>
                      <w:sz w:val="21"/>
                      <w:szCs w:val="21"/>
                      <w:shd w:val="clear" w:fill="FFFFFF"/>
                      <w:lang w:val="en-US" w:eastAsia="zh-CN" w:bidi="ar-SA"/>
                    </w:rPr>
                    <w:t>本项目位于</w:t>
                  </w:r>
                  <w:r>
                    <w:rPr>
                      <w:rFonts w:hint="eastAsia" w:cs="Times New Roman"/>
                      <w:color w:val="auto"/>
                      <w:sz w:val="21"/>
                      <w:szCs w:val="21"/>
                      <w:lang w:val="en-US" w:eastAsia="zh-CN"/>
                    </w:rPr>
                    <w:t>云南省玉溪市华宁县</w:t>
                  </w:r>
                  <w:r>
                    <w:rPr>
                      <w:rFonts w:hint="default" w:ascii="Times New Roman" w:hAnsi="Times New Roman" w:cs="Times New Roman"/>
                      <w:color w:val="auto"/>
                      <w:sz w:val="21"/>
                      <w:szCs w:val="21"/>
                      <w:lang w:val="en-US" w:eastAsia="zh-CN"/>
                    </w:rPr>
                    <w:t>宁州街道上村社区松树地</w:t>
                  </w:r>
                  <w:r>
                    <w:rPr>
                      <w:rFonts w:hint="eastAsia" w:ascii="Times New Roman" w:hAnsi="Times New Roman" w:eastAsia="宋体" w:cs="Times New Roman"/>
                      <w:i w:val="0"/>
                      <w:iCs w:val="0"/>
                      <w:caps w:val="0"/>
                      <w:color w:val="auto"/>
                      <w:spacing w:val="0"/>
                      <w:kern w:val="2"/>
                      <w:sz w:val="21"/>
                      <w:szCs w:val="21"/>
                      <w:shd w:val="clear" w:fill="FFFFFF"/>
                      <w:lang w:val="en-US" w:eastAsia="zh-CN" w:bidi="ar-SA"/>
                    </w:rPr>
                    <w:t>，</w:t>
                  </w:r>
                  <w:r>
                    <w:rPr>
                      <w:rFonts w:hint="eastAsia" w:cs="Times New Roman"/>
                      <w:color w:val="auto"/>
                      <w:sz w:val="21"/>
                      <w:szCs w:val="21"/>
                      <w:u w:val="none"/>
                      <w:lang w:val="en-US" w:eastAsia="zh-CN"/>
                    </w:rPr>
                    <w:t>华宁县白塔山陶器厂</w:t>
                  </w:r>
                  <w:r>
                    <w:rPr>
                      <w:rFonts w:hint="eastAsia" w:cs="Times New Roman"/>
                      <w:color w:val="auto"/>
                      <w:kern w:val="2"/>
                      <w:sz w:val="21"/>
                      <w:szCs w:val="21"/>
                      <w:lang w:val="en-US" w:eastAsia="zh-CN" w:bidi="ar-SA"/>
                    </w:rPr>
                    <w:t>于2021年通过国有土地出让，取得《不动产权证》，文号：云（2021）华宁县不动产权第0000286号，厂区规划工业用地10624.66㎡；2025年2月21日取得了华宁县自然资源局出具的《华宁县2025年度第一批次村庄建设用地》的缴费通知，企业依法缴纳费用，取得了0.8928公顷的建设用地使用权；全厂合计占地面积为19552.66㎡，符合土地规划</w:t>
                  </w:r>
                  <w:r>
                    <w:rPr>
                      <w:rFonts w:hint="eastAsia" w:ascii="Times New Roman" w:hAnsi="Times New Roman" w:eastAsia="宋体" w:cs="Times New Roman"/>
                      <w:i w:val="0"/>
                      <w:iCs w:val="0"/>
                      <w:caps w:val="0"/>
                      <w:color w:val="auto"/>
                      <w:spacing w:val="0"/>
                      <w:kern w:val="2"/>
                      <w:sz w:val="21"/>
                      <w:szCs w:val="21"/>
                      <w:shd w:val="clear" w:fill="FFFFFF"/>
                      <w:lang w:val="en-US" w:eastAsia="zh-CN" w:bidi="ar-SA"/>
                    </w:rPr>
                    <w:t>制造的砖瓦为仿古砖瓦，与传统建筑相结合，对于打造传统建筑有积极意义。</w:t>
                  </w:r>
                </w:p>
              </w:tc>
              <w:tc>
                <w:tcPr>
                  <w:tcW w:w="869" w:type="dxa"/>
                  <w:noWrap w:val="0"/>
                  <w:vAlign w:val="center"/>
                </w:tcPr>
                <w:p w14:paraId="0605364A">
                  <w:pPr>
                    <w:widowControl w:val="0"/>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符合</w:t>
                  </w:r>
                </w:p>
              </w:tc>
            </w:tr>
            <w:tr w14:paraId="75902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5736" w:type="dxa"/>
                  <w:noWrap w:val="0"/>
                  <w:vAlign w:val="center"/>
                </w:tcPr>
                <w:p w14:paraId="7A3681A4">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both"/>
                    <w:textAlignment w:val="auto"/>
                    <w:rPr>
                      <w:rFonts w:hint="eastAsia" w:ascii="Times New Roman" w:hAnsi="Times New Roman" w:eastAsia="宋体" w:cs="Times New Roman"/>
                      <w:i w:val="0"/>
                      <w:iCs w:val="0"/>
                      <w:caps w:val="0"/>
                      <w:color w:val="auto"/>
                      <w:spacing w:val="0"/>
                      <w:kern w:val="2"/>
                      <w:sz w:val="21"/>
                      <w:szCs w:val="21"/>
                      <w:shd w:val="clear" w:fill="FFFFFF"/>
                      <w:lang w:val="en-US" w:eastAsia="zh-CN" w:bidi="ar-SA"/>
                    </w:rPr>
                  </w:pPr>
                  <w:r>
                    <w:rPr>
                      <w:rFonts w:hint="eastAsia" w:ascii="Times New Roman" w:hAnsi="Times New Roman" w:eastAsia="宋体" w:cs="Times New Roman"/>
                      <w:i w:val="0"/>
                      <w:iCs w:val="0"/>
                      <w:caps w:val="0"/>
                      <w:color w:val="auto"/>
                      <w:spacing w:val="0"/>
                      <w:kern w:val="2"/>
                      <w:sz w:val="21"/>
                      <w:szCs w:val="21"/>
                      <w:shd w:val="clear" w:fill="FFFFFF"/>
                      <w:lang w:val="en-US" w:eastAsia="zh-CN" w:bidi="ar-SA"/>
                    </w:rPr>
                    <w:t>第154条规划指引</w:t>
                  </w:r>
                </w:p>
                <w:p w14:paraId="010C2498">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both"/>
                    <w:textAlignment w:val="auto"/>
                    <w:rPr>
                      <w:rFonts w:hint="eastAsia" w:ascii="Times New Roman" w:hAnsi="Times New Roman" w:eastAsia="宋体" w:cs="Times New Roman"/>
                      <w:i w:val="0"/>
                      <w:iCs w:val="0"/>
                      <w:caps w:val="0"/>
                      <w:color w:val="auto"/>
                      <w:spacing w:val="0"/>
                      <w:kern w:val="2"/>
                      <w:sz w:val="21"/>
                      <w:szCs w:val="21"/>
                      <w:shd w:val="clear" w:fill="FFFFFF"/>
                      <w:lang w:val="en-US" w:eastAsia="zh-CN" w:bidi="ar-SA"/>
                    </w:rPr>
                  </w:pPr>
                  <w:r>
                    <w:rPr>
                      <w:rFonts w:hint="eastAsia" w:ascii="Times New Roman" w:hAnsi="Times New Roman" w:eastAsia="宋体" w:cs="Times New Roman"/>
                      <w:i w:val="0"/>
                      <w:iCs w:val="0"/>
                      <w:caps w:val="0"/>
                      <w:color w:val="auto"/>
                      <w:spacing w:val="0"/>
                      <w:kern w:val="2"/>
                      <w:sz w:val="21"/>
                      <w:szCs w:val="21"/>
                      <w:shd w:val="clear" w:fill="FFFFFF"/>
                      <w:lang w:val="en-US" w:eastAsia="zh-CN" w:bidi="ar-SA"/>
                    </w:rPr>
                    <w:t>宁州街道依托碗窑国际陶艺村、冲麦文化艺术村落、象鼻温泉、磨豆山等丰富的历史文化资源和能源资源，拓展文化传承、生态康养、田园风光的功能，推动农文旅融合发展；依托新庄电力装备制造园区，打造百亿级园区，重点培育风电设备制造全产业链，打造以绿色风电设备制造、生物资源加工等产业为核心产业的城市经济增长极和产城融合发展示范区；承接玉溪市卷烟及产业配套展业布局，打造新型烟草产业园；依托周边智慧设施农业项目，重点发展以高原绿色种植为主的现代农业，建设高原特色现代农业示范区；打造“山城相依、水城相映、林城相拥、田城相望、陶城相融”特色的绿美宜居城市。</w:t>
                  </w:r>
                </w:p>
              </w:tc>
              <w:tc>
                <w:tcPr>
                  <w:tcW w:w="1995" w:type="dxa"/>
                  <w:vMerge w:val="continue"/>
                  <w:noWrap w:val="0"/>
                  <w:vAlign w:val="center"/>
                </w:tcPr>
                <w:p w14:paraId="08F74713">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both"/>
                    <w:textAlignment w:val="auto"/>
                    <w:rPr>
                      <w:rFonts w:hint="default" w:ascii="Times New Roman" w:hAnsi="Times New Roman" w:eastAsia="宋体" w:cs="Times New Roman"/>
                      <w:i w:val="0"/>
                      <w:iCs w:val="0"/>
                      <w:caps w:val="0"/>
                      <w:color w:val="auto"/>
                      <w:spacing w:val="0"/>
                      <w:kern w:val="2"/>
                      <w:sz w:val="21"/>
                      <w:szCs w:val="21"/>
                      <w:shd w:val="clear" w:fill="FFFFFF"/>
                      <w:lang w:val="en-US" w:eastAsia="zh-CN" w:bidi="ar-SA"/>
                    </w:rPr>
                  </w:pPr>
                </w:p>
              </w:tc>
              <w:tc>
                <w:tcPr>
                  <w:tcW w:w="869" w:type="dxa"/>
                  <w:noWrap w:val="0"/>
                  <w:vAlign w:val="center"/>
                </w:tcPr>
                <w:p w14:paraId="665C6E9E">
                  <w:pPr>
                    <w:widowControl w:val="0"/>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符合</w:t>
                  </w:r>
                </w:p>
              </w:tc>
            </w:tr>
          </w:tbl>
          <w:p w14:paraId="05D3B026">
            <w:pPr>
              <w:autoSpaceDE w:val="0"/>
              <w:autoSpaceDN w:val="0"/>
              <w:adjustRightInd w:val="0"/>
              <w:snapToGrid w:val="0"/>
              <w:spacing w:line="360" w:lineRule="auto"/>
              <w:ind w:left="0" w:leftChars="0" w:firstLine="422" w:firstLineChars="200"/>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1</w:t>
            </w:r>
            <w:r>
              <w:rPr>
                <w:rFonts w:hint="eastAsia" w:ascii="Times New Roman" w:hAnsi="Times New Roman" w:cs="Times New Roman"/>
                <w:b/>
                <w:bCs/>
                <w:color w:val="auto"/>
                <w:sz w:val="21"/>
                <w:szCs w:val="21"/>
                <w:lang w:val="en-US" w:eastAsia="zh-CN"/>
              </w:rPr>
              <w:t>2</w:t>
            </w:r>
            <w:r>
              <w:rPr>
                <w:rFonts w:hint="eastAsia" w:ascii="Times New Roman" w:hAnsi="Times New Roman" w:eastAsia="宋体" w:cs="Times New Roman"/>
                <w:b/>
                <w:bCs/>
                <w:color w:val="auto"/>
                <w:sz w:val="21"/>
                <w:szCs w:val="21"/>
                <w:lang w:val="en-US" w:eastAsia="zh-CN"/>
              </w:rPr>
              <w:t>、与《促进绿色建材生产和应用行动方案》的符合性分析</w:t>
            </w:r>
          </w:p>
          <w:p w14:paraId="371AEF4C">
            <w:pPr>
              <w:keepNext w:val="0"/>
              <w:keepLines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根据2015年8月31日工业和信息化部、住房城乡建设部联合发布的《工业和信息化部、住房城乡建设部关于印发&lt;促进绿色建材生产和应用行动方案&gt;的通知》（工信部联原〔2015〕309号），摘选部分与本项目相关内容，与其符合性分析见下表所示。</w:t>
            </w:r>
          </w:p>
          <w:p w14:paraId="5D2F1F16">
            <w:pPr>
              <w:widowControl w:val="0"/>
              <w:bidi w:val="0"/>
              <w:spacing w:line="360" w:lineRule="auto"/>
              <w:ind w:firstLine="422" w:firstLineChars="200"/>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表1-1</w:t>
            </w:r>
            <w:r>
              <w:rPr>
                <w:rFonts w:hint="eastAsia" w:cs="Times New Roman"/>
                <w:b/>
                <w:bCs/>
                <w:color w:val="auto"/>
                <w:kern w:val="2"/>
                <w:sz w:val="21"/>
                <w:szCs w:val="21"/>
                <w:lang w:val="en-US" w:eastAsia="zh-CN" w:bidi="ar-SA"/>
              </w:rPr>
              <w:t>6</w:t>
            </w:r>
            <w:r>
              <w:rPr>
                <w:rFonts w:hint="eastAsia" w:ascii="Times New Roman" w:hAnsi="Times New Roman" w:eastAsia="宋体" w:cs="Times New Roman"/>
                <w:b/>
                <w:bCs/>
                <w:color w:val="auto"/>
                <w:kern w:val="2"/>
                <w:sz w:val="21"/>
                <w:szCs w:val="21"/>
                <w:lang w:val="en-US" w:eastAsia="zh-CN" w:bidi="ar-SA"/>
              </w:rPr>
              <w:t xml:space="preserve">  本项目与《促进绿色建材生产和应用行动方案》符合性分析（摘抄）</w:t>
            </w:r>
          </w:p>
          <w:tbl>
            <w:tblPr>
              <w:tblStyle w:val="29"/>
              <w:tblW w:w="85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4"/>
              <w:gridCol w:w="4315"/>
              <w:gridCol w:w="978"/>
            </w:tblGrid>
            <w:tr w14:paraId="2EDE1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3284" w:type="dxa"/>
                  <w:noWrap w:val="0"/>
                  <w:vAlign w:val="center"/>
                </w:tcPr>
                <w:p w14:paraId="203C46E0">
                  <w:pPr>
                    <w:widowControl w:val="0"/>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方案要求</w:t>
                  </w:r>
                </w:p>
              </w:tc>
              <w:tc>
                <w:tcPr>
                  <w:tcW w:w="4315" w:type="dxa"/>
                  <w:noWrap w:val="0"/>
                  <w:vAlign w:val="center"/>
                </w:tcPr>
                <w:p w14:paraId="33AC2A4D">
                  <w:pPr>
                    <w:widowControl w:val="0"/>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本项目情况</w:t>
                  </w:r>
                </w:p>
              </w:tc>
              <w:tc>
                <w:tcPr>
                  <w:tcW w:w="978" w:type="dxa"/>
                  <w:noWrap w:val="0"/>
                  <w:vAlign w:val="center"/>
                </w:tcPr>
                <w:p w14:paraId="6956DC0A">
                  <w:pPr>
                    <w:widowControl w:val="0"/>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符合性</w:t>
                  </w:r>
                </w:p>
              </w:tc>
            </w:tr>
            <w:tr w14:paraId="65FDE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4" w:hRule="atLeast"/>
                <w:jc w:val="center"/>
              </w:trPr>
              <w:tc>
                <w:tcPr>
                  <w:tcW w:w="3284" w:type="dxa"/>
                  <w:noWrap w:val="0"/>
                  <w:vAlign w:val="center"/>
                </w:tcPr>
                <w:p w14:paraId="70929F6D">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both"/>
                    <w:textAlignment w:val="auto"/>
                    <w:rPr>
                      <w:rFonts w:hint="eastAsia" w:ascii="Times New Roman" w:hAnsi="Times New Roman" w:eastAsia="宋体" w:cs="Times New Roman"/>
                      <w:i w:val="0"/>
                      <w:iCs w:val="0"/>
                      <w:caps w:val="0"/>
                      <w:color w:val="auto"/>
                      <w:spacing w:val="0"/>
                      <w:kern w:val="2"/>
                      <w:sz w:val="21"/>
                      <w:szCs w:val="21"/>
                      <w:shd w:val="clear" w:fill="FFFFFF"/>
                      <w:lang w:val="en-US" w:eastAsia="zh-CN" w:bidi="ar-SA"/>
                    </w:rPr>
                  </w:pPr>
                  <w:r>
                    <w:rPr>
                      <w:rFonts w:hint="eastAsia" w:ascii="Times New Roman" w:hAnsi="Times New Roman" w:eastAsia="宋体" w:cs="Times New Roman"/>
                      <w:i w:val="0"/>
                      <w:iCs w:val="0"/>
                      <w:caps w:val="0"/>
                      <w:color w:val="auto"/>
                      <w:spacing w:val="0"/>
                      <w:kern w:val="2"/>
                      <w:sz w:val="21"/>
                      <w:szCs w:val="21"/>
                      <w:shd w:val="clear" w:fill="FFFFFF"/>
                      <w:lang w:val="en-US" w:eastAsia="zh-CN" w:bidi="ar-SA"/>
                    </w:rPr>
                    <w:t>推广应用建材窑炉烟气脱硫脱硝除尘、煤洁净气化以及建材智能制造、资源综合利用等共性技术，优先支持建筑卫生陶瓷行业清洁生产技术改造。</w:t>
                  </w:r>
                </w:p>
              </w:tc>
              <w:tc>
                <w:tcPr>
                  <w:tcW w:w="4315" w:type="dxa"/>
                  <w:noWrap w:val="0"/>
                  <w:vAlign w:val="center"/>
                </w:tcPr>
                <w:p w14:paraId="66AEB16A">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both"/>
                    <w:textAlignment w:val="auto"/>
                    <w:rPr>
                      <w:rFonts w:hint="default" w:ascii="Times New Roman" w:hAnsi="Times New Roman" w:eastAsia="宋体" w:cs="Times New Roman"/>
                      <w:i w:val="0"/>
                      <w:iCs w:val="0"/>
                      <w:caps w:val="0"/>
                      <w:color w:val="auto"/>
                      <w:spacing w:val="0"/>
                      <w:kern w:val="2"/>
                      <w:sz w:val="21"/>
                      <w:szCs w:val="21"/>
                      <w:shd w:val="clear" w:fill="FFFFFF"/>
                      <w:lang w:val="en-US" w:eastAsia="zh-CN" w:bidi="ar-SA"/>
                    </w:rPr>
                  </w:pPr>
                  <w:r>
                    <w:rPr>
                      <w:rFonts w:hint="eastAsia" w:ascii="Times New Roman" w:hAnsi="Times New Roman" w:eastAsia="宋体" w:cs="Times New Roman"/>
                      <w:i w:val="0"/>
                      <w:iCs w:val="0"/>
                      <w:caps w:val="0"/>
                      <w:color w:val="auto"/>
                      <w:spacing w:val="0"/>
                      <w:kern w:val="2"/>
                      <w:sz w:val="21"/>
                      <w:szCs w:val="21"/>
                      <w:shd w:val="clear" w:fill="FFFFFF"/>
                      <w:lang w:val="en-US" w:eastAsia="zh-CN" w:bidi="ar-SA"/>
                    </w:rPr>
                    <w:t>本项目为</w:t>
                  </w:r>
                  <w:r>
                    <w:rPr>
                      <w:rFonts w:hint="eastAsia" w:cs="Times New Roman"/>
                      <w:i w:val="0"/>
                      <w:iCs w:val="0"/>
                      <w:caps w:val="0"/>
                      <w:color w:val="auto"/>
                      <w:spacing w:val="0"/>
                      <w:kern w:val="2"/>
                      <w:sz w:val="21"/>
                      <w:szCs w:val="21"/>
                      <w:shd w:val="clear" w:fill="FFFFFF"/>
                      <w:lang w:val="en-US" w:eastAsia="zh-CN" w:bidi="ar-SA"/>
                    </w:rPr>
                    <w:t>仿古</w:t>
                  </w:r>
                  <w:r>
                    <w:rPr>
                      <w:rFonts w:hint="eastAsia" w:ascii="Times New Roman" w:hAnsi="Times New Roman" w:eastAsia="宋体" w:cs="Times New Roman"/>
                      <w:i w:val="0"/>
                      <w:iCs w:val="0"/>
                      <w:caps w:val="0"/>
                      <w:color w:val="auto"/>
                      <w:spacing w:val="0"/>
                      <w:kern w:val="2"/>
                      <w:sz w:val="21"/>
                      <w:szCs w:val="21"/>
                      <w:shd w:val="clear" w:fill="FFFFFF"/>
                      <w:lang w:val="en-US" w:eastAsia="zh-CN" w:bidi="ar-SA"/>
                    </w:rPr>
                    <w:t>砖瓦制造业，废气经过</w:t>
                  </w:r>
                  <w:r>
                    <w:rPr>
                      <w:rFonts w:hint="eastAsia" w:cs="Times New Roman"/>
                      <w:i w:val="0"/>
                      <w:iCs w:val="0"/>
                      <w:caps w:val="0"/>
                      <w:color w:val="auto"/>
                      <w:spacing w:val="0"/>
                      <w:kern w:val="2"/>
                      <w:sz w:val="21"/>
                      <w:szCs w:val="21"/>
                      <w:shd w:val="clear" w:fill="FFFFFF"/>
                      <w:lang w:val="en-US" w:eastAsia="zh-CN" w:bidi="ar-SA"/>
                    </w:rPr>
                    <w:t>脱硫塔</w:t>
                  </w:r>
                  <w:r>
                    <w:rPr>
                      <w:rFonts w:hint="eastAsia" w:ascii="Times New Roman" w:hAnsi="Times New Roman" w:eastAsia="宋体" w:cs="Times New Roman"/>
                      <w:i w:val="0"/>
                      <w:iCs w:val="0"/>
                      <w:caps w:val="0"/>
                      <w:color w:val="auto"/>
                      <w:spacing w:val="0"/>
                      <w:kern w:val="2"/>
                      <w:sz w:val="21"/>
                      <w:szCs w:val="21"/>
                      <w:shd w:val="clear" w:fill="FFFFFF"/>
                      <w:lang w:val="en-US" w:eastAsia="zh-CN" w:bidi="ar-SA"/>
                    </w:rPr>
                    <w:t>处理后达到《砖瓦工业大气污染物排放标准》（GB29620-2013）及修改单相关标准，方可通过排气筒排放。产品为仿古砖瓦，原料采用建筑基坑土制造砖瓦。</w:t>
                  </w:r>
                </w:p>
              </w:tc>
              <w:tc>
                <w:tcPr>
                  <w:tcW w:w="978" w:type="dxa"/>
                  <w:noWrap w:val="0"/>
                  <w:vAlign w:val="center"/>
                </w:tcPr>
                <w:p w14:paraId="46C0AE62">
                  <w:pPr>
                    <w:widowControl w:val="0"/>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符合</w:t>
                  </w:r>
                </w:p>
              </w:tc>
            </w:tr>
          </w:tbl>
          <w:p w14:paraId="3BEE2FBB">
            <w:pPr>
              <w:autoSpaceDE w:val="0"/>
              <w:autoSpaceDN w:val="0"/>
              <w:adjustRightInd w:val="0"/>
              <w:snapToGrid w:val="0"/>
              <w:spacing w:line="360" w:lineRule="auto"/>
              <w:ind w:firstLine="422" w:firstLineChars="200"/>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1</w:t>
            </w:r>
            <w:r>
              <w:rPr>
                <w:rFonts w:hint="eastAsia" w:ascii="Times New Roman" w:hAnsi="Times New Roman" w:cs="Times New Roman"/>
                <w:b/>
                <w:bCs/>
                <w:color w:val="auto"/>
                <w:sz w:val="21"/>
                <w:szCs w:val="21"/>
                <w:lang w:val="en-US" w:eastAsia="zh-CN"/>
              </w:rPr>
              <w:t>3</w:t>
            </w:r>
            <w:r>
              <w:rPr>
                <w:rFonts w:hint="eastAsia" w:ascii="Times New Roman" w:hAnsi="Times New Roman" w:eastAsia="宋体" w:cs="Times New Roman"/>
                <w:b/>
                <w:bCs/>
                <w:color w:val="auto"/>
                <w:sz w:val="21"/>
                <w:szCs w:val="21"/>
                <w:lang w:val="en-US" w:eastAsia="zh-CN"/>
              </w:rPr>
              <w:t>、与《建筑材料工业“十四五”发展实施意见》的符合性分析</w:t>
            </w:r>
          </w:p>
          <w:p w14:paraId="23D46AFB">
            <w:pPr>
              <w:keepNext w:val="0"/>
              <w:keepLines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根据2022年9月2日中国建筑材料联合会发布的《关于印发&lt;建筑材料工业“十四五”发展实施意见&gt;的通知》（中建材联行发〔2022〕70号），摘选部分与本项目相关内容，与其符合性分析见下表所示。</w:t>
            </w:r>
          </w:p>
          <w:p w14:paraId="2CD30421">
            <w:pPr>
              <w:widowControl w:val="0"/>
              <w:bidi w:val="0"/>
              <w:spacing w:line="360" w:lineRule="auto"/>
              <w:ind w:firstLine="422" w:firstLineChars="200"/>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表1-1</w:t>
            </w:r>
            <w:r>
              <w:rPr>
                <w:rFonts w:hint="eastAsia" w:cs="Times New Roman"/>
                <w:b/>
                <w:bCs/>
                <w:color w:val="auto"/>
                <w:kern w:val="2"/>
                <w:sz w:val="21"/>
                <w:szCs w:val="21"/>
                <w:lang w:val="en-US" w:eastAsia="zh-CN" w:bidi="ar-SA"/>
              </w:rPr>
              <w:t>7</w:t>
            </w:r>
            <w:r>
              <w:rPr>
                <w:rFonts w:hint="eastAsia" w:ascii="Times New Roman" w:hAnsi="Times New Roman" w:eastAsia="宋体" w:cs="Times New Roman"/>
                <w:b/>
                <w:bCs/>
                <w:color w:val="auto"/>
                <w:kern w:val="2"/>
                <w:sz w:val="21"/>
                <w:szCs w:val="21"/>
                <w:lang w:val="en-US" w:eastAsia="zh-CN" w:bidi="ar-SA"/>
              </w:rPr>
              <w:t xml:space="preserve">  本项目与《建筑材料工业“十四五”发展实施意见》符合性分析（摘抄）</w:t>
            </w:r>
          </w:p>
          <w:tbl>
            <w:tblPr>
              <w:tblStyle w:val="29"/>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8"/>
              <w:gridCol w:w="3608"/>
              <w:gridCol w:w="1164"/>
            </w:tblGrid>
            <w:tr w14:paraId="3209F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8" w:type="dxa"/>
                  <w:noWrap w:val="0"/>
                  <w:vAlign w:val="center"/>
                </w:tcPr>
                <w:p w14:paraId="1D319636">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方案要求</w:t>
                  </w:r>
                </w:p>
              </w:tc>
              <w:tc>
                <w:tcPr>
                  <w:tcW w:w="3608" w:type="dxa"/>
                  <w:noWrap w:val="0"/>
                  <w:vAlign w:val="center"/>
                </w:tcPr>
                <w:p w14:paraId="127C20CB">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本项目情况</w:t>
                  </w:r>
                </w:p>
              </w:tc>
              <w:tc>
                <w:tcPr>
                  <w:tcW w:w="1164" w:type="dxa"/>
                  <w:noWrap w:val="0"/>
                  <w:vAlign w:val="center"/>
                </w:tcPr>
                <w:p w14:paraId="45C30DAD">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符合性</w:t>
                  </w:r>
                </w:p>
              </w:tc>
            </w:tr>
            <w:tr w14:paraId="65947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3958" w:type="dxa"/>
                  <w:noWrap w:val="0"/>
                  <w:vAlign w:val="center"/>
                </w:tcPr>
                <w:p w14:paraId="7AEC041F">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both"/>
                    <w:textAlignment w:val="auto"/>
                    <w:rPr>
                      <w:rFonts w:hint="eastAsia" w:ascii="Times New Roman" w:hAnsi="Times New Roman" w:eastAsia="宋体" w:cs="Times New Roman"/>
                      <w:i w:val="0"/>
                      <w:iCs w:val="0"/>
                      <w:caps w:val="0"/>
                      <w:color w:val="auto"/>
                      <w:spacing w:val="0"/>
                      <w:kern w:val="2"/>
                      <w:sz w:val="21"/>
                      <w:szCs w:val="21"/>
                      <w:shd w:val="clear" w:fill="FFFFFF"/>
                      <w:lang w:val="en-US" w:eastAsia="zh-CN" w:bidi="ar-SA"/>
                    </w:rPr>
                  </w:pPr>
                  <w:r>
                    <w:rPr>
                      <w:rFonts w:hint="eastAsia" w:ascii="Times New Roman" w:hAnsi="Times New Roman" w:eastAsia="宋体" w:cs="Times New Roman"/>
                      <w:i w:val="0"/>
                      <w:iCs w:val="0"/>
                      <w:caps w:val="0"/>
                      <w:color w:val="auto"/>
                      <w:spacing w:val="0"/>
                      <w:kern w:val="2"/>
                      <w:sz w:val="21"/>
                      <w:szCs w:val="21"/>
                      <w:shd w:val="clear" w:fill="FFFFFF"/>
                      <w:lang w:val="en-US" w:eastAsia="zh-CN" w:bidi="ar-SA"/>
                    </w:rPr>
                    <w:t>支持行业实施燃料替代，利用垃圾衍生燃料、生物质燃料等可燃废弃物高比例替代燃煤，推动替代燃料高热值、低成本、标准化预处理，提升水泥等行业燃煤替代率。</w:t>
                  </w:r>
                </w:p>
              </w:tc>
              <w:tc>
                <w:tcPr>
                  <w:tcW w:w="3608" w:type="dxa"/>
                  <w:noWrap w:val="0"/>
                  <w:vAlign w:val="center"/>
                </w:tcPr>
                <w:p w14:paraId="06D494D6">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both"/>
                    <w:textAlignment w:val="auto"/>
                    <w:rPr>
                      <w:rFonts w:hint="eastAsia" w:ascii="Times New Roman" w:hAnsi="Times New Roman" w:eastAsia="宋体" w:cs="Times New Roman"/>
                      <w:i w:val="0"/>
                      <w:iCs w:val="0"/>
                      <w:caps w:val="0"/>
                      <w:color w:val="auto"/>
                      <w:spacing w:val="0"/>
                      <w:kern w:val="2"/>
                      <w:sz w:val="21"/>
                      <w:szCs w:val="21"/>
                      <w:shd w:val="clear" w:fill="FFFFFF"/>
                      <w:lang w:val="en-US" w:eastAsia="zh-CN" w:bidi="ar-SA"/>
                    </w:rPr>
                  </w:pPr>
                  <w:r>
                    <w:rPr>
                      <w:rFonts w:hint="eastAsia" w:cs="Times New Roman"/>
                      <w:b w:val="0"/>
                      <w:bCs/>
                      <w:color w:val="auto"/>
                      <w:sz w:val="21"/>
                      <w:szCs w:val="21"/>
                      <w:lang w:val="en-US" w:eastAsia="zh-CN"/>
                    </w:rPr>
                    <w:t>本项目梭式窑使用能源为优质低硫煤且使用量较少，配套建设可行性的废气治理设施，有效减少大气污染物的排放量</w:t>
                  </w:r>
                  <w:r>
                    <w:rPr>
                      <w:rFonts w:hint="eastAsia" w:ascii="Times New Roman" w:hAnsi="Times New Roman" w:eastAsia="宋体" w:cs="Times New Roman"/>
                      <w:i w:val="0"/>
                      <w:iCs w:val="0"/>
                      <w:caps w:val="0"/>
                      <w:color w:val="auto"/>
                      <w:spacing w:val="0"/>
                      <w:kern w:val="2"/>
                      <w:sz w:val="21"/>
                      <w:szCs w:val="21"/>
                      <w:shd w:val="clear" w:fill="FFFFFF"/>
                      <w:lang w:val="en-US" w:eastAsia="zh-CN" w:bidi="ar-SA"/>
                    </w:rPr>
                    <w:t>。</w:t>
                  </w:r>
                  <w:r>
                    <w:rPr>
                      <w:rFonts w:hint="eastAsia"/>
                      <w:color w:val="auto"/>
                      <w:szCs w:val="21"/>
                      <w:lang w:val="en-US" w:eastAsia="zh-CN"/>
                    </w:rPr>
                    <w:t>建议企业在经济条件及配套设施成熟时，及时实施煤改气。</w:t>
                  </w:r>
                </w:p>
                <w:p w14:paraId="4B14A288">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both"/>
                    <w:textAlignment w:val="auto"/>
                    <w:rPr>
                      <w:rFonts w:hint="default" w:ascii="Times New Roman" w:hAnsi="Times New Roman" w:eastAsia="宋体" w:cs="Times New Roman"/>
                      <w:i w:val="0"/>
                      <w:iCs w:val="0"/>
                      <w:caps w:val="0"/>
                      <w:color w:val="auto"/>
                      <w:spacing w:val="0"/>
                      <w:kern w:val="2"/>
                      <w:sz w:val="21"/>
                      <w:szCs w:val="21"/>
                      <w:shd w:val="clear" w:fill="FFFFFF"/>
                      <w:lang w:val="en-US" w:eastAsia="zh-CN" w:bidi="ar-SA"/>
                    </w:rPr>
                  </w:pPr>
                </w:p>
              </w:tc>
              <w:tc>
                <w:tcPr>
                  <w:tcW w:w="1164" w:type="dxa"/>
                  <w:noWrap w:val="0"/>
                  <w:vAlign w:val="center"/>
                </w:tcPr>
                <w:p w14:paraId="560B1215">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符合</w:t>
                  </w:r>
                </w:p>
              </w:tc>
            </w:tr>
            <w:tr w14:paraId="7AF33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3958" w:type="dxa"/>
                  <w:noWrap w:val="0"/>
                  <w:vAlign w:val="center"/>
                </w:tcPr>
                <w:p w14:paraId="347C751E">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both"/>
                    <w:textAlignment w:val="auto"/>
                    <w:rPr>
                      <w:rFonts w:hint="eastAsia" w:ascii="Times New Roman" w:hAnsi="Times New Roman" w:eastAsia="宋体" w:cs="Times New Roman"/>
                      <w:i w:val="0"/>
                      <w:iCs w:val="0"/>
                      <w:caps w:val="0"/>
                      <w:color w:val="auto"/>
                      <w:spacing w:val="0"/>
                      <w:kern w:val="2"/>
                      <w:sz w:val="21"/>
                      <w:szCs w:val="21"/>
                      <w:shd w:val="clear" w:fill="FFFFFF"/>
                      <w:lang w:val="en-US" w:eastAsia="zh-CN" w:bidi="ar-SA"/>
                    </w:rPr>
                  </w:pPr>
                  <w:r>
                    <w:rPr>
                      <w:rFonts w:hint="eastAsia" w:ascii="Times New Roman" w:hAnsi="Times New Roman" w:eastAsia="宋体" w:cs="Times New Roman"/>
                      <w:i w:val="0"/>
                      <w:iCs w:val="0"/>
                      <w:caps w:val="0"/>
                      <w:color w:val="auto"/>
                      <w:spacing w:val="0"/>
                      <w:kern w:val="2"/>
                      <w:sz w:val="21"/>
                      <w:szCs w:val="21"/>
                      <w:shd w:val="clear" w:fill="FFFFFF"/>
                      <w:lang w:val="en-US" w:eastAsia="zh-CN" w:bidi="ar-SA"/>
                    </w:rPr>
                    <w:t>大力推进水泥行业实施超低排放改造，形成超低排放示范线，积极推动玻璃、陶瓷、玻璃纤维、砖瓦、石灰等行业实施超低排放。组织打造零排放或近零排放示范工厂。</w:t>
                  </w:r>
                </w:p>
                <w:p w14:paraId="7E3F74FE">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both"/>
                    <w:textAlignment w:val="auto"/>
                    <w:rPr>
                      <w:rFonts w:hint="eastAsia" w:ascii="Times New Roman" w:hAnsi="Times New Roman" w:eastAsia="宋体" w:cs="Times New Roman"/>
                      <w:i w:val="0"/>
                      <w:iCs w:val="0"/>
                      <w:caps w:val="0"/>
                      <w:color w:val="auto"/>
                      <w:spacing w:val="0"/>
                      <w:kern w:val="2"/>
                      <w:sz w:val="21"/>
                      <w:szCs w:val="21"/>
                      <w:shd w:val="clear" w:fill="FFFFFF"/>
                      <w:lang w:val="en-US" w:eastAsia="zh-CN" w:bidi="ar-SA"/>
                    </w:rPr>
                  </w:pPr>
                  <w:r>
                    <w:rPr>
                      <w:rFonts w:hint="eastAsia" w:ascii="Times New Roman" w:hAnsi="Times New Roman" w:eastAsia="宋体" w:cs="Times New Roman"/>
                      <w:i w:val="0"/>
                      <w:iCs w:val="0"/>
                      <w:caps w:val="0"/>
                      <w:color w:val="auto"/>
                      <w:spacing w:val="0"/>
                      <w:kern w:val="2"/>
                      <w:sz w:val="21"/>
                      <w:szCs w:val="21"/>
                      <w:shd w:val="clear" w:fill="FFFFFF"/>
                      <w:lang w:val="en-US" w:eastAsia="zh-CN" w:bidi="ar-SA"/>
                    </w:rPr>
                    <w:t>实施水泥等窑炉清洁生产改造，积极开发并推广能源梯级利用、窑炉烟气除尘脱硫脱硝和多种污染物一体化综合治理深度减排技术装备，加强无组织排放控制。</w:t>
                  </w:r>
                </w:p>
              </w:tc>
              <w:tc>
                <w:tcPr>
                  <w:tcW w:w="3608" w:type="dxa"/>
                  <w:noWrap w:val="0"/>
                  <w:vAlign w:val="center"/>
                </w:tcPr>
                <w:p w14:paraId="682147C9">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both"/>
                    <w:textAlignment w:val="auto"/>
                    <w:rPr>
                      <w:rFonts w:hint="eastAsia" w:ascii="Times New Roman" w:hAnsi="Times New Roman" w:eastAsia="宋体" w:cs="Times New Roman"/>
                      <w:i w:val="0"/>
                      <w:iCs w:val="0"/>
                      <w:caps w:val="0"/>
                      <w:color w:val="auto"/>
                      <w:spacing w:val="0"/>
                      <w:kern w:val="2"/>
                      <w:sz w:val="21"/>
                      <w:szCs w:val="21"/>
                      <w:shd w:val="clear" w:fill="FFFFFF"/>
                      <w:lang w:val="en-US" w:eastAsia="zh-CN" w:bidi="ar-SA"/>
                    </w:rPr>
                  </w:pPr>
                  <w:r>
                    <w:rPr>
                      <w:rFonts w:hint="eastAsia" w:ascii="Times New Roman" w:hAnsi="Times New Roman" w:eastAsia="宋体" w:cs="Times New Roman"/>
                      <w:i w:val="0"/>
                      <w:iCs w:val="0"/>
                      <w:caps w:val="0"/>
                      <w:color w:val="auto"/>
                      <w:spacing w:val="0"/>
                      <w:kern w:val="2"/>
                      <w:sz w:val="21"/>
                      <w:szCs w:val="21"/>
                      <w:shd w:val="clear" w:fill="FFFFFF"/>
                      <w:lang w:val="en-US" w:eastAsia="zh-CN" w:bidi="ar-SA"/>
                    </w:rPr>
                    <w:t>废气经过</w:t>
                  </w:r>
                  <w:r>
                    <w:rPr>
                      <w:rFonts w:hint="eastAsia" w:cs="Times New Roman"/>
                      <w:i w:val="0"/>
                      <w:iCs w:val="0"/>
                      <w:caps w:val="0"/>
                      <w:color w:val="auto"/>
                      <w:spacing w:val="0"/>
                      <w:kern w:val="2"/>
                      <w:sz w:val="21"/>
                      <w:szCs w:val="21"/>
                      <w:shd w:val="clear" w:fill="FFFFFF"/>
                      <w:lang w:val="en-US" w:eastAsia="zh-CN" w:bidi="ar-SA"/>
                    </w:rPr>
                    <w:t>布袋除尘+脱硫塔</w:t>
                  </w:r>
                  <w:r>
                    <w:rPr>
                      <w:rFonts w:hint="eastAsia" w:ascii="Times New Roman" w:hAnsi="Times New Roman" w:eastAsia="宋体" w:cs="Times New Roman"/>
                      <w:i w:val="0"/>
                      <w:iCs w:val="0"/>
                      <w:caps w:val="0"/>
                      <w:color w:val="auto"/>
                      <w:spacing w:val="0"/>
                      <w:kern w:val="2"/>
                      <w:sz w:val="21"/>
                      <w:szCs w:val="21"/>
                      <w:shd w:val="clear" w:fill="FFFFFF"/>
                      <w:lang w:val="en-US" w:eastAsia="zh-CN" w:bidi="ar-SA"/>
                    </w:rPr>
                    <w:t>处理后达到《砖瓦工业大气污染物排放标准》（GB29620-2013）及修改单相关标准排放。本项目生产过程中相关物料储存、输送等环节均采取堆棚封闭、设置抑尘网，并辅以洒水降尘，控制无组织粉尘的排放。</w:t>
                  </w:r>
                </w:p>
                <w:p w14:paraId="4D103EEF">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both"/>
                    <w:textAlignment w:val="auto"/>
                    <w:rPr>
                      <w:rFonts w:hint="eastAsia" w:ascii="Times New Roman" w:hAnsi="Times New Roman" w:eastAsia="宋体" w:cs="Times New Roman"/>
                      <w:i w:val="0"/>
                      <w:iCs w:val="0"/>
                      <w:caps w:val="0"/>
                      <w:color w:val="auto"/>
                      <w:spacing w:val="0"/>
                      <w:kern w:val="2"/>
                      <w:sz w:val="21"/>
                      <w:szCs w:val="21"/>
                      <w:shd w:val="clear" w:fill="FFFFFF"/>
                      <w:lang w:val="en-US" w:eastAsia="zh-CN" w:bidi="ar-SA"/>
                    </w:rPr>
                  </w:pPr>
                </w:p>
              </w:tc>
              <w:tc>
                <w:tcPr>
                  <w:tcW w:w="1164" w:type="dxa"/>
                  <w:noWrap w:val="0"/>
                  <w:vAlign w:val="center"/>
                </w:tcPr>
                <w:p w14:paraId="2C0DC44B">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符合</w:t>
                  </w:r>
                </w:p>
              </w:tc>
            </w:tr>
            <w:tr w14:paraId="77C7C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3958" w:type="dxa"/>
                  <w:noWrap w:val="0"/>
                  <w:vAlign w:val="center"/>
                </w:tcPr>
                <w:p w14:paraId="37147CD0">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both"/>
                    <w:textAlignment w:val="auto"/>
                    <w:rPr>
                      <w:rFonts w:hint="eastAsia" w:ascii="Times New Roman" w:hAnsi="Times New Roman" w:eastAsia="宋体" w:cs="Times New Roman"/>
                      <w:i w:val="0"/>
                      <w:iCs w:val="0"/>
                      <w:caps w:val="0"/>
                      <w:color w:val="auto"/>
                      <w:spacing w:val="0"/>
                      <w:kern w:val="2"/>
                      <w:sz w:val="21"/>
                      <w:szCs w:val="21"/>
                      <w:shd w:val="clear" w:fill="FFFFFF"/>
                      <w:lang w:val="en-US" w:eastAsia="zh-CN" w:bidi="ar-SA"/>
                    </w:rPr>
                  </w:pPr>
                  <w:r>
                    <w:rPr>
                      <w:rFonts w:hint="eastAsia" w:ascii="Times New Roman" w:hAnsi="Times New Roman" w:eastAsia="宋体" w:cs="Times New Roman"/>
                      <w:i w:val="0"/>
                      <w:iCs w:val="0"/>
                      <w:caps w:val="0"/>
                      <w:color w:val="auto"/>
                      <w:spacing w:val="0"/>
                      <w:kern w:val="2"/>
                      <w:sz w:val="21"/>
                      <w:szCs w:val="21"/>
                      <w:shd w:val="clear" w:fill="FFFFFF"/>
                      <w:lang w:val="en-US" w:eastAsia="zh-CN" w:bidi="ar-SA"/>
                    </w:rPr>
                    <w:t>坚决依法依规淘汰落后产能、落后工艺、落后产品。严格执行《产业结构调整指导目录》，运用市场化、法治化等综合手段加大淘汰力度，利用碳排放、污染物排放、能耗双控等长效约束机制遏制过剩产能扩张。</w:t>
                  </w:r>
                </w:p>
              </w:tc>
              <w:tc>
                <w:tcPr>
                  <w:tcW w:w="3608" w:type="dxa"/>
                  <w:noWrap w:val="0"/>
                  <w:vAlign w:val="center"/>
                </w:tcPr>
                <w:p w14:paraId="6E264B3F">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both"/>
                    <w:textAlignment w:val="auto"/>
                    <w:rPr>
                      <w:rFonts w:hint="default" w:ascii="Times New Roman" w:hAnsi="Times New Roman" w:eastAsia="宋体" w:cs="Times New Roman"/>
                      <w:i w:val="0"/>
                      <w:iCs w:val="0"/>
                      <w:caps w:val="0"/>
                      <w:color w:val="auto"/>
                      <w:spacing w:val="0"/>
                      <w:kern w:val="2"/>
                      <w:sz w:val="21"/>
                      <w:szCs w:val="21"/>
                      <w:shd w:val="clear" w:fill="FFFFFF"/>
                      <w:lang w:val="en-US" w:eastAsia="zh-CN" w:bidi="ar-SA"/>
                    </w:rPr>
                  </w:pPr>
                  <w:r>
                    <w:rPr>
                      <w:rFonts w:hint="default" w:ascii="Times New Roman" w:hAnsi="Times New Roman" w:eastAsia="宋体" w:cs="Times New Roman"/>
                      <w:i w:val="0"/>
                      <w:iCs w:val="0"/>
                      <w:caps w:val="0"/>
                      <w:color w:val="auto"/>
                      <w:spacing w:val="0"/>
                      <w:kern w:val="2"/>
                      <w:sz w:val="21"/>
                      <w:szCs w:val="21"/>
                      <w:shd w:val="clear" w:fill="FFFFFF"/>
                      <w:lang w:val="en-US" w:eastAsia="zh-CN" w:bidi="ar-SA"/>
                    </w:rPr>
                    <w:t>本项</w:t>
                  </w:r>
                  <w:r>
                    <w:rPr>
                      <w:rFonts w:hint="eastAsia" w:cs="Times New Roman"/>
                      <w:i w:val="0"/>
                      <w:iCs w:val="0"/>
                      <w:caps w:val="0"/>
                      <w:color w:val="auto"/>
                      <w:spacing w:val="0"/>
                      <w:kern w:val="2"/>
                      <w:sz w:val="21"/>
                      <w:szCs w:val="21"/>
                      <w:shd w:val="clear" w:fill="FFFFFF"/>
                      <w:lang w:val="en-US" w:eastAsia="zh-CN" w:bidi="ar-SA"/>
                    </w:rPr>
                    <w:t>建设的梭式窑符合</w:t>
                  </w:r>
                  <w:r>
                    <w:rPr>
                      <w:rFonts w:hint="default" w:ascii="Times New Roman" w:hAnsi="Times New Roman" w:eastAsia="宋体" w:cs="Times New Roman"/>
                      <w:i w:val="0"/>
                      <w:iCs w:val="0"/>
                      <w:caps w:val="0"/>
                      <w:color w:val="auto"/>
                      <w:spacing w:val="0"/>
                      <w:kern w:val="2"/>
                      <w:sz w:val="21"/>
                      <w:szCs w:val="21"/>
                      <w:shd w:val="clear" w:fill="FFFFFF"/>
                      <w:lang w:val="en-US" w:eastAsia="zh-CN" w:bidi="ar-SA"/>
                    </w:rPr>
                    <w:t>《产业结构调整指导目录》（2024年本），并配套</w:t>
                  </w:r>
                  <w:r>
                    <w:rPr>
                      <w:rFonts w:hint="eastAsia" w:cs="Times New Roman"/>
                      <w:i w:val="0"/>
                      <w:iCs w:val="0"/>
                      <w:caps w:val="0"/>
                      <w:color w:val="auto"/>
                      <w:spacing w:val="0"/>
                      <w:kern w:val="2"/>
                      <w:sz w:val="21"/>
                      <w:szCs w:val="21"/>
                      <w:shd w:val="clear" w:fill="FFFFFF"/>
                      <w:lang w:val="en-US" w:eastAsia="zh-CN" w:bidi="ar-SA"/>
                    </w:rPr>
                    <w:t>布袋除尘+脱硫塔</w:t>
                  </w:r>
                  <w:r>
                    <w:rPr>
                      <w:rFonts w:hint="default" w:ascii="Times New Roman" w:hAnsi="Times New Roman" w:eastAsia="宋体" w:cs="Times New Roman"/>
                      <w:i w:val="0"/>
                      <w:iCs w:val="0"/>
                      <w:caps w:val="0"/>
                      <w:color w:val="auto"/>
                      <w:spacing w:val="0"/>
                      <w:kern w:val="2"/>
                      <w:sz w:val="21"/>
                      <w:szCs w:val="21"/>
                      <w:shd w:val="clear" w:fill="FFFFFF"/>
                      <w:lang w:val="en-US" w:eastAsia="zh-CN" w:bidi="ar-SA"/>
                    </w:rPr>
                    <w:t>进行处理，产生的废气污染物排放量减少，符合国家产业政策。</w:t>
                  </w:r>
                  <w:r>
                    <w:rPr>
                      <w:rFonts w:hint="eastAsia" w:cs="Times New Roman"/>
                      <w:i w:val="0"/>
                      <w:iCs w:val="0"/>
                      <w:caps w:val="0"/>
                      <w:color w:val="auto"/>
                      <w:spacing w:val="0"/>
                      <w:kern w:val="2"/>
                      <w:sz w:val="21"/>
                      <w:szCs w:val="21"/>
                      <w:shd w:val="clear" w:fill="FFFFFF"/>
                      <w:lang w:val="en-US" w:eastAsia="zh-CN" w:bidi="ar-SA"/>
                    </w:rPr>
                    <w:t>项目不属于</w:t>
                  </w:r>
                  <w:r>
                    <w:rPr>
                      <w:rFonts w:hint="eastAsia" w:ascii="Times New Roman" w:hAnsi="Times New Roman" w:eastAsia="宋体" w:cs="Times New Roman"/>
                      <w:i w:val="0"/>
                      <w:iCs w:val="0"/>
                      <w:caps w:val="0"/>
                      <w:color w:val="auto"/>
                      <w:spacing w:val="0"/>
                      <w:kern w:val="2"/>
                      <w:sz w:val="21"/>
                      <w:szCs w:val="21"/>
                      <w:shd w:val="clear" w:fill="FFFFFF"/>
                      <w:lang w:val="en-US" w:eastAsia="zh-CN" w:bidi="ar-SA"/>
                    </w:rPr>
                    <w:t>过剩产能扩张。</w:t>
                  </w:r>
                </w:p>
              </w:tc>
              <w:tc>
                <w:tcPr>
                  <w:tcW w:w="1164" w:type="dxa"/>
                  <w:noWrap w:val="0"/>
                  <w:vAlign w:val="center"/>
                </w:tcPr>
                <w:p w14:paraId="07E112DD">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符合</w:t>
                  </w:r>
                </w:p>
              </w:tc>
            </w:tr>
          </w:tbl>
          <w:p w14:paraId="664DAB82">
            <w:pPr>
              <w:numPr>
                <w:ilvl w:val="0"/>
                <w:numId w:val="1"/>
              </w:numPr>
              <w:autoSpaceDE w:val="0"/>
              <w:autoSpaceDN w:val="0"/>
              <w:adjustRightInd w:val="0"/>
              <w:snapToGrid w:val="0"/>
              <w:spacing w:line="360" w:lineRule="auto"/>
              <w:ind w:firstLine="422" w:firstLineChars="200"/>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与《国家污染防治技术指导目录》的符合性分析</w:t>
            </w:r>
          </w:p>
          <w:p w14:paraId="0A6B3D5B">
            <w:pPr>
              <w:numPr>
                <w:ilvl w:val="0"/>
                <w:numId w:val="0"/>
              </w:numPr>
              <w:autoSpaceDE w:val="0"/>
              <w:autoSpaceDN w:val="0"/>
              <w:adjustRightInd w:val="0"/>
              <w:snapToGrid w:val="0"/>
              <w:spacing w:line="360" w:lineRule="auto"/>
              <w:ind w:firstLine="420" w:firstLineChars="200"/>
              <w:rPr>
                <w:rFonts w:hint="default" w:ascii="Times New Roman" w:hAnsi="Times New Roman" w:eastAsia="宋体" w:cs="Times New Roman"/>
                <w:b/>
                <w:bCs/>
                <w:color w:val="auto"/>
                <w:sz w:val="21"/>
                <w:szCs w:val="21"/>
                <w:lang w:val="en-US" w:eastAsia="zh-CN"/>
              </w:rPr>
            </w:pPr>
            <w:r>
              <w:rPr>
                <w:rFonts w:hint="eastAsia" w:cs="Times New Roman"/>
                <w:b w:val="0"/>
                <w:bCs w:val="0"/>
                <w:color w:val="auto"/>
                <w:sz w:val="21"/>
                <w:szCs w:val="21"/>
                <w:lang w:val="en-US" w:eastAsia="zh-CN"/>
              </w:rPr>
              <w:t>2025年5月21日生态环境部发布了</w:t>
            </w:r>
            <w:r>
              <w:rPr>
                <w:rFonts w:hint="eastAsia" w:ascii="Times New Roman" w:hAnsi="Times New Roman" w:eastAsia="宋体" w:cs="Times New Roman"/>
                <w:b w:val="0"/>
                <w:bCs w:val="0"/>
                <w:color w:val="auto"/>
                <w:sz w:val="21"/>
                <w:szCs w:val="21"/>
                <w:lang w:val="en-US" w:eastAsia="zh-CN"/>
              </w:rPr>
              <w:t>《国家污染防治技术指导目录》</w:t>
            </w:r>
            <w:r>
              <w:rPr>
                <w:rFonts w:hint="eastAsia" w:cs="Times New Roman"/>
                <w:b w:val="0"/>
                <w:bCs w:val="0"/>
                <w:color w:val="auto"/>
                <w:sz w:val="21"/>
                <w:szCs w:val="21"/>
                <w:lang w:val="en-US" w:eastAsia="zh-CN"/>
              </w:rPr>
              <w:t>（2025年版），文号：环办科财函[2025]197号。</w:t>
            </w:r>
          </w:p>
          <w:p w14:paraId="42AC49BC">
            <w:pPr>
              <w:numPr>
                <w:ilvl w:val="0"/>
                <w:numId w:val="0"/>
              </w:numPr>
              <w:autoSpaceDE w:val="0"/>
              <w:autoSpaceDN w:val="0"/>
              <w:adjustRightInd w:val="0"/>
              <w:snapToGrid w:val="0"/>
              <w:spacing w:line="360" w:lineRule="auto"/>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kern w:val="2"/>
                <w:sz w:val="21"/>
                <w:szCs w:val="21"/>
                <w:lang w:val="en-US" w:eastAsia="zh-CN" w:bidi="ar-SA"/>
              </w:rPr>
              <w:t>表1-1</w:t>
            </w:r>
            <w:r>
              <w:rPr>
                <w:rFonts w:hint="eastAsia" w:cs="Times New Roman"/>
                <w:b/>
                <w:bCs/>
                <w:color w:val="auto"/>
                <w:kern w:val="2"/>
                <w:sz w:val="21"/>
                <w:szCs w:val="21"/>
                <w:lang w:val="en-US" w:eastAsia="zh-CN" w:bidi="ar-SA"/>
              </w:rPr>
              <w:t>8</w:t>
            </w:r>
            <w:r>
              <w:rPr>
                <w:rFonts w:hint="eastAsia" w:ascii="Times New Roman" w:hAnsi="Times New Roman" w:eastAsia="宋体" w:cs="Times New Roman"/>
                <w:b/>
                <w:bCs/>
                <w:color w:val="auto"/>
                <w:kern w:val="2"/>
                <w:sz w:val="21"/>
                <w:szCs w:val="21"/>
                <w:lang w:val="en-US" w:eastAsia="zh-CN" w:bidi="ar-SA"/>
              </w:rPr>
              <w:t xml:space="preserve">  本项目与</w:t>
            </w:r>
            <w:r>
              <w:rPr>
                <w:rFonts w:hint="eastAsia" w:ascii="Times New Roman" w:hAnsi="Times New Roman" w:eastAsia="宋体" w:cs="Times New Roman"/>
                <w:b/>
                <w:bCs/>
                <w:color w:val="auto"/>
                <w:sz w:val="21"/>
                <w:szCs w:val="21"/>
                <w:lang w:val="en-US" w:eastAsia="zh-CN"/>
              </w:rPr>
              <w:t>《国家污染防治技术指导目录》</w:t>
            </w:r>
            <w:r>
              <w:rPr>
                <w:rFonts w:hint="eastAsia" w:ascii="Times New Roman" w:hAnsi="Times New Roman" w:eastAsia="宋体" w:cs="Times New Roman"/>
                <w:b/>
                <w:bCs/>
                <w:color w:val="auto"/>
                <w:kern w:val="2"/>
                <w:sz w:val="21"/>
                <w:szCs w:val="21"/>
                <w:lang w:val="en-US" w:eastAsia="zh-CN" w:bidi="ar-SA"/>
              </w:rPr>
              <w:t>符合性分析（摘抄）</w:t>
            </w:r>
          </w:p>
          <w:tbl>
            <w:tblPr>
              <w:tblStyle w:val="29"/>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8"/>
              <w:gridCol w:w="3608"/>
              <w:gridCol w:w="1164"/>
            </w:tblGrid>
            <w:tr w14:paraId="4C852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30" w:type="dxa"/>
                  <w:gridSpan w:val="3"/>
                  <w:noWrap w:val="0"/>
                  <w:vAlign w:val="center"/>
                </w:tcPr>
                <w:p w14:paraId="170388BF">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kern w:val="2"/>
                      <w:sz w:val="21"/>
                      <w:szCs w:val="21"/>
                      <w:lang w:val="en-US" w:eastAsia="zh-CN" w:bidi="ar-SA"/>
                    </w:rPr>
                    <w:t>淘汰类</w:t>
                  </w:r>
                </w:p>
              </w:tc>
            </w:tr>
            <w:tr w14:paraId="44F08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58" w:type="dxa"/>
                  <w:noWrap w:val="0"/>
                  <w:vAlign w:val="center"/>
                </w:tcPr>
                <w:p w14:paraId="701A3B8E">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kern w:val="2"/>
                      <w:sz w:val="21"/>
                      <w:szCs w:val="21"/>
                      <w:lang w:val="en-US" w:eastAsia="zh-CN" w:bidi="ar-SA"/>
                    </w:rPr>
                    <w:t>指导目录</w:t>
                  </w:r>
                </w:p>
              </w:tc>
              <w:tc>
                <w:tcPr>
                  <w:tcW w:w="3608" w:type="dxa"/>
                  <w:noWrap w:val="0"/>
                  <w:vAlign w:val="center"/>
                </w:tcPr>
                <w:p w14:paraId="224A848F">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本项目情况</w:t>
                  </w:r>
                </w:p>
              </w:tc>
              <w:tc>
                <w:tcPr>
                  <w:tcW w:w="1164" w:type="dxa"/>
                  <w:noWrap w:val="0"/>
                  <w:vAlign w:val="center"/>
                </w:tcPr>
                <w:p w14:paraId="094290B5">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符合性</w:t>
                  </w:r>
                </w:p>
              </w:tc>
            </w:tr>
            <w:tr w14:paraId="29F63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3958" w:type="dxa"/>
                  <w:noWrap w:val="0"/>
                  <w:vAlign w:val="center"/>
                </w:tcPr>
                <w:p w14:paraId="231B4D72">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both"/>
                    <w:textAlignment w:val="auto"/>
                    <w:rPr>
                      <w:rFonts w:hint="eastAsia" w:ascii="Times New Roman" w:hAnsi="Times New Roman" w:eastAsia="宋体" w:cs="Times New Roman"/>
                      <w:i w:val="0"/>
                      <w:iCs w:val="0"/>
                      <w:caps w:val="0"/>
                      <w:color w:val="auto"/>
                      <w:spacing w:val="0"/>
                      <w:kern w:val="2"/>
                      <w:sz w:val="21"/>
                      <w:szCs w:val="21"/>
                      <w:shd w:val="clear" w:fill="FFFFFF"/>
                      <w:lang w:val="en-US" w:eastAsia="zh-CN" w:bidi="ar-SA"/>
                    </w:rPr>
                  </w:pPr>
                  <w:r>
                    <w:rPr>
                      <w:rFonts w:hint="eastAsia" w:ascii="Times New Roman" w:hAnsi="Times New Roman" w:eastAsia="宋体" w:cs="Times New Roman"/>
                      <w:i w:val="0"/>
                      <w:iCs w:val="0"/>
                      <w:caps w:val="0"/>
                      <w:color w:val="auto"/>
                      <w:spacing w:val="0"/>
                      <w:kern w:val="2"/>
                      <w:sz w:val="21"/>
                      <w:szCs w:val="21"/>
                      <w:shd w:val="clear" w:fill="FFFFFF"/>
                      <w:lang w:val="en-US" w:eastAsia="zh-CN" w:bidi="ar-SA"/>
                    </w:rPr>
                    <w:t>烟气湿法除尘脱硫一体化技术。该技术湿法除尘与湿法脱硫在一个装置内进行，前后端无其他除尘设施。</w:t>
                  </w:r>
                </w:p>
              </w:tc>
              <w:tc>
                <w:tcPr>
                  <w:tcW w:w="3608" w:type="dxa"/>
                  <w:noWrap w:val="0"/>
                  <w:vAlign w:val="center"/>
                </w:tcPr>
                <w:p w14:paraId="6EAFA7DE">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both"/>
                    <w:textAlignment w:val="auto"/>
                    <w:rPr>
                      <w:rFonts w:hint="eastAsia" w:ascii="Times New Roman" w:hAnsi="Times New Roman" w:eastAsia="宋体" w:cs="Times New Roman"/>
                      <w:i w:val="0"/>
                      <w:iCs w:val="0"/>
                      <w:caps w:val="0"/>
                      <w:color w:val="auto"/>
                      <w:spacing w:val="0"/>
                      <w:kern w:val="2"/>
                      <w:sz w:val="21"/>
                      <w:szCs w:val="21"/>
                      <w:shd w:val="clear" w:fill="FFFFFF"/>
                      <w:lang w:val="en-US" w:eastAsia="zh-CN" w:bidi="ar-SA"/>
                    </w:rPr>
                  </w:pPr>
                  <w:r>
                    <w:rPr>
                      <w:rFonts w:hint="eastAsia" w:cs="Times New Roman"/>
                      <w:b w:val="0"/>
                      <w:bCs/>
                      <w:color w:val="auto"/>
                      <w:sz w:val="21"/>
                      <w:szCs w:val="21"/>
                      <w:lang w:val="en-US" w:eastAsia="zh-CN"/>
                    </w:rPr>
                    <w:t>本项目梭式窑生产产生的</w:t>
                  </w:r>
                  <w:r>
                    <w:rPr>
                      <w:rFonts w:hint="eastAsia" w:ascii="Times New Roman" w:hAnsi="Times New Roman" w:eastAsia="宋体" w:cs="Times New Roman"/>
                      <w:i w:val="0"/>
                      <w:iCs w:val="0"/>
                      <w:caps w:val="0"/>
                      <w:color w:val="auto"/>
                      <w:spacing w:val="0"/>
                      <w:kern w:val="2"/>
                      <w:sz w:val="21"/>
                      <w:szCs w:val="21"/>
                      <w:shd w:val="clear" w:fill="FFFFFF"/>
                      <w:lang w:val="en-US" w:eastAsia="zh-CN" w:bidi="ar-SA"/>
                    </w:rPr>
                    <w:t>废气经过</w:t>
                  </w:r>
                  <w:r>
                    <w:rPr>
                      <w:rFonts w:hint="eastAsia" w:cs="Times New Roman"/>
                      <w:i w:val="0"/>
                      <w:iCs w:val="0"/>
                      <w:caps w:val="0"/>
                      <w:color w:val="auto"/>
                      <w:spacing w:val="0"/>
                      <w:kern w:val="2"/>
                      <w:sz w:val="21"/>
                      <w:szCs w:val="21"/>
                      <w:shd w:val="clear" w:fill="FFFFFF"/>
                      <w:lang w:val="en-US" w:eastAsia="zh-CN" w:bidi="ar-SA"/>
                    </w:rPr>
                    <w:t>布袋除尘+脱硫塔</w:t>
                  </w:r>
                  <w:r>
                    <w:rPr>
                      <w:rFonts w:hint="eastAsia" w:ascii="Times New Roman" w:hAnsi="Times New Roman" w:eastAsia="宋体" w:cs="Times New Roman"/>
                      <w:i w:val="0"/>
                      <w:iCs w:val="0"/>
                      <w:caps w:val="0"/>
                      <w:color w:val="auto"/>
                      <w:spacing w:val="0"/>
                      <w:kern w:val="2"/>
                      <w:sz w:val="21"/>
                      <w:szCs w:val="21"/>
                      <w:shd w:val="clear" w:fill="FFFFFF"/>
                      <w:lang w:val="en-US" w:eastAsia="zh-CN" w:bidi="ar-SA"/>
                    </w:rPr>
                    <w:t>处理后达到《砖瓦工业大气污染物排放标准》（GB29620-2013）及修改单相关标准排放</w:t>
                  </w:r>
                  <w:r>
                    <w:rPr>
                      <w:rFonts w:hint="eastAsia" w:cs="Times New Roman"/>
                      <w:i w:val="0"/>
                      <w:iCs w:val="0"/>
                      <w:caps w:val="0"/>
                      <w:color w:val="auto"/>
                      <w:spacing w:val="0"/>
                      <w:kern w:val="2"/>
                      <w:sz w:val="21"/>
                      <w:szCs w:val="21"/>
                      <w:shd w:val="clear" w:fill="FFFFFF"/>
                      <w:lang w:val="en-US" w:eastAsia="zh-CN" w:bidi="ar-SA"/>
                    </w:rPr>
                    <w:t>，属于可行性技术</w:t>
                  </w:r>
                  <w:r>
                    <w:rPr>
                      <w:rFonts w:hint="eastAsia" w:ascii="Times New Roman" w:hAnsi="Times New Roman" w:eastAsia="宋体" w:cs="Times New Roman"/>
                      <w:i w:val="0"/>
                      <w:iCs w:val="0"/>
                      <w:caps w:val="0"/>
                      <w:color w:val="auto"/>
                      <w:spacing w:val="0"/>
                      <w:kern w:val="2"/>
                      <w:sz w:val="21"/>
                      <w:szCs w:val="21"/>
                      <w:shd w:val="clear" w:fill="FFFFFF"/>
                      <w:lang w:val="en-US" w:eastAsia="zh-CN" w:bidi="ar-SA"/>
                    </w:rPr>
                    <w:t>。</w:t>
                  </w:r>
                </w:p>
                <w:p w14:paraId="5EB7AB91">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both"/>
                    <w:textAlignment w:val="auto"/>
                    <w:rPr>
                      <w:rFonts w:hint="default" w:ascii="Times New Roman" w:hAnsi="Times New Roman" w:eastAsia="宋体" w:cs="Times New Roman"/>
                      <w:i w:val="0"/>
                      <w:iCs w:val="0"/>
                      <w:caps w:val="0"/>
                      <w:color w:val="auto"/>
                      <w:spacing w:val="0"/>
                      <w:kern w:val="2"/>
                      <w:sz w:val="21"/>
                      <w:szCs w:val="21"/>
                      <w:shd w:val="clear" w:fill="FFFFFF"/>
                      <w:lang w:val="en-US" w:eastAsia="zh-CN" w:bidi="ar-SA"/>
                    </w:rPr>
                  </w:pPr>
                </w:p>
              </w:tc>
              <w:tc>
                <w:tcPr>
                  <w:tcW w:w="1164" w:type="dxa"/>
                  <w:noWrap w:val="0"/>
                  <w:vAlign w:val="center"/>
                </w:tcPr>
                <w:p w14:paraId="3C7AFD13">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不</w:t>
                  </w:r>
                  <w:r>
                    <w:rPr>
                      <w:rFonts w:hint="eastAsia" w:ascii="Times New Roman" w:hAnsi="Times New Roman" w:eastAsia="宋体" w:cs="Times New Roman"/>
                      <w:color w:val="auto"/>
                      <w:kern w:val="2"/>
                      <w:sz w:val="21"/>
                      <w:szCs w:val="21"/>
                      <w:lang w:val="en-US" w:eastAsia="zh-CN" w:bidi="ar-SA"/>
                    </w:rPr>
                    <w:t>符合</w:t>
                  </w:r>
                </w:p>
              </w:tc>
            </w:tr>
            <w:tr w14:paraId="373CB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3958" w:type="dxa"/>
                  <w:noWrap w:val="0"/>
                  <w:vAlign w:val="center"/>
                </w:tcPr>
                <w:p w14:paraId="0BF41BBB">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both"/>
                    <w:textAlignment w:val="auto"/>
                    <w:rPr>
                      <w:rFonts w:hint="eastAsia" w:ascii="Times New Roman" w:hAnsi="Times New Roman" w:eastAsia="宋体" w:cs="Times New Roman"/>
                      <w:i w:val="0"/>
                      <w:iCs w:val="0"/>
                      <w:caps w:val="0"/>
                      <w:color w:val="auto"/>
                      <w:spacing w:val="0"/>
                      <w:kern w:val="2"/>
                      <w:sz w:val="21"/>
                      <w:szCs w:val="21"/>
                      <w:shd w:val="clear" w:fill="FFFFFF"/>
                      <w:lang w:val="en-US" w:eastAsia="zh-CN" w:bidi="ar-SA"/>
                    </w:rPr>
                  </w:pPr>
                  <w:r>
                    <w:rPr>
                      <w:rFonts w:hint="eastAsia" w:ascii="Times New Roman" w:hAnsi="Times New Roman" w:eastAsia="宋体" w:cs="Times New Roman"/>
                      <w:i w:val="0"/>
                      <w:iCs w:val="0"/>
                      <w:caps w:val="0"/>
                      <w:color w:val="auto"/>
                      <w:spacing w:val="0"/>
                      <w:kern w:val="2"/>
                      <w:sz w:val="21"/>
                      <w:szCs w:val="21"/>
                      <w:shd w:val="clear" w:fill="FFFFFF"/>
                      <w:lang w:val="en-US" w:eastAsia="zh-CN" w:bidi="ar-SA"/>
                    </w:rPr>
                    <w:t>水喷淋脱硫技术。该技术以水为吸收剂（不含脱硫剂），与烟气接触吸收烟气</w:t>
                  </w:r>
                </w:p>
                <w:p w14:paraId="22C3B582">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both"/>
                    <w:textAlignment w:val="auto"/>
                    <w:rPr>
                      <w:rFonts w:hint="eastAsia" w:ascii="Times New Roman" w:hAnsi="Times New Roman" w:eastAsia="宋体" w:cs="Times New Roman"/>
                      <w:i w:val="0"/>
                      <w:iCs w:val="0"/>
                      <w:caps w:val="0"/>
                      <w:color w:val="auto"/>
                      <w:spacing w:val="0"/>
                      <w:kern w:val="2"/>
                      <w:sz w:val="21"/>
                      <w:szCs w:val="21"/>
                      <w:shd w:val="clear" w:fill="FFFFFF"/>
                      <w:lang w:val="en-US" w:eastAsia="zh-CN" w:bidi="ar-SA"/>
                    </w:rPr>
                  </w:pPr>
                  <w:r>
                    <w:rPr>
                      <w:rFonts w:hint="eastAsia" w:ascii="Times New Roman" w:hAnsi="Times New Roman" w:eastAsia="宋体" w:cs="Times New Roman"/>
                      <w:i w:val="0"/>
                      <w:iCs w:val="0"/>
                      <w:caps w:val="0"/>
                      <w:color w:val="auto"/>
                      <w:spacing w:val="0"/>
                      <w:kern w:val="2"/>
                      <w:sz w:val="21"/>
                      <w:szCs w:val="21"/>
                      <w:shd w:val="clear" w:fill="FFFFFF"/>
                      <w:lang w:val="en-US" w:eastAsia="zh-CN" w:bidi="ar-SA"/>
                    </w:rPr>
                    <w:t>中的二氧化硫。海水脱硫工艺除外。</w:t>
                  </w:r>
                </w:p>
              </w:tc>
              <w:tc>
                <w:tcPr>
                  <w:tcW w:w="3608" w:type="dxa"/>
                  <w:noWrap w:val="0"/>
                  <w:vAlign w:val="center"/>
                </w:tcPr>
                <w:p w14:paraId="2E8804B0">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both"/>
                    <w:textAlignment w:val="auto"/>
                    <w:rPr>
                      <w:rFonts w:hint="eastAsia" w:ascii="Times New Roman" w:hAnsi="Times New Roman" w:eastAsia="宋体" w:cs="Times New Roman"/>
                      <w:i w:val="0"/>
                      <w:iCs w:val="0"/>
                      <w:caps w:val="0"/>
                      <w:color w:val="auto"/>
                      <w:spacing w:val="0"/>
                      <w:kern w:val="2"/>
                      <w:sz w:val="21"/>
                      <w:szCs w:val="21"/>
                      <w:shd w:val="clear" w:fill="FFFFFF"/>
                      <w:lang w:val="en-US" w:eastAsia="zh-CN" w:bidi="ar-SA"/>
                    </w:rPr>
                  </w:pPr>
                  <w:r>
                    <w:rPr>
                      <w:rFonts w:hint="eastAsia" w:cs="Times New Roman"/>
                      <w:i w:val="0"/>
                      <w:iCs w:val="0"/>
                      <w:caps w:val="0"/>
                      <w:color w:val="auto"/>
                      <w:spacing w:val="0"/>
                      <w:kern w:val="2"/>
                      <w:sz w:val="21"/>
                      <w:szCs w:val="21"/>
                      <w:shd w:val="clear" w:fill="FFFFFF"/>
                      <w:lang w:val="en-US" w:eastAsia="zh-CN" w:bidi="ar-SA"/>
                    </w:rPr>
                    <w:t>本项目脱硫塔采用双碱法工艺</w:t>
                  </w:r>
                  <w:r>
                    <w:rPr>
                      <w:rFonts w:hint="eastAsia" w:ascii="Times New Roman" w:hAnsi="Times New Roman" w:eastAsia="宋体" w:cs="Times New Roman"/>
                      <w:i w:val="0"/>
                      <w:iCs w:val="0"/>
                      <w:caps w:val="0"/>
                      <w:color w:val="auto"/>
                      <w:spacing w:val="0"/>
                      <w:kern w:val="2"/>
                      <w:sz w:val="21"/>
                      <w:szCs w:val="21"/>
                      <w:shd w:val="clear" w:fill="FFFFFF"/>
                      <w:lang w:val="en-US" w:eastAsia="zh-CN" w:bidi="ar-SA"/>
                    </w:rPr>
                    <w:t>。</w:t>
                  </w:r>
                </w:p>
                <w:p w14:paraId="1D47C275">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both"/>
                    <w:textAlignment w:val="auto"/>
                    <w:rPr>
                      <w:rFonts w:hint="eastAsia" w:ascii="Times New Roman" w:hAnsi="Times New Roman" w:eastAsia="宋体" w:cs="Times New Roman"/>
                      <w:i w:val="0"/>
                      <w:iCs w:val="0"/>
                      <w:caps w:val="0"/>
                      <w:color w:val="auto"/>
                      <w:spacing w:val="0"/>
                      <w:kern w:val="2"/>
                      <w:sz w:val="21"/>
                      <w:szCs w:val="21"/>
                      <w:shd w:val="clear" w:fill="FFFFFF"/>
                      <w:lang w:val="en-US" w:eastAsia="zh-CN" w:bidi="ar-SA"/>
                    </w:rPr>
                  </w:pPr>
                </w:p>
              </w:tc>
              <w:tc>
                <w:tcPr>
                  <w:tcW w:w="1164" w:type="dxa"/>
                  <w:noWrap w:val="0"/>
                  <w:vAlign w:val="center"/>
                </w:tcPr>
                <w:p w14:paraId="466AA971">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不</w:t>
                  </w:r>
                  <w:r>
                    <w:rPr>
                      <w:rFonts w:hint="eastAsia" w:ascii="Times New Roman" w:hAnsi="Times New Roman" w:eastAsia="宋体" w:cs="Times New Roman"/>
                      <w:color w:val="auto"/>
                      <w:kern w:val="2"/>
                      <w:sz w:val="21"/>
                      <w:szCs w:val="21"/>
                      <w:lang w:val="en-US" w:eastAsia="zh-CN" w:bidi="ar-SA"/>
                    </w:rPr>
                    <w:t>符合</w:t>
                  </w:r>
                </w:p>
              </w:tc>
            </w:tr>
          </w:tbl>
          <w:p w14:paraId="6F88C628">
            <w:pPr>
              <w:autoSpaceDE w:val="0"/>
              <w:autoSpaceDN w:val="0"/>
              <w:adjustRightInd w:val="0"/>
              <w:snapToGrid w:val="0"/>
              <w:spacing w:line="360" w:lineRule="auto"/>
              <w:ind w:firstLine="422" w:firstLineChars="200"/>
              <w:rPr>
                <w:rFonts w:hint="eastAsia" w:ascii="Times New Roman" w:hAnsi="Times New Roman" w:eastAsia="宋体" w:cs="Times New Roman"/>
                <w:b/>
                <w:bCs/>
                <w:color w:val="auto"/>
                <w:szCs w:val="21"/>
                <w:lang w:val="en-US" w:eastAsia="zh-CN"/>
              </w:rPr>
            </w:pPr>
            <w:r>
              <w:rPr>
                <w:rFonts w:hint="eastAsia"/>
                <w:b/>
                <w:bCs w:val="0"/>
                <w:color w:val="auto"/>
                <w:sz w:val="21"/>
                <w:szCs w:val="21"/>
                <w:lang w:val="en-US" w:eastAsia="zh-CN"/>
              </w:rPr>
              <w:t>15、</w:t>
            </w:r>
            <w:r>
              <w:rPr>
                <w:rFonts w:hint="eastAsia" w:ascii="Times New Roman" w:hAnsi="Times New Roman" w:eastAsia="宋体" w:cs="Times New Roman"/>
                <w:b/>
                <w:bCs/>
                <w:color w:val="auto"/>
                <w:szCs w:val="21"/>
                <w:lang w:val="en-US" w:eastAsia="zh-CN"/>
              </w:rPr>
              <w:t>与《关于印发华宁县青砖瓦生产企业整治工作方案的通知》符合性分析</w:t>
            </w:r>
          </w:p>
          <w:p w14:paraId="080D6240">
            <w:pPr>
              <w:widowControl w:val="0"/>
              <w:bidi w:val="0"/>
              <w:spacing w:line="360" w:lineRule="auto"/>
              <w:ind w:firstLine="420" w:firstLineChars="200"/>
              <w:jc w:val="both"/>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2022年10月2日华宁县人民政府办公室发布的《华宁县人民政府办公室关于印发华宁县青砖瓦生产企业整治工作方案的通知》（华政办通〔2022〕38号），</w:t>
            </w:r>
            <w:r>
              <w:rPr>
                <w:rFonts w:hint="eastAsia" w:cs="Times New Roman"/>
                <w:color w:val="auto"/>
                <w:sz w:val="21"/>
                <w:szCs w:val="21"/>
                <w:lang w:val="en-US" w:eastAsia="zh-CN"/>
              </w:rPr>
              <w:t>华宁县白塔山陶器厂（新厂）</w:t>
            </w:r>
            <w:r>
              <w:rPr>
                <w:rFonts w:hint="eastAsia" w:cs="Times New Roman"/>
                <w:color w:val="auto"/>
                <w:kern w:val="2"/>
                <w:sz w:val="21"/>
                <w:szCs w:val="21"/>
                <w:lang w:val="en-US" w:eastAsia="zh-CN" w:bidi="ar-SA"/>
              </w:rPr>
              <w:t>属于需要巩固提升的青砖瓦企业，</w:t>
            </w:r>
            <w:r>
              <w:rPr>
                <w:rFonts w:hint="eastAsia" w:ascii="Times New Roman" w:hAnsi="Times New Roman" w:eastAsia="宋体" w:cs="Times New Roman"/>
                <w:color w:val="auto"/>
                <w:kern w:val="2"/>
                <w:sz w:val="21"/>
                <w:szCs w:val="21"/>
                <w:lang w:val="en-US" w:eastAsia="zh-CN" w:bidi="ar-SA"/>
              </w:rPr>
              <w:t>需按照要求安装环保设施设备并正常运行，确保排放达标后方可生产</w:t>
            </w:r>
            <w:r>
              <w:rPr>
                <w:rFonts w:hint="eastAsia"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本次评价提出的废气、废水、固体废弃物治理</w:t>
            </w:r>
            <w:r>
              <w:rPr>
                <w:rFonts w:hint="eastAsia" w:cs="Times New Roman"/>
                <w:color w:val="auto"/>
                <w:kern w:val="2"/>
                <w:sz w:val="21"/>
                <w:szCs w:val="21"/>
                <w:lang w:val="en-US" w:eastAsia="zh-CN" w:bidi="ar-SA"/>
              </w:rPr>
              <w:t>措施符合该方案提出的相关要求。</w:t>
            </w:r>
          </w:p>
          <w:p w14:paraId="7D3A7BA3">
            <w:pPr>
              <w:pStyle w:val="15"/>
              <w:rPr>
                <w:rFonts w:hint="default"/>
                <w:color w:val="auto"/>
                <w:szCs w:val="21"/>
                <w:lang w:val="en-US" w:eastAsia="zh-CN"/>
              </w:rPr>
            </w:pPr>
          </w:p>
          <w:p w14:paraId="75842BD1">
            <w:pPr>
              <w:rPr>
                <w:rFonts w:hint="default"/>
                <w:color w:val="auto"/>
                <w:szCs w:val="21"/>
                <w:lang w:val="en-US" w:eastAsia="zh-CN"/>
              </w:rPr>
            </w:pPr>
          </w:p>
          <w:p w14:paraId="7D1D6EB3">
            <w:pPr>
              <w:pStyle w:val="15"/>
              <w:rPr>
                <w:rFonts w:hint="default"/>
                <w:color w:val="auto"/>
                <w:szCs w:val="21"/>
                <w:lang w:val="en-US" w:eastAsia="zh-CN"/>
              </w:rPr>
            </w:pPr>
          </w:p>
          <w:p w14:paraId="38EA5F4D">
            <w:pPr>
              <w:rPr>
                <w:rFonts w:hint="default"/>
                <w:color w:val="auto"/>
                <w:szCs w:val="21"/>
                <w:lang w:val="en-US" w:eastAsia="zh-CN"/>
              </w:rPr>
            </w:pPr>
          </w:p>
          <w:p w14:paraId="4D47ECD5">
            <w:pPr>
              <w:keepNext w:val="0"/>
              <w:keepLines w:val="0"/>
              <w:widowControl w:val="0"/>
              <w:kinsoku/>
              <w:wordWrap/>
              <w:overflowPunct/>
              <w:topLinePunct w:val="0"/>
              <w:autoSpaceDE w:val="0"/>
              <w:autoSpaceDN w:val="0"/>
              <w:bidi w:val="0"/>
              <w:adjustRightInd w:val="0"/>
              <w:snapToGrid w:val="0"/>
              <w:spacing w:line="360" w:lineRule="auto"/>
              <w:jc w:val="both"/>
              <w:textAlignment w:val="auto"/>
              <w:rPr>
                <w:rFonts w:hint="eastAsia"/>
                <w:color w:val="auto"/>
                <w:szCs w:val="21"/>
                <w:lang w:val="en-US" w:eastAsia="zh-CN"/>
              </w:rPr>
            </w:pPr>
          </w:p>
        </w:tc>
      </w:tr>
    </w:tbl>
    <w:p w14:paraId="3725B42F">
      <w:pPr>
        <w:spacing w:line="360" w:lineRule="auto"/>
        <w:outlineLvl w:val="9"/>
        <w:rPr>
          <w:rFonts w:eastAsia="黑体"/>
          <w:color w:val="auto"/>
          <w:sz w:val="30"/>
        </w:rPr>
        <w:sectPr>
          <w:footerReference r:id="rId8" w:type="default"/>
          <w:pgSz w:w="11906" w:h="16838"/>
          <w:pgMar w:top="1701" w:right="1531" w:bottom="1701" w:left="1531" w:header="851" w:footer="1077" w:gutter="0"/>
          <w:pgNumType w:start="1"/>
          <w:cols w:space="720" w:num="1"/>
          <w:docGrid w:linePitch="312" w:charSpace="0"/>
        </w:sectPr>
      </w:pPr>
    </w:p>
    <w:p w14:paraId="1F1D2EC6">
      <w:pPr>
        <w:pStyle w:val="25"/>
        <w:jc w:val="center"/>
        <w:outlineLvl w:val="0"/>
        <w:rPr>
          <w:rFonts w:ascii="黑体" w:hAnsi="黑体" w:eastAsia="黑体"/>
          <w:snapToGrid w:val="0"/>
          <w:color w:val="auto"/>
          <w:sz w:val="30"/>
          <w:szCs w:val="30"/>
        </w:rPr>
      </w:pPr>
      <w:bookmarkStart w:id="3" w:name="_Toc24414"/>
      <w:r>
        <w:rPr>
          <w:rFonts w:hint="eastAsia" w:ascii="黑体" w:hAnsi="黑体" w:eastAsia="黑体"/>
          <w:snapToGrid w:val="0"/>
          <w:color w:val="auto"/>
          <w:sz w:val="30"/>
          <w:szCs w:val="30"/>
        </w:rPr>
        <w:t>二、建设项目工程分析</w:t>
      </w:r>
      <w:bookmarkEnd w:id="3"/>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5"/>
        <w:gridCol w:w="8309"/>
      </w:tblGrid>
      <w:tr w14:paraId="237B70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675" w:type="dxa"/>
            <w:noWrap w:val="0"/>
            <w:vAlign w:val="center"/>
          </w:tcPr>
          <w:p w14:paraId="37C9D3D7">
            <w:pPr>
              <w:pStyle w:val="25"/>
              <w:adjustRightInd w:val="0"/>
              <w:snapToGrid w:val="0"/>
              <w:spacing w:before="0" w:beforeAutospacing="0" w:after="0" w:afterAutospacing="0"/>
              <w:jc w:val="center"/>
              <w:rPr>
                <w:rFonts w:cs="宋体"/>
                <w:color w:val="auto"/>
                <w:sz w:val="21"/>
                <w:szCs w:val="21"/>
              </w:rPr>
            </w:pPr>
            <w:r>
              <w:rPr>
                <w:rFonts w:hint="eastAsia" w:cs="宋体"/>
                <w:color w:val="auto"/>
                <w:sz w:val="21"/>
                <w:szCs w:val="21"/>
              </w:rPr>
              <w:t>建设内容</w:t>
            </w:r>
          </w:p>
        </w:tc>
        <w:tc>
          <w:tcPr>
            <w:tcW w:w="8309" w:type="dxa"/>
            <w:noWrap w:val="0"/>
            <w:vAlign w:val="top"/>
          </w:tcPr>
          <w:p w14:paraId="243B6A1C">
            <w:pPr>
              <w:pStyle w:val="40"/>
              <w:rPr>
                <w:color w:val="auto"/>
              </w:rPr>
            </w:pPr>
            <w:r>
              <w:rPr>
                <w:rFonts w:hint="eastAsia"/>
                <w:color w:val="auto"/>
              </w:rPr>
              <w:t xml:space="preserve">2.1 </w:t>
            </w:r>
            <w:r>
              <w:rPr>
                <w:color w:val="auto"/>
              </w:rPr>
              <w:t>建设项目概况</w:t>
            </w:r>
          </w:p>
          <w:p w14:paraId="43F7E4BD">
            <w:pPr>
              <w:pStyle w:val="38"/>
              <w:ind w:firstLine="420"/>
              <w:rPr>
                <w:color w:val="auto"/>
              </w:rPr>
            </w:pPr>
            <w:r>
              <w:rPr>
                <w:color w:val="auto"/>
              </w:rPr>
              <w:t>项目名称：</w:t>
            </w:r>
            <w:r>
              <w:rPr>
                <w:rFonts w:hint="eastAsia"/>
                <w:color w:val="auto"/>
                <w:lang w:val="en-US" w:eastAsia="zh-CN"/>
              </w:rPr>
              <w:t>华宁县白塔山陶器厂年产900万件建筑陶器项目</w:t>
            </w:r>
          </w:p>
          <w:p w14:paraId="7C10B0E1">
            <w:pPr>
              <w:pStyle w:val="38"/>
              <w:ind w:firstLine="420"/>
              <w:rPr>
                <w:rFonts w:hint="default" w:eastAsia="宋体"/>
                <w:color w:val="auto"/>
                <w:lang w:val="en-US" w:eastAsia="zh-CN"/>
              </w:rPr>
            </w:pPr>
            <w:r>
              <w:rPr>
                <w:color w:val="auto"/>
              </w:rPr>
              <w:t>建设单位：</w:t>
            </w:r>
            <w:r>
              <w:rPr>
                <w:rFonts w:hint="eastAsia"/>
                <w:color w:val="auto"/>
                <w:lang w:val="en-US" w:eastAsia="zh-CN"/>
              </w:rPr>
              <w:t>华宁县白塔山陶器厂</w:t>
            </w:r>
          </w:p>
          <w:p w14:paraId="020C5B19">
            <w:pPr>
              <w:pStyle w:val="38"/>
              <w:ind w:firstLine="420"/>
              <w:rPr>
                <w:rFonts w:hint="eastAsia" w:eastAsia="宋体"/>
                <w:color w:val="auto"/>
                <w:lang w:val="en-US" w:eastAsia="zh-CN"/>
              </w:rPr>
            </w:pPr>
            <w:r>
              <w:rPr>
                <w:color w:val="auto"/>
              </w:rPr>
              <w:t>建设性质：</w:t>
            </w:r>
            <w:r>
              <w:rPr>
                <w:rFonts w:hint="eastAsia"/>
                <w:color w:val="auto"/>
                <w:lang w:val="en-US" w:eastAsia="zh-CN"/>
              </w:rPr>
              <w:t>改建</w:t>
            </w:r>
          </w:p>
          <w:p w14:paraId="3F0104BD">
            <w:pPr>
              <w:pStyle w:val="38"/>
              <w:ind w:firstLine="420"/>
              <w:rPr>
                <w:color w:val="auto"/>
              </w:rPr>
            </w:pPr>
            <w:r>
              <w:rPr>
                <w:color w:val="auto"/>
              </w:rPr>
              <w:t>建设地点：</w:t>
            </w:r>
            <w:r>
              <w:rPr>
                <w:rFonts w:hint="eastAsia"/>
                <w:color w:val="auto"/>
                <w:lang w:val="en-US" w:eastAsia="zh-CN"/>
              </w:rPr>
              <w:t>宁州街道上村社区松树地</w:t>
            </w:r>
            <w:r>
              <w:rPr>
                <w:color w:val="auto"/>
              </w:rPr>
              <w:t>，中心坐标为</w:t>
            </w:r>
            <w:r>
              <w:rPr>
                <w:rFonts w:hint="eastAsia"/>
                <w:color w:val="auto"/>
                <w:lang w:eastAsia="zh-CN"/>
              </w:rPr>
              <w:t>：</w:t>
            </w:r>
            <w:r>
              <w:rPr>
                <w:rFonts w:hint="default" w:ascii="Times New Roman" w:hAnsi="Times New Roman" w:cs="Times New Roman"/>
                <w:color w:val="auto"/>
                <w:sz w:val="21"/>
                <w:szCs w:val="21"/>
              </w:rPr>
              <w:t>东经</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102°55'12.916"</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北纬</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24°12'19.624"</w:t>
            </w:r>
            <w:r>
              <w:rPr>
                <w:color w:val="auto"/>
              </w:rPr>
              <w:t>。</w:t>
            </w:r>
          </w:p>
          <w:p w14:paraId="1599BAD7">
            <w:pPr>
              <w:pStyle w:val="38"/>
              <w:ind w:firstLine="420"/>
              <w:rPr>
                <w:color w:val="auto"/>
              </w:rPr>
            </w:pPr>
            <w:r>
              <w:rPr>
                <w:color w:val="auto"/>
              </w:rPr>
              <w:t>总投资：</w:t>
            </w:r>
            <w:r>
              <w:rPr>
                <w:rFonts w:hint="eastAsia"/>
                <w:color w:val="auto"/>
                <w:lang w:val="en-US" w:eastAsia="zh-CN"/>
              </w:rPr>
              <w:t>737</w:t>
            </w:r>
            <w:r>
              <w:rPr>
                <w:rFonts w:hint="eastAsia"/>
                <w:color w:val="auto"/>
              </w:rPr>
              <w:t>万元。</w:t>
            </w:r>
          </w:p>
          <w:p w14:paraId="07DD0DD3">
            <w:pPr>
              <w:adjustRightInd w:val="0"/>
              <w:snapToGrid w:val="0"/>
              <w:spacing w:line="360" w:lineRule="auto"/>
              <w:ind w:firstLine="420" w:firstLineChars="200"/>
              <w:rPr>
                <w:rStyle w:val="44"/>
                <w:rFonts w:hint="eastAsia"/>
                <w:color w:val="auto"/>
                <w:lang w:val="en-US" w:eastAsia="zh-CN"/>
              </w:rPr>
            </w:pPr>
            <w:r>
              <w:rPr>
                <w:rStyle w:val="44"/>
                <w:rFonts w:hint="eastAsia"/>
                <w:color w:val="auto"/>
              </w:rPr>
              <w:t>主要建设内容或生产能力：</w:t>
            </w:r>
            <w:r>
              <w:rPr>
                <w:rStyle w:val="44"/>
                <w:rFonts w:hint="eastAsia"/>
                <w:color w:val="auto"/>
                <w:lang w:val="en-US" w:eastAsia="zh-CN"/>
              </w:rPr>
              <w:t>建设</w:t>
            </w:r>
            <w:r>
              <w:rPr>
                <w:rFonts w:hint="eastAsia"/>
                <w:color w:val="auto"/>
                <w:szCs w:val="21"/>
                <w:lang w:val="en-US" w:eastAsia="zh-CN"/>
              </w:rPr>
              <w:t>原料车间、陈化车间、制坯车间、晾干车间、待烧车间、烧成车间、成品车间</w:t>
            </w:r>
            <w:r>
              <w:rPr>
                <w:rStyle w:val="44"/>
                <w:rFonts w:hint="eastAsia"/>
                <w:color w:val="auto"/>
                <w:lang w:val="en-US" w:eastAsia="zh-CN"/>
              </w:rPr>
              <w:t>及配套的环保设施，其中烧成车间设置6个梭式窑，采用优质低硫煤作为燃料供热，项目建成后年产仿古砖350万块，仿古瓦550万块。</w:t>
            </w:r>
          </w:p>
          <w:p w14:paraId="7593D4BA">
            <w:pPr>
              <w:pStyle w:val="38"/>
              <w:bidi w:val="0"/>
              <w:ind w:left="0" w:leftChars="0" w:firstLine="0" w:firstLineChars="0"/>
              <w:rPr>
                <w:rFonts w:hint="default" w:eastAsia="宋体"/>
                <w:b/>
                <w:bCs/>
                <w:color w:val="auto"/>
                <w:lang w:val="en-US" w:eastAsia="zh-CN"/>
              </w:rPr>
            </w:pPr>
            <w:r>
              <w:rPr>
                <w:rFonts w:hint="eastAsia"/>
                <w:b/>
                <w:bCs/>
                <w:color w:val="auto"/>
                <w:lang w:val="en-US" w:eastAsia="zh-CN"/>
              </w:rPr>
              <w:t>2.2 项目工程内容及规模</w:t>
            </w:r>
          </w:p>
          <w:p w14:paraId="7E94C45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Cs/>
                <w:color w:val="auto"/>
                <w:sz w:val="21"/>
                <w:szCs w:val="21"/>
                <w:lang w:val="en-US" w:eastAsia="zh-CN"/>
              </w:rPr>
            </w:pPr>
            <w:r>
              <w:rPr>
                <w:rFonts w:hint="eastAsia"/>
                <w:color w:val="auto"/>
                <w:szCs w:val="21"/>
                <w:lang w:val="en-US" w:eastAsia="zh-CN"/>
              </w:rPr>
              <w:t>企业总占地面积为</w:t>
            </w:r>
            <w:r>
              <w:rPr>
                <w:rFonts w:hint="eastAsia" w:cs="Times New Roman"/>
                <w:color w:val="auto"/>
                <w:kern w:val="2"/>
                <w:sz w:val="21"/>
                <w:szCs w:val="21"/>
                <w:lang w:val="en-US" w:eastAsia="zh-CN" w:bidi="ar-SA"/>
              </w:rPr>
              <w:t>19552.66</w:t>
            </w:r>
            <w:r>
              <w:rPr>
                <w:rFonts w:hint="eastAsia"/>
                <w:color w:val="auto"/>
                <w:szCs w:val="21"/>
                <w:lang w:val="en-US" w:eastAsia="zh-CN"/>
              </w:rPr>
              <w:t>㎡，用地属性为工业用地，厂房9065㎡，从北至南顺时针拟设置陈化车间（1150㎡）、原料车间（405㎡）、制坯车间（1460㎡）、晾干车间（1270㎡）、待烧车间（1580㎡）、烧成车间（1200㎡）、成品车间（2000㎡）、办公区设置于厂区南侧；剩余土地为停车场和道路</w:t>
            </w:r>
            <w:r>
              <w:rPr>
                <w:rFonts w:hint="default" w:ascii="Times New Roman" w:hAnsi="Times New Roman" w:eastAsia="宋体" w:cs="Times New Roman"/>
                <w:bCs/>
                <w:color w:val="auto"/>
                <w:sz w:val="21"/>
                <w:szCs w:val="21"/>
                <w:lang w:val="en-US" w:eastAsia="zh-CN"/>
              </w:rPr>
              <w:t>。</w:t>
            </w:r>
          </w:p>
          <w:p w14:paraId="6D83B5E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项目工程组成情况见下表2-1。项目平面布置图见附图。</w:t>
            </w:r>
          </w:p>
          <w:p w14:paraId="2EE3F536">
            <w:pPr>
              <w:pStyle w:val="38"/>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表2-1  项目主要建设内容一览表</w:t>
            </w:r>
          </w:p>
          <w:tbl>
            <w:tblPr>
              <w:tblStyle w:val="29"/>
              <w:tblW w:w="818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604"/>
              <w:gridCol w:w="346"/>
              <w:gridCol w:w="605"/>
              <w:gridCol w:w="1302"/>
              <w:gridCol w:w="1423"/>
              <w:gridCol w:w="3309"/>
              <w:gridCol w:w="595"/>
            </w:tblGrid>
            <w:tr w14:paraId="528A6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jc w:val="center"/>
              </w:trPr>
              <w:tc>
                <w:tcPr>
                  <w:tcW w:w="604" w:type="dxa"/>
                  <w:tcBorders>
                    <w:top w:val="single" w:color="000000" w:sz="4" w:space="0"/>
                    <w:left w:val="single" w:color="000000" w:sz="4" w:space="0"/>
                    <w:bottom w:val="single" w:color="000000" w:sz="4" w:space="0"/>
                    <w:right w:val="single" w:color="000000" w:sz="4" w:space="0"/>
                  </w:tcBorders>
                  <w:noWrap/>
                  <w:vAlign w:val="center"/>
                </w:tcPr>
                <w:p w14:paraId="2462AEE0">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名称</w:t>
                  </w:r>
                </w:p>
              </w:tc>
              <w:tc>
                <w:tcPr>
                  <w:tcW w:w="951" w:type="dxa"/>
                  <w:gridSpan w:val="2"/>
                  <w:tcBorders>
                    <w:top w:val="single" w:color="000000" w:sz="4" w:space="0"/>
                    <w:left w:val="single" w:color="000000" w:sz="4" w:space="0"/>
                    <w:bottom w:val="single" w:color="auto" w:sz="4" w:space="0"/>
                    <w:right w:val="single" w:color="000000" w:sz="4" w:space="0"/>
                  </w:tcBorders>
                  <w:noWrap/>
                  <w:vAlign w:val="center"/>
                </w:tcPr>
                <w:p w14:paraId="41C4EB0D">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项目内容</w:t>
                  </w:r>
                </w:p>
              </w:tc>
              <w:tc>
                <w:tcPr>
                  <w:tcW w:w="2725" w:type="dxa"/>
                  <w:gridSpan w:val="2"/>
                  <w:tcBorders>
                    <w:top w:val="single" w:color="000000" w:sz="4" w:space="0"/>
                    <w:left w:val="single" w:color="000000" w:sz="4" w:space="0"/>
                    <w:bottom w:val="single" w:color="auto" w:sz="4" w:space="0"/>
                    <w:right w:val="single" w:color="000000" w:sz="4" w:space="0"/>
                  </w:tcBorders>
                  <w:noWrap/>
                  <w:vAlign w:val="center"/>
                </w:tcPr>
                <w:p w14:paraId="47F654BA">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sz w:val="21"/>
                      <w:szCs w:val="21"/>
                      <w:lang w:val="en-US"/>
                    </w:rPr>
                  </w:pPr>
                  <w:r>
                    <w:rPr>
                      <w:rFonts w:hint="eastAsia" w:cs="Times New Roman"/>
                      <w:color w:val="auto"/>
                      <w:kern w:val="0"/>
                      <w:sz w:val="21"/>
                      <w:szCs w:val="21"/>
                      <w:lang w:val="en-US" w:eastAsia="zh-CN" w:bidi="ar"/>
                    </w:rPr>
                    <w:t>现有项目建设内容</w:t>
                  </w:r>
                </w:p>
              </w:tc>
              <w:tc>
                <w:tcPr>
                  <w:tcW w:w="3309" w:type="dxa"/>
                  <w:tcBorders>
                    <w:top w:val="single" w:color="000000" w:sz="4" w:space="0"/>
                    <w:left w:val="single" w:color="000000" w:sz="4" w:space="0"/>
                    <w:bottom w:val="single" w:color="auto" w:sz="4" w:space="0"/>
                    <w:right w:val="single" w:color="000000" w:sz="4" w:space="0"/>
                  </w:tcBorders>
                  <w:noWrap/>
                  <w:vAlign w:val="center"/>
                </w:tcPr>
                <w:p w14:paraId="2DF13564">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本次</w:t>
                  </w:r>
                  <w:r>
                    <w:rPr>
                      <w:rFonts w:hint="eastAsia" w:ascii="Times New Roman" w:hAnsi="Times New Roman" w:eastAsia="宋体" w:cs="Times New Roman"/>
                      <w:color w:val="auto"/>
                      <w:kern w:val="0"/>
                      <w:sz w:val="21"/>
                      <w:szCs w:val="21"/>
                      <w:lang w:val="en-US" w:eastAsia="zh-CN" w:bidi="ar"/>
                    </w:rPr>
                    <w:t>改建内容</w:t>
                  </w:r>
                </w:p>
              </w:tc>
              <w:tc>
                <w:tcPr>
                  <w:tcW w:w="595" w:type="dxa"/>
                  <w:tcBorders>
                    <w:top w:val="single" w:color="000000" w:sz="4" w:space="0"/>
                    <w:left w:val="single" w:color="000000" w:sz="4" w:space="0"/>
                    <w:bottom w:val="single" w:color="auto" w:sz="4" w:space="0"/>
                    <w:right w:val="single" w:color="000000" w:sz="4" w:space="0"/>
                  </w:tcBorders>
                  <w:noWrap/>
                  <w:vAlign w:val="center"/>
                </w:tcPr>
                <w:p w14:paraId="2F25C176">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备注</w:t>
                  </w:r>
                </w:p>
              </w:tc>
            </w:tr>
            <w:tr w14:paraId="4DF57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42" w:hRule="atLeast"/>
                <w:jc w:val="center"/>
              </w:trPr>
              <w:tc>
                <w:tcPr>
                  <w:tcW w:w="604" w:type="dxa"/>
                  <w:vMerge w:val="restart"/>
                  <w:tcBorders>
                    <w:top w:val="single" w:color="000000" w:sz="4" w:space="0"/>
                    <w:left w:val="single" w:color="000000" w:sz="4" w:space="0"/>
                    <w:right w:val="single" w:color="auto" w:sz="4" w:space="0"/>
                  </w:tcBorders>
                  <w:noWrap/>
                  <w:vAlign w:val="center"/>
                </w:tcPr>
                <w:p w14:paraId="521AFC44">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主体</w:t>
                  </w:r>
                </w:p>
                <w:p w14:paraId="302846A4">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工程</w:t>
                  </w:r>
                </w:p>
              </w:tc>
              <w:tc>
                <w:tcPr>
                  <w:tcW w:w="951" w:type="dxa"/>
                  <w:gridSpan w:val="2"/>
                  <w:tcBorders>
                    <w:top w:val="single" w:color="auto" w:sz="4" w:space="0"/>
                    <w:left w:val="single" w:color="auto" w:sz="4" w:space="0"/>
                    <w:bottom w:val="single" w:color="auto" w:sz="4" w:space="0"/>
                    <w:right w:val="single" w:color="auto" w:sz="4" w:space="0"/>
                  </w:tcBorders>
                  <w:noWrap/>
                  <w:vAlign w:val="center"/>
                </w:tcPr>
                <w:p w14:paraId="0F69C2E3">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制坯</w:t>
                  </w:r>
                  <w:r>
                    <w:rPr>
                      <w:rFonts w:hint="default" w:ascii="Times New Roman" w:hAnsi="Times New Roman" w:eastAsia="宋体" w:cs="Times New Roman"/>
                      <w:color w:val="auto"/>
                      <w:sz w:val="21"/>
                      <w:szCs w:val="21"/>
                      <w:lang w:val="en-US" w:eastAsia="zh-CN"/>
                    </w:rPr>
                    <w:t>车间</w:t>
                  </w:r>
                </w:p>
              </w:tc>
              <w:tc>
                <w:tcPr>
                  <w:tcW w:w="2725" w:type="dxa"/>
                  <w:gridSpan w:val="2"/>
                  <w:tcBorders>
                    <w:top w:val="single" w:color="auto" w:sz="4" w:space="0"/>
                    <w:left w:val="single" w:color="auto" w:sz="4" w:space="0"/>
                    <w:bottom w:val="single" w:color="auto" w:sz="4" w:space="0"/>
                    <w:right w:val="single" w:color="auto" w:sz="4" w:space="0"/>
                  </w:tcBorders>
                  <w:noWrap/>
                  <w:vAlign w:val="center"/>
                </w:tcPr>
                <w:p w14:paraId="7C6C8857">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ind w:firstLine="420" w:firstLineChars="200"/>
                    <w:jc w:val="both"/>
                    <w:textAlignment w:val="bottom"/>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制坯</w:t>
                  </w:r>
                  <w:r>
                    <w:rPr>
                      <w:color w:val="auto"/>
                      <w:kern w:val="0"/>
                      <w:szCs w:val="21"/>
                      <w:lang w:bidi="ar"/>
                    </w:rPr>
                    <w:t>车间</w:t>
                  </w:r>
                  <w:r>
                    <w:rPr>
                      <w:rFonts w:hint="eastAsia"/>
                      <w:color w:val="auto"/>
                      <w:kern w:val="0"/>
                      <w:szCs w:val="21"/>
                      <w:lang w:val="en-US" w:eastAsia="zh-CN" w:bidi="ar"/>
                    </w:rPr>
                    <w:t>高12m，占地面积为1460㎡，为三面围挡设有顶棚的钢结构厂房，从西至东依次</w:t>
                  </w:r>
                  <w:r>
                    <w:rPr>
                      <w:color w:val="auto"/>
                      <w:kern w:val="0"/>
                      <w:szCs w:val="21"/>
                      <w:lang w:bidi="ar"/>
                    </w:rPr>
                    <w:t>安装</w:t>
                  </w:r>
                  <w:r>
                    <w:rPr>
                      <w:rFonts w:hint="eastAsia"/>
                      <w:color w:val="auto"/>
                      <w:kern w:val="0"/>
                      <w:szCs w:val="21"/>
                      <w:lang w:val="en-US" w:eastAsia="zh-CN" w:bidi="ar"/>
                    </w:rPr>
                    <w:t>2台对辊破碎机</w:t>
                  </w:r>
                  <w:r>
                    <w:rPr>
                      <w:rFonts w:hint="eastAsia"/>
                      <w:color w:val="auto"/>
                      <w:kern w:val="0"/>
                      <w:szCs w:val="21"/>
                      <w:lang w:eastAsia="zh-CN" w:bidi="ar"/>
                    </w:rPr>
                    <w:t>、</w:t>
                  </w:r>
                  <w:r>
                    <w:rPr>
                      <w:rFonts w:hint="eastAsia"/>
                      <w:color w:val="auto"/>
                      <w:kern w:val="0"/>
                      <w:szCs w:val="21"/>
                      <w:lang w:val="en-US" w:eastAsia="zh-CN" w:bidi="ar"/>
                    </w:rPr>
                    <w:t>4台真空成型机、4台自动分切机</w:t>
                  </w:r>
                  <w:r>
                    <w:rPr>
                      <w:color w:val="auto"/>
                      <w:kern w:val="0"/>
                      <w:szCs w:val="21"/>
                      <w:lang w:bidi="ar"/>
                    </w:rPr>
                    <w:t>。</w:t>
                  </w:r>
                </w:p>
              </w:tc>
              <w:tc>
                <w:tcPr>
                  <w:tcW w:w="3309" w:type="dxa"/>
                  <w:tcBorders>
                    <w:top w:val="single" w:color="auto" w:sz="4" w:space="0"/>
                    <w:left w:val="single" w:color="auto" w:sz="4" w:space="0"/>
                    <w:bottom w:val="single" w:color="auto" w:sz="4" w:space="0"/>
                    <w:right w:val="single" w:color="auto" w:sz="4" w:space="0"/>
                  </w:tcBorders>
                  <w:noWrap/>
                  <w:vAlign w:val="center"/>
                </w:tcPr>
                <w:p w14:paraId="32573839">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ind w:firstLine="420" w:firstLineChars="200"/>
                    <w:jc w:val="both"/>
                    <w:textAlignment w:val="bottom"/>
                    <w:rPr>
                      <w:rFonts w:hint="eastAsia" w:cs="Times New Roman"/>
                      <w:color w:val="auto"/>
                      <w:sz w:val="21"/>
                      <w:szCs w:val="21"/>
                      <w:lang w:val="en-US" w:eastAsia="zh-CN"/>
                    </w:rPr>
                  </w:pPr>
                  <w:r>
                    <w:rPr>
                      <w:rFonts w:hint="eastAsia" w:cs="Times New Roman"/>
                      <w:color w:val="auto"/>
                      <w:sz w:val="21"/>
                      <w:szCs w:val="21"/>
                      <w:lang w:val="en-US" w:eastAsia="zh-CN"/>
                    </w:rPr>
                    <w:t>依托现有制坯</w:t>
                  </w:r>
                  <w:r>
                    <w:rPr>
                      <w:color w:val="auto"/>
                      <w:kern w:val="0"/>
                      <w:szCs w:val="21"/>
                      <w:lang w:bidi="ar"/>
                    </w:rPr>
                    <w:t>车间。</w:t>
                  </w:r>
                </w:p>
              </w:tc>
              <w:tc>
                <w:tcPr>
                  <w:tcW w:w="595" w:type="dxa"/>
                  <w:tcBorders>
                    <w:top w:val="single" w:color="auto" w:sz="4" w:space="0"/>
                    <w:left w:val="single" w:color="auto" w:sz="4" w:space="0"/>
                    <w:bottom w:val="single" w:color="auto" w:sz="4" w:space="0"/>
                    <w:right w:val="single" w:color="auto" w:sz="4" w:space="0"/>
                  </w:tcBorders>
                  <w:noWrap/>
                  <w:vAlign w:val="center"/>
                </w:tcPr>
                <w:p w14:paraId="193773D6">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依托</w:t>
                  </w:r>
                </w:p>
              </w:tc>
            </w:tr>
            <w:tr w14:paraId="3805A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42" w:hRule="atLeast"/>
                <w:jc w:val="center"/>
              </w:trPr>
              <w:tc>
                <w:tcPr>
                  <w:tcW w:w="604" w:type="dxa"/>
                  <w:vMerge w:val="continue"/>
                  <w:tcBorders>
                    <w:left w:val="single" w:color="000000" w:sz="4" w:space="0"/>
                    <w:right w:val="single" w:color="auto" w:sz="4" w:space="0"/>
                  </w:tcBorders>
                  <w:noWrap/>
                  <w:vAlign w:val="center"/>
                </w:tcPr>
                <w:p w14:paraId="410115C3">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kern w:val="0"/>
                      <w:sz w:val="21"/>
                      <w:szCs w:val="21"/>
                      <w:lang w:val="en-US" w:eastAsia="zh-CN" w:bidi="ar"/>
                    </w:rPr>
                  </w:pPr>
                </w:p>
              </w:tc>
              <w:tc>
                <w:tcPr>
                  <w:tcW w:w="951" w:type="dxa"/>
                  <w:gridSpan w:val="2"/>
                  <w:tcBorders>
                    <w:top w:val="single" w:color="auto" w:sz="4" w:space="0"/>
                    <w:left w:val="single" w:color="auto" w:sz="4" w:space="0"/>
                    <w:bottom w:val="single" w:color="auto" w:sz="4" w:space="0"/>
                    <w:right w:val="single" w:color="auto" w:sz="4" w:space="0"/>
                  </w:tcBorders>
                  <w:noWrap/>
                  <w:vAlign w:val="center"/>
                </w:tcPr>
                <w:p w14:paraId="7B610F47">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cs="Times New Roman"/>
                      <w:color w:val="auto"/>
                      <w:sz w:val="21"/>
                      <w:szCs w:val="21"/>
                      <w:lang w:val="en-US" w:eastAsia="zh-CN"/>
                    </w:rPr>
                  </w:pPr>
                  <w:r>
                    <w:rPr>
                      <w:rFonts w:hint="eastAsia" w:cs="Times New Roman"/>
                      <w:color w:val="auto"/>
                      <w:sz w:val="21"/>
                      <w:szCs w:val="21"/>
                      <w:lang w:val="en-US" w:eastAsia="zh-CN"/>
                    </w:rPr>
                    <w:t>晾干车间</w:t>
                  </w:r>
                </w:p>
              </w:tc>
              <w:tc>
                <w:tcPr>
                  <w:tcW w:w="2725" w:type="dxa"/>
                  <w:gridSpan w:val="2"/>
                  <w:tcBorders>
                    <w:top w:val="single" w:color="auto" w:sz="4" w:space="0"/>
                    <w:left w:val="single" w:color="auto" w:sz="4" w:space="0"/>
                    <w:bottom w:val="single" w:color="auto" w:sz="4" w:space="0"/>
                    <w:right w:val="single" w:color="auto" w:sz="4" w:space="0"/>
                  </w:tcBorders>
                  <w:noWrap/>
                  <w:vAlign w:val="center"/>
                </w:tcPr>
                <w:p w14:paraId="3B8D2792">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ind w:firstLine="420" w:firstLineChars="200"/>
                    <w:jc w:val="both"/>
                    <w:textAlignment w:val="bottom"/>
                    <w:rPr>
                      <w:rFonts w:hint="default"/>
                      <w:color w:val="auto"/>
                      <w:kern w:val="0"/>
                      <w:szCs w:val="21"/>
                      <w:lang w:val="en-US" w:eastAsia="zh-CN" w:bidi="ar"/>
                    </w:rPr>
                  </w:pPr>
                  <w:r>
                    <w:rPr>
                      <w:rFonts w:hint="eastAsia"/>
                      <w:color w:val="auto"/>
                      <w:kern w:val="0"/>
                      <w:szCs w:val="21"/>
                      <w:lang w:val="en-US" w:eastAsia="zh-CN" w:bidi="ar"/>
                    </w:rPr>
                    <w:t>晾干车间高12m，占地面积为1270㎡，为一面围挡设有顶棚的钢结构厂房，将完成分切的坯体至于通风的晾干车间进行晾干。</w:t>
                  </w:r>
                </w:p>
              </w:tc>
              <w:tc>
                <w:tcPr>
                  <w:tcW w:w="3309" w:type="dxa"/>
                  <w:tcBorders>
                    <w:top w:val="single" w:color="auto" w:sz="4" w:space="0"/>
                    <w:left w:val="single" w:color="auto" w:sz="4" w:space="0"/>
                    <w:bottom w:val="single" w:color="auto" w:sz="4" w:space="0"/>
                    <w:right w:val="single" w:color="auto" w:sz="4" w:space="0"/>
                  </w:tcBorders>
                  <w:noWrap/>
                  <w:vAlign w:val="center"/>
                </w:tcPr>
                <w:p w14:paraId="44637A8A">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ind w:firstLine="420" w:firstLineChars="200"/>
                    <w:jc w:val="both"/>
                    <w:textAlignment w:val="bottom"/>
                    <w:rPr>
                      <w:rFonts w:hint="default"/>
                      <w:color w:val="auto"/>
                      <w:kern w:val="0"/>
                      <w:szCs w:val="21"/>
                      <w:lang w:val="en-US" w:eastAsia="zh-CN" w:bidi="ar"/>
                    </w:rPr>
                  </w:pPr>
                  <w:r>
                    <w:rPr>
                      <w:rFonts w:hint="eastAsia"/>
                      <w:color w:val="auto"/>
                      <w:kern w:val="0"/>
                      <w:szCs w:val="21"/>
                      <w:lang w:val="en-US" w:eastAsia="zh-CN" w:bidi="ar"/>
                    </w:rPr>
                    <w:t>依托原有</w:t>
                  </w:r>
                  <w:r>
                    <w:rPr>
                      <w:rFonts w:hint="eastAsia" w:cs="Times New Roman"/>
                      <w:color w:val="auto"/>
                      <w:sz w:val="21"/>
                      <w:szCs w:val="21"/>
                      <w:lang w:val="en-US" w:eastAsia="zh-CN"/>
                    </w:rPr>
                    <w:t>晾干车间</w:t>
                  </w:r>
                  <w:r>
                    <w:rPr>
                      <w:rFonts w:hint="eastAsia"/>
                      <w:color w:val="auto"/>
                      <w:kern w:val="0"/>
                      <w:szCs w:val="21"/>
                      <w:lang w:val="en-US" w:eastAsia="zh-CN" w:bidi="ar"/>
                    </w:rPr>
                    <w:t>。</w:t>
                  </w:r>
                </w:p>
              </w:tc>
              <w:tc>
                <w:tcPr>
                  <w:tcW w:w="595" w:type="dxa"/>
                  <w:tcBorders>
                    <w:top w:val="single" w:color="auto" w:sz="4" w:space="0"/>
                    <w:left w:val="single" w:color="auto" w:sz="4" w:space="0"/>
                    <w:bottom w:val="single" w:color="auto" w:sz="4" w:space="0"/>
                    <w:right w:val="single" w:color="auto" w:sz="4" w:space="0"/>
                  </w:tcBorders>
                  <w:noWrap/>
                  <w:vAlign w:val="center"/>
                </w:tcPr>
                <w:p w14:paraId="4016F1C7">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eastAsia" w:cs="Times New Roman"/>
                      <w:color w:val="auto"/>
                      <w:sz w:val="21"/>
                      <w:szCs w:val="21"/>
                      <w:lang w:val="en-US" w:eastAsia="zh-CN"/>
                    </w:rPr>
                  </w:pPr>
                  <w:r>
                    <w:rPr>
                      <w:rFonts w:hint="eastAsia" w:cs="Times New Roman"/>
                      <w:color w:val="auto"/>
                      <w:sz w:val="21"/>
                      <w:szCs w:val="21"/>
                      <w:lang w:val="en-US" w:eastAsia="zh-CN"/>
                    </w:rPr>
                    <w:t>依托</w:t>
                  </w:r>
                </w:p>
              </w:tc>
            </w:tr>
            <w:tr w14:paraId="3B553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42" w:hRule="atLeast"/>
                <w:jc w:val="center"/>
              </w:trPr>
              <w:tc>
                <w:tcPr>
                  <w:tcW w:w="604" w:type="dxa"/>
                  <w:vMerge w:val="continue"/>
                  <w:tcBorders>
                    <w:left w:val="single" w:color="000000" w:sz="4" w:space="0"/>
                    <w:right w:val="single" w:color="auto" w:sz="4" w:space="0"/>
                  </w:tcBorders>
                  <w:noWrap/>
                  <w:vAlign w:val="center"/>
                </w:tcPr>
                <w:p w14:paraId="7F30E259">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kern w:val="0"/>
                      <w:sz w:val="21"/>
                      <w:szCs w:val="21"/>
                      <w:lang w:val="en-US" w:eastAsia="zh-CN" w:bidi="ar"/>
                    </w:rPr>
                  </w:pPr>
                </w:p>
              </w:tc>
              <w:tc>
                <w:tcPr>
                  <w:tcW w:w="951" w:type="dxa"/>
                  <w:gridSpan w:val="2"/>
                  <w:tcBorders>
                    <w:top w:val="single" w:color="auto" w:sz="4" w:space="0"/>
                    <w:left w:val="single" w:color="auto" w:sz="4" w:space="0"/>
                    <w:bottom w:val="single" w:color="auto" w:sz="4" w:space="0"/>
                    <w:right w:val="single" w:color="auto" w:sz="4" w:space="0"/>
                  </w:tcBorders>
                  <w:noWrap/>
                  <w:vAlign w:val="center"/>
                </w:tcPr>
                <w:p w14:paraId="0355A802">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cs="Times New Roman"/>
                      <w:color w:val="auto"/>
                      <w:sz w:val="21"/>
                      <w:szCs w:val="21"/>
                      <w:lang w:val="en-US" w:eastAsia="zh-CN"/>
                    </w:rPr>
                  </w:pPr>
                  <w:r>
                    <w:rPr>
                      <w:rFonts w:hint="eastAsia" w:cs="Times New Roman"/>
                      <w:color w:val="auto"/>
                      <w:sz w:val="21"/>
                      <w:szCs w:val="21"/>
                      <w:lang w:val="en-US" w:eastAsia="zh-CN"/>
                    </w:rPr>
                    <w:t>待烧车间</w:t>
                  </w:r>
                </w:p>
              </w:tc>
              <w:tc>
                <w:tcPr>
                  <w:tcW w:w="2725" w:type="dxa"/>
                  <w:gridSpan w:val="2"/>
                  <w:tcBorders>
                    <w:top w:val="single" w:color="auto" w:sz="4" w:space="0"/>
                    <w:left w:val="single" w:color="auto" w:sz="4" w:space="0"/>
                    <w:bottom w:val="single" w:color="auto" w:sz="4" w:space="0"/>
                    <w:right w:val="single" w:color="auto" w:sz="4" w:space="0"/>
                  </w:tcBorders>
                  <w:noWrap/>
                  <w:vAlign w:val="center"/>
                </w:tcPr>
                <w:p w14:paraId="3D064F3A">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ind w:firstLine="420" w:firstLineChars="200"/>
                    <w:jc w:val="both"/>
                    <w:textAlignment w:val="bottom"/>
                    <w:rPr>
                      <w:rFonts w:hint="default"/>
                      <w:color w:val="auto"/>
                      <w:kern w:val="0"/>
                      <w:szCs w:val="21"/>
                      <w:lang w:val="en-US" w:eastAsia="zh-CN" w:bidi="ar"/>
                    </w:rPr>
                  </w:pPr>
                  <w:r>
                    <w:rPr>
                      <w:rFonts w:hint="eastAsia"/>
                      <w:color w:val="auto"/>
                      <w:kern w:val="0"/>
                      <w:szCs w:val="21"/>
                      <w:lang w:val="en-US" w:eastAsia="zh-CN" w:bidi="ar"/>
                    </w:rPr>
                    <w:t>待烧车间高12m，占地面积为1580㎡，为三面围挡设有顶棚的钢结构厂房，暂存晾干的坯体</w:t>
                  </w:r>
                  <w:r>
                    <w:rPr>
                      <w:rFonts w:hint="eastAsia" w:cs="Times New Roman"/>
                      <w:color w:val="auto"/>
                      <w:kern w:val="0"/>
                      <w:sz w:val="21"/>
                      <w:szCs w:val="21"/>
                      <w:lang w:val="en-US" w:eastAsia="zh-CN" w:bidi="ar"/>
                    </w:rPr>
                    <w:t>。</w:t>
                  </w:r>
                </w:p>
              </w:tc>
              <w:tc>
                <w:tcPr>
                  <w:tcW w:w="3309" w:type="dxa"/>
                  <w:tcBorders>
                    <w:top w:val="single" w:color="auto" w:sz="4" w:space="0"/>
                    <w:left w:val="single" w:color="auto" w:sz="4" w:space="0"/>
                    <w:bottom w:val="single" w:color="auto" w:sz="4" w:space="0"/>
                    <w:right w:val="single" w:color="auto" w:sz="4" w:space="0"/>
                  </w:tcBorders>
                  <w:noWrap/>
                  <w:vAlign w:val="center"/>
                </w:tcPr>
                <w:p w14:paraId="75C8442C">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ind w:firstLine="420" w:firstLineChars="200"/>
                    <w:jc w:val="both"/>
                    <w:textAlignment w:val="bottom"/>
                    <w:rPr>
                      <w:rFonts w:hint="eastAsia"/>
                      <w:color w:val="auto"/>
                      <w:kern w:val="0"/>
                      <w:szCs w:val="21"/>
                      <w:lang w:val="en-US" w:eastAsia="zh-CN" w:bidi="ar"/>
                    </w:rPr>
                  </w:pPr>
                  <w:r>
                    <w:rPr>
                      <w:rFonts w:hint="eastAsia"/>
                      <w:color w:val="auto"/>
                      <w:kern w:val="0"/>
                      <w:szCs w:val="21"/>
                      <w:lang w:val="en-US" w:eastAsia="zh-CN" w:bidi="ar"/>
                    </w:rPr>
                    <w:t>依托原有</w:t>
                  </w:r>
                  <w:r>
                    <w:rPr>
                      <w:rFonts w:hint="eastAsia" w:cs="Times New Roman"/>
                      <w:color w:val="auto"/>
                      <w:sz w:val="21"/>
                      <w:szCs w:val="21"/>
                      <w:lang w:val="en-US" w:eastAsia="zh-CN"/>
                    </w:rPr>
                    <w:t>待烧车间</w:t>
                  </w:r>
                  <w:r>
                    <w:rPr>
                      <w:rFonts w:hint="eastAsia"/>
                      <w:color w:val="auto"/>
                      <w:kern w:val="0"/>
                      <w:szCs w:val="21"/>
                      <w:lang w:val="en-US" w:eastAsia="zh-CN" w:bidi="ar"/>
                    </w:rPr>
                    <w:t>。</w:t>
                  </w:r>
                </w:p>
              </w:tc>
              <w:tc>
                <w:tcPr>
                  <w:tcW w:w="595" w:type="dxa"/>
                  <w:tcBorders>
                    <w:top w:val="single" w:color="auto" w:sz="4" w:space="0"/>
                    <w:left w:val="single" w:color="auto" w:sz="4" w:space="0"/>
                    <w:bottom w:val="single" w:color="auto" w:sz="4" w:space="0"/>
                    <w:right w:val="single" w:color="auto" w:sz="4" w:space="0"/>
                  </w:tcBorders>
                  <w:noWrap/>
                  <w:vAlign w:val="center"/>
                </w:tcPr>
                <w:p w14:paraId="0BBE80C4">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eastAsia" w:cs="Times New Roman"/>
                      <w:color w:val="auto"/>
                      <w:sz w:val="21"/>
                      <w:szCs w:val="21"/>
                      <w:lang w:val="en-US" w:eastAsia="zh-CN"/>
                    </w:rPr>
                  </w:pPr>
                  <w:r>
                    <w:rPr>
                      <w:rFonts w:hint="eastAsia" w:cs="Times New Roman"/>
                      <w:color w:val="auto"/>
                      <w:sz w:val="21"/>
                      <w:szCs w:val="21"/>
                      <w:lang w:val="en-US" w:eastAsia="zh-CN"/>
                    </w:rPr>
                    <w:t>依托</w:t>
                  </w:r>
                </w:p>
              </w:tc>
            </w:tr>
            <w:tr w14:paraId="5E56D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42" w:hRule="atLeast"/>
                <w:jc w:val="center"/>
              </w:trPr>
              <w:tc>
                <w:tcPr>
                  <w:tcW w:w="604" w:type="dxa"/>
                  <w:vMerge w:val="continue"/>
                  <w:tcBorders>
                    <w:left w:val="single" w:color="000000" w:sz="4" w:space="0"/>
                    <w:right w:val="single" w:color="auto" w:sz="4" w:space="0"/>
                  </w:tcBorders>
                  <w:noWrap/>
                  <w:vAlign w:val="center"/>
                </w:tcPr>
                <w:p w14:paraId="7A6DEB32">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sz w:val="21"/>
                      <w:szCs w:val="21"/>
                    </w:rPr>
                  </w:pPr>
                </w:p>
              </w:tc>
              <w:tc>
                <w:tcPr>
                  <w:tcW w:w="951" w:type="dxa"/>
                  <w:gridSpan w:val="2"/>
                  <w:tcBorders>
                    <w:top w:val="single" w:color="auto" w:sz="4" w:space="0"/>
                    <w:left w:val="single" w:color="auto" w:sz="4" w:space="0"/>
                    <w:bottom w:val="single" w:color="auto" w:sz="4" w:space="0"/>
                    <w:right w:val="single" w:color="auto" w:sz="4" w:space="0"/>
                  </w:tcBorders>
                  <w:noWrap/>
                  <w:vAlign w:val="center"/>
                </w:tcPr>
                <w:p w14:paraId="33497688">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val="en-US" w:eastAsia="zh-CN"/>
                    </w:rPr>
                    <w:t>烧成车间</w:t>
                  </w:r>
                </w:p>
              </w:tc>
              <w:tc>
                <w:tcPr>
                  <w:tcW w:w="2725" w:type="dxa"/>
                  <w:gridSpan w:val="2"/>
                  <w:tcBorders>
                    <w:top w:val="single" w:color="auto" w:sz="4" w:space="0"/>
                    <w:left w:val="single" w:color="auto" w:sz="4" w:space="0"/>
                    <w:bottom w:val="single" w:color="auto" w:sz="4" w:space="0"/>
                    <w:right w:val="single" w:color="auto" w:sz="4" w:space="0"/>
                  </w:tcBorders>
                  <w:noWrap/>
                  <w:vAlign w:val="center"/>
                </w:tcPr>
                <w:p w14:paraId="7B2967DA">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ind w:firstLine="420" w:firstLineChars="200"/>
                    <w:jc w:val="both"/>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烧成车间</w:t>
                  </w:r>
                  <w:r>
                    <w:rPr>
                      <w:rFonts w:hint="eastAsia"/>
                      <w:color w:val="auto"/>
                      <w:kern w:val="0"/>
                      <w:szCs w:val="21"/>
                      <w:lang w:val="en-US" w:eastAsia="zh-CN" w:bidi="ar"/>
                    </w:rPr>
                    <w:t>高12m，占地面积为1200㎡</w:t>
                  </w:r>
                  <w:r>
                    <w:rPr>
                      <w:rFonts w:hint="eastAsia" w:cs="Times New Roman"/>
                      <w:color w:val="auto"/>
                      <w:kern w:val="0"/>
                      <w:sz w:val="21"/>
                      <w:szCs w:val="21"/>
                      <w:lang w:val="en-US" w:eastAsia="zh-CN" w:bidi="ar"/>
                    </w:rPr>
                    <w:t>，</w:t>
                  </w:r>
                  <w:r>
                    <w:rPr>
                      <w:rFonts w:hint="eastAsia"/>
                      <w:color w:val="auto"/>
                      <w:kern w:val="0"/>
                      <w:szCs w:val="21"/>
                      <w:lang w:val="en-US" w:eastAsia="zh-CN" w:bidi="ar"/>
                    </w:rPr>
                    <w:t>为三面</w:t>
                  </w:r>
                  <w:r>
                    <w:rPr>
                      <w:rFonts w:hint="eastAsia"/>
                      <w:color w:val="auto"/>
                      <w:kern w:val="0"/>
                      <w:sz w:val="21"/>
                      <w:szCs w:val="21"/>
                      <w:lang w:val="en-US" w:eastAsia="zh-CN" w:bidi="ar"/>
                    </w:rPr>
                    <w:t>围挡设有顶棚的钢结构厂房，</w:t>
                  </w:r>
                  <w:r>
                    <w:rPr>
                      <w:rFonts w:hint="eastAsia" w:cs="Times New Roman"/>
                      <w:color w:val="auto"/>
                      <w:kern w:val="0"/>
                      <w:sz w:val="21"/>
                      <w:szCs w:val="21"/>
                      <w:lang w:val="en-US" w:eastAsia="zh-CN" w:bidi="ar"/>
                    </w:rPr>
                    <w:t>设置</w:t>
                  </w:r>
                  <w:r>
                    <w:rPr>
                      <w:rFonts w:hint="eastAsia" w:cs="Times New Roman"/>
                      <w:color w:val="FF0000"/>
                      <w:kern w:val="2"/>
                      <w:sz w:val="21"/>
                      <w:szCs w:val="21"/>
                      <w:lang w:val="en-US" w:eastAsia="zh-CN" w:bidi="ar-SA"/>
                    </w:rPr>
                    <w:t>3座土窑</w:t>
                  </w:r>
                  <w:r>
                    <w:rPr>
                      <w:rFonts w:hint="default" w:ascii="Times New Roman" w:hAnsi="Times New Roman" w:eastAsia="宋体" w:cs="Times New Roman"/>
                      <w:color w:val="auto"/>
                      <w:kern w:val="0"/>
                      <w:sz w:val="21"/>
                      <w:szCs w:val="21"/>
                      <w:lang w:val="en-US" w:eastAsia="zh-CN" w:bidi="ar"/>
                    </w:rPr>
                    <w:t>，</w:t>
                  </w:r>
                  <w:r>
                    <w:rPr>
                      <w:rFonts w:hint="eastAsia" w:cs="Times New Roman"/>
                      <w:color w:val="auto"/>
                      <w:kern w:val="0"/>
                      <w:sz w:val="21"/>
                      <w:szCs w:val="21"/>
                      <w:lang w:val="en-US" w:eastAsia="zh-CN" w:bidi="ar"/>
                    </w:rPr>
                    <w:t>用于烧成仿古砖、瓦</w:t>
                  </w:r>
                  <w:r>
                    <w:rPr>
                      <w:rFonts w:hint="default" w:ascii="Times New Roman" w:hAnsi="Times New Roman" w:eastAsia="宋体" w:cs="Times New Roman"/>
                      <w:color w:val="auto"/>
                      <w:kern w:val="0"/>
                      <w:sz w:val="21"/>
                      <w:szCs w:val="21"/>
                      <w:lang w:val="en-US" w:eastAsia="zh-CN" w:bidi="ar"/>
                    </w:rPr>
                    <w:t>。</w:t>
                  </w:r>
                  <w:r>
                    <w:rPr>
                      <w:rFonts w:hint="eastAsia" w:cs="Times New Roman"/>
                      <w:color w:val="auto"/>
                      <w:kern w:val="0"/>
                      <w:sz w:val="21"/>
                      <w:szCs w:val="21"/>
                      <w:lang w:val="en-US" w:eastAsia="zh-CN" w:bidi="ar"/>
                    </w:rPr>
                    <w:t>截止项目现场探勘，</w:t>
                  </w:r>
                  <w:r>
                    <w:rPr>
                      <w:rFonts w:hint="eastAsia"/>
                      <w:color w:val="auto"/>
                      <w:kern w:val="0"/>
                      <w:szCs w:val="21"/>
                      <w:lang w:val="en-US" w:eastAsia="zh-CN" w:bidi="ar"/>
                    </w:rPr>
                    <w:t>现有土窑已退出淘汰。</w:t>
                  </w:r>
                </w:p>
              </w:tc>
              <w:tc>
                <w:tcPr>
                  <w:tcW w:w="3309" w:type="dxa"/>
                  <w:tcBorders>
                    <w:top w:val="single" w:color="auto" w:sz="4" w:space="0"/>
                    <w:left w:val="single" w:color="auto" w:sz="4" w:space="0"/>
                    <w:bottom w:val="single" w:color="auto" w:sz="4" w:space="0"/>
                    <w:right w:val="single" w:color="auto" w:sz="4" w:space="0"/>
                  </w:tcBorders>
                  <w:noWrap/>
                  <w:vAlign w:val="center"/>
                </w:tcPr>
                <w:p w14:paraId="5DCFDCF0">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ind w:firstLine="420" w:firstLineChars="200"/>
                    <w:jc w:val="both"/>
                    <w:textAlignment w:val="bottom"/>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依托现有1200㎡</w:t>
                  </w:r>
                  <w:r>
                    <w:rPr>
                      <w:rFonts w:hint="default" w:ascii="Times New Roman" w:hAnsi="Times New Roman" w:eastAsia="宋体" w:cs="Times New Roman"/>
                      <w:color w:val="auto"/>
                      <w:kern w:val="0"/>
                      <w:sz w:val="21"/>
                      <w:szCs w:val="21"/>
                      <w:lang w:val="en-US" w:eastAsia="zh-CN" w:bidi="ar"/>
                    </w:rPr>
                    <w:t>烧成车间</w:t>
                  </w:r>
                  <w:r>
                    <w:rPr>
                      <w:rFonts w:hint="eastAsia" w:ascii="Times New Roman" w:hAnsi="Times New Roman" w:eastAsia="宋体" w:cs="Times New Roman"/>
                      <w:color w:val="auto"/>
                      <w:kern w:val="0"/>
                      <w:sz w:val="21"/>
                      <w:szCs w:val="21"/>
                      <w:lang w:val="en-US" w:eastAsia="zh-CN" w:bidi="ar"/>
                    </w:rPr>
                    <w:t>，厂房</w:t>
                  </w:r>
                  <w:r>
                    <w:rPr>
                      <w:rFonts w:hint="eastAsia"/>
                      <w:color w:val="auto"/>
                      <w:kern w:val="0"/>
                      <w:szCs w:val="21"/>
                      <w:lang w:val="en-US" w:eastAsia="zh-CN" w:bidi="ar"/>
                    </w:rPr>
                    <w:t>高12m，为三面围挡设有顶棚的钢结构厂房，现有土窑已退出淘汰，重新</w:t>
                  </w:r>
                  <w:r>
                    <w:rPr>
                      <w:rFonts w:hint="eastAsia" w:cs="Times New Roman"/>
                      <w:color w:val="auto"/>
                      <w:kern w:val="0"/>
                      <w:sz w:val="21"/>
                      <w:szCs w:val="21"/>
                      <w:lang w:val="en-US" w:eastAsia="zh-CN" w:bidi="ar"/>
                    </w:rPr>
                    <w:t>设置6座梭式窑</w:t>
                  </w:r>
                  <w:r>
                    <w:rPr>
                      <w:rFonts w:hint="default" w:ascii="Times New Roman" w:hAnsi="Times New Roman" w:eastAsia="宋体" w:cs="Times New Roman"/>
                      <w:color w:val="auto"/>
                      <w:kern w:val="0"/>
                      <w:sz w:val="21"/>
                      <w:szCs w:val="21"/>
                      <w:lang w:val="en-US" w:eastAsia="zh-CN" w:bidi="ar"/>
                    </w:rPr>
                    <w:t>，</w:t>
                  </w:r>
                  <w:r>
                    <w:rPr>
                      <w:rFonts w:hint="eastAsia" w:cs="Times New Roman"/>
                      <w:color w:val="auto"/>
                      <w:kern w:val="0"/>
                      <w:sz w:val="21"/>
                      <w:szCs w:val="21"/>
                      <w:lang w:val="en-US" w:eastAsia="zh-CN" w:bidi="ar"/>
                    </w:rPr>
                    <w:t>尺寸为18m</w:t>
                  </w:r>
                  <w:r>
                    <w:rPr>
                      <w:rFonts w:hint="default" w:ascii="Times New Roman" w:hAnsi="Times New Roman" w:cs="Times New Roman"/>
                      <w:color w:val="auto"/>
                      <w:kern w:val="0"/>
                      <w:sz w:val="21"/>
                      <w:szCs w:val="21"/>
                      <w:lang w:val="en-US" w:eastAsia="zh-CN" w:bidi="ar"/>
                    </w:rPr>
                    <w:t>×</w:t>
                  </w:r>
                  <w:r>
                    <w:rPr>
                      <w:rFonts w:hint="eastAsia" w:ascii="Times New Roman" w:hAnsi="Times New Roman" w:cs="Times New Roman"/>
                      <w:color w:val="auto"/>
                      <w:kern w:val="0"/>
                      <w:sz w:val="21"/>
                      <w:szCs w:val="21"/>
                      <w:lang w:val="en-US" w:eastAsia="zh-CN" w:bidi="ar"/>
                    </w:rPr>
                    <w:t>6m</w:t>
                  </w:r>
                  <w:r>
                    <w:rPr>
                      <w:rFonts w:hint="default" w:ascii="Times New Roman" w:hAnsi="Times New Roman" w:cs="Times New Roman"/>
                      <w:color w:val="auto"/>
                      <w:kern w:val="0"/>
                      <w:sz w:val="21"/>
                      <w:szCs w:val="21"/>
                      <w:lang w:val="en-US" w:eastAsia="zh-CN" w:bidi="ar"/>
                    </w:rPr>
                    <w:t>×</w:t>
                  </w:r>
                  <w:r>
                    <w:rPr>
                      <w:rFonts w:hint="eastAsia" w:cs="Times New Roman"/>
                      <w:color w:val="auto"/>
                      <w:kern w:val="0"/>
                      <w:sz w:val="21"/>
                      <w:szCs w:val="21"/>
                      <w:lang w:val="en-US" w:eastAsia="zh-CN" w:bidi="ar"/>
                    </w:rPr>
                    <w:t>4m，用于烧成仿古砖、瓦</w:t>
                  </w:r>
                  <w:r>
                    <w:rPr>
                      <w:rFonts w:hint="default" w:ascii="Times New Roman" w:hAnsi="Times New Roman" w:eastAsia="宋体" w:cs="Times New Roman"/>
                      <w:color w:val="auto"/>
                      <w:kern w:val="0"/>
                      <w:sz w:val="21"/>
                      <w:szCs w:val="21"/>
                      <w:lang w:val="en-US" w:eastAsia="zh-CN" w:bidi="ar"/>
                    </w:rPr>
                    <w:t>。</w:t>
                  </w:r>
                </w:p>
              </w:tc>
              <w:tc>
                <w:tcPr>
                  <w:tcW w:w="595" w:type="dxa"/>
                  <w:tcBorders>
                    <w:top w:val="single" w:color="auto" w:sz="4" w:space="0"/>
                    <w:left w:val="single" w:color="auto" w:sz="4" w:space="0"/>
                    <w:bottom w:val="single" w:color="auto" w:sz="4" w:space="0"/>
                    <w:right w:val="single" w:color="auto" w:sz="4" w:space="0"/>
                  </w:tcBorders>
                  <w:noWrap/>
                  <w:vAlign w:val="center"/>
                </w:tcPr>
                <w:p w14:paraId="16A37A83">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kern w:val="0"/>
                      <w:sz w:val="21"/>
                      <w:szCs w:val="21"/>
                      <w:lang w:val="en-US" w:eastAsia="zh-CN" w:bidi="ar"/>
                    </w:rPr>
                  </w:pPr>
                  <w:r>
                    <w:rPr>
                      <w:rFonts w:hint="eastAsia" w:cs="Times New Roman"/>
                      <w:color w:val="auto"/>
                      <w:sz w:val="21"/>
                      <w:szCs w:val="21"/>
                      <w:lang w:val="en-US" w:eastAsia="zh-CN"/>
                    </w:rPr>
                    <w:t>改建</w:t>
                  </w:r>
                </w:p>
              </w:tc>
            </w:tr>
            <w:tr w14:paraId="6E1C2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42" w:hRule="atLeast"/>
                <w:jc w:val="center"/>
              </w:trPr>
              <w:tc>
                <w:tcPr>
                  <w:tcW w:w="604" w:type="dxa"/>
                  <w:vMerge w:val="restart"/>
                  <w:tcBorders>
                    <w:top w:val="single" w:color="auto" w:sz="4" w:space="0"/>
                    <w:left w:val="single" w:color="000000" w:sz="4" w:space="0"/>
                    <w:right w:val="single" w:color="auto" w:sz="4" w:space="0"/>
                  </w:tcBorders>
                  <w:noWrap/>
                  <w:vAlign w:val="center"/>
                </w:tcPr>
                <w:p w14:paraId="67F5749C">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储运工程</w:t>
                  </w:r>
                </w:p>
              </w:tc>
              <w:tc>
                <w:tcPr>
                  <w:tcW w:w="951" w:type="dxa"/>
                  <w:gridSpan w:val="2"/>
                  <w:tcBorders>
                    <w:top w:val="single" w:color="auto" w:sz="4" w:space="0"/>
                    <w:left w:val="single" w:color="auto" w:sz="4" w:space="0"/>
                    <w:bottom w:val="single" w:color="auto" w:sz="4" w:space="0"/>
                    <w:right w:val="single" w:color="auto" w:sz="4" w:space="0"/>
                  </w:tcBorders>
                  <w:noWrap/>
                  <w:vAlign w:val="center"/>
                </w:tcPr>
                <w:p w14:paraId="254E95E2">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eastAsia" w:cs="Times New Roman"/>
                      <w:color w:val="auto"/>
                      <w:sz w:val="21"/>
                      <w:szCs w:val="21"/>
                      <w:lang w:val="en-US" w:eastAsia="zh-CN"/>
                    </w:rPr>
                  </w:pPr>
                  <w:r>
                    <w:rPr>
                      <w:rFonts w:hint="eastAsia" w:cs="Times New Roman"/>
                      <w:color w:val="auto"/>
                      <w:sz w:val="21"/>
                      <w:szCs w:val="21"/>
                      <w:lang w:val="en-US" w:eastAsia="zh-CN"/>
                    </w:rPr>
                    <w:t>成品车间</w:t>
                  </w:r>
                </w:p>
              </w:tc>
              <w:tc>
                <w:tcPr>
                  <w:tcW w:w="2725" w:type="dxa"/>
                  <w:gridSpan w:val="2"/>
                  <w:tcBorders>
                    <w:top w:val="single" w:color="auto" w:sz="4" w:space="0"/>
                    <w:left w:val="single" w:color="auto" w:sz="4" w:space="0"/>
                    <w:bottom w:val="single" w:color="auto" w:sz="4" w:space="0"/>
                    <w:right w:val="single" w:color="auto" w:sz="4" w:space="0"/>
                  </w:tcBorders>
                  <w:noWrap/>
                  <w:vAlign w:val="center"/>
                </w:tcPr>
                <w:p w14:paraId="4937C4BF">
                  <w:pPr>
                    <w:keepNext w:val="0"/>
                    <w:keepLines w:val="0"/>
                    <w:pageBreakBefore w:val="0"/>
                    <w:widowControl/>
                    <w:kinsoku/>
                    <w:wordWrap/>
                    <w:overflowPunct/>
                    <w:topLinePunct w:val="0"/>
                    <w:bidi w:val="0"/>
                    <w:snapToGrid w:val="0"/>
                    <w:spacing w:before="63" w:beforeLines="20" w:after="63" w:afterLines="20"/>
                    <w:ind w:firstLine="420" w:firstLineChars="200"/>
                    <w:textAlignment w:val="bottom"/>
                    <w:rPr>
                      <w:rFonts w:hint="default"/>
                      <w:color w:val="auto"/>
                      <w:kern w:val="0"/>
                      <w:szCs w:val="21"/>
                      <w:lang w:val="en-US" w:bidi="ar"/>
                    </w:rPr>
                  </w:pPr>
                  <w:r>
                    <w:rPr>
                      <w:rFonts w:hint="eastAsia"/>
                      <w:color w:val="auto"/>
                      <w:kern w:val="0"/>
                      <w:szCs w:val="21"/>
                      <w:lang w:val="en-US" w:eastAsia="zh-CN" w:bidi="ar"/>
                    </w:rPr>
                    <w:t>成品车间高12m，占地面积为2000㎡，为三面围挡设有顶棚的钢结构厂房，用于暂存完成烧结的合格砖瓦。</w:t>
                  </w:r>
                </w:p>
              </w:tc>
              <w:tc>
                <w:tcPr>
                  <w:tcW w:w="3309" w:type="dxa"/>
                  <w:tcBorders>
                    <w:top w:val="single" w:color="auto" w:sz="4" w:space="0"/>
                    <w:left w:val="single" w:color="auto" w:sz="4" w:space="0"/>
                    <w:bottom w:val="single" w:color="auto" w:sz="4" w:space="0"/>
                    <w:right w:val="single" w:color="auto" w:sz="4" w:space="0"/>
                  </w:tcBorders>
                  <w:noWrap/>
                  <w:vAlign w:val="center"/>
                </w:tcPr>
                <w:p w14:paraId="6343B59F">
                  <w:pPr>
                    <w:pStyle w:val="9"/>
                    <w:ind w:firstLine="480" w:firstLineChars="200"/>
                    <w:rPr>
                      <w:rFonts w:hint="default"/>
                      <w:color w:val="auto"/>
                      <w:kern w:val="0"/>
                      <w:szCs w:val="21"/>
                      <w:lang w:val="en-US" w:eastAsia="zh-CN" w:bidi="ar"/>
                    </w:rPr>
                  </w:pPr>
                  <w:r>
                    <w:rPr>
                      <w:rFonts w:hint="eastAsia"/>
                      <w:lang w:val="en-US" w:eastAsia="zh-CN"/>
                    </w:rPr>
                    <w:t>依托原有成品车间。</w:t>
                  </w:r>
                </w:p>
              </w:tc>
              <w:tc>
                <w:tcPr>
                  <w:tcW w:w="595" w:type="dxa"/>
                  <w:tcBorders>
                    <w:top w:val="single" w:color="auto" w:sz="4" w:space="0"/>
                    <w:left w:val="single" w:color="auto" w:sz="4" w:space="0"/>
                    <w:bottom w:val="single" w:color="auto" w:sz="4" w:space="0"/>
                    <w:right w:val="single" w:color="auto" w:sz="4" w:space="0"/>
                  </w:tcBorders>
                  <w:noWrap/>
                  <w:vAlign w:val="center"/>
                </w:tcPr>
                <w:p w14:paraId="290595F4">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kern w:val="0"/>
                      <w:sz w:val="21"/>
                      <w:szCs w:val="21"/>
                      <w:lang w:val="en-US" w:eastAsia="zh-CN" w:bidi="ar"/>
                    </w:rPr>
                  </w:pPr>
                  <w:r>
                    <w:rPr>
                      <w:rFonts w:hint="eastAsia" w:cs="Times New Roman"/>
                      <w:color w:val="auto"/>
                      <w:sz w:val="21"/>
                      <w:szCs w:val="21"/>
                      <w:lang w:val="en-US" w:eastAsia="zh-CN"/>
                    </w:rPr>
                    <w:t>依托</w:t>
                  </w:r>
                </w:p>
              </w:tc>
            </w:tr>
            <w:tr w14:paraId="143DF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jc w:val="center"/>
              </w:trPr>
              <w:tc>
                <w:tcPr>
                  <w:tcW w:w="604" w:type="dxa"/>
                  <w:vMerge w:val="continue"/>
                  <w:tcBorders>
                    <w:left w:val="single" w:color="000000" w:sz="4" w:space="0"/>
                    <w:right w:val="single" w:color="auto" w:sz="4" w:space="0"/>
                  </w:tcBorders>
                  <w:noWrap/>
                  <w:vAlign w:val="center"/>
                </w:tcPr>
                <w:p w14:paraId="0E8E7F8A">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sz w:val="21"/>
                      <w:szCs w:val="21"/>
                    </w:rPr>
                  </w:pPr>
                </w:p>
              </w:tc>
              <w:tc>
                <w:tcPr>
                  <w:tcW w:w="95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56399A6">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陈化车间</w:t>
                  </w:r>
                </w:p>
              </w:tc>
              <w:tc>
                <w:tcPr>
                  <w:tcW w:w="272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474B57D4">
                  <w:pPr>
                    <w:keepNext w:val="0"/>
                    <w:keepLines w:val="0"/>
                    <w:pageBreakBefore w:val="0"/>
                    <w:widowControl/>
                    <w:kinsoku/>
                    <w:wordWrap/>
                    <w:overflowPunct/>
                    <w:topLinePunct w:val="0"/>
                    <w:bidi w:val="0"/>
                    <w:snapToGrid w:val="0"/>
                    <w:spacing w:before="63" w:beforeLines="20" w:after="63" w:afterLines="20"/>
                    <w:ind w:firstLine="420" w:firstLineChars="200"/>
                    <w:textAlignment w:val="bottom"/>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陈化车间</w:t>
                  </w:r>
                  <w:r>
                    <w:rPr>
                      <w:rFonts w:hint="eastAsia"/>
                      <w:color w:val="auto"/>
                      <w:kern w:val="0"/>
                      <w:szCs w:val="21"/>
                      <w:lang w:val="en-US" w:eastAsia="zh-CN" w:bidi="ar"/>
                    </w:rPr>
                    <w:t>高12m，占地面积为1150㎡，为三面围挡设有顶棚的钢结构厂房，厂房东侧设置2台搅拌机，原料</w:t>
                  </w:r>
                  <w:r>
                    <w:rPr>
                      <w:rFonts w:hint="eastAsia"/>
                      <w:color w:val="auto"/>
                      <w:lang w:val="en-US" w:eastAsia="zh-CN"/>
                    </w:rPr>
                    <w:t>通过输送系统输送至搅拌机内，进行搅拌，提高原料的均匀性，搅拌完成后的原料在车间内暂存</w:t>
                  </w:r>
                  <w:r>
                    <w:rPr>
                      <w:rFonts w:hint="eastAsia"/>
                      <w:color w:val="auto"/>
                      <w:kern w:val="0"/>
                      <w:szCs w:val="21"/>
                      <w:lang w:val="en-US" w:eastAsia="zh-CN" w:bidi="ar"/>
                    </w:rPr>
                    <w:t>，使原料</w:t>
                  </w:r>
                  <w:r>
                    <w:rPr>
                      <w:rFonts w:hint="eastAsia"/>
                      <w:color w:val="auto"/>
                      <w:sz w:val="21"/>
                      <w:szCs w:val="21"/>
                      <w:highlight w:val="none"/>
                      <w:lang w:val="en-US" w:eastAsia="zh-CN"/>
                    </w:rPr>
                    <w:t>水分均化，提高可塑性</w:t>
                  </w:r>
                  <w:r>
                    <w:rPr>
                      <w:color w:val="auto"/>
                      <w:kern w:val="0"/>
                      <w:szCs w:val="21"/>
                      <w:lang w:bidi="ar"/>
                    </w:rPr>
                    <w:t>。</w:t>
                  </w:r>
                </w:p>
              </w:tc>
              <w:tc>
                <w:tcPr>
                  <w:tcW w:w="33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145DAC">
                  <w:pPr>
                    <w:keepNext w:val="0"/>
                    <w:keepLines w:val="0"/>
                    <w:pageBreakBefore w:val="0"/>
                    <w:widowControl/>
                    <w:kinsoku/>
                    <w:wordWrap/>
                    <w:overflowPunct/>
                    <w:topLinePunct w:val="0"/>
                    <w:bidi w:val="0"/>
                    <w:snapToGrid w:val="0"/>
                    <w:spacing w:before="63" w:beforeLines="20" w:after="63" w:afterLines="20"/>
                    <w:ind w:firstLine="420" w:firstLineChars="200"/>
                    <w:jc w:val="left"/>
                    <w:textAlignment w:val="bottom"/>
                    <w:rPr>
                      <w:rFonts w:hint="eastAsia" w:cs="Times New Roman"/>
                      <w:color w:val="auto"/>
                      <w:kern w:val="0"/>
                      <w:sz w:val="21"/>
                      <w:szCs w:val="21"/>
                      <w:lang w:val="en-US" w:eastAsia="zh-CN" w:bidi="ar"/>
                    </w:rPr>
                  </w:pPr>
                  <w:r>
                    <w:rPr>
                      <w:rFonts w:hint="eastAsia"/>
                      <w:color w:val="auto"/>
                      <w:kern w:val="0"/>
                      <w:szCs w:val="21"/>
                      <w:lang w:val="en-US" w:eastAsia="zh-CN" w:bidi="ar"/>
                    </w:rPr>
                    <w:t>依托现有陈化车间，将现有地面进行防渗，参</w:t>
                  </w:r>
                  <w:r>
                    <w:rPr>
                      <w:rFonts w:hint="eastAsia" w:cs="Times New Roman"/>
                      <w:color w:val="auto"/>
                      <w:kern w:val="24"/>
                      <w:sz w:val="21"/>
                      <w:szCs w:val="21"/>
                      <w:lang w:val="en-US" w:eastAsia="zh-CN"/>
                    </w:rPr>
                    <w:t>考</w:t>
                  </w:r>
                  <w:r>
                    <w:rPr>
                      <w:rFonts w:hint="eastAsia" w:ascii="Times New Roman" w:hAnsi="Times New Roman" w:eastAsia="宋体" w:cs="Times New Roman"/>
                      <w:bCs/>
                      <w:color w:val="auto"/>
                      <w:sz w:val="21"/>
                      <w:szCs w:val="21"/>
                    </w:rPr>
                    <w:t>《地下水环境影响评价导则》（HJ610-2016）</w:t>
                  </w:r>
                  <w:r>
                    <w:rPr>
                      <w:rFonts w:hint="eastAsia" w:ascii="Times New Roman" w:hAnsi="Times New Roman" w:eastAsia="宋体" w:cs="Times New Roman"/>
                      <w:bCs/>
                      <w:color w:val="auto"/>
                      <w:sz w:val="21"/>
                      <w:szCs w:val="21"/>
                      <w:lang w:val="en-US" w:eastAsia="zh-CN"/>
                    </w:rPr>
                    <w:t>执行</w:t>
                  </w:r>
                  <w:r>
                    <w:rPr>
                      <w:rFonts w:ascii="Times New Roman" w:hAnsi="Times New Roman" w:eastAsia="宋体" w:cs="Times New Roman"/>
                      <w:color w:val="auto"/>
                      <w:kern w:val="24"/>
                      <w:sz w:val="21"/>
                      <w:szCs w:val="21"/>
                    </w:rPr>
                    <w:t>等效黏土防渗层Mb≥</w:t>
                  </w:r>
                  <w:r>
                    <w:rPr>
                      <w:rFonts w:hint="eastAsia" w:ascii="Times New Roman" w:hAnsi="Times New Roman" w:eastAsia="宋体" w:cs="Times New Roman"/>
                      <w:color w:val="auto"/>
                      <w:kern w:val="24"/>
                      <w:sz w:val="21"/>
                      <w:szCs w:val="21"/>
                      <w:lang w:val="en-US" w:eastAsia="zh-CN"/>
                    </w:rPr>
                    <w:t>6.0</w:t>
                  </w:r>
                  <w:r>
                    <w:rPr>
                      <w:rFonts w:ascii="Times New Roman" w:hAnsi="Times New Roman" w:eastAsia="宋体" w:cs="Times New Roman"/>
                      <w:color w:val="auto"/>
                      <w:kern w:val="24"/>
                      <w:sz w:val="21"/>
                      <w:szCs w:val="21"/>
                    </w:rPr>
                    <w:t>m，渗透系数K≤1.0×10</w:t>
                  </w:r>
                  <w:r>
                    <w:rPr>
                      <w:rFonts w:ascii="Times New Roman" w:hAnsi="Times New Roman" w:eastAsia="宋体" w:cs="Times New Roman"/>
                      <w:color w:val="auto"/>
                      <w:kern w:val="24"/>
                      <w:sz w:val="21"/>
                      <w:szCs w:val="21"/>
                      <w:vertAlign w:val="superscript"/>
                    </w:rPr>
                    <w:t>-7</w:t>
                  </w:r>
                  <w:r>
                    <w:rPr>
                      <w:rFonts w:ascii="Times New Roman" w:hAnsi="Times New Roman" w:eastAsia="宋体" w:cs="Times New Roman"/>
                      <w:color w:val="auto"/>
                      <w:kern w:val="24"/>
                      <w:sz w:val="21"/>
                      <w:szCs w:val="21"/>
                    </w:rPr>
                    <w:t>cm/s</w:t>
                  </w:r>
                  <w:r>
                    <w:rPr>
                      <w:rFonts w:hint="default" w:ascii="Times New Roman" w:hAnsi="Times New Roman" w:eastAsia="宋体" w:cs="Times New Roman"/>
                      <w:b w:val="0"/>
                      <w:bCs w:val="0"/>
                      <w:color w:val="auto"/>
                      <w:sz w:val="21"/>
                      <w:szCs w:val="21"/>
                      <w:highlight w:val="none"/>
                      <w:lang w:val="en-US" w:eastAsia="zh-CN"/>
                    </w:rPr>
                    <w:t>的防渗能力</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在混凝土场地防渗基础上，再铺设一层</w:t>
                  </w:r>
                  <w:r>
                    <w:rPr>
                      <w:rFonts w:hint="eastAsia" w:cs="Times New Roman"/>
                      <w:b w:val="0"/>
                      <w:bCs w:val="0"/>
                      <w:color w:val="auto"/>
                      <w:sz w:val="21"/>
                      <w:szCs w:val="21"/>
                      <w:highlight w:val="none"/>
                      <w:lang w:val="en-US" w:eastAsia="zh-CN"/>
                    </w:rPr>
                    <w:t>厚度不低2mmHDPE人工防渗层</w:t>
                  </w:r>
                  <w:r>
                    <w:rPr>
                      <w:rFonts w:hint="default" w:ascii="Times New Roman" w:hAnsi="Times New Roman" w:eastAsia="宋体" w:cs="Times New Roman"/>
                      <w:b w:val="0"/>
                      <w:bCs w:val="0"/>
                      <w:color w:val="auto"/>
                      <w:sz w:val="21"/>
                      <w:szCs w:val="21"/>
                      <w:highlight w:val="none"/>
                      <w:lang w:val="en-US" w:eastAsia="zh-CN"/>
                    </w:rPr>
                    <w:t>，确保重点防渗区地面防渗能力</w:t>
                  </w:r>
                  <w:r>
                    <w:rPr>
                      <w:rFonts w:hint="eastAsia" w:cs="Times New Roman"/>
                      <w:b w:val="0"/>
                      <w:bCs w:val="0"/>
                      <w:color w:val="auto"/>
                      <w:sz w:val="21"/>
                      <w:szCs w:val="21"/>
                      <w:highlight w:val="none"/>
                      <w:lang w:val="en-US" w:eastAsia="zh-CN"/>
                    </w:rPr>
                    <w:t>。</w:t>
                  </w:r>
                </w:p>
              </w:tc>
              <w:tc>
                <w:tcPr>
                  <w:tcW w:w="5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EBE1A0">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kern w:val="0"/>
                      <w:sz w:val="21"/>
                      <w:szCs w:val="21"/>
                      <w:lang w:val="en-US" w:eastAsia="zh-CN" w:bidi="ar"/>
                    </w:rPr>
                  </w:pPr>
                  <w:r>
                    <w:rPr>
                      <w:rFonts w:hint="eastAsia" w:cs="Times New Roman"/>
                      <w:color w:val="auto"/>
                      <w:sz w:val="21"/>
                      <w:szCs w:val="21"/>
                      <w:lang w:val="en-US" w:eastAsia="zh-CN"/>
                    </w:rPr>
                    <w:t>改建</w:t>
                  </w:r>
                </w:p>
              </w:tc>
            </w:tr>
            <w:tr w14:paraId="058F8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jc w:val="center"/>
              </w:trPr>
              <w:tc>
                <w:tcPr>
                  <w:tcW w:w="604" w:type="dxa"/>
                  <w:vMerge w:val="continue"/>
                  <w:tcBorders>
                    <w:left w:val="single" w:color="000000" w:sz="4" w:space="0"/>
                    <w:right w:val="single" w:color="auto" w:sz="4" w:space="0"/>
                  </w:tcBorders>
                  <w:noWrap/>
                  <w:vAlign w:val="center"/>
                </w:tcPr>
                <w:p w14:paraId="748E9631">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sz w:val="21"/>
                      <w:szCs w:val="21"/>
                    </w:rPr>
                  </w:pPr>
                </w:p>
              </w:tc>
              <w:tc>
                <w:tcPr>
                  <w:tcW w:w="95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778954D2">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原煤车间</w:t>
                  </w:r>
                </w:p>
              </w:tc>
              <w:tc>
                <w:tcPr>
                  <w:tcW w:w="2725"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2EA6DC0B">
                  <w:pPr>
                    <w:keepNext w:val="0"/>
                    <w:keepLines w:val="0"/>
                    <w:pageBreakBefore w:val="0"/>
                    <w:widowControl/>
                    <w:kinsoku/>
                    <w:wordWrap/>
                    <w:overflowPunct/>
                    <w:topLinePunct w:val="0"/>
                    <w:bidi w:val="0"/>
                    <w:snapToGrid w:val="0"/>
                    <w:spacing w:before="63" w:beforeLines="20" w:after="63" w:afterLines="20"/>
                    <w:ind w:firstLine="420" w:firstLineChars="200"/>
                    <w:textAlignment w:val="bottom"/>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无。</w:t>
                  </w:r>
                </w:p>
              </w:tc>
              <w:tc>
                <w:tcPr>
                  <w:tcW w:w="330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E46BE0">
                  <w:pPr>
                    <w:keepNext w:val="0"/>
                    <w:keepLines w:val="0"/>
                    <w:pageBreakBefore w:val="0"/>
                    <w:widowControl/>
                    <w:kinsoku/>
                    <w:wordWrap/>
                    <w:overflowPunct/>
                    <w:topLinePunct w:val="0"/>
                    <w:bidi w:val="0"/>
                    <w:snapToGrid w:val="0"/>
                    <w:spacing w:before="63" w:beforeLines="20" w:after="63" w:afterLines="20"/>
                    <w:ind w:firstLine="420" w:firstLineChars="200"/>
                    <w:jc w:val="left"/>
                    <w:textAlignment w:val="bottom"/>
                    <w:rPr>
                      <w:rFonts w:hint="eastAsia" w:cs="Times New Roman"/>
                      <w:color w:val="auto"/>
                      <w:kern w:val="0"/>
                      <w:sz w:val="21"/>
                      <w:szCs w:val="21"/>
                      <w:lang w:val="en-US" w:eastAsia="zh-CN" w:bidi="ar"/>
                    </w:rPr>
                  </w:pPr>
                  <w:r>
                    <w:rPr>
                      <w:rFonts w:hint="eastAsia" w:cs="Times New Roman"/>
                      <w:color w:val="auto"/>
                      <w:kern w:val="0"/>
                      <w:sz w:val="21"/>
                      <w:szCs w:val="21"/>
                      <w:lang w:val="en-US" w:eastAsia="zh-CN" w:bidi="ar"/>
                    </w:rPr>
                    <w:t>位于烧成车间内部，占地面积40㎡。</w:t>
                  </w:r>
                </w:p>
              </w:tc>
              <w:tc>
                <w:tcPr>
                  <w:tcW w:w="59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F0FE46">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cs="Times New Roman"/>
                      <w:color w:val="auto"/>
                      <w:sz w:val="21"/>
                      <w:szCs w:val="21"/>
                      <w:lang w:val="en-US" w:eastAsia="zh-CN"/>
                    </w:rPr>
                  </w:pPr>
                  <w:r>
                    <w:rPr>
                      <w:rFonts w:hint="eastAsia" w:cs="Times New Roman"/>
                      <w:color w:val="auto"/>
                      <w:sz w:val="21"/>
                      <w:szCs w:val="21"/>
                      <w:lang w:val="en-US" w:eastAsia="zh-CN"/>
                    </w:rPr>
                    <w:t>新建</w:t>
                  </w:r>
                </w:p>
              </w:tc>
            </w:tr>
            <w:tr w14:paraId="4F38B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1" w:hRule="atLeast"/>
                <w:jc w:val="center"/>
              </w:trPr>
              <w:tc>
                <w:tcPr>
                  <w:tcW w:w="604" w:type="dxa"/>
                  <w:vMerge w:val="continue"/>
                  <w:tcBorders>
                    <w:left w:val="single" w:color="000000" w:sz="4" w:space="0"/>
                    <w:bottom w:val="single" w:color="000000" w:sz="4" w:space="0"/>
                    <w:right w:val="single" w:color="auto" w:sz="4" w:space="0"/>
                  </w:tcBorders>
                  <w:noWrap/>
                  <w:vAlign w:val="center"/>
                </w:tcPr>
                <w:p w14:paraId="4A40F724">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kern w:val="0"/>
                      <w:sz w:val="21"/>
                      <w:szCs w:val="21"/>
                      <w:lang w:val="en-US" w:eastAsia="zh-CN" w:bidi="ar"/>
                    </w:rPr>
                  </w:pPr>
                </w:p>
              </w:tc>
              <w:tc>
                <w:tcPr>
                  <w:tcW w:w="951" w:type="dxa"/>
                  <w:gridSpan w:val="2"/>
                  <w:tcBorders>
                    <w:top w:val="single" w:color="auto" w:sz="4" w:space="0"/>
                    <w:left w:val="single" w:color="auto" w:sz="4" w:space="0"/>
                    <w:bottom w:val="single" w:color="auto" w:sz="4" w:space="0"/>
                    <w:right w:val="single" w:color="auto" w:sz="4" w:space="0"/>
                  </w:tcBorders>
                  <w:noWrap/>
                  <w:vAlign w:val="center"/>
                </w:tcPr>
                <w:p w14:paraId="5BCD73B9">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原料车间</w:t>
                  </w:r>
                </w:p>
              </w:tc>
              <w:tc>
                <w:tcPr>
                  <w:tcW w:w="2725" w:type="dxa"/>
                  <w:gridSpan w:val="2"/>
                  <w:tcBorders>
                    <w:top w:val="single" w:color="auto" w:sz="4" w:space="0"/>
                    <w:left w:val="single" w:color="auto" w:sz="4" w:space="0"/>
                    <w:bottom w:val="single" w:color="auto" w:sz="4" w:space="0"/>
                    <w:right w:val="single" w:color="auto" w:sz="4" w:space="0"/>
                  </w:tcBorders>
                  <w:noWrap/>
                  <w:vAlign w:val="center"/>
                </w:tcPr>
                <w:p w14:paraId="66EA66E8">
                  <w:pPr>
                    <w:keepNext w:val="0"/>
                    <w:keepLines w:val="0"/>
                    <w:pageBreakBefore w:val="0"/>
                    <w:widowControl/>
                    <w:kinsoku/>
                    <w:wordWrap/>
                    <w:overflowPunct/>
                    <w:topLinePunct w:val="0"/>
                    <w:bidi w:val="0"/>
                    <w:snapToGrid w:val="0"/>
                    <w:spacing w:before="63" w:beforeLines="20" w:after="63" w:afterLines="20"/>
                    <w:ind w:firstLine="420" w:firstLineChars="200"/>
                    <w:textAlignment w:val="bottom"/>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原料车间</w:t>
                  </w:r>
                  <w:r>
                    <w:rPr>
                      <w:rFonts w:hint="eastAsia"/>
                      <w:color w:val="auto"/>
                      <w:kern w:val="0"/>
                      <w:szCs w:val="21"/>
                      <w:lang w:val="en-US" w:eastAsia="zh-CN" w:bidi="ar"/>
                    </w:rPr>
                    <w:t>高12m，占地面积为405㎡，为三面围挡设有顶棚的钢结构厂房，主要用于暂存原料</w:t>
                  </w:r>
                  <w:r>
                    <w:rPr>
                      <w:rFonts w:hint="eastAsia" w:cs="Times New Roman"/>
                      <w:color w:val="auto"/>
                      <w:kern w:val="0"/>
                      <w:sz w:val="21"/>
                      <w:szCs w:val="21"/>
                      <w:lang w:val="en-US" w:eastAsia="zh-CN" w:bidi="ar"/>
                    </w:rPr>
                    <w:t>。</w:t>
                  </w:r>
                </w:p>
              </w:tc>
              <w:tc>
                <w:tcPr>
                  <w:tcW w:w="3309" w:type="dxa"/>
                  <w:tcBorders>
                    <w:top w:val="single" w:color="auto" w:sz="4" w:space="0"/>
                    <w:left w:val="single" w:color="auto" w:sz="4" w:space="0"/>
                    <w:bottom w:val="single" w:color="auto" w:sz="4" w:space="0"/>
                    <w:right w:val="single" w:color="auto" w:sz="4" w:space="0"/>
                  </w:tcBorders>
                  <w:noWrap/>
                  <w:vAlign w:val="center"/>
                </w:tcPr>
                <w:p w14:paraId="2B361C02">
                  <w:pPr>
                    <w:keepNext w:val="0"/>
                    <w:keepLines w:val="0"/>
                    <w:pageBreakBefore w:val="0"/>
                    <w:widowControl/>
                    <w:kinsoku/>
                    <w:wordWrap/>
                    <w:overflowPunct/>
                    <w:topLinePunct w:val="0"/>
                    <w:bidi w:val="0"/>
                    <w:snapToGrid w:val="0"/>
                    <w:spacing w:before="63" w:beforeLines="20" w:after="63" w:afterLines="20"/>
                    <w:ind w:firstLine="420" w:firstLineChars="200"/>
                    <w:jc w:val="left"/>
                    <w:textAlignment w:val="bottom"/>
                    <w:rPr>
                      <w:rFonts w:hint="eastAsia" w:cs="Times New Roman"/>
                      <w:color w:val="auto"/>
                      <w:kern w:val="0"/>
                      <w:sz w:val="21"/>
                      <w:szCs w:val="21"/>
                      <w:lang w:val="en-US" w:eastAsia="zh-CN" w:bidi="ar"/>
                    </w:rPr>
                  </w:pPr>
                  <w:r>
                    <w:rPr>
                      <w:rFonts w:hint="eastAsia"/>
                      <w:color w:val="auto"/>
                      <w:kern w:val="0"/>
                      <w:szCs w:val="21"/>
                      <w:lang w:val="en-US" w:eastAsia="zh-CN" w:bidi="ar"/>
                    </w:rPr>
                    <w:t>依托现有原料车间，将现有地面进行防渗，参</w:t>
                  </w:r>
                  <w:r>
                    <w:rPr>
                      <w:rFonts w:hint="eastAsia" w:cs="Times New Roman"/>
                      <w:color w:val="auto"/>
                      <w:kern w:val="24"/>
                      <w:sz w:val="21"/>
                      <w:szCs w:val="21"/>
                      <w:lang w:val="en-US" w:eastAsia="zh-CN"/>
                    </w:rPr>
                    <w:t>考</w:t>
                  </w:r>
                  <w:r>
                    <w:rPr>
                      <w:rFonts w:hint="eastAsia" w:ascii="Times New Roman" w:hAnsi="Times New Roman" w:eastAsia="宋体" w:cs="Times New Roman"/>
                      <w:bCs/>
                      <w:color w:val="auto"/>
                      <w:sz w:val="21"/>
                      <w:szCs w:val="21"/>
                    </w:rPr>
                    <w:t>《地下水环境影响评价导则》（HJ610-2016）</w:t>
                  </w:r>
                  <w:r>
                    <w:rPr>
                      <w:rFonts w:hint="eastAsia" w:ascii="Times New Roman" w:hAnsi="Times New Roman" w:eastAsia="宋体" w:cs="Times New Roman"/>
                      <w:bCs/>
                      <w:color w:val="auto"/>
                      <w:sz w:val="21"/>
                      <w:szCs w:val="21"/>
                      <w:lang w:val="en-US" w:eastAsia="zh-CN"/>
                    </w:rPr>
                    <w:t>执行</w:t>
                  </w:r>
                  <w:r>
                    <w:rPr>
                      <w:rFonts w:ascii="Times New Roman" w:hAnsi="Times New Roman" w:eastAsia="宋体" w:cs="Times New Roman"/>
                      <w:color w:val="auto"/>
                      <w:kern w:val="24"/>
                      <w:sz w:val="21"/>
                      <w:szCs w:val="21"/>
                    </w:rPr>
                    <w:t>等效黏土防渗层Mb≥</w:t>
                  </w:r>
                  <w:r>
                    <w:rPr>
                      <w:rFonts w:hint="eastAsia" w:ascii="Times New Roman" w:hAnsi="Times New Roman" w:eastAsia="宋体" w:cs="Times New Roman"/>
                      <w:color w:val="auto"/>
                      <w:kern w:val="24"/>
                      <w:sz w:val="21"/>
                      <w:szCs w:val="21"/>
                      <w:lang w:val="en-US" w:eastAsia="zh-CN"/>
                    </w:rPr>
                    <w:t>6.0</w:t>
                  </w:r>
                  <w:r>
                    <w:rPr>
                      <w:rFonts w:ascii="Times New Roman" w:hAnsi="Times New Roman" w:eastAsia="宋体" w:cs="Times New Roman"/>
                      <w:color w:val="auto"/>
                      <w:kern w:val="24"/>
                      <w:sz w:val="21"/>
                      <w:szCs w:val="21"/>
                    </w:rPr>
                    <w:t>m，渗透系</w:t>
                  </w:r>
                  <w:r>
                    <w:rPr>
                      <w:rFonts w:hint="eastAsia" w:cs="Times New Roman"/>
                      <w:color w:val="auto"/>
                      <w:kern w:val="24"/>
                      <w:sz w:val="21"/>
                      <w:szCs w:val="21"/>
                      <w:lang w:val="en-US" w:eastAsia="zh-CN"/>
                    </w:rPr>
                    <w:t>数</w:t>
                  </w:r>
                  <w:r>
                    <w:rPr>
                      <w:rFonts w:ascii="Times New Roman" w:hAnsi="Times New Roman" w:eastAsia="宋体" w:cs="Times New Roman"/>
                      <w:color w:val="auto"/>
                      <w:kern w:val="24"/>
                      <w:sz w:val="21"/>
                      <w:szCs w:val="21"/>
                    </w:rPr>
                    <w:t>K≤1.0×10</w:t>
                  </w:r>
                  <w:r>
                    <w:rPr>
                      <w:rFonts w:ascii="Times New Roman" w:hAnsi="Times New Roman" w:eastAsia="宋体" w:cs="Times New Roman"/>
                      <w:color w:val="auto"/>
                      <w:kern w:val="24"/>
                      <w:sz w:val="21"/>
                      <w:szCs w:val="21"/>
                      <w:vertAlign w:val="superscript"/>
                    </w:rPr>
                    <w:t>-7</w:t>
                  </w:r>
                  <w:r>
                    <w:rPr>
                      <w:rFonts w:ascii="Times New Roman" w:hAnsi="Times New Roman" w:eastAsia="宋体" w:cs="Times New Roman"/>
                      <w:color w:val="auto"/>
                      <w:kern w:val="24"/>
                      <w:sz w:val="21"/>
                      <w:szCs w:val="21"/>
                    </w:rPr>
                    <w:t>cm/s</w:t>
                  </w:r>
                  <w:r>
                    <w:rPr>
                      <w:rFonts w:hint="default" w:ascii="Times New Roman" w:hAnsi="Times New Roman" w:eastAsia="宋体" w:cs="Times New Roman"/>
                      <w:b w:val="0"/>
                      <w:bCs w:val="0"/>
                      <w:color w:val="auto"/>
                      <w:sz w:val="21"/>
                      <w:szCs w:val="21"/>
                      <w:highlight w:val="none"/>
                      <w:lang w:val="en-US" w:eastAsia="zh-CN"/>
                    </w:rPr>
                    <w:t>的防渗</w:t>
                  </w:r>
                  <w:r>
                    <w:rPr>
                      <w:rFonts w:hint="eastAsia" w:cs="Times New Roman"/>
                      <w:b w:val="0"/>
                      <w:bCs w:val="0"/>
                      <w:color w:val="auto"/>
                      <w:sz w:val="21"/>
                      <w:szCs w:val="21"/>
                      <w:highlight w:val="none"/>
                      <w:lang w:val="en-US" w:eastAsia="zh-CN"/>
                    </w:rPr>
                    <w:t>能</w:t>
                  </w:r>
                  <w:r>
                    <w:rPr>
                      <w:rFonts w:hint="default" w:ascii="Times New Roman" w:hAnsi="Times New Roman" w:eastAsia="宋体" w:cs="Times New Roman"/>
                      <w:b w:val="0"/>
                      <w:bCs w:val="0"/>
                      <w:color w:val="auto"/>
                      <w:sz w:val="21"/>
                      <w:szCs w:val="21"/>
                      <w:highlight w:val="none"/>
                      <w:lang w:val="en-US" w:eastAsia="zh-CN"/>
                    </w:rPr>
                    <w:t>力</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在混凝土场地防渗基础上</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再铺设一层</w:t>
                  </w:r>
                  <w:r>
                    <w:rPr>
                      <w:rFonts w:hint="eastAsia" w:cs="Times New Roman"/>
                      <w:b w:val="0"/>
                      <w:bCs w:val="0"/>
                      <w:color w:val="auto"/>
                      <w:sz w:val="21"/>
                      <w:szCs w:val="21"/>
                      <w:highlight w:val="none"/>
                      <w:lang w:val="en-US" w:eastAsia="zh-CN"/>
                    </w:rPr>
                    <w:t>厚度不低2mmHDPE人工防渗层</w:t>
                  </w:r>
                  <w:r>
                    <w:rPr>
                      <w:rFonts w:hint="default" w:ascii="Times New Roman" w:hAnsi="Times New Roman" w:eastAsia="宋体" w:cs="Times New Roman"/>
                      <w:b w:val="0"/>
                      <w:bCs w:val="0"/>
                      <w:color w:val="auto"/>
                      <w:sz w:val="21"/>
                      <w:szCs w:val="21"/>
                      <w:highlight w:val="none"/>
                      <w:lang w:val="en-US" w:eastAsia="zh-CN"/>
                    </w:rPr>
                    <w:t>，确保重点防渗区地面防渗能力</w:t>
                  </w:r>
                  <w:r>
                    <w:rPr>
                      <w:rFonts w:hint="eastAsia" w:cs="Times New Roman"/>
                      <w:color w:val="auto"/>
                      <w:kern w:val="0"/>
                      <w:sz w:val="21"/>
                      <w:szCs w:val="21"/>
                      <w:lang w:val="en-US" w:eastAsia="zh-CN" w:bidi="ar"/>
                    </w:rPr>
                    <w:t>。</w:t>
                  </w:r>
                </w:p>
              </w:tc>
              <w:tc>
                <w:tcPr>
                  <w:tcW w:w="595" w:type="dxa"/>
                  <w:tcBorders>
                    <w:top w:val="single" w:color="auto" w:sz="4" w:space="0"/>
                    <w:left w:val="single" w:color="auto" w:sz="4" w:space="0"/>
                    <w:bottom w:val="single" w:color="auto" w:sz="4" w:space="0"/>
                    <w:right w:val="single" w:color="auto" w:sz="4" w:space="0"/>
                  </w:tcBorders>
                  <w:noWrap/>
                  <w:vAlign w:val="center"/>
                </w:tcPr>
                <w:p w14:paraId="32EC34F5">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kern w:val="0"/>
                      <w:sz w:val="21"/>
                      <w:szCs w:val="21"/>
                      <w:lang w:val="en-US" w:eastAsia="zh-CN" w:bidi="ar"/>
                    </w:rPr>
                  </w:pPr>
                  <w:r>
                    <w:rPr>
                      <w:rFonts w:hint="eastAsia" w:cs="Times New Roman"/>
                      <w:color w:val="auto"/>
                      <w:sz w:val="21"/>
                      <w:szCs w:val="21"/>
                      <w:lang w:val="en-US" w:eastAsia="zh-CN"/>
                    </w:rPr>
                    <w:t>改建</w:t>
                  </w:r>
                </w:p>
              </w:tc>
            </w:tr>
            <w:tr w14:paraId="65FBD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90" w:hRule="atLeast"/>
                <w:jc w:val="center"/>
              </w:trPr>
              <w:tc>
                <w:tcPr>
                  <w:tcW w:w="604" w:type="dxa"/>
                  <w:vMerge w:val="restart"/>
                  <w:tcBorders>
                    <w:top w:val="single" w:color="000000" w:sz="4" w:space="0"/>
                    <w:left w:val="single" w:color="000000" w:sz="4" w:space="0"/>
                    <w:bottom w:val="single" w:color="000000" w:sz="4" w:space="0"/>
                    <w:right w:val="single" w:color="000000" w:sz="4" w:space="0"/>
                  </w:tcBorders>
                  <w:noWrap/>
                  <w:vAlign w:val="center"/>
                </w:tcPr>
                <w:p w14:paraId="3184C271">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公用</w:t>
                  </w:r>
                </w:p>
                <w:p w14:paraId="7BA1506C">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工程</w:t>
                  </w:r>
                </w:p>
              </w:tc>
              <w:tc>
                <w:tcPr>
                  <w:tcW w:w="951" w:type="dxa"/>
                  <w:gridSpan w:val="2"/>
                  <w:tcBorders>
                    <w:top w:val="single" w:color="auto" w:sz="4" w:space="0"/>
                    <w:left w:val="single" w:color="000000" w:sz="4" w:space="0"/>
                    <w:bottom w:val="single" w:color="000000" w:sz="4" w:space="0"/>
                    <w:right w:val="single" w:color="000000" w:sz="4" w:space="0"/>
                  </w:tcBorders>
                  <w:noWrap/>
                  <w:vAlign w:val="center"/>
                </w:tcPr>
                <w:p w14:paraId="5FE62EB7">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sz w:val="21"/>
                      <w:szCs w:val="21"/>
                    </w:rPr>
                  </w:pPr>
                  <w:r>
                    <w:rPr>
                      <w:rFonts w:hint="eastAsia" w:cs="Times New Roman"/>
                      <w:color w:val="auto"/>
                      <w:kern w:val="0"/>
                      <w:sz w:val="21"/>
                      <w:szCs w:val="21"/>
                      <w:lang w:val="en-US" w:eastAsia="zh-CN" w:bidi="ar"/>
                    </w:rPr>
                    <w:t>配电室</w:t>
                  </w:r>
                </w:p>
              </w:tc>
              <w:tc>
                <w:tcPr>
                  <w:tcW w:w="2725" w:type="dxa"/>
                  <w:gridSpan w:val="2"/>
                  <w:tcBorders>
                    <w:top w:val="single" w:color="auto" w:sz="4" w:space="0"/>
                    <w:left w:val="single" w:color="000000" w:sz="4" w:space="0"/>
                    <w:bottom w:val="single" w:color="000000" w:sz="4" w:space="0"/>
                    <w:right w:val="single" w:color="000000" w:sz="4" w:space="0"/>
                  </w:tcBorders>
                  <w:noWrap/>
                  <w:vAlign w:val="center"/>
                </w:tcPr>
                <w:p w14:paraId="1CD230D4">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ind w:firstLine="420" w:firstLineChars="200"/>
                    <w:jc w:val="both"/>
                    <w:textAlignment w:val="bottom"/>
                    <w:rPr>
                      <w:rFonts w:hint="default" w:ascii="Times New Roman" w:hAnsi="Times New Roman" w:eastAsia="宋体" w:cs="Times New Roman"/>
                      <w:color w:val="auto"/>
                      <w:sz w:val="21"/>
                      <w:szCs w:val="21"/>
                    </w:rPr>
                  </w:pPr>
                  <w:r>
                    <w:rPr>
                      <w:rFonts w:hint="eastAsia" w:cs="Times New Roman"/>
                      <w:color w:val="auto"/>
                      <w:kern w:val="0"/>
                      <w:sz w:val="21"/>
                      <w:szCs w:val="21"/>
                      <w:lang w:val="en-US" w:eastAsia="zh-CN" w:bidi="ar"/>
                    </w:rPr>
                    <w:t>设置</w:t>
                  </w:r>
                  <w:r>
                    <w:rPr>
                      <w:rFonts w:hint="default" w:ascii="Times New Roman" w:hAnsi="Times New Roman" w:eastAsia="宋体" w:cs="Times New Roman"/>
                      <w:color w:val="auto"/>
                      <w:kern w:val="0"/>
                      <w:sz w:val="21"/>
                      <w:szCs w:val="21"/>
                      <w:lang w:val="en-US" w:eastAsia="zh-CN" w:bidi="ar"/>
                    </w:rPr>
                    <w:t>20㎡的配电室，</w:t>
                  </w:r>
                  <w:r>
                    <w:rPr>
                      <w:rFonts w:hint="eastAsia" w:cs="Times New Roman"/>
                      <w:color w:val="auto"/>
                      <w:kern w:val="0"/>
                      <w:sz w:val="21"/>
                      <w:szCs w:val="21"/>
                      <w:lang w:val="en-US" w:eastAsia="zh-CN" w:bidi="ar"/>
                    </w:rPr>
                    <w:t>从附近变压器</w:t>
                  </w:r>
                  <w:r>
                    <w:rPr>
                      <w:rFonts w:hint="default" w:ascii="Times New Roman" w:hAnsi="Times New Roman" w:eastAsia="宋体" w:cs="Times New Roman"/>
                      <w:color w:val="auto"/>
                      <w:kern w:val="0"/>
                      <w:sz w:val="21"/>
                      <w:szCs w:val="21"/>
                      <w:lang w:val="en-US" w:eastAsia="zh-CN" w:bidi="ar"/>
                    </w:rPr>
                    <w:t>接线，电力由当地市政供电系统供给。</w:t>
                  </w:r>
                </w:p>
              </w:tc>
              <w:tc>
                <w:tcPr>
                  <w:tcW w:w="3309" w:type="dxa"/>
                  <w:tcBorders>
                    <w:top w:val="single" w:color="auto" w:sz="4" w:space="0"/>
                    <w:left w:val="single" w:color="000000" w:sz="4" w:space="0"/>
                    <w:bottom w:val="single" w:color="000000" w:sz="4" w:space="0"/>
                    <w:right w:val="single" w:color="000000" w:sz="4" w:space="0"/>
                  </w:tcBorders>
                  <w:noWrap/>
                  <w:vAlign w:val="center"/>
                </w:tcPr>
                <w:p w14:paraId="57FBF39B">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ind w:firstLine="420" w:firstLineChars="200"/>
                    <w:jc w:val="both"/>
                    <w:textAlignment w:val="bottom"/>
                    <w:rPr>
                      <w:rFonts w:hint="eastAsia" w:cs="Times New Roman"/>
                      <w:color w:val="auto"/>
                      <w:kern w:val="0"/>
                      <w:sz w:val="21"/>
                      <w:szCs w:val="21"/>
                      <w:lang w:val="en-US" w:eastAsia="zh-CN" w:bidi="ar"/>
                    </w:rPr>
                  </w:pPr>
                  <w:r>
                    <w:rPr>
                      <w:rFonts w:hint="eastAsia"/>
                      <w:lang w:val="en-US" w:eastAsia="zh-CN"/>
                    </w:rPr>
                    <w:t>依托原有</w:t>
                  </w:r>
                  <w:r>
                    <w:rPr>
                      <w:rFonts w:hint="eastAsia" w:cs="Times New Roman"/>
                      <w:color w:val="auto"/>
                      <w:kern w:val="0"/>
                      <w:sz w:val="21"/>
                      <w:szCs w:val="21"/>
                      <w:lang w:val="en-US" w:eastAsia="zh-CN" w:bidi="ar"/>
                    </w:rPr>
                    <w:t>配电室</w:t>
                  </w:r>
                  <w:r>
                    <w:rPr>
                      <w:rFonts w:hint="default" w:ascii="Times New Roman" w:hAnsi="Times New Roman" w:eastAsia="宋体" w:cs="Times New Roman"/>
                      <w:color w:val="auto"/>
                      <w:kern w:val="0"/>
                      <w:sz w:val="21"/>
                      <w:szCs w:val="21"/>
                      <w:lang w:val="en-US" w:eastAsia="zh-CN" w:bidi="ar"/>
                    </w:rPr>
                    <w:t>。</w:t>
                  </w:r>
                </w:p>
              </w:tc>
              <w:tc>
                <w:tcPr>
                  <w:tcW w:w="595" w:type="dxa"/>
                  <w:tcBorders>
                    <w:top w:val="single" w:color="auto" w:sz="4" w:space="0"/>
                    <w:left w:val="single" w:color="000000" w:sz="4" w:space="0"/>
                    <w:bottom w:val="single" w:color="auto" w:sz="4" w:space="0"/>
                    <w:right w:val="single" w:color="000000" w:sz="4" w:space="0"/>
                  </w:tcBorders>
                  <w:noWrap/>
                  <w:vAlign w:val="center"/>
                </w:tcPr>
                <w:p w14:paraId="7F885115">
                  <w:pPr>
                    <w:keepNext w:val="0"/>
                    <w:keepLines w:val="0"/>
                    <w:pageBreakBefore w:val="0"/>
                    <w:kinsoku/>
                    <w:wordWrap/>
                    <w:overflowPunct/>
                    <w:topLinePunct w:val="0"/>
                    <w:autoSpaceDE/>
                    <w:autoSpaceDN/>
                    <w:bidi w:val="0"/>
                    <w:adjustRightInd/>
                    <w:snapToGrid w:val="0"/>
                    <w:spacing w:before="63" w:beforeLines="20" w:after="63" w:afterLines="2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依托</w:t>
                  </w:r>
                </w:p>
              </w:tc>
            </w:tr>
            <w:tr w14:paraId="30FE8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90" w:hRule="atLeast"/>
                <w:jc w:val="center"/>
              </w:trPr>
              <w:tc>
                <w:tcPr>
                  <w:tcW w:w="604" w:type="dxa"/>
                  <w:vMerge w:val="continue"/>
                  <w:tcBorders>
                    <w:left w:val="single" w:color="000000" w:sz="4" w:space="0"/>
                    <w:right w:val="single" w:color="000000" w:sz="4" w:space="0"/>
                  </w:tcBorders>
                  <w:noWrap/>
                  <w:vAlign w:val="center"/>
                </w:tcPr>
                <w:p w14:paraId="5F87AFB2">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kern w:val="0"/>
                      <w:sz w:val="21"/>
                      <w:szCs w:val="21"/>
                      <w:lang w:val="en-US" w:eastAsia="zh-CN" w:bidi="ar"/>
                    </w:rPr>
                  </w:pPr>
                </w:p>
              </w:tc>
              <w:tc>
                <w:tcPr>
                  <w:tcW w:w="951" w:type="dxa"/>
                  <w:gridSpan w:val="2"/>
                  <w:tcBorders>
                    <w:top w:val="single" w:color="auto" w:sz="4" w:space="0"/>
                    <w:left w:val="single" w:color="000000" w:sz="4" w:space="0"/>
                    <w:bottom w:val="single" w:color="000000" w:sz="4" w:space="0"/>
                    <w:right w:val="single" w:color="000000" w:sz="4" w:space="0"/>
                  </w:tcBorders>
                  <w:noWrap/>
                  <w:vAlign w:val="center"/>
                </w:tcPr>
                <w:p w14:paraId="544FDBF7">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办公区</w:t>
                  </w:r>
                </w:p>
              </w:tc>
              <w:tc>
                <w:tcPr>
                  <w:tcW w:w="2725" w:type="dxa"/>
                  <w:gridSpan w:val="2"/>
                  <w:tcBorders>
                    <w:top w:val="single" w:color="auto" w:sz="4" w:space="0"/>
                    <w:left w:val="single" w:color="000000" w:sz="4" w:space="0"/>
                    <w:bottom w:val="single" w:color="000000" w:sz="4" w:space="0"/>
                    <w:right w:val="single" w:color="000000" w:sz="4" w:space="0"/>
                  </w:tcBorders>
                  <w:noWrap/>
                  <w:vAlign w:val="center"/>
                </w:tcPr>
                <w:p w14:paraId="291BA5F6">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ind w:firstLine="420" w:firstLineChars="200"/>
                    <w:jc w:val="both"/>
                    <w:textAlignment w:val="bottom"/>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为一层砖混结构，占地面积为110㎡，设置门卫室、办公室、接待室、财务室、辅料间各一间，每间占地面积为20平方米，卫生间占地面积为10㎡。</w:t>
                  </w:r>
                </w:p>
              </w:tc>
              <w:tc>
                <w:tcPr>
                  <w:tcW w:w="3309" w:type="dxa"/>
                  <w:tcBorders>
                    <w:top w:val="single" w:color="auto" w:sz="4" w:space="0"/>
                    <w:left w:val="single" w:color="000000" w:sz="4" w:space="0"/>
                    <w:bottom w:val="single" w:color="000000" w:sz="4" w:space="0"/>
                    <w:right w:val="single" w:color="000000" w:sz="4" w:space="0"/>
                  </w:tcBorders>
                  <w:noWrap/>
                  <w:vAlign w:val="center"/>
                </w:tcPr>
                <w:p w14:paraId="2626B777">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ind w:firstLine="420" w:firstLineChars="200"/>
                    <w:jc w:val="both"/>
                    <w:textAlignment w:val="bottom"/>
                    <w:rPr>
                      <w:rFonts w:hint="eastAsia" w:cs="Times New Roman"/>
                      <w:color w:val="auto"/>
                      <w:kern w:val="0"/>
                      <w:sz w:val="21"/>
                      <w:szCs w:val="21"/>
                      <w:lang w:val="en-US" w:eastAsia="zh-CN" w:bidi="ar"/>
                    </w:rPr>
                  </w:pPr>
                  <w:r>
                    <w:rPr>
                      <w:rFonts w:hint="eastAsia"/>
                      <w:lang w:val="en-US" w:eastAsia="zh-CN"/>
                    </w:rPr>
                    <w:t>依托原有</w:t>
                  </w:r>
                  <w:r>
                    <w:rPr>
                      <w:rFonts w:hint="eastAsia" w:cs="Times New Roman"/>
                      <w:color w:val="auto"/>
                      <w:kern w:val="0"/>
                      <w:sz w:val="21"/>
                      <w:szCs w:val="21"/>
                      <w:lang w:val="en-US" w:eastAsia="zh-CN" w:bidi="ar"/>
                    </w:rPr>
                    <w:t>办公区</w:t>
                  </w:r>
                  <w:r>
                    <w:rPr>
                      <w:rFonts w:hint="default" w:ascii="Times New Roman" w:hAnsi="Times New Roman" w:eastAsia="宋体" w:cs="Times New Roman"/>
                      <w:color w:val="auto"/>
                      <w:kern w:val="0"/>
                      <w:sz w:val="21"/>
                      <w:szCs w:val="21"/>
                      <w:lang w:val="en-US" w:eastAsia="zh-CN" w:bidi="ar"/>
                    </w:rPr>
                    <w:t>。</w:t>
                  </w:r>
                </w:p>
              </w:tc>
              <w:tc>
                <w:tcPr>
                  <w:tcW w:w="595" w:type="dxa"/>
                  <w:tcBorders>
                    <w:top w:val="single" w:color="auto" w:sz="4" w:space="0"/>
                    <w:left w:val="single" w:color="000000" w:sz="4" w:space="0"/>
                    <w:bottom w:val="single" w:color="auto" w:sz="4" w:space="0"/>
                    <w:right w:val="single" w:color="000000" w:sz="4" w:space="0"/>
                  </w:tcBorders>
                  <w:noWrap/>
                  <w:vAlign w:val="center"/>
                </w:tcPr>
                <w:p w14:paraId="109F88DE">
                  <w:pPr>
                    <w:keepNext w:val="0"/>
                    <w:keepLines w:val="0"/>
                    <w:pageBreakBefore w:val="0"/>
                    <w:kinsoku/>
                    <w:wordWrap/>
                    <w:overflowPunct/>
                    <w:topLinePunct w:val="0"/>
                    <w:autoSpaceDE/>
                    <w:autoSpaceDN/>
                    <w:bidi w:val="0"/>
                    <w:adjustRightInd/>
                    <w:snapToGrid w:val="0"/>
                    <w:spacing w:before="63" w:beforeLines="20" w:after="63" w:afterLines="20"/>
                    <w:jc w:val="center"/>
                    <w:rPr>
                      <w:rFonts w:hint="eastAsia" w:cs="Times New Roman"/>
                      <w:color w:val="auto"/>
                      <w:sz w:val="21"/>
                      <w:szCs w:val="21"/>
                      <w:lang w:val="en-US" w:eastAsia="zh-CN"/>
                    </w:rPr>
                  </w:pPr>
                  <w:r>
                    <w:rPr>
                      <w:rFonts w:hint="eastAsia" w:cs="Times New Roman"/>
                      <w:color w:val="auto"/>
                      <w:sz w:val="21"/>
                      <w:szCs w:val="21"/>
                      <w:lang w:val="en-US" w:eastAsia="zh-CN"/>
                    </w:rPr>
                    <w:t>依托</w:t>
                  </w:r>
                </w:p>
              </w:tc>
            </w:tr>
            <w:tr w14:paraId="355E3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90" w:hRule="atLeast"/>
                <w:jc w:val="center"/>
              </w:trPr>
              <w:tc>
                <w:tcPr>
                  <w:tcW w:w="604" w:type="dxa"/>
                  <w:vMerge w:val="continue"/>
                  <w:tcBorders>
                    <w:left w:val="single" w:color="000000" w:sz="4" w:space="0"/>
                    <w:right w:val="single" w:color="000000" w:sz="4" w:space="0"/>
                  </w:tcBorders>
                  <w:noWrap/>
                  <w:vAlign w:val="center"/>
                </w:tcPr>
                <w:p w14:paraId="4A68FC6B">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kern w:val="0"/>
                      <w:sz w:val="21"/>
                      <w:szCs w:val="21"/>
                      <w:lang w:val="en-US" w:eastAsia="zh-CN" w:bidi="ar"/>
                    </w:rPr>
                  </w:pPr>
                </w:p>
              </w:tc>
              <w:tc>
                <w:tcPr>
                  <w:tcW w:w="951" w:type="dxa"/>
                  <w:gridSpan w:val="2"/>
                  <w:tcBorders>
                    <w:top w:val="single" w:color="auto" w:sz="4" w:space="0"/>
                    <w:left w:val="single" w:color="000000" w:sz="4" w:space="0"/>
                    <w:bottom w:val="single" w:color="000000" w:sz="4" w:space="0"/>
                    <w:right w:val="single" w:color="000000" w:sz="4" w:space="0"/>
                  </w:tcBorders>
                  <w:noWrap/>
                  <w:vAlign w:val="center"/>
                </w:tcPr>
                <w:p w14:paraId="4DD7E1AB">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磨具、维修车间</w:t>
                  </w:r>
                </w:p>
              </w:tc>
              <w:tc>
                <w:tcPr>
                  <w:tcW w:w="2725" w:type="dxa"/>
                  <w:gridSpan w:val="2"/>
                  <w:tcBorders>
                    <w:top w:val="single" w:color="auto" w:sz="4" w:space="0"/>
                    <w:left w:val="single" w:color="000000" w:sz="4" w:space="0"/>
                    <w:bottom w:val="single" w:color="000000" w:sz="4" w:space="0"/>
                    <w:right w:val="single" w:color="000000" w:sz="4" w:space="0"/>
                  </w:tcBorders>
                  <w:noWrap/>
                  <w:vAlign w:val="center"/>
                </w:tcPr>
                <w:p w14:paraId="26FD54FE">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ind w:firstLine="420" w:firstLineChars="200"/>
                    <w:jc w:val="both"/>
                    <w:textAlignment w:val="bottom"/>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无。</w:t>
                  </w:r>
                </w:p>
              </w:tc>
              <w:tc>
                <w:tcPr>
                  <w:tcW w:w="3309" w:type="dxa"/>
                  <w:tcBorders>
                    <w:top w:val="single" w:color="auto" w:sz="4" w:space="0"/>
                    <w:left w:val="single" w:color="000000" w:sz="4" w:space="0"/>
                    <w:bottom w:val="single" w:color="000000" w:sz="4" w:space="0"/>
                    <w:right w:val="single" w:color="000000" w:sz="4" w:space="0"/>
                  </w:tcBorders>
                  <w:noWrap/>
                  <w:vAlign w:val="center"/>
                </w:tcPr>
                <w:p w14:paraId="70F82222">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ind w:firstLine="420" w:firstLineChars="200"/>
                    <w:jc w:val="both"/>
                    <w:textAlignment w:val="bottom"/>
                    <w:rPr>
                      <w:rFonts w:hint="eastAsia" w:cs="Times New Roman"/>
                      <w:color w:val="auto"/>
                      <w:kern w:val="0"/>
                      <w:sz w:val="21"/>
                      <w:szCs w:val="21"/>
                      <w:lang w:val="en-US" w:eastAsia="zh-CN" w:bidi="ar"/>
                    </w:rPr>
                  </w:pPr>
                  <w:r>
                    <w:rPr>
                      <w:rFonts w:hint="eastAsia" w:cs="Times New Roman"/>
                      <w:color w:val="auto"/>
                      <w:kern w:val="0"/>
                      <w:sz w:val="21"/>
                      <w:szCs w:val="21"/>
                      <w:lang w:val="en-US" w:eastAsia="zh-CN" w:bidi="ar"/>
                    </w:rPr>
                    <w:t>主要为放置磨具和机修器械，占地面积为60㎡，为钢结构厂房。</w:t>
                  </w:r>
                </w:p>
              </w:tc>
              <w:tc>
                <w:tcPr>
                  <w:tcW w:w="595" w:type="dxa"/>
                  <w:tcBorders>
                    <w:top w:val="single" w:color="auto" w:sz="4" w:space="0"/>
                    <w:left w:val="single" w:color="000000" w:sz="4" w:space="0"/>
                    <w:bottom w:val="single" w:color="auto" w:sz="4" w:space="0"/>
                    <w:right w:val="single" w:color="000000" w:sz="4" w:space="0"/>
                  </w:tcBorders>
                  <w:noWrap/>
                  <w:vAlign w:val="center"/>
                </w:tcPr>
                <w:p w14:paraId="28289568">
                  <w:pPr>
                    <w:keepNext w:val="0"/>
                    <w:keepLines w:val="0"/>
                    <w:pageBreakBefore w:val="0"/>
                    <w:kinsoku/>
                    <w:wordWrap/>
                    <w:overflowPunct/>
                    <w:topLinePunct w:val="0"/>
                    <w:autoSpaceDE/>
                    <w:autoSpaceDN/>
                    <w:bidi w:val="0"/>
                    <w:adjustRightInd/>
                    <w:snapToGrid w:val="0"/>
                    <w:spacing w:before="63" w:beforeLines="20" w:after="63" w:afterLines="20"/>
                    <w:jc w:val="center"/>
                    <w:rPr>
                      <w:rFonts w:hint="eastAsia" w:cs="Times New Roman"/>
                      <w:color w:val="auto"/>
                      <w:sz w:val="21"/>
                      <w:szCs w:val="21"/>
                      <w:lang w:val="en-US" w:eastAsia="zh-CN"/>
                    </w:rPr>
                  </w:pPr>
                  <w:r>
                    <w:rPr>
                      <w:rFonts w:hint="eastAsia" w:cs="Times New Roman"/>
                      <w:color w:val="auto"/>
                      <w:sz w:val="21"/>
                      <w:szCs w:val="21"/>
                      <w:lang w:val="en-US" w:eastAsia="zh-CN"/>
                    </w:rPr>
                    <w:t>新建</w:t>
                  </w:r>
                </w:p>
              </w:tc>
            </w:tr>
            <w:tr w14:paraId="4E14A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90" w:hRule="atLeast"/>
                <w:jc w:val="center"/>
              </w:trPr>
              <w:tc>
                <w:tcPr>
                  <w:tcW w:w="604" w:type="dxa"/>
                  <w:vMerge w:val="continue"/>
                  <w:tcBorders>
                    <w:left w:val="single" w:color="000000" w:sz="4" w:space="0"/>
                    <w:right w:val="single" w:color="000000" w:sz="4" w:space="0"/>
                  </w:tcBorders>
                  <w:noWrap/>
                  <w:vAlign w:val="center"/>
                </w:tcPr>
                <w:p w14:paraId="743952C0">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kern w:val="0"/>
                      <w:sz w:val="21"/>
                      <w:szCs w:val="21"/>
                      <w:lang w:val="en-US" w:eastAsia="zh-CN" w:bidi="ar"/>
                    </w:rPr>
                  </w:pPr>
                </w:p>
              </w:tc>
              <w:tc>
                <w:tcPr>
                  <w:tcW w:w="951" w:type="dxa"/>
                  <w:gridSpan w:val="2"/>
                  <w:tcBorders>
                    <w:top w:val="single" w:color="auto" w:sz="4" w:space="0"/>
                    <w:left w:val="single" w:color="000000" w:sz="4" w:space="0"/>
                    <w:bottom w:val="single" w:color="000000" w:sz="4" w:space="0"/>
                    <w:right w:val="single" w:color="000000" w:sz="4" w:space="0"/>
                  </w:tcBorders>
                  <w:noWrap/>
                  <w:vAlign w:val="center"/>
                </w:tcPr>
                <w:p w14:paraId="6AA78F96">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道路、停车区</w:t>
                  </w:r>
                </w:p>
              </w:tc>
              <w:tc>
                <w:tcPr>
                  <w:tcW w:w="2725" w:type="dxa"/>
                  <w:gridSpan w:val="2"/>
                  <w:tcBorders>
                    <w:top w:val="single" w:color="auto" w:sz="4" w:space="0"/>
                    <w:left w:val="single" w:color="000000" w:sz="4" w:space="0"/>
                    <w:bottom w:val="single" w:color="000000" w:sz="4" w:space="0"/>
                    <w:right w:val="single" w:color="000000" w:sz="4" w:space="0"/>
                  </w:tcBorders>
                  <w:noWrap/>
                  <w:vAlign w:val="center"/>
                </w:tcPr>
                <w:p w14:paraId="5351C143">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ind w:firstLine="420" w:firstLineChars="200"/>
                    <w:jc w:val="both"/>
                    <w:textAlignment w:val="bottom"/>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部分道路已完成硬化。</w:t>
                  </w:r>
                </w:p>
              </w:tc>
              <w:tc>
                <w:tcPr>
                  <w:tcW w:w="3309" w:type="dxa"/>
                  <w:tcBorders>
                    <w:top w:val="single" w:color="auto" w:sz="4" w:space="0"/>
                    <w:left w:val="single" w:color="000000" w:sz="4" w:space="0"/>
                    <w:bottom w:val="single" w:color="000000" w:sz="4" w:space="0"/>
                    <w:right w:val="single" w:color="000000" w:sz="4" w:space="0"/>
                  </w:tcBorders>
                  <w:noWrap/>
                  <w:vAlign w:val="center"/>
                </w:tcPr>
                <w:p w14:paraId="4B86F6F3">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ind w:firstLine="420" w:firstLineChars="200"/>
                    <w:jc w:val="both"/>
                    <w:textAlignment w:val="bottom"/>
                    <w:rPr>
                      <w:rFonts w:hint="eastAsia" w:cs="Times New Roman"/>
                      <w:color w:val="auto"/>
                      <w:kern w:val="0"/>
                      <w:sz w:val="21"/>
                      <w:szCs w:val="21"/>
                      <w:lang w:val="en-US" w:eastAsia="zh-CN" w:bidi="ar"/>
                    </w:rPr>
                  </w:pPr>
                  <w:r>
                    <w:rPr>
                      <w:rFonts w:hint="eastAsia" w:cs="Times New Roman"/>
                      <w:color w:val="auto"/>
                      <w:kern w:val="0"/>
                      <w:sz w:val="21"/>
                      <w:szCs w:val="21"/>
                      <w:lang w:val="en-US" w:eastAsia="zh-CN" w:bidi="ar"/>
                    </w:rPr>
                    <w:t>采用水泥硬化厂区内道路及停产区，占地面积为10487.66㎡。</w:t>
                  </w:r>
                </w:p>
              </w:tc>
              <w:tc>
                <w:tcPr>
                  <w:tcW w:w="595" w:type="dxa"/>
                  <w:tcBorders>
                    <w:top w:val="single" w:color="auto" w:sz="4" w:space="0"/>
                    <w:left w:val="single" w:color="000000" w:sz="4" w:space="0"/>
                    <w:bottom w:val="single" w:color="auto" w:sz="4" w:space="0"/>
                    <w:right w:val="single" w:color="000000" w:sz="4" w:space="0"/>
                  </w:tcBorders>
                  <w:noWrap/>
                  <w:vAlign w:val="center"/>
                </w:tcPr>
                <w:p w14:paraId="6C2017E6">
                  <w:pPr>
                    <w:keepNext w:val="0"/>
                    <w:keepLines w:val="0"/>
                    <w:pageBreakBefore w:val="0"/>
                    <w:kinsoku/>
                    <w:wordWrap/>
                    <w:overflowPunct/>
                    <w:topLinePunct w:val="0"/>
                    <w:autoSpaceDE/>
                    <w:autoSpaceDN/>
                    <w:bidi w:val="0"/>
                    <w:adjustRightInd/>
                    <w:snapToGrid w:val="0"/>
                    <w:spacing w:before="63" w:beforeLines="20" w:after="63" w:afterLines="20"/>
                    <w:jc w:val="center"/>
                    <w:rPr>
                      <w:rFonts w:hint="eastAsia" w:cs="Times New Roman"/>
                      <w:color w:val="auto"/>
                      <w:sz w:val="21"/>
                      <w:szCs w:val="21"/>
                      <w:lang w:val="en-US" w:eastAsia="zh-CN"/>
                    </w:rPr>
                  </w:pPr>
                  <w:r>
                    <w:rPr>
                      <w:rFonts w:hint="eastAsia" w:cs="Times New Roman"/>
                      <w:color w:val="auto"/>
                      <w:sz w:val="21"/>
                      <w:szCs w:val="21"/>
                      <w:lang w:val="en-US" w:eastAsia="zh-CN"/>
                    </w:rPr>
                    <w:t>改建</w:t>
                  </w:r>
                </w:p>
              </w:tc>
            </w:tr>
            <w:tr w14:paraId="2FFD7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90" w:hRule="atLeast"/>
                <w:jc w:val="center"/>
              </w:trPr>
              <w:tc>
                <w:tcPr>
                  <w:tcW w:w="604" w:type="dxa"/>
                  <w:vMerge w:val="continue"/>
                  <w:tcBorders>
                    <w:left w:val="single" w:color="000000" w:sz="4" w:space="0"/>
                    <w:bottom w:val="single" w:color="auto" w:sz="4" w:space="0"/>
                    <w:right w:val="single" w:color="000000" w:sz="4" w:space="0"/>
                  </w:tcBorders>
                  <w:noWrap/>
                  <w:vAlign w:val="center"/>
                </w:tcPr>
                <w:p w14:paraId="32EB74C8">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kern w:val="0"/>
                      <w:sz w:val="21"/>
                      <w:szCs w:val="21"/>
                      <w:lang w:val="en-US" w:eastAsia="zh-CN" w:bidi="ar"/>
                    </w:rPr>
                  </w:pPr>
                </w:p>
              </w:tc>
              <w:tc>
                <w:tcPr>
                  <w:tcW w:w="951" w:type="dxa"/>
                  <w:gridSpan w:val="2"/>
                  <w:tcBorders>
                    <w:top w:val="single" w:color="auto" w:sz="4" w:space="0"/>
                    <w:left w:val="single" w:color="000000" w:sz="4" w:space="0"/>
                    <w:bottom w:val="single" w:color="auto" w:sz="4" w:space="0"/>
                    <w:right w:val="single" w:color="000000" w:sz="4" w:space="0"/>
                  </w:tcBorders>
                  <w:noWrap/>
                  <w:vAlign w:val="center"/>
                </w:tcPr>
                <w:p w14:paraId="6FAA8613">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供水系统</w:t>
                  </w:r>
                </w:p>
              </w:tc>
              <w:tc>
                <w:tcPr>
                  <w:tcW w:w="2725" w:type="dxa"/>
                  <w:gridSpan w:val="2"/>
                  <w:tcBorders>
                    <w:top w:val="single" w:color="auto" w:sz="4" w:space="0"/>
                    <w:left w:val="single" w:color="000000" w:sz="4" w:space="0"/>
                    <w:bottom w:val="single" w:color="000000" w:sz="4" w:space="0"/>
                    <w:right w:val="single" w:color="000000" w:sz="4" w:space="0"/>
                  </w:tcBorders>
                  <w:noWrap/>
                  <w:vAlign w:val="center"/>
                </w:tcPr>
                <w:p w14:paraId="715D80E7">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ind w:firstLine="420" w:firstLineChars="200"/>
                    <w:jc w:val="both"/>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本项目生产用水及生活用水由上村社区白龙潭供给。</w:t>
                  </w:r>
                </w:p>
              </w:tc>
              <w:tc>
                <w:tcPr>
                  <w:tcW w:w="3309" w:type="dxa"/>
                  <w:tcBorders>
                    <w:top w:val="single" w:color="auto" w:sz="4" w:space="0"/>
                    <w:left w:val="single" w:color="000000" w:sz="4" w:space="0"/>
                    <w:bottom w:val="single" w:color="000000" w:sz="4" w:space="0"/>
                    <w:right w:val="single" w:color="000000" w:sz="4" w:space="0"/>
                  </w:tcBorders>
                  <w:noWrap/>
                  <w:vAlign w:val="center"/>
                </w:tcPr>
                <w:p w14:paraId="4C938508">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ind w:firstLine="420" w:firstLineChars="200"/>
                    <w:jc w:val="both"/>
                    <w:textAlignment w:val="bottom"/>
                    <w:rPr>
                      <w:rFonts w:hint="default" w:ascii="Times New Roman" w:hAnsi="Times New Roman" w:eastAsia="宋体" w:cs="Times New Roman"/>
                      <w:color w:val="auto"/>
                      <w:kern w:val="0"/>
                      <w:sz w:val="21"/>
                      <w:szCs w:val="21"/>
                      <w:lang w:val="en-US" w:eastAsia="zh-CN" w:bidi="ar"/>
                    </w:rPr>
                  </w:pPr>
                  <w:r>
                    <w:rPr>
                      <w:rFonts w:hint="eastAsia"/>
                      <w:lang w:val="en-US" w:eastAsia="zh-CN"/>
                    </w:rPr>
                    <w:t>依托原有</w:t>
                  </w:r>
                  <w:r>
                    <w:rPr>
                      <w:rFonts w:hint="default" w:ascii="Times New Roman" w:hAnsi="Times New Roman" w:eastAsia="宋体" w:cs="Times New Roman"/>
                      <w:color w:val="auto"/>
                      <w:kern w:val="0"/>
                      <w:sz w:val="21"/>
                      <w:szCs w:val="21"/>
                      <w:lang w:val="en-US" w:eastAsia="zh-CN" w:bidi="ar"/>
                    </w:rPr>
                    <w:t>。</w:t>
                  </w:r>
                </w:p>
              </w:tc>
              <w:tc>
                <w:tcPr>
                  <w:tcW w:w="595" w:type="dxa"/>
                  <w:tcBorders>
                    <w:top w:val="single" w:color="auto" w:sz="4" w:space="0"/>
                    <w:left w:val="single" w:color="000000" w:sz="4" w:space="0"/>
                    <w:bottom w:val="single" w:color="auto" w:sz="4" w:space="0"/>
                    <w:right w:val="single" w:color="000000" w:sz="4" w:space="0"/>
                  </w:tcBorders>
                  <w:noWrap/>
                  <w:vAlign w:val="center"/>
                </w:tcPr>
                <w:p w14:paraId="0D6BB3AE">
                  <w:pPr>
                    <w:keepNext w:val="0"/>
                    <w:keepLines w:val="0"/>
                    <w:pageBreakBefore w:val="0"/>
                    <w:kinsoku/>
                    <w:wordWrap/>
                    <w:overflowPunct/>
                    <w:topLinePunct w:val="0"/>
                    <w:autoSpaceDE/>
                    <w:autoSpaceDN/>
                    <w:bidi w:val="0"/>
                    <w:adjustRightInd/>
                    <w:snapToGrid w:val="0"/>
                    <w:spacing w:before="63" w:beforeLines="20" w:after="63" w:afterLines="20"/>
                    <w:jc w:val="center"/>
                    <w:rPr>
                      <w:rFonts w:hint="default" w:ascii="Times New Roman" w:hAnsi="Times New Roman" w:eastAsia="宋体" w:cs="Times New Roman"/>
                      <w:color w:val="auto"/>
                      <w:sz w:val="21"/>
                      <w:szCs w:val="21"/>
                      <w:lang w:eastAsia="zh-CN"/>
                    </w:rPr>
                  </w:pPr>
                  <w:r>
                    <w:rPr>
                      <w:rFonts w:hint="eastAsia" w:cs="Times New Roman"/>
                      <w:color w:val="auto"/>
                      <w:sz w:val="21"/>
                      <w:szCs w:val="21"/>
                      <w:lang w:val="en-US" w:eastAsia="zh-CN"/>
                    </w:rPr>
                    <w:t>依托</w:t>
                  </w:r>
                </w:p>
              </w:tc>
            </w:tr>
            <w:tr w14:paraId="2D82E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9" w:hRule="atLeast"/>
                <w:jc w:val="center"/>
              </w:trPr>
              <w:tc>
                <w:tcPr>
                  <w:tcW w:w="604" w:type="dxa"/>
                  <w:vMerge w:val="restart"/>
                  <w:tcBorders>
                    <w:top w:val="single" w:color="auto" w:sz="4" w:space="0"/>
                    <w:left w:val="single" w:color="auto" w:sz="4" w:space="0"/>
                    <w:bottom w:val="single" w:color="auto" w:sz="4" w:space="0"/>
                    <w:right w:val="single" w:color="auto" w:sz="4" w:space="0"/>
                  </w:tcBorders>
                  <w:noWrap/>
                  <w:vAlign w:val="center"/>
                </w:tcPr>
                <w:p w14:paraId="300BFF48">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环保</w:t>
                  </w:r>
                </w:p>
                <w:p w14:paraId="409CF40F">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工程</w:t>
                  </w:r>
                </w:p>
              </w:tc>
              <w:tc>
                <w:tcPr>
                  <w:tcW w:w="346" w:type="dxa"/>
                  <w:tcBorders>
                    <w:top w:val="single" w:color="auto" w:sz="4" w:space="0"/>
                    <w:left w:val="single" w:color="auto" w:sz="4" w:space="0"/>
                    <w:right w:val="single" w:color="auto" w:sz="4" w:space="0"/>
                  </w:tcBorders>
                  <w:noWrap/>
                  <w:vAlign w:val="center"/>
                </w:tcPr>
                <w:p w14:paraId="2B4D3DB2">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废气</w:t>
                  </w:r>
                </w:p>
              </w:tc>
              <w:tc>
                <w:tcPr>
                  <w:tcW w:w="605" w:type="dxa"/>
                  <w:tcBorders>
                    <w:top w:val="single" w:color="auto" w:sz="4" w:space="0"/>
                    <w:left w:val="single" w:color="auto" w:sz="4" w:space="0"/>
                    <w:bottom w:val="single" w:color="auto" w:sz="4" w:space="0"/>
                    <w:right w:val="single" w:color="auto" w:sz="4" w:space="0"/>
                  </w:tcBorders>
                  <w:noWrap/>
                  <w:vAlign w:val="center"/>
                </w:tcPr>
                <w:p w14:paraId="759454CD">
                  <w:pPr>
                    <w:pStyle w:val="42"/>
                    <w:keepNext w:val="0"/>
                    <w:keepLines w:val="0"/>
                    <w:pageBreakBefore w:val="0"/>
                    <w:widowControl w:val="0"/>
                    <w:kinsoku/>
                    <w:wordWrap/>
                    <w:overflowPunct/>
                    <w:topLinePunct w:val="0"/>
                    <w:autoSpaceDE w:val="0"/>
                    <w:autoSpaceDN w:val="0"/>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cs="Times New Roman"/>
                      <w:b w:val="0"/>
                      <w:bCs w:val="0"/>
                      <w:color w:val="auto"/>
                      <w:sz w:val="21"/>
                      <w:szCs w:val="21"/>
                      <w:lang w:val="en-US" w:eastAsia="zh-CN"/>
                    </w:rPr>
                    <w:t>烧成</w:t>
                  </w:r>
                  <w:r>
                    <w:rPr>
                      <w:rFonts w:hint="default" w:ascii="Times New Roman" w:hAnsi="Times New Roman" w:eastAsia="宋体" w:cs="Times New Roman"/>
                      <w:b w:val="0"/>
                      <w:bCs w:val="0"/>
                      <w:color w:val="auto"/>
                      <w:sz w:val="21"/>
                      <w:szCs w:val="21"/>
                    </w:rPr>
                    <w:t>废气</w:t>
                  </w:r>
                  <w:r>
                    <w:rPr>
                      <w:rFonts w:hint="default" w:ascii="Times New Roman" w:hAnsi="Times New Roman" w:eastAsia="宋体" w:cs="Times New Roman"/>
                      <w:b w:val="0"/>
                      <w:bCs w:val="0"/>
                      <w:color w:val="auto"/>
                      <w:sz w:val="21"/>
                      <w:szCs w:val="21"/>
                      <w:lang w:val="en-US" w:eastAsia="zh-CN"/>
                    </w:rPr>
                    <w:t>排放口</w:t>
                  </w:r>
                </w:p>
              </w:tc>
              <w:tc>
                <w:tcPr>
                  <w:tcW w:w="2725" w:type="dxa"/>
                  <w:gridSpan w:val="2"/>
                  <w:tcBorders>
                    <w:top w:val="single" w:color="000000" w:sz="4" w:space="0"/>
                    <w:left w:val="single" w:color="auto" w:sz="4" w:space="0"/>
                    <w:bottom w:val="single" w:color="auto" w:sz="4" w:space="0"/>
                    <w:right w:val="single" w:color="000000" w:sz="4" w:space="0"/>
                  </w:tcBorders>
                  <w:noWrap/>
                  <w:vAlign w:val="center"/>
                </w:tcPr>
                <w:p w14:paraId="31083A0E">
                  <w:pPr>
                    <w:keepNext w:val="0"/>
                    <w:keepLines w:val="0"/>
                    <w:pageBreakBefore w:val="0"/>
                    <w:widowControl w:val="0"/>
                    <w:kinsoku/>
                    <w:wordWrap/>
                    <w:overflowPunct/>
                    <w:topLinePunct w:val="0"/>
                    <w:bidi w:val="0"/>
                    <w:adjustRightInd w:val="0"/>
                    <w:snapToGrid w:val="0"/>
                    <w:spacing w:before="63" w:beforeLines="20" w:after="63" w:afterLines="20" w:line="240" w:lineRule="auto"/>
                    <w:ind w:firstLine="420" w:firstLineChars="200"/>
                    <w:jc w:val="both"/>
                    <w:textAlignment w:val="auto"/>
                    <w:rPr>
                      <w:rFonts w:hint="default" w:ascii="Times New Roman" w:hAnsi="Times New Roman" w:eastAsia="宋体" w:cs="Times New Roman"/>
                      <w:color w:val="auto"/>
                      <w:sz w:val="21"/>
                      <w:szCs w:val="21"/>
                      <w:lang w:val="en-US"/>
                    </w:rPr>
                  </w:pPr>
                  <w:r>
                    <w:rPr>
                      <w:rFonts w:hint="eastAsia" w:cs="Times New Roman"/>
                      <w:bCs/>
                      <w:color w:val="auto"/>
                      <w:sz w:val="21"/>
                      <w:szCs w:val="21"/>
                      <w:vertAlign w:val="baseline"/>
                      <w:lang w:val="en-US" w:eastAsia="zh-CN"/>
                    </w:rPr>
                    <w:t>3个土窑废气未设置排放口，未进行生产，按无组织排放</w:t>
                  </w:r>
                  <w:r>
                    <w:rPr>
                      <w:rFonts w:hint="eastAsia" w:ascii="Times New Roman" w:hAnsi="Times New Roman" w:eastAsia="宋体" w:cs="Times New Roman"/>
                      <w:bCs/>
                      <w:color w:val="auto"/>
                      <w:sz w:val="21"/>
                      <w:szCs w:val="21"/>
                      <w:vertAlign w:val="baseline"/>
                      <w:lang w:val="en-US" w:eastAsia="zh-CN"/>
                    </w:rPr>
                    <w:t>。</w:t>
                  </w:r>
                </w:p>
              </w:tc>
              <w:tc>
                <w:tcPr>
                  <w:tcW w:w="3309" w:type="dxa"/>
                  <w:tcBorders>
                    <w:top w:val="single" w:color="000000" w:sz="4" w:space="0"/>
                    <w:left w:val="single" w:color="auto" w:sz="4" w:space="0"/>
                    <w:bottom w:val="single" w:color="auto" w:sz="4" w:space="0"/>
                    <w:right w:val="single" w:color="000000" w:sz="4" w:space="0"/>
                  </w:tcBorders>
                  <w:noWrap/>
                  <w:vAlign w:val="center"/>
                </w:tcPr>
                <w:p w14:paraId="682E5DCE">
                  <w:pPr>
                    <w:keepNext w:val="0"/>
                    <w:keepLines w:val="0"/>
                    <w:pageBreakBefore w:val="0"/>
                    <w:widowControl w:val="0"/>
                    <w:kinsoku/>
                    <w:wordWrap/>
                    <w:overflowPunct/>
                    <w:topLinePunct w:val="0"/>
                    <w:bidi w:val="0"/>
                    <w:adjustRightInd w:val="0"/>
                    <w:snapToGrid w:val="0"/>
                    <w:spacing w:before="63" w:beforeLines="20" w:after="63" w:afterLines="20" w:line="240" w:lineRule="auto"/>
                    <w:ind w:firstLine="420" w:firstLineChars="200"/>
                    <w:jc w:val="both"/>
                    <w:textAlignment w:val="auto"/>
                    <w:rPr>
                      <w:rFonts w:hint="eastAsia"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设置6个梭式窑</w:t>
                  </w:r>
                  <w:r>
                    <w:rPr>
                      <w:rFonts w:hint="eastAsia" w:cs="Times New Roman"/>
                      <w:bCs/>
                      <w:color w:val="auto"/>
                      <w:sz w:val="21"/>
                      <w:szCs w:val="21"/>
                      <w:vertAlign w:val="baseline"/>
                      <w:lang w:val="en-US" w:eastAsia="zh-CN"/>
                    </w:rPr>
                    <w:t>进行烧成，烧成废气统一收集后经一套布袋除尘器+脱硫塔进行治理，</w:t>
                  </w:r>
                  <w:r>
                    <w:rPr>
                      <w:rFonts w:hint="default" w:ascii="Times New Roman" w:hAnsi="Times New Roman" w:eastAsia="宋体" w:cs="Times New Roman"/>
                      <w:bCs/>
                      <w:color w:val="auto"/>
                      <w:sz w:val="21"/>
                      <w:szCs w:val="21"/>
                      <w:vertAlign w:val="baseline"/>
                      <w:lang w:val="en-US" w:eastAsia="zh-CN"/>
                    </w:rPr>
                    <w:t>排气筒高</w:t>
                  </w:r>
                  <w:r>
                    <w:rPr>
                      <w:rFonts w:hint="eastAsia" w:cs="Times New Roman"/>
                      <w:bCs/>
                      <w:color w:val="auto"/>
                      <w:sz w:val="21"/>
                      <w:szCs w:val="21"/>
                      <w:vertAlign w:val="baseline"/>
                      <w:lang w:val="en-US" w:eastAsia="zh-CN"/>
                    </w:rPr>
                    <w:t>15</w:t>
                  </w:r>
                  <w:r>
                    <w:rPr>
                      <w:rFonts w:hint="default" w:ascii="Times New Roman" w:hAnsi="Times New Roman" w:eastAsia="宋体" w:cs="Times New Roman"/>
                      <w:bCs/>
                      <w:color w:val="auto"/>
                      <w:sz w:val="21"/>
                      <w:szCs w:val="21"/>
                      <w:vertAlign w:val="baseline"/>
                      <w:lang w:val="en-US" w:eastAsia="zh-CN"/>
                    </w:rPr>
                    <w:t>m</w:t>
                  </w:r>
                  <w:r>
                    <w:rPr>
                      <w:rFonts w:hint="eastAsia" w:ascii="Times New Roman" w:hAnsi="Times New Roman" w:eastAsia="宋体" w:cs="Times New Roman"/>
                      <w:bCs/>
                      <w:color w:val="auto"/>
                      <w:sz w:val="21"/>
                      <w:szCs w:val="21"/>
                      <w:vertAlign w:val="baseline"/>
                      <w:lang w:val="en-US" w:eastAsia="zh-CN"/>
                    </w:rPr>
                    <w:t>，排放口编码为DA001</w:t>
                  </w:r>
                  <w:r>
                    <w:rPr>
                      <w:rFonts w:hint="eastAsia" w:cs="Times New Roman"/>
                      <w:bCs/>
                      <w:color w:val="auto"/>
                      <w:sz w:val="21"/>
                      <w:szCs w:val="21"/>
                      <w:vertAlign w:val="baseline"/>
                      <w:lang w:val="en-US" w:eastAsia="zh-CN"/>
                    </w:rPr>
                    <w:t>，并设置在线监测系统一套</w:t>
                  </w:r>
                  <w:r>
                    <w:rPr>
                      <w:rFonts w:hint="eastAsia" w:ascii="Times New Roman" w:hAnsi="Times New Roman" w:eastAsia="宋体" w:cs="Times New Roman"/>
                      <w:bCs/>
                      <w:color w:val="auto"/>
                      <w:sz w:val="21"/>
                      <w:szCs w:val="21"/>
                      <w:vertAlign w:val="baseline"/>
                      <w:lang w:val="en-US" w:eastAsia="zh-CN"/>
                    </w:rPr>
                    <w:t>。</w:t>
                  </w:r>
                </w:p>
              </w:tc>
              <w:tc>
                <w:tcPr>
                  <w:tcW w:w="595" w:type="dxa"/>
                  <w:tcBorders>
                    <w:top w:val="single" w:color="auto" w:sz="4" w:space="0"/>
                    <w:left w:val="single" w:color="000000" w:sz="4" w:space="0"/>
                    <w:right w:val="single" w:color="000000" w:sz="4" w:space="0"/>
                  </w:tcBorders>
                  <w:noWrap/>
                  <w:vAlign w:val="center"/>
                </w:tcPr>
                <w:p w14:paraId="78FB331A">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改建</w:t>
                  </w:r>
                </w:p>
              </w:tc>
            </w:tr>
            <w:tr w14:paraId="28E91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7" w:hRule="atLeast"/>
                <w:jc w:val="center"/>
              </w:trPr>
              <w:tc>
                <w:tcPr>
                  <w:tcW w:w="604" w:type="dxa"/>
                  <w:vMerge w:val="continue"/>
                  <w:tcBorders>
                    <w:left w:val="single" w:color="auto" w:sz="4" w:space="0"/>
                    <w:right w:val="single" w:color="auto" w:sz="4" w:space="0"/>
                  </w:tcBorders>
                  <w:noWrap/>
                  <w:vAlign w:val="center"/>
                </w:tcPr>
                <w:p w14:paraId="6E63D64D">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kern w:val="0"/>
                      <w:sz w:val="21"/>
                      <w:szCs w:val="21"/>
                      <w:lang w:val="en-US" w:eastAsia="zh-CN" w:bidi="ar"/>
                    </w:rPr>
                  </w:pPr>
                </w:p>
              </w:tc>
              <w:tc>
                <w:tcPr>
                  <w:tcW w:w="951" w:type="dxa"/>
                  <w:gridSpan w:val="2"/>
                  <w:tcBorders>
                    <w:top w:val="single" w:color="auto" w:sz="4" w:space="0"/>
                    <w:left w:val="single" w:color="auto" w:sz="4" w:space="0"/>
                    <w:bottom w:val="single" w:color="auto" w:sz="4" w:space="0"/>
                    <w:right w:val="single" w:color="auto" w:sz="4" w:space="0"/>
                  </w:tcBorders>
                  <w:noWrap/>
                  <w:vAlign w:val="center"/>
                </w:tcPr>
                <w:p w14:paraId="40972000">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textAlignment w:val="auto"/>
                    <w:rPr>
                      <w:rFonts w:hint="eastAsia" w:ascii="Times New Roman" w:cs="Times New Roman"/>
                      <w:b w:val="0"/>
                      <w:bCs w:val="0"/>
                      <w:color w:val="auto"/>
                      <w:sz w:val="21"/>
                      <w:szCs w:val="21"/>
                      <w:lang w:val="en-US" w:eastAsia="zh-CN"/>
                    </w:rPr>
                  </w:pPr>
                  <w:r>
                    <w:rPr>
                      <w:rFonts w:hint="eastAsia"/>
                      <w:b w:val="0"/>
                      <w:bCs w:val="0"/>
                      <w:color w:val="auto"/>
                      <w:kern w:val="0"/>
                      <w:sz w:val="21"/>
                      <w:szCs w:val="21"/>
                      <w:lang w:eastAsia="zh-CN"/>
                    </w:rPr>
                    <w:t>无组织粉尘</w:t>
                  </w:r>
                </w:p>
              </w:tc>
              <w:tc>
                <w:tcPr>
                  <w:tcW w:w="2725" w:type="dxa"/>
                  <w:gridSpan w:val="2"/>
                  <w:tcBorders>
                    <w:top w:val="single" w:color="000000" w:sz="4" w:space="0"/>
                    <w:left w:val="single" w:color="auto" w:sz="4" w:space="0"/>
                    <w:bottom w:val="single" w:color="auto" w:sz="4" w:space="0"/>
                    <w:right w:val="single" w:color="000000" w:sz="4" w:space="0"/>
                  </w:tcBorders>
                  <w:noWrap/>
                  <w:vAlign w:val="center"/>
                </w:tcPr>
                <w:p w14:paraId="069E328E">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420" w:firstLineChars="200"/>
                    <w:jc w:val="both"/>
                    <w:textAlignment w:val="auto"/>
                    <w:rPr>
                      <w:rFonts w:hint="eastAsia" w:ascii="Times New Roman" w:hAnsi="Times New Roman" w:eastAsia="宋体" w:cs="Times New Roman"/>
                      <w:bCs/>
                      <w:color w:val="auto"/>
                      <w:sz w:val="21"/>
                      <w:szCs w:val="21"/>
                      <w:vertAlign w:val="baseline"/>
                      <w:lang w:val="en-US" w:eastAsia="zh-CN"/>
                    </w:rPr>
                  </w:pPr>
                  <w:r>
                    <w:rPr>
                      <w:rFonts w:hint="eastAsia"/>
                      <w:b w:val="0"/>
                      <w:bCs/>
                      <w:color w:val="auto"/>
                      <w:sz w:val="21"/>
                      <w:szCs w:val="21"/>
                      <w:lang w:val="en-US" w:eastAsia="zh-CN"/>
                    </w:rPr>
                    <w:t>无</w:t>
                  </w:r>
                  <w:r>
                    <w:rPr>
                      <w:rFonts w:hint="eastAsia"/>
                      <w:b w:val="0"/>
                      <w:bCs/>
                      <w:color w:val="auto"/>
                      <w:sz w:val="21"/>
                      <w:szCs w:val="21"/>
                      <w:lang w:eastAsia="zh-CN"/>
                    </w:rPr>
                    <w:t>。</w:t>
                  </w:r>
                </w:p>
              </w:tc>
              <w:tc>
                <w:tcPr>
                  <w:tcW w:w="3309" w:type="dxa"/>
                  <w:tcBorders>
                    <w:top w:val="single" w:color="000000" w:sz="4" w:space="0"/>
                    <w:left w:val="single" w:color="auto" w:sz="4" w:space="0"/>
                    <w:bottom w:val="single" w:color="auto" w:sz="4" w:space="0"/>
                    <w:right w:val="single" w:color="000000" w:sz="4" w:space="0"/>
                  </w:tcBorders>
                  <w:noWrap/>
                  <w:vAlign w:val="center"/>
                </w:tcPr>
                <w:p w14:paraId="768897F6">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textAlignment w:val="auto"/>
                    <w:rPr>
                      <w:rFonts w:hint="eastAsia"/>
                      <w:b w:val="0"/>
                      <w:bCs/>
                      <w:color w:val="auto"/>
                      <w:sz w:val="21"/>
                      <w:szCs w:val="21"/>
                      <w:lang w:val="en-US" w:eastAsia="zh-CN"/>
                    </w:rPr>
                  </w:pPr>
                  <w:r>
                    <w:rPr>
                      <w:rFonts w:hint="eastAsia"/>
                      <w:b w:val="0"/>
                      <w:bCs/>
                      <w:color w:val="auto"/>
                      <w:sz w:val="21"/>
                      <w:szCs w:val="21"/>
                      <w:lang w:val="en-US" w:eastAsia="zh-CN"/>
                    </w:rPr>
                    <w:t>原料卸车会产生粉，</w:t>
                  </w:r>
                  <w:r>
                    <w:rPr>
                      <w:rFonts w:hint="eastAsia"/>
                      <w:b w:val="0"/>
                      <w:bCs/>
                      <w:color w:val="auto"/>
                      <w:sz w:val="21"/>
                      <w:szCs w:val="21"/>
                    </w:rPr>
                    <w:t>设置喷淋</w:t>
                  </w:r>
                  <w:r>
                    <w:rPr>
                      <w:rFonts w:hint="eastAsia"/>
                      <w:b w:val="0"/>
                      <w:bCs/>
                      <w:color w:val="auto"/>
                      <w:sz w:val="21"/>
                      <w:szCs w:val="21"/>
                      <w:lang w:val="en-US" w:eastAsia="zh-CN"/>
                    </w:rPr>
                    <w:t>头洒水降尘；原料和陈化车间定期洒水降尘，防治储存粉尘和物料转运粉尘；车辆运输会产生扬尘，采用及时清扫和定期洒水降尘的措施；物料输送带、搅拌机全封闭，给料口处洒水降尘</w:t>
                  </w:r>
                  <w:r>
                    <w:rPr>
                      <w:rFonts w:hint="eastAsia"/>
                      <w:b w:val="0"/>
                      <w:bCs/>
                      <w:color w:val="auto"/>
                      <w:sz w:val="21"/>
                      <w:szCs w:val="21"/>
                      <w:lang w:eastAsia="zh-CN"/>
                    </w:rPr>
                    <w:t>。</w:t>
                  </w:r>
                </w:p>
              </w:tc>
              <w:tc>
                <w:tcPr>
                  <w:tcW w:w="595" w:type="dxa"/>
                  <w:tcBorders>
                    <w:top w:val="single" w:color="auto" w:sz="4" w:space="0"/>
                    <w:left w:val="single" w:color="000000" w:sz="4" w:space="0"/>
                    <w:bottom w:val="single" w:color="auto" w:sz="4" w:space="0"/>
                    <w:right w:val="single" w:color="000000" w:sz="4" w:space="0"/>
                  </w:tcBorders>
                  <w:noWrap/>
                  <w:vAlign w:val="center"/>
                </w:tcPr>
                <w:p w14:paraId="3FC3110D">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textAlignment w:val="auto"/>
                    <w:rPr>
                      <w:rFonts w:hint="eastAsia" w:cs="Times New Roman"/>
                      <w:color w:val="auto"/>
                      <w:sz w:val="21"/>
                      <w:szCs w:val="21"/>
                      <w:lang w:val="en-US" w:eastAsia="zh-CN"/>
                    </w:rPr>
                  </w:pPr>
                  <w:r>
                    <w:rPr>
                      <w:rFonts w:hint="eastAsia"/>
                      <w:b w:val="0"/>
                      <w:bCs w:val="0"/>
                      <w:color w:val="auto"/>
                      <w:kern w:val="0"/>
                      <w:sz w:val="21"/>
                      <w:szCs w:val="21"/>
                      <w:lang w:val="en-US" w:eastAsia="zh-CN"/>
                    </w:rPr>
                    <w:t>新建</w:t>
                  </w:r>
                </w:p>
              </w:tc>
            </w:tr>
            <w:tr w14:paraId="714CA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45" w:hRule="atLeast"/>
                <w:jc w:val="center"/>
              </w:trPr>
              <w:tc>
                <w:tcPr>
                  <w:tcW w:w="604" w:type="dxa"/>
                  <w:vMerge w:val="continue"/>
                  <w:tcBorders>
                    <w:top w:val="single" w:color="auto" w:sz="4" w:space="0"/>
                    <w:left w:val="single" w:color="auto" w:sz="4" w:space="0"/>
                    <w:bottom w:val="single" w:color="auto" w:sz="4" w:space="0"/>
                    <w:right w:val="single" w:color="auto" w:sz="4" w:space="0"/>
                  </w:tcBorders>
                  <w:noWrap/>
                  <w:vAlign w:val="center"/>
                </w:tcPr>
                <w:p w14:paraId="4CFDF367">
                  <w:pPr>
                    <w:keepNext w:val="0"/>
                    <w:keepLines w:val="0"/>
                    <w:pageBreakBefore w:val="0"/>
                    <w:kinsoku/>
                    <w:wordWrap/>
                    <w:overflowPunct/>
                    <w:topLinePunct w:val="0"/>
                    <w:autoSpaceDE/>
                    <w:autoSpaceDN/>
                    <w:bidi w:val="0"/>
                    <w:adjustRightInd/>
                    <w:snapToGrid w:val="0"/>
                    <w:spacing w:before="63" w:beforeLines="20" w:after="63" w:afterLines="20"/>
                    <w:jc w:val="center"/>
                    <w:rPr>
                      <w:rFonts w:hint="default" w:ascii="Times New Roman" w:hAnsi="Times New Roman" w:eastAsia="宋体" w:cs="Times New Roman"/>
                      <w:color w:val="auto"/>
                      <w:sz w:val="21"/>
                      <w:szCs w:val="21"/>
                    </w:rPr>
                  </w:pPr>
                </w:p>
              </w:tc>
              <w:tc>
                <w:tcPr>
                  <w:tcW w:w="951" w:type="dxa"/>
                  <w:gridSpan w:val="2"/>
                  <w:tcBorders>
                    <w:top w:val="single" w:color="auto" w:sz="4" w:space="0"/>
                    <w:left w:val="single" w:color="auto" w:sz="4" w:space="0"/>
                    <w:bottom w:val="single" w:color="auto" w:sz="4" w:space="0"/>
                    <w:right w:val="single" w:color="auto" w:sz="4" w:space="0"/>
                  </w:tcBorders>
                  <w:noWrap/>
                  <w:vAlign w:val="center"/>
                </w:tcPr>
                <w:p w14:paraId="5304BB75">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sz w:val="21"/>
                      <w:szCs w:val="21"/>
                    </w:rPr>
                  </w:pPr>
                  <w:r>
                    <w:rPr>
                      <w:rFonts w:hint="eastAsia"/>
                      <w:color w:val="auto"/>
                      <w:kern w:val="0"/>
                      <w:szCs w:val="21"/>
                      <w:lang w:val="en-US" w:eastAsia="zh-CN" w:bidi="ar"/>
                    </w:rPr>
                    <w:t>初期雨水</w:t>
                  </w:r>
                </w:p>
              </w:tc>
              <w:tc>
                <w:tcPr>
                  <w:tcW w:w="2725" w:type="dxa"/>
                  <w:gridSpan w:val="2"/>
                  <w:tcBorders>
                    <w:top w:val="single" w:color="000000" w:sz="4" w:space="0"/>
                    <w:left w:val="single" w:color="auto" w:sz="4" w:space="0"/>
                    <w:bottom w:val="single" w:color="auto" w:sz="4" w:space="0"/>
                    <w:right w:val="single" w:color="000000" w:sz="4" w:space="0"/>
                  </w:tcBorders>
                  <w:noWrap/>
                  <w:vAlign w:val="center"/>
                </w:tcPr>
                <w:p w14:paraId="7427B72D">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ind w:firstLine="420" w:firstLineChars="200"/>
                    <w:jc w:val="both"/>
                    <w:textAlignment w:val="bottom"/>
                    <w:rPr>
                      <w:rFonts w:hint="default" w:ascii="Times New Roman" w:hAnsi="Times New Roman" w:eastAsia="宋体" w:cs="Times New Roman"/>
                      <w:color w:val="auto"/>
                      <w:sz w:val="21"/>
                      <w:szCs w:val="21"/>
                      <w:lang w:val="en-US"/>
                    </w:rPr>
                  </w:pPr>
                  <w:r>
                    <w:rPr>
                      <w:rFonts w:hint="eastAsia"/>
                      <w:color w:val="auto"/>
                      <w:kern w:val="0"/>
                      <w:szCs w:val="21"/>
                      <w:lang w:bidi="ar"/>
                    </w:rPr>
                    <w:t>厂区</w:t>
                  </w:r>
                  <w:r>
                    <w:rPr>
                      <w:rFonts w:hint="eastAsia"/>
                      <w:color w:val="auto"/>
                      <w:kern w:val="0"/>
                      <w:szCs w:val="21"/>
                      <w:lang w:val="en-US" w:eastAsia="zh-CN" w:bidi="ar"/>
                    </w:rPr>
                    <w:t>已建设部分</w:t>
                  </w:r>
                  <w:r>
                    <w:rPr>
                      <w:color w:val="auto"/>
                      <w:kern w:val="0"/>
                      <w:szCs w:val="21"/>
                      <w:lang w:bidi="ar"/>
                    </w:rPr>
                    <w:t>雨污分流</w:t>
                  </w:r>
                  <w:r>
                    <w:rPr>
                      <w:rFonts w:hint="eastAsia"/>
                      <w:color w:val="auto"/>
                      <w:kern w:val="0"/>
                      <w:szCs w:val="21"/>
                      <w:lang w:bidi="ar"/>
                    </w:rPr>
                    <w:t>系统</w:t>
                  </w:r>
                  <w:r>
                    <w:rPr>
                      <w:color w:val="auto"/>
                      <w:kern w:val="0"/>
                      <w:szCs w:val="21"/>
                      <w:lang w:bidi="ar"/>
                    </w:rPr>
                    <w:t>，雨水</w:t>
                  </w:r>
                  <w:r>
                    <w:rPr>
                      <w:rFonts w:hint="eastAsia"/>
                      <w:color w:val="auto"/>
                      <w:kern w:val="0"/>
                      <w:szCs w:val="21"/>
                      <w:lang w:val="en-US" w:eastAsia="zh-CN" w:bidi="ar"/>
                    </w:rPr>
                    <w:t>经厂内截流沟渠流至初期雨水收集池，初期预售收集完成后，切换雨水阀，雨水通过厂外沟渠后排入白龙河，下游汇入龙洞河。项目地势西北为最低处，设置300m³的初期雨水收集池，初期雨水收集沉淀后回用于生产不外排。</w:t>
                  </w:r>
                </w:p>
              </w:tc>
              <w:tc>
                <w:tcPr>
                  <w:tcW w:w="3309" w:type="dxa"/>
                  <w:tcBorders>
                    <w:top w:val="single" w:color="000000" w:sz="4" w:space="0"/>
                    <w:left w:val="single" w:color="auto" w:sz="4" w:space="0"/>
                    <w:bottom w:val="single" w:color="auto" w:sz="4" w:space="0"/>
                    <w:right w:val="single" w:color="000000" w:sz="4" w:space="0"/>
                  </w:tcBorders>
                  <w:noWrap/>
                  <w:vAlign w:val="center"/>
                </w:tcPr>
                <w:p w14:paraId="2ECF6B2E">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ind w:firstLine="420" w:firstLineChars="200"/>
                    <w:jc w:val="both"/>
                    <w:textAlignment w:val="bottom"/>
                    <w:rPr>
                      <w:rFonts w:hint="eastAsia"/>
                      <w:color w:val="auto"/>
                      <w:kern w:val="0"/>
                      <w:szCs w:val="21"/>
                      <w:lang w:bidi="ar"/>
                    </w:rPr>
                  </w:pPr>
                  <w:r>
                    <w:rPr>
                      <w:rFonts w:hint="eastAsia"/>
                      <w:color w:val="auto"/>
                      <w:kern w:val="0"/>
                      <w:szCs w:val="21"/>
                      <w:lang w:val="en-US" w:eastAsia="zh-CN" w:bidi="ar"/>
                    </w:rPr>
                    <w:t>完善初期雨水收集管网；</w:t>
                  </w:r>
                  <w:r>
                    <w:rPr>
                      <w:color w:val="auto"/>
                      <w:kern w:val="0"/>
                      <w:szCs w:val="21"/>
                      <w:lang w:bidi="ar"/>
                    </w:rPr>
                    <w:t>雨水</w:t>
                  </w:r>
                  <w:r>
                    <w:rPr>
                      <w:rFonts w:hint="eastAsia"/>
                      <w:color w:val="auto"/>
                      <w:kern w:val="0"/>
                      <w:szCs w:val="21"/>
                      <w:lang w:val="en-US" w:eastAsia="zh-CN" w:bidi="ar"/>
                    </w:rPr>
                    <w:t>经厂内截流沟渠流至初期雨水收集池，初期预售收集完成后，切换雨水阀，雨水通过厂外沟渠后排入白龙河，下游汇入龙洞河。项目地势西北为最低处，设置300m</w:t>
                  </w:r>
                  <w:r>
                    <w:rPr>
                      <w:rFonts w:hint="eastAsia"/>
                      <w:color w:val="auto"/>
                      <w:kern w:val="0"/>
                      <w:szCs w:val="21"/>
                      <w:vertAlign w:val="superscript"/>
                      <w:lang w:val="en-US" w:eastAsia="zh-CN" w:bidi="ar"/>
                    </w:rPr>
                    <w:t>3</w:t>
                  </w:r>
                  <w:r>
                    <w:rPr>
                      <w:rFonts w:hint="eastAsia"/>
                      <w:color w:val="auto"/>
                      <w:kern w:val="0"/>
                      <w:szCs w:val="21"/>
                      <w:lang w:val="en-US" w:eastAsia="zh-CN" w:bidi="ar"/>
                    </w:rPr>
                    <w:t>的初期雨水收集池，初期雨水收集沉淀后回用于生产不外排。</w:t>
                  </w:r>
                </w:p>
              </w:tc>
              <w:tc>
                <w:tcPr>
                  <w:tcW w:w="595" w:type="dxa"/>
                  <w:tcBorders>
                    <w:top w:val="single" w:color="auto" w:sz="4" w:space="0"/>
                    <w:left w:val="single" w:color="000000" w:sz="4" w:space="0"/>
                    <w:bottom w:val="single" w:color="auto" w:sz="4" w:space="0"/>
                    <w:right w:val="single" w:color="000000" w:sz="4" w:space="0"/>
                  </w:tcBorders>
                  <w:noWrap/>
                  <w:vAlign w:val="center"/>
                </w:tcPr>
                <w:p w14:paraId="787EA616">
                  <w:pPr>
                    <w:keepNext w:val="0"/>
                    <w:keepLines w:val="0"/>
                    <w:pageBreakBefore w:val="0"/>
                    <w:kinsoku/>
                    <w:wordWrap/>
                    <w:overflowPunct/>
                    <w:topLinePunct w:val="0"/>
                    <w:autoSpaceDE/>
                    <w:autoSpaceDN/>
                    <w:bidi w:val="0"/>
                    <w:adjustRightInd/>
                    <w:snapToGrid w:val="0"/>
                    <w:spacing w:before="63" w:beforeLines="20" w:after="63" w:afterLines="2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改建</w:t>
                  </w:r>
                </w:p>
              </w:tc>
            </w:tr>
            <w:tr w14:paraId="5160B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45" w:hRule="atLeast"/>
                <w:jc w:val="center"/>
              </w:trPr>
              <w:tc>
                <w:tcPr>
                  <w:tcW w:w="604" w:type="dxa"/>
                  <w:vMerge w:val="continue"/>
                  <w:tcBorders>
                    <w:top w:val="single" w:color="auto" w:sz="4" w:space="0"/>
                    <w:left w:val="single" w:color="auto" w:sz="4" w:space="0"/>
                    <w:bottom w:val="single" w:color="auto" w:sz="4" w:space="0"/>
                    <w:right w:val="single" w:color="auto" w:sz="4" w:space="0"/>
                  </w:tcBorders>
                  <w:noWrap/>
                  <w:vAlign w:val="center"/>
                </w:tcPr>
                <w:p w14:paraId="655EDCBA">
                  <w:pPr>
                    <w:keepNext w:val="0"/>
                    <w:keepLines w:val="0"/>
                    <w:pageBreakBefore w:val="0"/>
                    <w:kinsoku/>
                    <w:wordWrap/>
                    <w:overflowPunct/>
                    <w:topLinePunct w:val="0"/>
                    <w:autoSpaceDE/>
                    <w:autoSpaceDN/>
                    <w:bidi w:val="0"/>
                    <w:adjustRightInd/>
                    <w:snapToGrid w:val="0"/>
                    <w:spacing w:before="63" w:beforeLines="20" w:after="63" w:afterLines="20"/>
                    <w:jc w:val="center"/>
                    <w:rPr>
                      <w:rFonts w:hint="default" w:ascii="Times New Roman" w:hAnsi="Times New Roman" w:eastAsia="宋体" w:cs="Times New Roman"/>
                      <w:color w:val="auto"/>
                      <w:sz w:val="21"/>
                      <w:szCs w:val="21"/>
                    </w:rPr>
                  </w:pPr>
                </w:p>
              </w:tc>
              <w:tc>
                <w:tcPr>
                  <w:tcW w:w="951" w:type="dxa"/>
                  <w:gridSpan w:val="2"/>
                  <w:tcBorders>
                    <w:top w:val="single" w:color="auto" w:sz="4" w:space="0"/>
                    <w:left w:val="single" w:color="auto" w:sz="4" w:space="0"/>
                    <w:bottom w:val="single" w:color="auto" w:sz="4" w:space="0"/>
                    <w:right w:val="single" w:color="auto" w:sz="4" w:space="0"/>
                  </w:tcBorders>
                  <w:noWrap/>
                  <w:vAlign w:val="center"/>
                </w:tcPr>
                <w:p w14:paraId="5AE2CDAA">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kern w:val="0"/>
                      <w:sz w:val="21"/>
                      <w:szCs w:val="21"/>
                      <w:lang w:val="en-US" w:eastAsia="zh-CN" w:bidi="ar"/>
                    </w:rPr>
                  </w:pPr>
                  <w:r>
                    <w:rPr>
                      <w:rFonts w:hint="eastAsia"/>
                      <w:color w:val="auto"/>
                      <w:kern w:val="0"/>
                      <w:szCs w:val="21"/>
                      <w:lang w:val="en-US" w:eastAsia="zh-CN" w:bidi="ar"/>
                    </w:rPr>
                    <w:t>生活污水</w:t>
                  </w:r>
                </w:p>
              </w:tc>
              <w:tc>
                <w:tcPr>
                  <w:tcW w:w="2725" w:type="dxa"/>
                  <w:gridSpan w:val="2"/>
                  <w:tcBorders>
                    <w:top w:val="single" w:color="000000" w:sz="4" w:space="0"/>
                    <w:left w:val="single" w:color="auto" w:sz="4" w:space="0"/>
                    <w:bottom w:val="single" w:color="auto" w:sz="4" w:space="0"/>
                    <w:right w:val="single" w:color="000000" w:sz="4" w:space="0"/>
                  </w:tcBorders>
                  <w:noWrap/>
                  <w:vAlign w:val="center"/>
                </w:tcPr>
                <w:p w14:paraId="006D10FD">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ind w:firstLine="420" w:firstLineChars="200"/>
                    <w:jc w:val="both"/>
                    <w:textAlignment w:val="bottom"/>
                    <w:rPr>
                      <w:rFonts w:hint="default"/>
                      <w:color w:val="auto"/>
                      <w:kern w:val="0"/>
                      <w:szCs w:val="21"/>
                      <w:lang w:val="en-US" w:bidi="ar"/>
                    </w:rPr>
                  </w:pPr>
                  <w:r>
                    <w:rPr>
                      <w:rFonts w:hint="eastAsia"/>
                      <w:color w:val="auto"/>
                      <w:kern w:val="0"/>
                      <w:szCs w:val="21"/>
                      <w:lang w:val="en-US" w:eastAsia="zh-CN" w:bidi="ar"/>
                    </w:rPr>
                    <w:t>10m</w:t>
                  </w:r>
                  <w:r>
                    <w:rPr>
                      <w:rFonts w:hint="eastAsia"/>
                      <w:color w:val="auto"/>
                      <w:kern w:val="0"/>
                      <w:szCs w:val="21"/>
                      <w:vertAlign w:val="superscript"/>
                      <w:lang w:val="en-US" w:eastAsia="zh-CN" w:bidi="ar"/>
                    </w:rPr>
                    <w:t>3</w:t>
                  </w:r>
                  <w:r>
                    <w:rPr>
                      <w:rFonts w:hint="eastAsia"/>
                      <w:color w:val="auto"/>
                      <w:kern w:val="0"/>
                      <w:szCs w:val="21"/>
                      <w:lang w:val="en-US" w:eastAsia="zh-CN" w:bidi="ar"/>
                    </w:rPr>
                    <w:t>的化粪池处理后回用于绿化。</w:t>
                  </w:r>
                </w:p>
              </w:tc>
              <w:tc>
                <w:tcPr>
                  <w:tcW w:w="3309" w:type="dxa"/>
                  <w:tcBorders>
                    <w:top w:val="single" w:color="000000" w:sz="4" w:space="0"/>
                    <w:left w:val="single" w:color="auto" w:sz="4" w:space="0"/>
                    <w:bottom w:val="single" w:color="auto" w:sz="4" w:space="0"/>
                    <w:right w:val="single" w:color="000000" w:sz="4" w:space="0"/>
                  </w:tcBorders>
                  <w:noWrap/>
                  <w:vAlign w:val="center"/>
                </w:tcPr>
                <w:p w14:paraId="619D03DF">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ind w:firstLine="420" w:firstLineChars="200"/>
                    <w:jc w:val="both"/>
                    <w:textAlignment w:val="bottom"/>
                    <w:rPr>
                      <w:rFonts w:hint="eastAsia"/>
                      <w:color w:val="auto"/>
                      <w:kern w:val="0"/>
                      <w:szCs w:val="21"/>
                      <w:lang w:val="en-US" w:eastAsia="zh-CN" w:bidi="ar"/>
                    </w:rPr>
                  </w:pPr>
                  <w:r>
                    <w:rPr>
                      <w:rFonts w:hint="eastAsia"/>
                      <w:color w:val="auto"/>
                      <w:kern w:val="0"/>
                      <w:szCs w:val="21"/>
                      <w:lang w:val="en-US" w:eastAsia="zh-CN" w:bidi="ar"/>
                    </w:rPr>
                    <w:t>项目生活污水经自建的10m</w:t>
                  </w:r>
                  <w:r>
                    <w:rPr>
                      <w:rFonts w:hint="eastAsia"/>
                      <w:color w:val="auto"/>
                      <w:kern w:val="0"/>
                      <w:szCs w:val="21"/>
                      <w:vertAlign w:val="superscript"/>
                      <w:lang w:val="en-US" w:eastAsia="zh-CN" w:bidi="ar"/>
                    </w:rPr>
                    <w:t>3</w:t>
                  </w:r>
                  <w:r>
                    <w:rPr>
                      <w:rFonts w:hint="eastAsia"/>
                      <w:color w:val="auto"/>
                      <w:kern w:val="0"/>
                      <w:szCs w:val="21"/>
                      <w:lang w:val="en-US" w:eastAsia="zh-CN" w:bidi="ar"/>
                    </w:rPr>
                    <w:t>的化粪池处理后，</w:t>
                  </w:r>
                  <w:r>
                    <w:rPr>
                      <w:rFonts w:hint="eastAsia"/>
                      <w:b w:val="0"/>
                      <w:bCs/>
                      <w:color w:val="auto"/>
                      <w:sz w:val="21"/>
                      <w:szCs w:val="21"/>
                      <w:lang w:val="en-US" w:eastAsia="zh-CN"/>
                    </w:rPr>
                    <w:t>委托环卫车辆运送至华宁北控环保水务有限公司管理运营的华宁县城污水处理厂处理</w:t>
                  </w:r>
                  <w:r>
                    <w:rPr>
                      <w:rFonts w:hint="eastAsia"/>
                      <w:color w:val="auto"/>
                      <w:kern w:val="0"/>
                      <w:szCs w:val="21"/>
                      <w:lang w:val="en-US" w:eastAsia="zh-CN" w:bidi="ar"/>
                    </w:rPr>
                    <w:t>。</w:t>
                  </w:r>
                </w:p>
              </w:tc>
              <w:tc>
                <w:tcPr>
                  <w:tcW w:w="595" w:type="dxa"/>
                  <w:tcBorders>
                    <w:top w:val="single" w:color="auto" w:sz="4" w:space="0"/>
                    <w:left w:val="single" w:color="000000" w:sz="4" w:space="0"/>
                    <w:bottom w:val="single" w:color="auto" w:sz="4" w:space="0"/>
                    <w:right w:val="single" w:color="000000" w:sz="4" w:space="0"/>
                  </w:tcBorders>
                  <w:noWrap/>
                  <w:vAlign w:val="center"/>
                </w:tcPr>
                <w:p w14:paraId="32BBE5F9">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eastAsia" w:cs="Times New Roman"/>
                      <w:color w:val="auto"/>
                      <w:sz w:val="21"/>
                      <w:szCs w:val="21"/>
                      <w:lang w:val="en-US" w:eastAsia="zh-CN"/>
                    </w:rPr>
                  </w:pPr>
                  <w:r>
                    <w:rPr>
                      <w:rFonts w:hint="eastAsia" w:cs="Times New Roman"/>
                      <w:color w:val="auto"/>
                      <w:sz w:val="21"/>
                      <w:szCs w:val="21"/>
                      <w:lang w:val="en-US" w:eastAsia="zh-CN"/>
                    </w:rPr>
                    <w:t>改建</w:t>
                  </w:r>
                </w:p>
              </w:tc>
            </w:tr>
            <w:tr w14:paraId="18EE7C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0" w:hRule="atLeast"/>
                <w:jc w:val="center"/>
              </w:trPr>
              <w:tc>
                <w:tcPr>
                  <w:tcW w:w="604" w:type="dxa"/>
                  <w:vMerge w:val="continue"/>
                  <w:tcBorders>
                    <w:top w:val="single" w:color="auto" w:sz="4" w:space="0"/>
                    <w:left w:val="single" w:color="auto" w:sz="4" w:space="0"/>
                    <w:bottom w:val="single" w:color="auto" w:sz="4" w:space="0"/>
                    <w:right w:val="single" w:color="auto" w:sz="4" w:space="0"/>
                  </w:tcBorders>
                  <w:noWrap/>
                  <w:vAlign w:val="center"/>
                </w:tcPr>
                <w:p w14:paraId="4ED2CBFA">
                  <w:pPr>
                    <w:keepNext w:val="0"/>
                    <w:keepLines w:val="0"/>
                    <w:pageBreakBefore w:val="0"/>
                    <w:kinsoku/>
                    <w:wordWrap/>
                    <w:overflowPunct/>
                    <w:topLinePunct w:val="0"/>
                    <w:autoSpaceDE/>
                    <w:autoSpaceDN/>
                    <w:bidi w:val="0"/>
                    <w:adjustRightInd/>
                    <w:snapToGrid w:val="0"/>
                    <w:spacing w:before="63" w:beforeLines="20" w:after="63" w:afterLines="20"/>
                    <w:jc w:val="center"/>
                    <w:rPr>
                      <w:rFonts w:hint="default" w:ascii="Times New Roman" w:hAnsi="Times New Roman" w:eastAsia="宋体" w:cs="Times New Roman"/>
                      <w:color w:val="auto"/>
                      <w:sz w:val="21"/>
                      <w:szCs w:val="21"/>
                    </w:rPr>
                  </w:pPr>
                </w:p>
              </w:tc>
              <w:tc>
                <w:tcPr>
                  <w:tcW w:w="951" w:type="dxa"/>
                  <w:gridSpan w:val="2"/>
                  <w:tcBorders>
                    <w:top w:val="single" w:color="auto" w:sz="4" w:space="0"/>
                    <w:left w:val="single" w:color="auto" w:sz="4" w:space="0"/>
                    <w:bottom w:val="single" w:color="auto" w:sz="4" w:space="0"/>
                    <w:right w:val="single" w:color="auto" w:sz="4" w:space="0"/>
                  </w:tcBorders>
                  <w:noWrap/>
                  <w:vAlign w:val="center"/>
                </w:tcPr>
                <w:p w14:paraId="3FEF0F25">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kern w:val="0"/>
                      <w:sz w:val="21"/>
                      <w:szCs w:val="21"/>
                      <w:lang w:val="en-US" w:eastAsia="zh-CN" w:bidi="ar"/>
                    </w:rPr>
                  </w:pPr>
                  <w:r>
                    <w:rPr>
                      <w:rFonts w:hint="eastAsia"/>
                      <w:color w:val="auto"/>
                      <w:kern w:val="0"/>
                      <w:szCs w:val="21"/>
                      <w:lang w:val="en-US" w:eastAsia="zh-CN" w:bidi="ar"/>
                    </w:rPr>
                    <w:t>生产废水</w:t>
                  </w:r>
                </w:p>
              </w:tc>
              <w:tc>
                <w:tcPr>
                  <w:tcW w:w="2725" w:type="dxa"/>
                  <w:gridSpan w:val="2"/>
                  <w:tcBorders>
                    <w:top w:val="single" w:color="auto" w:sz="4" w:space="0"/>
                    <w:left w:val="single" w:color="auto" w:sz="4" w:space="0"/>
                    <w:bottom w:val="single" w:color="000000" w:sz="4" w:space="0"/>
                    <w:right w:val="single" w:color="000000" w:sz="4" w:space="0"/>
                  </w:tcBorders>
                  <w:noWrap/>
                  <w:vAlign w:val="center"/>
                </w:tcPr>
                <w:p w14:paraId="299DF219">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ind w:firstLine="420" w:firstLineChars="200"/>
                    <w:jc w:val="both"/>
                    <w:textAlignment w:val="bottom"/>
                    <w:rPr>
                      <w:rFonts w:hint="default" w:eastAsia="宋体"/>
                      <w:color w:val="auto"/>
                      <w:kern w:val="0"/>
                      <w:szCs w:val="21"/>
                      <w:lang w:val="en-US" w:eastAsia="zh-CN" w:bidi="ar"/>
                    </w:rPr>
                  </w:pPr>
                  <w:r>
                    <w:rPr>
                      <w:rFonts w:hint="eastAsia"/>
                      <w:color w:val="auto"/>
                      <w:kern w:val="0"/>
                      <w:szCs w:val="21"/>
                      <w:lang w:val="en-US" w:eastAsia="zh-CN" w:bidi="ar"/>
                    </w:rPr>
                    <w:t>无</w:t>
                  </w:r>
                  <w:r>
                    <w:rPr>
                      <w:rFonts w:hint="eastAsia" w:ascii="Times New Roman" w:hAnsi="Times New Roman" w:eastAsia="宋体" w:cs="Times New Roman"/>
                      <w:color w:val="auto"/>
                      <w:kern w:val="0"/>
                      <w:sz w:val="21"/>
                      <w:szCs w:val="21"/>
                      <w:lang w:eastAsia="zh-CN" w:bidi="ar"/>
                    </w:rPr>
                    <w:t>。</w:t>
                  </w:r>
                </w:p>
              </w:tc>
              <w:tc>
                <w:tcPr>
                  <w:tcW w:w="3309" w:type="dxa"/>
                  <w:tcBorders>
                    <w:top w:val="single" w:color="auto" w:sz="4" w:space="0"/>
                    <w:left w:val="single" w:color="auto" w:sz="4" w:space="0"/>
                    <w:bottom w:val="single" w:color="000000" w:sz="4" w:space="0"/>
                    <w:right w:val="single" w:color="000000" w:sz="4" w:space="0"/>
                  </w:tcBorders>
                  <w:noWrap/>
                  <w:vAlign w:val="center"/>
                </w:tcPr>
                <w:p w14:paraId="2CA7E87A">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ind w:firstLine="420" w:firstLineChars="200"/>
                    <w:jc w:val="both"/>
                    <w:textAlignment w:val="bottom"/>
                    <w:rPr>
                      <w:rFonts w:hint="eastAsia"/>
                      <w:color w:val="auto"/>
                      <w:kern w:val="0"/>
                      <w:szCs w:val="21"/>
                      <w:lang w:val="en-US" w:eastAsia="zh-CN" w:bidi="ar"/>
                    </w:rPr>
                  </w:pPr>
                  <w:r>
                    <w:rPr>
                      <w:rFonts w:hint="eastAsia"/>
                      <w:color w:val="auto"/>
                      <w:kern w:val="0"/>
                      <w:szCs w:val="21"/>
                      <w:lang w:val="en-US" w:eastAsia="zh-CN" w:bidi="ar"/>
                    </w:rPr>
                    <w:t>脱硫塔配套设置1个脱硫塔循环水沉淀池，为三级沉淀+1级循环水池，共计4个池，各池容积为5m</w:t>
                  </w:r>
                  <w:r>
                    <w:rPr>
                      <w:rFonts w:hint="eastAsia"/>
                      <w:color w:val="auto"/>
                      <w:kern w:val="0"/>
                      <w:szCs w:val="21"/>
                      <w:vertAlign w:val="superscript"/>
                      <w:lang w:val="en-US" w:eastAsia="zh-CN" w:bidi="ar"/>
                    </w:rPr>
                    <w:t>3</w:t>
                  </w:r>
                  <w:r>
                    <w:rPr>
                      <w:rFonts w:hint="eastAsia"/>
                      <w:color w:val="auto"/>
                      <w:kern w:val="0"/>
                      <w:szCs w:val="21"/>
                      <w:lang w:val="en-US" w:eastAsia="zh-CN" w:bidi="ar"/>
                    </w:rPr>
                    <w:t>，总容积为20m</w:t>
                  </w:r>
                  <w:r>
                    <w:rPr>
                      <w:rFonts w:hint="eastAsia"/>
                      <w:color w:val="auto"/>
                      <w:kern w:val="0"/>
                      <w:szCs w:val="21"/>
                      <w:vertAlign w:val="superscript"/>
                      <w:lang w:val="en-US" w:eastAsia="zh-CN" w:bidi="ar"/>
                    </w:rPr>
                    <w:t>3</w:t>
                  </w:r>
                  <w:r>
                    <w:rPr>
                      <w:rFonts w:hint="eastAsia"/>
                      <w:color w:val="auto"/>
                      <w:kern w:val="0"/>
                      <w:szCs w:val="21"/>
                      <w:lang w:val="en-US" w:eastAsia="zh-CN" w:bidi="ar"/>
                    </w:rPr>
                    <w:t>，供脱硫塔喷淋水循环沉淀。喷淋废水循环使用，不外排。脱硫塔循环水沉淀池</w:t>
                  </w:r>
                  <w:r>
                    <w:rPr>
                      <w:rFonts w:hint="eastAsia" w:ascii="Times New Roman" w:hAnsi="Times New Roman" w:cs="Times New Roman"/>
                      <w:color w:val="auto"/>
                      <w:lang w:val="en-US" w:eastAsia="zh-CN"/>
                    </w:rPr>
                    <w:t>建设执行</w:t>
                  </w:r>
                  <w:r>
                    <w:rPr>
                      <w:rFonts w:hint="default" w:ascii="Times New Roman" w:hAnsi="Times New Roman" w:eastAsia="宋体" w:cs="Times New Roman"/>
                      <w:color w:val="auto"/>
                      <w:kern w:val="0"/>
                      <w:sz w:val="21"/>
                      <w:szCs w:val="21"/>
                      <w:lang w:bidi="ar"/>
                    </w:rPr>
                    <w:t>《环境影响评价技术导则-地下水环境》（HJ610-2016）中的防渗要求，</w:t>
                  </w:r>
                  <w:r>
                    <w:rPr>
                      <w:rFonts w:hint="eastAsia" w:ascii="Times New Roman" w:hAnsi="Times New Roman" w:eastAsia="宋体" w:cs="Times New Roman"/>
                      <w:color w:val="auto"/>
                      <w:kern w:val="0"/>
                      <w:sz w:val="21"/>
                      <w:szCs w:val="21"/>
                      <w:lang w:val="en-US" w:eastAsia="zh-CN" w:bidi="ar"/>
                    </w:rPr>
                    <w:t>进行重点防渗，防渗</w:t>
                  </w:r>
                  <w:r>
                    <w:rPr>
                      <w:rFonts w:hint="default" w:ascii="Times New Roman" w:hAnsi="Times New Roman" w:eastAsia="宋体" w:cs="Times New Roman"/>
                      <w:color w:val="auto"/>
                      <w:sz w:val="21"/>
                      <w:szCs w:val="21"/>
                    </w:rPr>
                    <w:t>系数K≤1.0×10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w:t>
                  </w:r>
                  <w:r>
                    <w:rPr>
                      <w:rFonts w:hint="eastAsia" w:cs="Times New Roman"/>
                      <w:color w:val="auto"/>
                      <w:sz w:val="21"/>
                      <w:szCs w:val="21"/>
                      <w:lang w:eastAsia="zh-CN"/>
                    </w:rPr>
                    <w:t>，</w:t>
                  </w:r>
                  <w:r>
                    <w:rPr>
                      <w:rFonts w:hint="default" w:ascii="Times New Roman" w:hAnsi="Times New Roman" w:eastAsia="宋体" w:cs="Times New Roman"/>
                      <w:b w:val="0"/>
                      <w:bCs w:val="0"/>
                      <w:color w:val="auto"/>
                      <w:sz w:val="21"/>
                      <w:szCs w:val="21"/>
                      <w:highlight w:val="none"/>
                      <w:lang w:val="en-US" w:eastAsia="zh-CN"/>
                    </w:rPr>
                    <w:t>在混凝土场地防渗基础上，再铺设一层</w:t>
                  </w:r>
                  <w:r>
                    <w:rPr>
                      <w:rFonts w:hint="eastAsia" w:cs="Times New Roman"/>
                      <w:b w:val="0"/>
                      <w:bCs w:val="0"/>
                      <w:color w:val="auto"/>
                      <w:sz w:val="21"/>
                      <w:szCs w:val="21"/>
                      <w:highlight w:val="none"/>
                      <w:lang w:val="en-US" w:eastAsia="zh-CN"/>
                    </w:rPr>
                    <w:t>厚度不低于2mmHDPE人工防渗层</w:t>
                  </w:r>
                  <w:r>
                    <w:rPr>
                      <w:rFonts w:hint="default" w:ascii="Times New Roman" w:hAnsi="Times New Roman" w:eastAsia="宋体" w:cs="Times New Roman"/>
                      <w:b w:val="0"/>
                      <w:bCs w:val="0"/>
                      <w:color w:val="auto"/>
                      <w:sz w:val="21"/>
                      <w:szCs w:val="21"/>
                      <w:highlight w:val="none"/>
                      <w:lang w:val="en-US" w:eastAsia="zh-CN"/>
                    </w:rPr>
                    <w:t>，确保重点防渗区地面防渗能力</w:t>
                  </w:r>
                  <w:r>
                    <w:rPr>
                      <w:rFonts w:hint="eastAsia" w:ascii="Times New Roman" w:hAnsi="Times New Roman" w:eastAsia="宋体" w:cs="Times New Roman"/>
                      <w:color w:val="auto"/>
                      <w:kern w:val="0"/>
                      <w:sz w:val="21"/>
                      <w:szCs w:val="21"/>
                      <w:lang w:eastAsia="zh-CN" w:bidi="ar"/>
                    </w:rPr>
                    <w:t>。</w:t>
                  </w:r>
                </w:p>
              </w:tc>
              <w:tc>
                <w:tcPr>
                  <w:tcW w:w="595" w:type="dxa"/>
                  <w:tcBorders>
                    <w:top w:val="single" w:color="auto" w:sz="4" w:space="0"/>
                    <w:left w:val="single" w:color="000000" w:sz="4" w:space="0"/>
                    <w:bottom w:val="single" w:color="auto" w:sz="4" w:space="0"/>
                    <w:right w:val="single" w:color="000000" w:sz="4" w:space="0"/>
                  </w:tcBorders>
                  <w:noWrap/>
                  <w:vAlign w:val="center"/>
                </w:tcPr>
                <w:p w14:paraId="0426E5C7">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eastAsia"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新建</w:t>
                  </w:r>
                </w:p>
              </w:tc>
            </w:tr>
            <w:tr w14:paraId="746BA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90" w:hRule="atLeast"/>
                <w:jc w:val="center"/>
              </w:trPr>
              <w:tc>
                <w:tcPr>
                  <w:tcW w:w="604" w:type="dxa"/>
                  <w:vMerge w:val="continue"/>
                  <w:tcBorders>
                    <w:top w:val="single" w:color="auto" w:sz="4" w:space="0"/>
                    <w:left w:val="single" w:color="auto" w:sz="4" w:space="0"/>
                    <w:bottom w:val="single" w:color="auto" w:sz="4" w:space="0"/>
                    <w:right w:val="single" w:color="auto" w:sz="4" w:space="0"/>
                  </w:tcBorders>
                  <w:noWrap/>
                  <w:vAlign w:val="center"/>
                </w:tcPr>
                <w:p w14:paraId="79588162">
                  <w:pPr>
                    <w:keepNext w:val="0"/>
                    <w:keepLines w:val="0"/>
                    <w:pageBreakBefore w:val="0"/>
                    <w:kinsoku/>
                    <w:wordWrap/>
                    <w:overflowPunct/>
                    <w:topLinePunct w:val="0"/>
                    <w:autoSpaceDE/>
                    <w:autoSpaceDN/>
                    <w:bidi w:val="0"/>
                    <w:adjustRightInd/>
                    <w:snapToGrid w:val="0"/>
                    <w:spacing w:before="63" w:beforeLines="20" w:after="63" w:afterLines="20"/>
                    <w:jc w:val="center"/>
                    <w:rPr>
                      <w:rFonts w:hint="default" w:ascii="Times New Roman" w:hAnsi="Times New Roman" w:eastAsia="宋体" w:cs="Times New Roman"/>
                      <w:color w:val="auto"/>
                      <w:sz w:val="21"/>
                      <w:szCs w:val="21"/>
                    </w:rPr>
                  </w:pPr>
                </w:p>
              </w:tc>
              <w:tc>
                <w:tcPr>
                  <w:tcW w:w="951" w:type="dxa"/>
                  <w:gridSpan w:val="2"/>
                  <w:tcBorders>
                    <w:top w:val="single" w:color="auto" w:sz="4" w:space="0"/>
                    <w:left w:val="single" w:color="auto" w:sz="4" w:space="0"/>
                    <w:bottom w:val="single" w:color="auto" w:sz="4" w:space="0"/>
                    <w:right w:val="single" w:color="auto" w:sz="4" w:space="0"/>
                  </w:tcBorders>
                  <w:noWrap/>
                  <w:vAlign w:val="center"/>
                </w:tcPr>
                <w:p w14:paraId="52682B3A">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噪声</w:t>
                  </w:r>
                </w:p>
              </w:tc>
              <w:tc>
                <w:tcPr>
                  <w:tcW w:w="6034" w:type="dxa"/>
                  <w:gridSpan w:val="3"/>
                  <w:tcBorders>
                    <w:top w:val="single" w:color="000000" w:sz="4" w:space="0"/>
                    <w:left w:val="single" w:color="auto" w:sz="4" w:space="0"/>
                    <w:bottom w:val="single" w:color="auto" w:sz="4" w:space="0"/>
                    <w:right w:val="single" w:color="000000" w:sz="4" w:space="0"/>
                  </w:tcBorders>
                  <w:noWrap/>
                  <w:vAlign w:val="center"/>
                </w:tcPr>
                <w:p w14:paraId="5A01042A">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ind w:firstLine="420" w:firstLineChars="200"/>
                    <w:jc w:val="both"/>
                    <w:textAlignment w:val="bottom"/>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安装减</w:t>
                  </w:r>
                  <w:r>
                    <w:rPr>
                      <w:rFonts w:hint="eastAsia" w:cs="Times New Roman"/>
                      <w:color w:val="auto"/>
                      <w:sz w:val="21"/>
                      <w:szCs w:val="21"/>
                      <w:lang w:val="en-US" w:eastAsia="zh-CN"/>
                    </w:rPr>
                    <w:t>振</w:t>
                  </w:r>
                  <w:r>
                    <w:rPr>
                      <w:rFonts w:hint="default" w:ascii="Times New Roman" w:hAnsi="Times New Roman" w:eastAsia="宋体" w:cs="Times New Roman"/>
                      <w:color w:val="auto"/>
                      <w:sz w:val="21"/>
                      <w:szCs w:val="21"/>
                    </w:rPr>
                    <w:t>垫、距离衰减、车间</w:t>
                  </w:r>
                  <w:r>
                    <w:rPr>
                      <w:rFonts w:hint="default" w:ascii="Times New Roman" w:hAnsi="Times New Roman" w:eastAsia="宋体" w:cs="Times New Roman"/>
                      <w:color w:val="auto"/>
                      <w:sz w:val="21"/>
                      <w:szCs w:val="21"/>
                      <w:lang w:val="en-US" w:eastAsia="zh-CN"/>
                    </w:rPr>
                    <w:t>厂房</w:t>
                  </w:r>
                  <w:r>
                    <w:rPr>
                      <w:rFonts w:hint="default" w:ascii="Times New Roman" w:hAnsi="Times New Roman" w:eastAsia="宋体" w:cs="Times New Roman"/>
                      <w:color w:val="auto"/>
                      <w:sz w:val="21"/>
                      <w:szCs w:val="21"/>
                    </w:rPr>
                    <w:t>隔声等措施</w:t>
                  </w:r>
                  <w:r>
                    <w:rPr>
                      <w:rFonts w:hint="default" w:ascii="Times New Roman" w:hAnsi="Times New Roman" w:eastAsia="宋体" w:cs="Times New Roman"/>
                      <w:color w:val="auto"/>
                      <w:sz w:val="21"/>
                      <w:szCs w:val="21"/>
                      <w:lang w:eastAsia="zh-CN"/>
                    </w:rPr>
                    <w:t>。</w:t>
                  </w:r>
                </w:p>
              </w:tc>
              <w:tc>
                <w:tcPr>
                  <w:tcW w:w="595" w:type="dxa"/>
                  <w:tcBorders>
                    <w:top w:val="single" w:color="auto" w:sz="4" w:space="0"/>
                    <w:left w:val="single" w:color="000000" w:sz="4" w:space="0"/>
                    <w:bottom w:val="single" w:color="auto" w:sz="4" w:space="0"/>
                    <w:right w:val="single" w:color="000000" w:sz="4" w:space="0"/>
                  </w:tcBorders>
                  <w:noWrap/>
                  <w:vAlign w:val="center"/>
                </w:tcPr>
                <w:p w14:paraId="7F21AB56">
                  <w:pPr>
                    <w:keepNext w:val="0"/>
                    <w:keepLines w:val="0"/>
                    <w:pageBreakBefore w:val="0"/>
                    <w:kinsoku/>
                    <w:wordWrap/>
                    <w:overflowPunct/>
                    <w:topLinePunct w:val="0"/>
                    <w:autoSpaceDE/>
                    <w:autoSpaceDN/>
                    <w:bidi w:val="0"/>
                    <w:adjustRightInd/>
                    <w:snapToGrid w:val="0"/>
                    <w:spacing w:before="63" w:beforeLines="20" w:after="63" w:afterLines="2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新建</w:t>
                  </w:r>
                </w:p>
              </w:tc>
            </w:tr>
            <w:tr w14:paraId="1709D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8" w:hRule="atLeast"/>
                <w:jc w:val="center"/>
              </w:trPr>
              <w:tc>
                <w:tcPr>
                  <w:tcW w:w="604" w:type="dxa"/>
                  <w:vMerge w:val="continue"/>
                  <w:tcBorders>
                    <w:top w:val="single" w:color="auto" w:sz="4" w:space="0"/>
                    <w:left w:val="single" w:color="auto" w:sz="4" w:space="0"/>
                    <w:bottom w:val="single" w:color="auto" w:sz="4" w:space="0"/>
                    <w:right w:val="single" w:color="auto" w:sz="4" w:space="0"/>
                  </w:tcBorders>
                  <w:noWrap/>
                  <w:vAlign w:val="center"/>
                </w:tcPr>
                <w:p w14:paraId="07E5AB0B">
                  <w:pPr>
                    <w:keepNext w:val="0"/>
                    <w:keepLines w:val="0"/>
                    <w:pageBreakBefore w:val="0"/>
                    <w:kinsoku/>
                    <w:wordWrap/>
                    <w:overflowPunct/>
                    <w:topLinePunct w:val="0"/>
                    <w:autoSpaceDE/>
                    <w:autoSpaceDN/>
                    <w:bidi w:val="0"/>
                    <w:adjustRightInd/>
                    <w:snapToGrid w:val="0"/>
                    <w:spacing w:before="63" w:beforeLines="20" w:after="63" w:afterLines="20"/>
                    <w:jc w:val="center"/>
                    <w:rPr>
                      <w:rFonts w:hint="default" w:ascii="Times New Roman" w:hAnsi="Times New Roman" w:eastAsia="宋体" w:cs="Times New Roman"/>
                      <w:color w:val="auto"/>
                      <w:sz w:val="21"/>
                      <w:szCs w:val="21"/>
                    </w:rPr>
                  </w:pPr>
                </w:p>
              </w:tc>
              <w:tc>
                <w:tcPr>
                  <w:tcW w:w="951" w:type="dxa"/>
                  <w:gridSpan w:val="2"/>
                  <w:vMerge w:val="restart"/>
                  <w:tcBorders>
                    <w:top w:val="single" w:color="auto" w:sz="4" w:space="0"/>
                    <w:left w:val="single" w:color="auto" w:sz="4" w:space="0"/>
                    <w:right w:val="single" w:color="auto" w:sz="4" w:space="0"/>
                  </w:tcBorders>
                  <w:noWrap/>
                  <w:vAlign w:val="center"/>
                </w:tcPr>
                <w:p w14:paraId="33E62AE3">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固体废物</w:t>
                  </w:r>
                </w:p>
              </w:tc>
              <w:tc>
                <w:tcPr>
                  <w:tcW w:w="1302" w:type="dxa"/>
                  <w:tcBorders>
                    <w:top w:val="single" w:color="auto" w:sz="4" w:space="0"/>
                    <w:left w:val="single" w:color="auto" w:sz="4" w:space="0"/>
                    <w:bottom w:val="single" w:color="auto" w:sz="4" w:space="0"/>
                    <w:right w:val="single" w:color="auto" w:sz="4" w:space="0"/>
                  </w:tcBorders>
                  <w:noWrap/>
                  <w:vAlign w:val="center"/>
                </w:tcPr>
                <w:p w14:paraId="1D607E15">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jc w:val="center"/>
                    <w:textAlignment w:val="auto"/>
                    <w:rPr>
                      <w:rFonts w:hint="default" w:ascii="Times New Roman" w:hAnsi="Times New Roman" w:eastAsia="宋体" w:cs="Times New Roman"/>
                      <w:color w:val="auto"/>
                      <w:sz w:val="21"/>
                      <w:szCs w:val="21"/>
                    </w:rPr>
                  </w:pPr>
                  <w:r>
                    <w:rPr>
                      <w:b w:val="0"/>
                      <w:bCs/>
                      <w:color w:val="auto"/>
                      <w:sz w:val="21"/>
                      <w:szCs w:val="21"/>
                    </w:rPr>
                    <w:t>生活垃圾</w:t>
                  </w:r>
                </w:p>
              </w:tc>
              <w:tc>
                <w:tcPr>
                  <w:tcW w:w="4732" w:type="dxa"/>
                  <w:gridSpan w:val="2"/>
                  <w:tcBorders>
                    <w:top w:val="single" w:color="auto" w:sz="4" w:space="0"/>
                    <w:left w:val="single" w:color="auto" w:sz="4" w:space="0"/>
                    <w:bottom w:val="single" w:color="auto" w:sz="4" w:space="0"/>
                    <w:right w:val="single" w:color="auto" w:sz="4" w:space="0"/>
                  </w:tcBorders>
                  <w:noWrap/>
                  <w:vAlign w:val="center"/>
                </w:tcPr>
                <w:p w14:paraId="3A3E8F80">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eastAsia"/>
                      <w:b w:val="0"/>
                      <w:bCs/>
                      <w:color w:val="auto"/>
                      <w:sz w:val="21"/>
                      <w:szCs w:val="21"/>
                      <w:lang w:eastAsia="zh-CN"/>
                    </w:rPr>
                    <w:t>设置</w:t>
                  </w:r>
                  <w:r>
                    <w:rPr>
                      <w:b w:val="0"/>
                      <w:bCs/>
                      <w:color w:val="auto"/>
                      <w:sz w:val="21"/>
                      <w:szCs w:val="21"/>
                    </w:rPr>
                    <w:t>垃圾收集桶若干</w:t>
                  </w:r>
                  <w:r>
                    <w:rPr>
                      <w:rFonts w:hint="eastAsia"/>
                      <w:b w:val="0"/>
                      <w:bCs/>
                      <w:color w:val="auto"/>
                      <w:sz w:val="21"/>
                      <w:szCs w:val="21"/>
                      <w:lang w:eastAsia="zh-CN"/>
                    </w:rPr>
                    <w:t>，委托环卫部门清运处置。</w:t>
                  </w:r>
                </w:p>
              </w:tc>
              <w:tc>
                <w:tcPr>
                  <w:tcW w:w="595" w:type="dxa"/>
                  <w:tcBorders>
                    <w:top w:val="single" w:color="auto" w:sz="4" w:space="0"/>
                    <w:left w:val="single" w:color="auto" w:sz="4" w:space="0"/>
                    <w:bottom w:val="single" w:color="auto" w:sz="4" w:space="0"/>
                    <w:right w:val="single" w:color="auto" w:sz="4" w:space="0"/>
                  </w:tcBorders>
                  <w:noWrap/>
                  <w:vAlign w:val="center"/>
                </w:tcPr>
                <w:p w14:paraId="2BD88357">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b w:val="0"/>
                      <w:bCs/>
                      <w:color w:val="auto"/>
                      <w:sz w:val="21"/>
                      <w:szCs w:val="21"/>
                      <w:lang w:val="en-US" w:eastAsia="zh-CN"/>
                    </w:rPr>
                    <w:t>新建</w:t>
                  </w:r>
                </w:p>
              </w:tc>
            </w:tr>
            <w:tr w14:paraId="21884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8" w:hRule="atLeast"/>
                <w:jc w:val="center"/>
              </w:trPr>
              <w:tc>
                <w:tcPr>
                  <w:tcW w:w="604" w:type="dxa"/>
                  <w:vMerge w:val="continue"/>
                  <w:tcBorders>
                    <w:top w:val="single" w:color="auto" w:sz="4" w:space="0"/>
                    <w:left w:val="single" w:color="auto" w:sz="4" w:space="0"/>
                    <w:bottom w:val="single" w:color="auto" w:sz="4" w:space="0"/>
                    <w:right w:val="single" w:color="auto" w:sz="4" w:space="0"/>
                  </w:tcBorders>
                  <w:noWrap/>
                  <w:vAlign w:val="center"/>
                </w:tcPr>
                <w:p w14:paraId="262C51E7">
                  <w:pPr>
                    <w:keepNext w:val="0"/>
                    <w:keepLines w:val="0"/>
                    <w:pageBreakBefore w:val="0"/>
                    <w:kinsoku/>
                    <w:wordWrap/>
                    <w:overflowPunct/>
                    <w:topLinePunct w:val="0"/>
                    <w:autoSpaceDE/>
                    <w:autoSpaceDN/>
                    <w:bidi w:val="0"/>
                    <w:adjustRightInd/>
                    <w:snapToGrid w:val="0"/>
                    <w:spacing w:before="63" w:beforeLines="20" w:after="63" w:afterLines="20"/>
                    <w:jc w:val="center"/>
                    <w:rPr>
                      <w:rFonts w:hint="default" w:ascii="Times New Roman" w:hAnsi="Times New Roman" w:eastAsia="宋体" w:cs="Times New Roman"/>
                      <w:color w:val="auto"/>
                      <w:sz w:val="21"/>
                      <w:szCs w:val="21"/>
                    </w:rPr>
                  </w:pPr>
                </w:p>
              </w:tc>
              <w:tc>
                <w:tcPr>
                  <w:tcW w:w="951" w:type="dxa"/>
                  <w:gridSpan w:val="2"/>
                  <w:vMerge w:val="continue"/>
                  <w:tcBorders>
                    <w:left w:val="single" w:color="auto" w:sz="4" w:space="0"/>
                    <w:right w:val="single" w:color="auto" w:sz="4" w:space="0"/>
                  </w:tcBorders>
                  <w:noWrap/>
                  <w:vAlign w:val="center"/>
                </w:tcPr>
                <w:p w14:paraId="19D9806E">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kern w:val="0"/>
                      <w:sz w:val="21"/>
                      <w:szCs w:val="21"/>
                      <w:lang w:val="en-US" w:eastAsia="zh-CN" w:bidi="ar"/>
                    </w:rPr>
                  </w:pPr>
                </w:p>
              </w:tc>
              <w:tc>
                <w:tcPr>
                  <w:tcW w:w="1302" w:type="dxa"/>
                  <w:tcBorders>
                    <w:top w:val="single" w:color="auto" w:sz="4" w:space="0"/>
                    <w:left w:val="single" w:color="auto" w:sz="4" w:space="0"/>
                    <w:bottom w:val="single" w:color="auto" w:sz="4" w:space="0"/>
                    <w:right w:val="single" w:color="auto" w:sz="4" w:space="0"/>
                  </w:tcBorders>
                  <w:noWrap/>
                  <w:vAlign w:val="center"/>
                </w:tcPr>
                <w:p w14:paraId="1FEAA81E">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b w:val="0"/>
                      <w:bCs/>
                      <w:color w:val="auto"/>
                      <w:sz w:val="21"/>
                      <w:szCs w:val="21"/>
                      <w:lang w:eastAsia="zh-CN"/>
                    </w:rPr>
                    <w:t>窑灰</w:t>
                  </w:r>
                </w:p>
              </w:tc>
              <w:tc>
                <w:tcPr>
                  <w:tcW w:w="4732" w:type="dxa"/>
                  <w:gridSpan w:val="2"/>
                  <w:tcBorders>
                    <w:top w:val="single" w:color="auto" w:sz="4" w:space="0"/>
                    <w:left w:val="single" w:color="auto" w:sz="4" w:space="0"/>
                    <w:bottom w:val="single" w:color="auto" w:sz="4" w:space="0"/>
                    <w:right w:val="single" w:color="auto" w:sz="4" w:space="0"/>
                  </w:tcBorders>
                  <w:noWrap/>
                  <w:vAlign w:val="center"/>
                </w:tcPr>
                <w:p w14:paraId="50309F80">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eastAsia" w:cs="Times New Roman"/>
                      <w:b w:val="0"/>
                      <w:bCs/>
                      <w:color w:val="auto"/>
                      <w:sz w:val="21"/>
                      <w:szCs w:val="21"/>
                      <w:lang w:val="en-US" w:eastAsia="zh-CN"/>
                    </w:rPr>
                    <w:t>收集返回陈化车间，作为</w:t>
                  </w:r>
                  <w:r>
                    <w:rPr>
                      <w:rFonts w:hint="eastAsia" w:cs="Times New Roman"/>
                      <w:b w:val="0"/>
                      <w:bCs/>
                      <w:color w:val="auto"/>
                      <w:sz w:val="21"/>
                      <w:szCs w:val="21"/>
                    </w:rPr>
                    <w:t>做原料使用</w:t>
                  </w:r>
                </w:p>
              </w:tc>
              <w:tc>
                <w:tcPr>
                  <w:tcW w:w="595" w:type="dxa"/>
                  <w:tcBorders>
                    <w:top w:val="single" w:color="auto" w:sz="4" w:space="0"/>
                    <w:left w:val="single" w:color="auto" w:sz="4" w:space="0"/>
                    <w:bottom w:val="single" w:color="auto" w:sz="4" w:space="0"/>
                    <w:right w:val="single" w:color="auto" w:sz="4" w:space="0"/>
                  </w:tcBorders>
                  <w:noWrap/>
                  <w:vAlign w:val="center"/>
                </w:tcPr>
                <w:p w14:paraId="062FBEAB">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b w:val="0"/>
                      <w:bCs/>
                      <w:color w:val="auto"/>
                      <w:sz w:val="21"/>
                      <w:szCs w:val="21"/>
                      <w:lang w:val="en-US" w:eastAsia="zh-CN"/>
                    </w:rPr>
                    <w:t>新建</w:t>
                  </w:r>
                </w:p>
              </w:tc>
            </w:tr>
            <w:tr w14:paraId="44743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8" w:hRule="atLeast"/>
                <w:jc w:val="center"/>
              </w:trPr>
              <w:tc>
                <w:tcPr>
                  <w:tcW w:w="604" w:type="dxa"/>
                  <w:vMerge w:val="continue"/>
                  <w:tcBorders>
                    <w:top w:val="single" w:color="auto" w:sz="4" w:space="0"/>
                    <w:left w:val="single" w:color="auto" w:sz="4" w:space="0"/>
                    <w:bottom w:val="single" w:color="auto" w:sz="4" w:space="0"/>
                    <w:right w:val="single" w:color="auto" w:sz="4" w:space="0"/>
                  </w:tcBorders>
                  <w:noWrap/>
                  <w:vAlign w:val="center"/>
                </w:tcPr>
                <w:p w14:paraId="716F1B67">
                  <w:pPr>
                    <w:keepNext w:val="0"/>
                    <w:keepLines w:val="0"/>
                    <w:pageBreakBefore w:val="0"/>
                    <w:kinsoku/>
                    <w:wordWrap/>
                    <w:overflowPunct/>
                    <w:topLinePunct w:val="0"/>
                    <w:autoSpaceDE/>
                    <w:autoSpaceDN/>
                    <w:bidi w:val="0"/>
                    <w:adjustRightInd/>
                    <w:snapToGrid w:val="0"/>
                    <w:spacing w:before="63" w:beforeLines="20" w:after="63" w:afterLines="20"/>
                    <w:jc w:val="center"/>
                    <w:rPr>
                      <w:rFonts w:hint="default" w:ascii="Times New Roman" w:hAnsi="Times New Roman" w:eastAsia="宋体" w:cs="Times New Roman"/>
                      <w:color w:val="auto"/>
                      <w:sz w:val="21"/>
                      <w:szCs w:val="21"/>
                    </w:rPr>
                  </w:pPr>
                </w:p>
              </w:tc>
              <w:tc>
                <w:tcPr>
                  <w:tcW w:w="951" w:type="dxa"/>
                  <w:gridSpan w:val="2"/>
                  <w:vMerge w:val="continue"/>
                  <w:tcBorders>
                    <w:left w:val="single" w:color="auto" w:sz="4" w:space="0"/>
                    <w:right w:val="single" w:color="auto" w:sz="4" w:space="0"/>
                  </w:tcBorders>
                  <w:noWrap/>
                  <w:vAlign w:val="center"/>
                </w:tcPr>
                <w:p w14:paraId="5E440850">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kern w:val="0"/>
                      <w:sz w:val="21"/>
                      <w:szCs w:val="21"/>
                      <w:lang w:val="en-US" w:eastAsia="zh-CN" w:bidi="ar"/>
                    </w:rPr>
                  </w:pPr>
                </w:p>
              </w:tc>
              <w:tc>
                <w:tcPr>
                  <w:tcW w:w="1302" w:type="dxa"/>
                  <w:tcBorders>
                    <w:top w:val="single" w:color="auto" w:sz="4" w:space="0"/>
                    <w:left w:val="single" w:color="auto" w:sz="4" w:space="0"/>
                    <w:bottom w:val="single" w:color="auto" w:sz="4" w:space="0"/>
                    <w:right w:val="single" w:color="auto" w:sz="4" w:space="0"/>
                  </w:tcBorders>
                  <w:noWrap/>
                  <w:vAlign w:val="center"/>
                </w:tcPr>
                <w:p w14:paraId="385C13A5">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eastAsia"/>
                      <w:b w:val="0"/>
                      <w:bCs/>
                      <w:color w:val="auto"/>
                      <w:sz w:val="21"/>
                      <w:szCs w:val="21"/>
                      <w:lang w:val="en-US" w:eastAsia="zh-CN"/>
                    </w:rPr>
                    <w:t>切条</w:t>
                  </w:r>
                  <w:r>
                    <w:rPr>
                      <w:rFonts w:hint="eastAsia"/>
                      <w:b w:val="0"/>
                      <w:bCs/>
                      <w:color w:val="auto"/>
                      <w:sz w:val="21"/>
                      <w:szCs w:val="21"/>
                      <w:lang w:eastAsia="zh-CN"/>
                    </w:rPr>
                    <w:t>修坯废料</w:t>
                  </w:r>
                </w:p>
              </w:tc>
              <w:tc>
                <w:tcPr>
                  <w:tcW w:w="4732" w:type="dxa"/>
                  <w:gridSpan w:val="2"/>
                  <w:tcBorders>
                    <w:top w:val="single" w:color="auto" w:sz="4" w:space="0"/>
                    <w:left w:val="single" w:color="auto" w:sz="4" w:space="0"/>
                    <w:bottom w:val="single" w:color="auto" w:sz="4" w:space="0"/>
                    <w:right w:val="single" w:color="auto" w:sz="4" w:space="0"/>
                  </w:tcBorders>
                  <w:noWrap/>
                  <w:vAlign w:val="center"/>
                </w:tcPr>
                <w:p w14:paraId="1577296C">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eastAsia" w:cs="Times New Roman"/>
                      <w:b w:val="0"/>
                      <w:bCs/>
                      <w:color w:val="auto"/>
                      <w:sz w:val="21"/>
                      <w:szCs w:val="21"/>
                      <w:lang w:val="en-US" w:eastAsia="zh-CN"/>
                    </w:rPr>
                    <w:t>收集返回陈化车间，作为</w:t>
                  </w:r>
                  <w:r>
                    <w:rPr>
                      <w:rFonts w:hint="eastAsia" w:cs="Times New Roman"/>
                      <w:b w:val="0"/>
                      <w:bCs/>
                      <w:color w:val="auto"/>
                      <w:sz w:val="21"/>
                      <w:szCs w:val="21"/>
                    </w:rPr>
                    <w:t>原料使用</w:t>
                  </w:r>
                </w:p>
              </w:tc>
              <w:tc>
                <w:tcPr>
                  <w:tcW w:w="595" w:type="dxa"/>
                  <w:tcBorders>
                    <w:top w:val="single" w:color="auto" w:sz="4" w:space="0"/>
                    <w:left w:val="single" w:color="auto" w:sz="4" w:space="0"/>
                    <w:bottom w:val="single" w:color="auto" w:sz="4" w:space="0"/>
                    <w:right w:val="single" w:color="auto" w:sz="4" w:space="0"/>
                  </w:tcBorders>
                  <w:noWrap/>
                  <w:vAlign w:val="center"/>
                </w:tcPr>
                <w:p w14:paraId="2BB1B169">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b w:val="0"/>
                      <w:bCs/>
                      <w:color w:val="auto"/>
                      <w:sz w:val="21"/>
                      <w:szCs w:val="21"/>
                      <w:lang w:val="en-US" w:eastAsia="zh-CN"/>
                    </w:rPr>
                    <w:t>新建</w:t>
                  </w:r>
                </w:p>
              </w:tc>
            </w:tr>
            <w:tr w14:paraId="71724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53" w:hRule="atLeast"/>
                <w:jc w:val="center"/>
              </w:trPr>
              <w:tc>
                <w:tcPr>
                  <w:tcW w:w="604" w:type="dxa"/>
                  <w:vMerge w:val="continue"/>
                  <w:tcBorders>
                    <w:top w:val="single" w:color="auto" w:sz="4" w:space="0"/>
                    <w:left w:val="single" w:color="auto" w:sz="4" w:space="0"/>
                    <w:bottom w:val="single" w:color="auto" w:sz="4" w:space="0"/>
                    <w:right w:val="single" w:color="auto" w:sz="4" w:space="0"/>
                  </w:tcBorders>
                  <w:noWrap/>
                  <w:vAlign w:val="center"/>
                </w:tcPr>
                <w:p w14:paraId="24FB2385">
                  <w:pPr>
                    <w:keepNext w:val="0"/>
                    <w:keepLines w:val="0"/>
                    <w:pageBreakBefore w:val="0"/>
                    <w:kinsoku/>
                    <w:wordWrap/>
                    <w:overflowPunct/>
                    <w:topLinePunct w:val="0"/>
                    <w:autoSpaceDE/>
                    <w:autoSpaceDN/>
                    <w:bidi w:val="0"/>
                    <w:adjustRightInd/>
                    <w:snapToGrid w:val="0"/>
                    <w:spacing w:before="63" w:beforeLines="20" w:after="63" w:afterLines="20"/>
                    <w:jc w:val="center"/>
                    <w:rPr>
                      <w:rFonts w:hint="default" w:ascii="Times New Roman" w:hAnsi="Times New Roman" w:eastAsia="宋体" w:cs="Times New Roman"/>
                      <w:color w:val="auto"/>
                      <w:sz w:val="21"/>
                      <w:szCs w:val="21"/>
                    </w:rPr>
                  </w:pPr>
                </w:p>
              </w:tc>
              <w:tc>
                <w:tcPr>
                  <w:tcW w:w="951" w:type="dxa"/>
                  <w:gridSpan w:val="2"/>
                  <w:vMerge w:val="continue"/>
                  <w:tcBorders>
                    <w:left w:val="single" w:color="auto" w:sz="4" w:space="0"/>
                    <w:right w:val="single" w:color="auto" w:sz="4" w:space="0"/>
                  </w:tcBorders>
                  <w:noWrap/>
                  <w:vAlign w:val="center"/>
                </w:tcPr>
                <w:p w14:paraId="07A61B75">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kern w:val="0"/>
                      <w:sz w:val="21"/>
                      <w:szCs w:val="21"/>
                      <w:lang w:val="en-US" w:eastAsia="zh-CN" w:bidi="ar"/>
                    </w:rPr>
                  </w:pPr>
                </w:p>
              </w:tc>
              <w:tc>
                <w:tcPr>
                  <w:tcW w:w="1302" w:type="dxa"/>
                  <w:tcBorders>
                    <w:top w:val="single" w:color="auto" w:sz="4" w:space="0"/>
                    <w:left w:val="single" w:color="auto" w:sz="4" w:space="0"/>
                    <w:bottom w:val="single" w:color="auto" w:sz="4" w:space="0"/>
                    <w:right w:val="single" w:color="auto" w:sz="4" w:space="0"/>
                  </w:tcBorders>
                  <w:noWrap/>
                  <w:vAlign w:val="center"/>
                </w:tcPr>
                <w:p w14:paraId="0D137103">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eastAsia"/>
                      <w:b w:val="0"/>
                      <w:bCs/>
                      <w:color w:val="auto"/>
                      <w:sz w:val="21"/>
                      <w:szCs w:val="21"/>
                      <w:lang w:val="en-US" w:eastAsia="zh-CN"/>
                    </w:rPr>
                    <w:t>残次品</w:t>
                  </w:r>
                </w:p>
              </w:tc>
              <w:tc>
                <w:tcPr>
                  <w:tcW w:w="4732" w:type="dxa"/>
                  <w:gridSpan w:val="2"/>
                  <w:tcBorders>
                    <w:top w:val="single" w:color="auto" w:sz="4" w:space="0"/>
                    <w:left w:val="single" w:color="auto" w:sz="4" w:space="0"/>
                    <w:bottom w:val="single" w:color="auto" w:sz="4" w:space="0"/>
                    <w:right w:val="single" w:color="auto" w:sz="4" w:space="0"/>
                  </w:tcBorders>
                  <w:noWrap/>
                  <w:vAlign w:val="center"/>
                </w:tcPr>
                <w:p w14:paraId="3A1F78A2">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eastAsia" w:cs="Times New Roman"/>
                      <w:b w:val="0"/>
                      <w:bCs/>
                      <w:color w:val="auto"/>
                      <w:sz w:val="21"/>
                      <w:szCs w:val="21"/>
                      <w:lang w:val="en-US" w:eastAsia="zh-CN"/>
                    </w:rPr>
                    <w:t>收集返回对辊机破碎（洒水润湿后破碎），作为原料使用。</w:t>
                  </w:r>
                </w:p>
              </w:tc>
              <w:tc>
                <w:tcPr>
                  <w:tcW w:w="595" w:type="dxa"/>
                  <w:tcBorders>
                    <w:top w:val="single" w:color="auto" w:sz="4" w:space="0"/>
                    <w:left w:val="single" w:color="auto" w:sz="4" w:space="0"/>
                    <w:bottom w:val="single" w:color="auto" w:sz="4" w:space="0"/>
                    <w:right w:val="single" w:color="auto" w:sz="4" w:space="0"/>
                  </w:tcBorders>
                  <w:noWrap/>
                  <w:vAlign w:val="center"/>
                </w:tcPr>
                <w:p w14:paraId="69F9D953">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b w:val="0"/>
                      <w:bCs/>
                      <w:color w:val="auto"/>
                      <w:sz w:val="21"/>
                      <w:szCs w:val="21"/>
                      <w:lang w:val="en-US" w:eastAsia="zh-CN"/>
                    </w:rPr>
                    <w:t>新建</w:t>
                  </w:r>
                </w:p>
              </w:tc>
            </w:tr>
            <w:tr w14:paraId="2F504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46" w:hRule="atLeast"/>
                <w:jc w:val="center"/>
              </w:trPr>
              <w:tc>
                <w:tcPr>
                  <w:tcW w:w="604" w:type="dxa"/>
                  <w:vMerge w:val="continue"/>
                  <w:tcBorders>
                    <w:top w:val="single" w:color="auto" w:sz="4" w:space="0"/>
                    <w:left w:val="single" w:color="auto" w:sz="4" w:space="0"/>
                    <w:bottom w:val="single" w:color="auto" w:sz="4" w:space="0"/>
                    <w:right w:val="single" w:color="auto" w:sz="4" w:space="0"/>
                  </w:tcBorders>
                  <w:noWrap/>
                  <w:vAlign w:val="center"/>
                </w:tcPr>
                <w:p w14:paraId="79B0CC16">
                  <w:pPr>
                    <w:keepNext w:val="0"/>
                    <w:keepLines w:val="0"/>
                    <w:pageBreakBefore w:val="0"/>
                    <w:kinsoku/>
                    <w:wordWrap/>
                    <w:overflowPunct/>
                    <w:topLinePunct w:val="0"/>
                    <w:autoSpaceDE/>
                    <w:autoSpaceDN/>
                    <w:bidi w:val="0"/>
                    <w:adjustRightInd/>
                    <w:snapToGrid w:val="0"/>
                    <w:spacing w:before="63" w:beforeLines="20" w:after="63" w:afterLines="20"/>
                    <w:jc w:val="center"/>
                    <w:rPr>
                      <w:rFonts w:hint="default" w:ascii="Times New Roman" w:hAnsi="Times New Roman" w:eastAsia="宋体" w:cs="Times New Roman"/>
                      <w:color w:val="auto"/>
                      <w:sz w:val="21"/>
                      <w:szCs w:val="21"/>
                    </w:rPr>
                  </w:pPr>
                </w:p>
              </w:tc>
              <w:tc>
                <w:tcPr>
                  <w:tcW w:w="951" w:type="dxa"/>
                  <w:gridSpan w:val="2"/>
                  <w:vMerge w:val="continue"/>
                  <w:tcBorders>
                    <w:left w:val="single" w:color="auto" w:sz="4" w:space="0"/>
                    <w:right w:val="single" w:color="auto" w:sz="4" w:space="0"/>
                  </w:tcBorders>
                  <w:noWrap/>
                  <w:vAlign w:val="center"/>
                </w:tcPr>
                <w:p w14:paraId="19DD084D">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kern w:val="0"/>
                      <w:sz w:val="21"/>
                      <w:szCs w:val="21"/>
                      <w:lang w:val="en-US" w:eastAsia="zh-CN" w:bidi="ar"/>
                    </w:rPr>
                  </w:pPr>
                </w:p>
              </w:tc>
              <w:tc>
                <w:tcPr>
                  <w:tcW w:w="2725" w:type="dxa"/>
                  <w:gridSpan w:val="2"/>
                  <w:tcBorders>
                    <w:top w:val="single" w:color="auto" w:sz="4" w:space="0"/>
                    <w:left w:val="single" w:color="auto" w:sz="4" w:space="0"/>
                    <w:bottom w:val="single" w:color="auto" w:sz="4" w:space="0"/>
                    <w:right w:val="single" w:color="auto" w:sz="4" w:space="0"/>
                  </w:tcBorders>
                  <w:noWrap/>
                  <w:vAlign w:val="center"/>
                </w:tcPr>
                <w:p w14:paraId="1E755F94">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s="Times New Roman"/>
                      <w:b w:val="0"/>
                      <w:bCs/>
                      <w:color w:val="auto"/>
                      <w:sz w:val="21"/>
                      <w:szCs w:val="21"/>
                      <w:lang w:val="en-US" w:eastAsia="zh-CN"/>
                    </w:rPr>
                    <w:t>脱硫渣</w:t>
                  </w:r>
                </w:p>
              </w:tc>
              <w:tc>
                <w:tcPr>
                  <w:tcW w:w="3309" w:type="dxa"/>
                  <w:tcBorders>
                    <w:top w:val="single" w:color="auto" w:sz="4" w:space="0"/>
                    <w:left w:val="single" w:color="auto" w:sz="4" w:space="0"/>
                    <w:bottom w:val="single" w:color="auto" w:sz="4" w:space="0"/>
                    <w:right w:val="single" w:color="auto" w:sz="4" w:space="0"/>
                  </w:tcBorders>
                  <w:noWrap/>
                  <w:vAlign w:val="center"/>
                </w:tcPr>
                <w:p w14:paraId="5E0FE474">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color w:val="auto"/>
                      <w:sz w:val="21"/>
                      <w:szCs w:val="21"/>
                      <w:lang w:val="en-US" w:eastAsia="zh-CN"/>
                    </w:rPr>
                    <w:t>定期清掏，</w:t>
                  </w:r>
                  <w:r>
                    <w:rPr>
                      <w:rFonts w:hint="eastAsia" w:ascii="Times New Roman" w:hAnsi="Times New Roman" w:eastAsia="宋体" w:cs="Times New Roman"/>
                      <w:color w:val="auto"/>
                      <w:kern w:val="2"/>
                      <w:sz w:val="21"/>
                      <w:szCs w:val="21"/>
                      <w:lang w:val="en-US" w:eastAsia="zh-CN" w:bidi="ar-SA"/>
                    </w:rPr>
                    <w:t>清出后暂存于陈化库，委托免烧砖单位清运处置</w:t>
                  </w:r>
                  <w:r>
                    <w:rPr>
                      <w:rFonts w:hint="eastAsia" w:cs="Times New Roman"/>
                      <w:color w:val="auto"/>
                      <w:kern w:val="2"/>
                      <w:sz w:val="21"/>
                      <w:szCs w:val="21"/>
                      <w:lang w:val="en-US" w:eastAsia="zh-CN" w:bidi="ar-SA"/>
                    </w:rPr>
                    <w:t>。</w:t>
                  </w:r>
                </w:p>
              </w:tc>
              <w:tc>
                <w:tcPr>
                  <w:tcW w:w="595" w:type="dxa"/>
                  <w:tcBorders>
                    <w:top w:val="single" w:color="auto" w:sz="4" w:space="0"/>
                    <w:left w:val="single" w:color="auto" w:sz="4" w:space="0"/>
                    <w:bottom w:val="single" w:color="auto" w:sz="4" w:space="0"/>
                    <w:right w:val="single" w:color="auto" w:sz="4" w:space="0"/>
                  </w:tcBorders>
                  <w:noWrap/>
                  <w:vAlign w:val="center"/>
                </w:tcPr>
                <w:p w14:paraId="40505B75">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b w:val="0"/>
                      <w:bCs/>
                      <w:color w:val="auto"/>
                      <w:sz w:val="21"/>
                      <w:szCs w:val="21"/>
                      <w:lang w:val="en-US" w:eastAsia="zh-CN"/>
                    </w:rPr>
                    <w:t>新建</w:t>
                  </w:r>
                </w:p>
              </w:tc>
            </w:tr>
            <w:tr w14:paraId="4B327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46" w:hRule="atLeast"/>
                <w:jc w:val="center"/>
              </w:trPr>
              <w:tc>
                <w:tcPr>
                  <w:tcW w:w="604" w:type="dxa"/>
                  <w:vMerge w:val="continue"/>
                  <w:tcBorders>
                    <w:top w:val="single" w:color="auto" w:sz="4" w:space="0"/>
                    <w:left w:val="single" w:color="auto" w:sz="4" w:space="0"/>
                    <w:bottom w:val="single" w:color="auto" w:sz="4" w:space="0"/>
                    <w:right w:val="single" w:color="auto" w:sz="4" w:space="0"/>
                  </w:tcBorders>
                  <w:noWrap/>
                  <w:vAlign w:val="center"/>
                </w:tcPr>
                <w:p w14:paraId="094114AC">
                  <w:pPr>
                    <w:keepNext w:val="0"/>
                    <w:keepLines w:val="0"/>
                    <w:pageBreakBefore w:val="0"/>
                    <w:kinsoku/>
                    <w:wordWrap/>
                    <w:overflowPunct/>
                    <w:topLinePunct w:val="0"/>
                    <w:autoSpaceDE/>
                    <w:autoSpaceDN/>
                    <w:bidi w:val="0"/>
                    <w:adjustRightInd/>
                    <w:snapToGrid w:val="0"/>
                    <w:spacing w:before="63" w:beforeLines="20" w:after="63" w:afterLines="20"/>
                    <w:jc w:val="center"/>
                    <w:rPr>
                      <w:rFonts w:hint="default" w:ascii="Times New Roman" w:hAnsi="Times New Roman" w:eastAsia="宋体" w:cs="Times New Roman"/>
                      <w:color w:val="auto"/>
                      <w:sz w:val="21"/>
                      <w:szCs w:val="21"/>
                    </w:rPr>
                  </w:pPr>
                </w:p>
              </w:tc>
              <w:tc>
                <w:tcPr>
                  <w:tcW w:w="951" w:type="dxa"/>
                  <w:gridSpan w:val="2"/>
                  <w:vMerge w:val="continue"/>
                  <w:tcBorders>
                    <w:left w:val="single" w:color="auto" w:sz="4" w:space="0"/>
                    <w:right w:val="single" w:color="auto" w:sz="4" w:space="0"/>
                  </w:tcBorders>
                  <w:noWrap/>
                  <w:vAlign w:val="center"/>
                </w:tcPr>
                <w:p w14:paraId="59AA6970">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kern w:val="0"/>
                      <w:sz w:val="21"/>
                      <w:szCs w:val="21"/>
                      <w:lang w:val="en-US" w:eastAsia="zh-CN" w:bidi="ar"/>
                    </w:rPr>
                  </w:pPr>
                </w:p>
              </w:tc>
              <w:tc>
                <w:tcPr>
                  <w:tcW w:w="2725" w:type="dxa"/>
                  <w:gridSpan w:val="2"/>
                  <w:tcBorders>
                    <w:top w:val="single" w:color="auto" w:sz="4" w:space="0"/>
                    <w:left w:val="single" w:color="auto" w:sz="4" w:space="0"/>
                    <w:bottom w:val="single" w:color="auto" w:sz="4" w:space="0"/>
                    <w:right w:val="single" w:color="auto" w:sz="4" w:space="0"/>
                  </w:tcBorders>
                  <w:noWrap/>
                  <w:vAlign w:val="center"/>
                </w:tcPr>
                <w:p w14:paraId="4B339C8E">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jc w:val="center"/>
                    <w:textAlignment w:val="auto"/>
                    <w:rPr>
                      <w:rFonts w:hint="default" w:cs="Times New Roman"/>
                      <w:b w:val="0"/>
                      <w:bCs/>
                      <w:color w:val="auto"/>
                      <w:sz w:val="21"/>
                      <w:szCs w:val="21"/>
                      <w:lang w:val="en-US" w:eastAsia="zh-CN"/>
                    </w:rPr>
                  </w:pPr>
                  <w:r>
                    <w:rPr>
                      <w:rFonts w:hint="eastAsia" w:cs="Times New Roman"/>
                      <w:b w:val="0"/>
                      <w:bCs/>
                      <w:color w:val="auto"/>
                      <w:sz w:val="21"/>
                      <w:szCs w:val="21"/>
                      <w:lang w:val="en-US" w:eastAsia="zh-CN"/>
                    </w:rPr>
                    <w:t>布袋除尘灰</w:t>
                  </w:r>
                </w:p>
              </w:tc>
              <w:tc>
                <w:tcPr>
                  <w:tcW w:w="3309" w:type="dxa"/>
                  <w:tcBorders>
                    <w:top w:val="single" w:color="auto" w:sz="4" w:space="0"/>
                    <w:left w:val="single" w:color="auto" w:sz="4" w:space="0"/>
                    <w:bottom w:val="single" w:color="auto" w:sz="4" w:space="0"/>
                    <w:right w:val="single" w:color="auto" w:sz="4" w:space="0"/>
                  </w:tcBorders>
                  <w:noWrap/>
                  <w:vAlign w:val="center"/>
                </w:tcPr>
                <w:p w14:paraId="2E976A4C">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textAlignment w:val="auto"/>
                    <w:rPr>
                      <w:rFonts w:hint="eastAsia"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收集返回陈化车间，作为</w:t>
                  </w:r>
                  <w:r>
                    <w:rPr>
                      <w:rFonts w:hint="eastAsia" w:cs="Times New Roman"/>
                      <w:b w:val="0"/>
                      <w:bCs/>
                      <w:color w:val="auto"/>
                      <w:sz w:val="21"/>
                      <w:szCs w:val="21"/>
                    </w:rPr>
                    <w:t>原料使用</w:t>
                  </w:r>
                </w:p>
              </w:tc>
              <w:tc>
                <w:tcPr>
                  <w:tcW w:w="595" w:type="dxa"/>
                  <w:tcBorders>
                    <w:top w:val="single" w:color="auto" w:sz="4" w:space="0"/>
                    <w:left w:val="single" w:color="auto" w:sz="4" w:space="0"/>
                    <w:bottom w:val="single" w:color="auto" w:sz="4" w:space="0"/>
                    <w:right w:val="single" w:color="auto" w:sz="4" w:space="0"/>
                  </w:tcBorders>
                  <w:noWrap/>
                  <w:vAlign w:val="center"/>
                </w:tcPr>
                <w:p w14:paraId="62626A85">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left="0" w:leftChars="0" w:firstLine="0" w:firstLineChars="0"/>
                    <w:jc w:val="center"/>
                    <w:textAlignment w:val="auto"/>
                    <w:rPr>
                      <w:rFonts w:hint="eastAsia"/>
                      <w:b w:val="0"/>
                      <w:bCs/>
                      <w:color w:val="auto"/>
                      <w:sz w:val="21"/>
                      <w:szCs w:val="21"/>
                      <w:lang w:val="en-US" w:eastAsia="zh-CN"/>
                    </w:rPr>
                  </w:pPr>
                  <w:r>
                    <w:rPr>
                      <w:rFonts w:hint="eastAsia"/>
                      <w:b w:val="0"/>
                      <w:bCs/>
                      <w:color w:val="auto"/>
                      <w:sz w:val="21"/>
                      <w:szCs w:val="21"/>
                      <w:lang w:val="en-US" w:eastAsia="zh-CN"/>
                    </w:rPr>
                    <w:t>新建</w:t>
                  </w:r>
                </w:p>
              </w:tc>
            </w:tr>
            <w:tr w14:paraId="1DAA3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79" w:hRule="atLeast"/>
                <w:jc w:val="center"/>
              </w:trPr>
              <w:tc>
                <w:tcPr>
                  <w:tcW w:w="604" w:type="dxa"/>
                  <w:vMerge w:val="continue"/>
                  <w:tcBorders>
                    <w:top w:val="single" w:color="auto" w:sz="4" w:space="0"/>
                    <w:left w:val="single" w:color="auto" w:sz="4" w:space="0"/>
                    <w:bottom w:val="single" w:color="auto" w:sz="4" w:space="0"/>
                    <w:right w:val="single" w:color="auto" w:sz="4" w:space="0"/>
                  </w:tcBorders>
                  <w:noWrap/>
                  <w:vAlign w:val="center"/>
                </w:tcPr>
                <w:p w14:paraId="70E07730">
                  <w:pPr>
                    <w:keepNext w:val="0"/>
                    <w:keepLines w:val="0"/>
                    <w:pageBreakBefore w:val="0"/>
                    <w:kinsoku/>
                    <w:wordWrap/>
                    <w:overflowPunct/>
                    <w:topLinePunct w:val="0"/>
                    <w:autoSpaceDE/>
                    <w:autoSpaceDN/>
                    <w:bidi w:val="0"/>
                    <w:adjustRightInd/>
                    <w:snapToGrid w:val="0"/>
                    <w:spacing w:before="63" w:beforeLines="20" w:after="63" w:afterLines="20"/>
                    <w:jc w:val="center"/>
                    <w:rPr>
                      <w:rFonts w:hint="default" w:ascii="Times New Roman" w:hAnsi="Times New Roman" w:eastAsia="宋体" w:cs="Times New Roman"/>
                      <w:color w:val="auto"/>
                      <w:sz w:val="21"/>
                      <w:szCs w:val="21"/>
                    </w:rPr>
                  </w:pPr>
                </w:p>
              </w:tc>
              <w:tc>
                <w:tcPr>
                  <w:tcW w:w="951" w:type="dxa"/>
                  <w:gridSpan w:val="2"/>
                  <w:vMerge w:val="continue"/>
                  <w:tcBorders>
                    <w:left w:val="single" w:color="auto" w:sz="4" w:space="0"/>
                    <w:right w:val="single" w:color="auto" w:sz="4" w:space="0"/>
                  </w:tcBorders>
                  <w:noWrap/>
                  <w:vAlign w:val="center"/>
                </w:tcPr>
                <w:p w14:paraId="7EA413CA">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kern w:val="0"/>
                      <w:sz w:val="21"/>
                      <w:szCs w:val="21"/>
                      <w:lang w:val="en-US" w:eastAsia="zh-CN" w:bidi="ar"/>
                    </w:rPr>
                  </w:pPr>
                </w:p>
              </w:tc>
              <w:tc>
                <w:tcPr>
                  <w:tcW w:w="2725" w:type="dxa"/>
                  <w:gridSpan w:val="2"/>
                  <w:tcBorders>
                    <w:top w:val="single" w:color="auto" w:sz="4" w:space="0"/>
                    <w:left w:val="single" w:color="auto" w:sz="4" w:space="0"/>
                    <w:bottom w:val="single" w:color="auto" w:sz="4" w:space="0"/>
                    <w:right w:val="single" w:color="auto" w:sz="4" w:space="0"/>
                  </w:tcBorders>
                  <w:noWrap/>
                  <w:vAlign w:val="center"/>
                </w:tcPr>
                <w:p w14:paraId="54BECF29">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b w:val="0"/>
                      <w:bCs/>
                      <w:color w:val="auto"/>
                      <w:sz w:val="21"/>
                      <w:szCs w:val="21"/>
                      <w:lang w:eastAsia="zh-CN"/>
                    </w:rPr>
                    <w:t>废润滑油</w:t>
                  </w:r>
                </w:p>
              </w:tc>
              <w:tc>
                <w:tcPr>
                  <w:tcW w:w="3309" w:type="dxa"/>
                  <w:tcBorders>
                    <w:top w:val="single" w:color="auto" w:sz="4" w:space="0"/>
                    <w:left w:val="single" w:color="auto" w:sz="4" w:space="0"/>
                    <w:bottom w:val="single" w:color="auto" w:sz="4" w:space="0"/>
                    <w:right w:val="single" w:color="auto" w:sz="4" w:space="0"/>
                  </w:tcBorders>
                  <w:noWrap/>
                  <w:vAlign w:val="center"/>
                </w:tcPr>
                <w:p w14:paraId="7A784A0F">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420" w:firstLineChars="200"/>
                    <w:jc w:val="both"/>
                    <w:textAlignment w:val="auto"/>
                    <w:rPr>
                      <w:rFonts w:hint="default" w:ascii="Times New Roman" w:hAnsi="Times New Roman" w:eastAsia="宋体" w:cs="Times New Roman"/>
                      <w:color w:val="auto"/>
                      <w:sz w:val="21"/>
                      <w:szCs w:val="21"/>
                      <w:lang w:val="en-US" w:eastAsia="zh-CN"/>
                    </w:rPr>
                  </w:pPr>
                  <w:r>
                    <w:rPr>
                      <w:rFonts w:hint="eastAsia"/>
                      <w:b w:val="0"/>
                      <w:bCs/>
                      <w:color w:val="auto"/>
                      <w:sz w:val="21"/>
                      <w:szCs w:val="21"/>
                      <w:lang w:val="en-US" w:eastAsia="zh-CN"/>
                    </w:rPr>
                    <w:t>在成品车间南侧</w:t>
                  </w:r>
                  <w:r>
                    <w:rPr>
                      <w:rFonts w:hint="eastAsia" w:ascii="Times New Roman" w:hAnsi="Times New Roman" w:cs="Times New Roman"/>
                      <w:b w:val="0"/>
                      <w:bCs/>
                      <w:color w:val="auto"/>
                      <w:sz w:val="21"/>
                      <w:szCs w:val="21"/>
                      <w:lang w:val="en-US" w:eastAsia="zh-CN"/>
                    </w:rPr>
                    <w:t>拟设置一间5</w:t>
                  </w:r>
                  <w:r>
                    <w:rPr>
                      <w:rFonts w:hint="eastAsia"/>
                      <w:color w:val="auto"/>
                      <w:kern w:val="0"/>
                      <w:szCs w:val="21"/>
                      <w:lang w:val="en-US" w:eastAsia="zh-CN" w:bidi="ar"/>
                    </w:rPr>
                    <w:t>m</w:t>
                  </w:r>
                  <w:r>
                    <w:rPr>
                      <w:rFonts w:hint="eastAsia"/>
                      <w:color w:val="auto"/>
                      <w:kern w:val="0"/>
                      <w:szCs w:val="21"/>
                      <w:vertAlign w:val="superscript"/>
                      <w:lang w:val="en-US" w:eastAsia="zh-CN" w:bidi="ar"/>
                    </w:rPr>
                    <w:t>2</w:t>
                  </w:r>
                  <w:r>
                    <w:rPr>
                      <w:rFonts w:hint="eastAsia" w:ascii="Times New Roman" w:hAnsi="Times New Roman" w:cs="Times New Roman"/>
                      <w:b w:val="0"/>
                      <w:bCs/>
                      <w:color w:val="auto"/>
                      <w:sz w:val="21"/>
                      <w:szCs w:val="21"/>
                      <w:lang w:val="en-US" w:eastAsia="zh-CN"/>
                    </w:rPr>
                    <w:t>的</w:t>
                  </w:r>
                  <w:r>
                    <w:rPr>
                      <w:rFonts w:hint="eastAsia" w:cs="Times New Roman"/>
                      <w:b w:val="0"/>
                      <w:bCs/>
                      <w:color w:val="auto"/>
                      <w:sz w:val="21"/>
                      <w:szCs w:val="21"/>
                      <w:lang w:val="en-US" w:eastAsia="zh-CN"/>
                    </w:rPr>
                    <w:t>危废贮存库</w:t>
                  </w:r>
                  <w:r>
                    <w:rPr>
                      <w:rFonts w:hint="eastAsia" w:ascii="Times New Roman" w:hAnsi="Times New Roman" w:cs="Times New Roman"/>
                      <w:b w:val="0"/>
                      <w:bCs/>
                      <w:color w:val="auto"/>
                      <w:sz w:val="21"/>
                      <w:szCs w:val="21"/>
                      <w:lang w:val="en-US" w:eastAsia="zh-CN"/>
                    </w:rPr>
                    <w:t>，</w:t>
                  </w:r>
                  <w:r>
                    <w:rPr>
                      <w:rFonts w:hint="eastAsia" w:cs="Times New Roman"/>
                      <w:color w:val="auto"/>
                      <w:sz w:val="21"/>
                      <w:szCs w:val="21"/>
                      <w:lang w:val="en-US" w:eastAsia="zh-CN"/>
                    </w:rPr>
                    <w:t>危废贮存库的建设执行《危险废物贮存污染控制标准》（GB18597-2023），应为重点防渗，确保重点防渗区地面防渗能力相当于6.0m厚黏土层、渗透系数≤10</w:t>
                  </w:r>
                  <w:r>
                    <w:rPr>
                      <w:rFonts w:hint="eastAsia" w:cs="Times New Roman"/>
                      <w:color w:val="auto"/>
                      <w:sz w:val="21"/>
                      <w:szCs w:val="21"/>
                      <w:vertAlign w:val="superscript"/>
                      <w:lang w:val="en-US" w:eastAsia="zh-CN"/>
                    </w:rPr>
                    <w:t>-10</w:t>
                  </w:r>
                  <w:r>
                    <w:rPr>
                      <w:rFonts w:hint="eastAsia" w:cs="Times New Roman"/>
                      <w:color w:val="auto"/>
                      <w:sz w:val="21"/>
                      <w:szCs w:val="21"/>
                      <w:lang w:val="en-US" w:eastAsia="zh-CN"/>
                    </w:rPr>
                    <w:t>cm/s的防渗能力。废润滑油</w:t>
                  </w:r>
                  <w:r>
                    <w:rPr>
                      <w:b w:val="0"/>
                      <w:bCs/>
                      <w:color w:val="auto"/>
                      <w:sz w:val="21"/>
                      <w:szCs w:val="21"/>
                    </w:rPr>
                    <w:t>由专用收集桶收集后暂存于</w:t>
                  </w:r>
                  <w:r>
                    <w:rPr>
                      <w:rFonts w:hint="eastAsia"/>
                      <w:b w:val="0"/>
                      <w:bCs/>
                      <w:color w:val="auto"/>
                      <w:sz w:val="21"/>
                      <w:szCs w:val="21"/>
                      <w:lang w:eastAsia="zh-CN"/>
                    </w:rPr>
                    <w:t>危废贮存库</w:t>
                  </w:r>
                  <w:r>
                    <w:rPr>
                      <w:b w:val="0"/>
                      <w:bCs/>
                      <w:color w:val="auto"/>
                      <w:sz w:val="21"/>
                      <w:szCs w:val="21"/>
                    </w:rPr>
                    <w:t>内，</w:t>
                  </w:r>
                  <w:r>
                    <w:rPr>
                      <w:rFonts w:hint="eastAsia" w:cs="Times New Roman"/>
                      <w:color w:val="auto"/>
                      <w:sz w:val="21"/>
                      <w:szCs w:val="21"/>
                      <w:lang w:val="en-US" w:eastAsia="zh-CN"/>
                    </w:rPr>
                    <w:t>委托有资质的单位清运处置</w:t>
                  </w:r>
                  <w:r>
                    <w:rPr>
                      <w:rFonts w:hint="eastAsia"/>
                      <w:b w:val="0"/>
                      <w:bCs/>
                      <w:color w:val="auto"/>
                      <w:sz w:val="21"/>
                      <w:szCs w:val="21"/>
                      <w:lang w:eastAsia="zh-CN"/>
                    </w:rPr>
                    <w:t>。</w:t>
                  </w:r>
                </w:p>
              </w:tc>
              <w:tc>
                <w:tcPr>
                  <w:tcW w:w="595" w:type="dxa"/>
                  <w:tcBorders>
                    <w:top w:val="single" w:color="auto" w:sz="4" w:space="0"/>
                    <w:left w:val="single" w:color="auto" w:sz="4" w:space="0"/>
                    <w:bottom w:val="single" w:color="auto" w:sz="4" w:space="0"/>
                    <w:right w:val="single" w:color="auto" w:sz="4" w:space="0"/>
                  </w:tcBorders>
                  <w:noWrap/>
                  <w:vAlign w:val="center"/>
                </w:tcPr>
                <w:p w14:paraId="12722A2F">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b w:val="0"/>
                      <w:bCs/>
                      <w:color w:val="auto"/>
                      <w:sz w:val="21"/>
                      <w:szCs w:val="21"/>
                      <w:lang w:val="en-US" w:eastAsia="zh-CN"/>
                    </w:rPr>
                    <w:t>新建</w:t>
                  </w:r>
                </w:p>
              </w:tc>
            </w:tr>
          </w:tbl>
          <w:p w14:paraId="45BEC727">
            <w:pPr>
              <w:pStyle w:val="38"/>
              <w:bidi w:val="0"/>
              <w:ind w:left="0" w:leftChars="0" w:firstLine="0" w:firstLineChars="0"/>
              <w:rPr>
                <w:rFonts w:hint="default" w:eastAsia="宋体"/>
                <w:b/>
                <w:bCs/>
                <w:color w:val="auto"/>
                <w:lang w:val="en-US" w:eastAsia="zh-CN"/>
              </w:rPr>
            </w:pPr>
            <w:r>
              <w:rPr>
                <w:rFonts w:hint="eastAsia"/>
                <w:b/>
                <w:bCs/>
                <w:color w:val="auto"/>
                <w:lang w:val="en-US" w:eastAsia="zh-CN"/>
              </w:rPr>
              <w:t>2.3 项目产品方案及生产规模</w:t>
            </w:r>
          </w:p>
          <w:p w14:paraId="6613F0A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本项目年生产</w:t>
            </w:r>
            <w:r>
              <w:rPr>
                <w:rFonts w:hint="eastAsia" w:ascii="Times New Roman" w:hAnsi="Times New Roman" w:eastAsia="宋体" w:cs="Times New Roman"/>
                <w:b w:val="0"/>
                <w:bCs/>
                <w:color w:val="auto"/>
                <w:sz w:val="21"/>
                <w:szCs w:val="21"/>
                <w:lang w:val="en-US" w:eastAsia="zh-CN"/>
              </w:rPr>
              <w:t>仿古砖</w:t>
            </w:r>
            <w:r>
              <w:rPr>
                <w:rFonts w:hint="eastAsia" w:cs="Times New Roman"/>
                <w:b w:val="0"/>
                <w:bCs/>
                <w:color w:val="auto"/>
                <w:sz w:val="21"/>
                <w:szCs w:val="21"/>
                <w:lang w:val="en-US" w:eastAsia="zh-CN"/>
              </w:rPr>
              <w:t>35</w:t>
            </w:r>
            <w:r>
              <w:rPr>
                <w:rFonts w:hint="eastAsia" w:ascii="Times New Roman" w:hAnsi="Times New Roman" w:eastAsia="宋体" w:cs="Times New Roman"/>
                <w:b w:val="0"/>
                <w:bCs/>
                <w:color w:val="auto"/>
                <w:sz w:val="21"/>
                <w:szCs w:val="21"/>
                <w:lang w:val="en-US" w:eastAsia="zh-CN"/>
              </w:rPr>
              <w:t>0万块</w:t>
            </w:r>
            <w:r>
              <w:rPr>
                <w:rFonts w:hint="eastAsia" w:cs="Times New Roman"/>
                <w:b w:val="0"/>
                <w:bCs/>
                <w:color w:val="auto"/>
                <w:sz w:val="21"/>
                <w:szCs w:val="21"/>
                <w:lang w:val="en-US" w:eastAsia="zh-CN"/>
              </w:rPr>
              <w:t>，</w:t>
            </w:r>
            <w:r>
              <w:rPr>
                <w:rFonts w:hint="eastAsia" w:ascii="Times New Roman" w:hAnsi="Times New Roman" w:eastAsia="宋体" w:cs="Times New Roman"/>
                <w:b w:val="0"/>
                <w:bCs/>
                <w:color w:val="auto"/>
                <w:sz w:val="21"/>
                <w:szCs w:val="21"/>
                <w:lang w:val="en-US" w:eastAsia="zh-CN"/>
              </w:rPr>
              <w:t>仿古瓦</w:t>
            </w:r>
            <w:r>
              <w:rPr>
                <w:rFonts w:hint="eastAsia" w:cs="Times New Roman"/>
                <w:b w:val="0"/>
                <w:bCs/>
                <w:color w:val="auto"/>
                <w:sz w:val="21"/>
                <w:szCs w:val="21"/>
                <w:lang w:val="en-US" w:eastAsia="zh-CN"/>
              </w:rPr>
              <w:t>55</w:t>
            </w:r>
            <w:r>
              <w:rPr>
                <w:rFonts w:hint="eastAsia" w:ascii="Times New Roman" w:hAnsi="Times New Roman" w:eastAsia="宋体" w:cs="Times New Roman"/>
                <w:b w:val="0"/>
                <w:bCs/>
                <w:color w:val="auto"/>
                <w:sz w:val="21"/>
                <w:szCs w:val="21"/>
                <w:lang w:val="en-US" w:eastAsia="zh-CN"/>
              </w:rPr>
              <w:t>0万块</w:t>
            </w:r>
            <w:r>
              <w:rPr>
                <w:rFonts w:hint="default" w:ascii="Times New Roman" w:hAnsi="Times New Roman" w:eastAsia="宋体" w:cs="Times New Roman"/>
                <w:b w:val="0"/>
                <w:bCs/>
                <w:color w:val="auto"/>
                <w:sz w:val="21"/>
                <w:szCs w:val="21"/>
                <w:lang w:val="en-US" w:eastAsia="zh-CN"/>
              </w:rPr>
              <w:t>，</w:t>
            </w:r>
            <w:r>
              <w:rPr>
                <w:rFonts w:hint="eastAsia" w:cs="Times New Roman"/>
                <w:b w:val="0"/>
                <w:bCs/>
                <w:color w:val="auto"/>
                <w:sz w:val="21"/>
                <w:szCs w:val="21"/>
                <w:lang w:val="en-US" w:eastAsia="zh-CN"/>
              </w:rPr>
              <w:t>合计900万件建筑用陶器，</w:t>
            </w:r>
            <w:r>
              <w:rPr>
                <w:rFonts w:hint="default" w:ascii="Times New Roman" w:hAnsi="Times New Roman" w:eastAsia="宋体" w:cs="Times New Roman"/>
                <w:b w:val="0"/>
                <w:bCs/>
                <w:color w:val="auto"/>
                <w:sz w:val="21"/>
                <w:szCs w:val="21"/>
                <w:lang w:val="en-US" w:eastAsia="zh-CN"/>
              </w:rPr>
              <w:t>产品方案见下表。</w:t>
            </w:r>
          </w:p>
          <w:p w14:paraId="22CFB689">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表2-2  产品方案表</w:t>
            </w:r>
          </w:p>
          <w:tbl>
            <w:tblPr>
              <w:tblStyle w:val="30"/>
              <w:tblW w:w="81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296"/>
              <w:gridCol w:w="874"/>
              <w:gridCol w:w="1223"/>
              <w:gridCol w:w="4027"/>
            </w:tblGrid>
            <w:tr w14:paraId="47425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7" w:type="dxa"/>
                  <w:noWrap w:val="0"/>
                  <w:vAlign w:val="center"/>
                </w:tcPr>
                <w:p w14:paraId="622DF063">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序号</w:t>
                  </w:r>
                </w:p>
              </w:tc>
              <w:tc>
                <w:tcPr>
                  <w:tcW w:w="1296" w:type="dxa"/>
                  <w:noWrap w:val="0"/>
                  <w:vAlign w:val="center"/>
                </w:tcPr>
                <w:p w14:paraId="43D0E101">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产品名称</w:t>
                  </w:r>
                </w:p>
              </w:tc>
              <w:tc>
                <w:tcPr>
                  <w:tcW w:w="874" w:type="dxa"/>
                  <w:noWrap w:val="0"/>
                  <w:vAlign w:val="center"/>
                </w:tcPr>
                <w:p w14:paraId="5B098A55">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单位</w:t>
                  </w:r>
                </w:p>
              </w:tc>
              <w:tc>
                <w:tcPr>
                  <w:tcW w:w="1223" w:type="dxa"/>
                  <w:noWrap w:val="0"/>
                  <w:vAlign w:val="center"/>
                </w:tcPr>
                <w:p w14:paraId="1124F3F0">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产能</w:t>
                  </w:r>
                </w:p>
              </w:tc>
              <w:tc>
                <w:tcPr>
                  <w:tcW w:w="4027" w:type="dxa"/>
                  <w:noWrap w:val="0"/>
                  <w:vAlign w:val="center"/>
                </w:tcPr>
                <w:p w14:paraId="3821C352">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备注</w:t>
                  </w:r>
                </w:p>
              </w:tc>
            </w:tr>
            <w:tr w14:paraId="15BFB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7" w:type="dxa"/>
                  <w:noWrap w:val="0"/>
                  <w:vAlign w:val="center"/>
                </w:tcPr>
                <w:p w14:paraId="4A321995">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1</w:t>
                  </w:r>
                </w:p>
              </w:tc>
              <w:tc>
                <w:tcPr>
                  <w:tcW w:w="1296" w:type="dxa"/>
                  <w:noWrap w:val="0"/>
                  <w:vAlign w:val="center"/>
                </w:tcPr>
                <w:p w14:paraId="5AF7C340">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仿古砖</w:t>
                  </w:r>
                </w:p>
              </w:tc>
              <w:tc>
                <w:tcPr>
                  <w:tcW w:w="874" w:type="dxa"/>
                  <w:noWrap w:val="0"/>
                  <w:vAlign w:val="center"/>
                </w:tcPr>
                <w:p w14:paraId="1216274C">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块</w:t>
                  </w:r>
                </w:p>
              </w:tc>
              <w:tc>
                <w:tcPr>
                  <w:tcW w:w="1223" w:type="dxa"/>
                  <w:noWrap w:val="0"/>
                  <w:vAlign w:val="center"/>
                </w:tcPr>
                <w:p w14:paraId="7629F656">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35</w:t>
                  </w:r>
                  <w:r>
                    <w:rPr>
                      <w:rFonts w:hint="default" w:ascii="Times New Roman" w:hAnsi="Times New Roman" w:eastAsia="宋体" w:cs="Times New Roman"/>
                      <w:bCs/>
                      <w:color w:val="auto"/>
                      <w:sz w:val="21"/>
                      <w:szCs w:val="21"/>
                      <w:vertAlign w:val="baseline"/>
                      <w:lang w:val="en-US" w:eastAsia="zh-CN"/>
                    </w:rPr>
                    <w:t>0万</w:t>
                  </w:r>
                </w:p>
              </w:tc>
              <w:tc>
                <w:tcPr>
                  <w:tcW w:w="4027" w:type="dxa"/>
                  <w:noWrap w:val="0"/>
                  <w:vAlign w:val="center"/>
                </w:tcPr>
                <w:p w14:paraId="457FDA18">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单块砖重量平均为2.5kg（</w:t>
                  </w:r>
                  <w:r>
                    <w:rPr>
                      <w:rFonts w:hint="eastAsia" w:cs="Times New Roman"/>
                      <w:color w:val="auto"/>
                      <w:kern w:val="2"/>
                      <w:sz w:val="21"/>
                      <w:szCs w:val="21"/>
                      <w:lang w:val="en-US" w:eastAsia="zh-CN" w:bidi="ar-SA"/>
                    </w:rPr>
                    <w:t>按干重计</w:t>
                  </w:r>
                  <w:r>
                    <w:rPr>
                      <w:rFonts w:hint="eastAsia" w:cs="Times New Roman"/>
                      <w:bCs/>
                      <w:color w:val="auto"/>
                      <w:sz w:val="21"/>
                      <w:szCs w:val="21"/>
                      <w:vertAlign w:val="baseline"/>
                      <w:lang w:val="en-US" w:eastAsia="zh-CN"/>
                    </w:rPr>
                    <w:t>）</w:t>
                  </w:r>
                </w:p>
              </w:tc>
            </w:tr>
            <w:tr w14:paraId="0F6E2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97" w:type="dxa"/>
                  <w:noWrap w:val="0"/>
                  <w:vAlign w:val="center"/>
                </w:tcPr>
                <w:p w14:paraId="489F7F64">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2</w:t>
                  </w:r>
                </w:p>
              </w:tc>
              <w:tc>
                <w:tcPr>
                  <w:tcW w:w="1296" w:type="dxa"/>
                  <w:noWrap w:val="0"/>
                  <w:vAlign w:val="center"/>
                </w:tcPr>
                <w:p w14:paraId="0AEFCAE8">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仿古瓦</w:t>
                  </w:r>
                </w:p>
              </w:tc>
              <w:tc>
                <w:tcPr>
                  <w:tcW w:w="874" w:type="dxa"/>
                  <w:noWrap w:val="0"/>
                  <w:vAlign w:val="center"/>
                </w:tcPr>
                <w:p w14:paraId="0AC8ACDF">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块</w:t>
                  </w:r>
                </w:p>
              </w:tc>
              <w:tc>
                <w:tcPr>
                  <w:tcW w:w="1223" w:type="dxa"/>
                  <w:noWrap w:val="0"/>
                  <w:vAlign w:val="center"/>
                </w:tcPr>
                <w:p w14:paraId="5FA86D7C">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5</w:t>
                  </w:r>
                  <w:r>
                    <w:rPr>
                      <w:rFonts w:hint="eastAsia" w:cs="Times New Roman"/>
                      <w:bCs/>
                      <w:color w:val="auto"/>
                      <w:sz w:val="21"/>
                      <w:szCs w:val="21"/>
                      <w:vertAlign w:val="baseline"/>
                      <w:lang w:val="en-US" w:eastAsia="zh-CN"/>
                    </w:rPr>
                    <w:t>5</w:t>
                  </w:r>
                  <w:r>
                    <w:rPr>
                      <w:rFonts w:hint="default" w:ascii="Times New Roman" w:hAnsi="Times New Roman" w:eastAsia="宋体" w:cs="Times New Roman"/>
                      <w:bCs/>
                      <w:color w:val="auto"/>
                      <w:sz w:val="21"/>
                      <w:szCs w:val="21"/>
                      <w:vertAlign w:val="baseline"/>
                      <w:lang w:val="en-US" w:eastAsia="zh-CN"/>
                    </w:rPr>
                    <w:t>0万</w:t>
                  </w:r>
                </w:p>
              </w:tc>
              <w:tc>
                <w:tcPr>
                  <w:tcW w:w="4027" w:type="dxa"/>
                  <w:noWrap w:val="0"/>
                  <w:vAlign w:val="center"/>
                </w:tcPr>
                <w:p w14:paraId="7E87F170">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单块瓦重量平均为1kg（</w:t>
                  </w:r>
                  <w:r>
                    <w:rPr>
                      <w:rFonts w:hint="eastAsia" w:cs="Times New Roman"/>
                      <w:color w:val="auto"/>
                      <w:kern w:val="2"/>
                      <w:sz w:val="21"/>
                      <w:szCs w:val="21"/>
                      <w:lang w:val="en-US" w:eastAsia="zh-CN" w:bidi="ar-SA"/>
                    </w:rPr>
                    <w:t>按干重计</w:t>
                  </w:r>
                  <w:r>
                    <w:rPr>
                      <w:rFonts w:hint="eastAsia" w:cs="Times New Roman"/>
                      <w:bCs/>
                      <w:color w:val="auto"/>
                      <w:sz w:val="21"/>
                      <w:szCs w:val="21"/>
                      <w:vertAlign w:val="baseline"/>
                      <w:lang w:val="en-US" w:eastAsia="zh-CN"/>
                    </w:rPr>
                    <w:t>）</w:t>
                  </w:r>
                </w:p>
              </w:tc>
            </w:tr>
            <w:tr w14:paraId="6B2C8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67" w:type="dxa"/>
                  <w:gridSpan w:val="3"/>
                  <w:noWrap w:val="0"/>
                  <w:vAlign w:val="center"/>
                </w:tcPr>
                <w:p w14:paraId="0EF858B5">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合计</w:t>
                  </w:r>
                </w:p>
              </w:tc>
              <w:tc>
                <w:tcPr>
                  <w:tcW w:w="1223" w:type="dxa"/>
                  <w:noWrap w:val="0"/>
                  <w:vAlign w:val="center"/>
                </w:tcPr>
                <w:p w14:paraId="2F2D3A82">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900万</w:t>
                  </w:r>
                </w:p>
              </w:tc>
              <w:tc>
                <w:tcPr>
                  <w:tcW w:w="4027" w:type="dxa"/>
                  <w:noWrap w:val="0"/>
                  <w:vAlign w:val="center"/>
                </w:tcPr>
                <w:p w14:paraId="36E8E4ED">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w:t>
                  </w:r>
                </w:p>
              </w:tc>
            </w:tr>
            <w:tr w14:paraId="7F7F3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117" w:type="dxa"/>
                  <w:gridSpan w:val="5"/>
                  <w:noWrap w:val="0"/>
                  <w:vAlign w:val="center"/>
                </w:tcPr>
                <w:p w14:paraId="2BA4C981">
                  <w:pPr>
                    <w:keepNext w:val="0"/>
                    <w:keepLines w:val="0"/>
                    <w:pageBreakBefore w:val="0"/>
                    <w:widowControl w:val="0"/>
                    <w:kinsoku/>
                    <w:wordWrap/>
                    <w:overflowPunct/>
                    <w:topLinePunct w:val="0"/>
                    <w:autoSpaceDE/>
                    <w:autoSpaceDN/>
                    <w:bidi w:val="0"/>
                    <w:adjustRightInd w:val="0"/>
                    <w:snapToGrid w:val="0"/>
                    <w:spacing w:before="63" w:beforeLines="20" w:after="63" w:afterLines="20"/>
                    <w:jc w:val="left"/>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注：根据《排污许可证申请与核发技术规范 陶瓷砖瓦工业》(HJ954—2018)中附录E，本项目烧结砖瓦合计约为570万标砖。</w:t>
                  </w:r>
                </w:p>
              </w:tc>
            </w:tr>
          </w:tbl>
          <w:p w14:paraId="4C5B896C">
            <w:pPr>
              <w:pStyle w:val="45"/>
              <w:bidi w:val="0"/>
              <w:rPr>
                <w:rFonts w:hint="default"/>
                <w:color w:val="auto"/>
                <w:lang w:val="en-US" w:eastAsia="zh-CN"/>
              </w:rPr>
            </w:pPr>
            <w:r>
              <w:rPr>
                <w:rFonts w:hint="eastAsia"/>
                <w:color w:val="auto"/>
                <w:lang w:val="en-US" w:eastAsia="zh-CN"/>
              </w:rPr>
              <w:t>2.4 主要原辅材料及能源消耗</w:t>
            </w:r>
          </w:p>
          <w:p w14:paraId="4E99AB3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color w:val="auto"/>
                <w:sz w:val="21"/>
                <w:szCs w:val="21"/>
                <w:lang w:val="en-US" w:eastAsia="zh-CN"/>
              </w:rPr>
              <w:t>项目</w:t>
            </w:r>
            <w:r>
              <w:rPr>
                <w:rFonts w:hint="eastAsia" w:cs="Times New Roman"/>
                <w:color w:val="auto"/>
                <w:sz w:val="21"/>
                <w:szCs w:val="21"/>
                <w:lang w:val="en-US" w:eastAsia="zh-CN"/>
              </w:rPr>
              <w:t>主要</w:t>
            </w:r>
            <w:r>
              <w:rPr>
                <w:rFonts w:hint="eastAsia" w:ascii="Times New Roman" w:hAnsi="Times New Roman" w:eastAsia="宋体" w:cs="Times New Roman"/>
                <w:color w:val="auto"/>
                <w:sz w:val="21"/>
                <w:szCs w:val="21"/>
                <w:lang w:val="en-US" w:eastAsia="zh-CN"/>
              </w:rPr>
              <w:t>原料为</w:t>
            </w:r>
            <w:r>
              <w:rPr>
                <w:rFonts w:hint="eastAsia" w:cs="Times New Roman"/>
                <w:color w:val="auto"/>
                <w:sz w:val="21"/>
                <w:szCs w:val="21"/>
                <w:lang w:val="en-US" w:eastAsia="zh-CN"/>
              </w:rPr>
              <w:t>弃土，企业设置入厂的弃土来源和要求：项目接收的弃土来源于建筑、道路的基础开挖的弃土方等，进场前已进行预筛选，接收的弃土中仅含泥土，不接收含砂石的弃土</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bCs/>
                <w:color w:val="auto"/>
                <w:sz w:val="21"/>
                <w:szCs w:val="21"/>
                <w:lang w:val="en-US" w:eastAsia="zh-CN"/>
              </w:rPr>
              <w:t>项目主要原辅材料消耗见下表。</w:t>
            </w:r>
          </w:p>
          <w:p w14:paraId="7394B2D7">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表2-</w:t>
            </w:r>
            <w:r>
              <w:rPr>
                <w:rFonts w:hint="eastAsia" w:ascii="Times New Roman" w:hAnsi="Times New Roman" w:eastAsia="宋体" w:cs="Times New Roman"/>
                <w:b/>
                <w:bCs w:val="0"/>
                <w:color w:val="auto"/>
                <w:sz w:val="21"/>
                <w:szCs w:val="21"/>
                <w:lang w:val="en-US" w:eastAsia="zh-CN"/>
              </w:rPr>
              <w:t>3</w:t>
            </w:r>
            <w:r>
              <w:rPr>
                <w:rFonts w:hint="default" w:ascii="Times New Roman" w:hAnsi="Times New Roman" w:eastAsia="宋体" w:cs="Times New Roman"/>
                <w:b/>
                <w:bCs w:val="0"/>
                <w:color w:val="auto"/>
                <w:sz w:val="21"/>
                <w:szCs w:val="21"/>
                <w:lang w:val="en-US" w:eastAsia="zh-CN"/>
              </w:rPr>
              <w:t xml:space="preserve">  主要原辅材料一览表</w:t>
            </w:r>
          </w:p>
          <w:tbl>
            <w:tblPr>
              <w:tblStyle w:val="30"/>
              <w:tblW w:w="81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145"/>
              <w:gridCol w:w="2160"/>
              <w:gridCol w:w="853"/>
              <w:gridCol w:w="1190"/>
              <w:gridCol w:w="2130"/>
            </w:tblGrid>
            <w:tr w14:paraId="6BAC7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639" w:type="dxa"/>
                  <w:noWrap w:val="0"/>
                  <w:vAlign w:val="center"/>
                </w:tcPr>
                <w:p w14:paraId="59973BAA">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序号</w:t>
                  </w:r>
                </w:p>
              </w:tc>
              <w:tc>
                <w:tcPr>
                  <w:tcW w:w="1145" w:type="dxa"/>
                  <w:noWrap w:val="0"/>
                  <w:vAlign w:val="center"/>
                </w:tcPr>
                <w:p w14:paraId="053C2766">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名称</w:t>
                  </w:r>
                </w:p>
              </w:tc>
              <w:tc>
                <w:tcPr>
                  <w:tcW w:w="2160" w:type="dxa"/>
                  <w:noWrap w:val="0"/>
                  <w:vAlign w:val="center"/>
                </w:tcPr>
                <w:p w14:paraId="740AC863">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年用量t/a</w:t>
                  </w:r>
                </w:p>
              </w:tc>
              <w:tc>
                <w:tcPr>
                  <w:tcW w:w="853" w:type="dxa"/>
                  <w:noWrap w:val="0"/>
                  <w:vAlign w:val="center"/>
                </w:tcPr>
                <w:p w14:paraId="50941E5E">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最大储存量t</w:t>
                  </w:r>
                </w:p>
              </w:tc>
              <w:tc>
                <w:tcPr>
                  <w:tcW w:w="1190" w:type="dxa"/>
                  <w:noWrap w:val="0"/>
                  <w:vAlign w:val="center"/>
                </w:tcPr>
                <w:p w14:paraId="45638614">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ascii="Times New Roman" w:hAnsi="Times New Roman" w:eastAsia="宋体" w:cs="Times New Roman"/>
                      <w:bCs/>
                      <w:color w:val="auto"/>
                      <w:sz w:val="21"/>
                      <w:szCs w:val="21"/>
                      <w:vertAlign w:val="baseline"/>
                      <w:lang w:val="en-US" w:eastAsia="zh-CN"/>
                    </w:rPr>
                    <w:t>位置</w:t>
                  </w:r>
                </w:p>
              </w:tc>
              <w:tc>
                <w:tcPr>
                  <w:tcW w:w="2130" w:type="dxa"/>
                  <w:noWrap w:val="0"/>
                  <w:vAlign w:val="center"/>
                </w:tcPr>
                <w:p w14:paraId="11C9F142">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备注</w:t>
                  </w:r>
                </w:p>
              </w:tc>
            </w:tr>
            <w:tr w14:paraId="25983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639" w:type="dxa"/>
                  <w:noWrap w:val="0"/>
                  <w:vAlign w:val="center"/>
                </w:tcPr>
                <w:p w14:paraId="3830A1A4">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1</w:t>
                  </w:r>
                </w:p>
              </w:tc>
              <w:tc>
                <w:tcPr>
                  <w:tcW w:w="1145" w:type="dxa"/>
                  <w:noWrap w:val="0"/>
                  <w:vAlign w:val="center"/>
                </w:tcPr>
                <w:p w14:paraId="65A9F5DB">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弃土</w:t>
                  </w:r>
                </w:p>
              </w:tc>
              <w:tc>
                <w:tcPr>
                  <w:tcW w:w="2160" w:type="dxa"/>
                  <w:noWrap w:val="0"/>
                  <w:vAlign w:val="center"/>
                </w:tcPr>
                <w:p w14:paraId="4778B325">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15500</w:t>
                  </w:r>
                </w:p>
              </w:tc>
              <w:tc>
                <w:tcPr>
                  <w:tcW w:w="853" w:type="dxa"/>
                  <w:noWrap w:val="0"/>
                  <w:vAlign w:val="center"/>
                </w:tcPr>
                <w:p w14:paraId="2D3D34E0">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1000</w:t>
                  </w:r>
                </w:p>
              </w:tc>
              <w:tc>
                <w:tcPr>
                  <w:tcW w:w="1190" w:type="dxa"/>
                  <w:noWrap w:val="0"/>
                  <w:vAlign w:val="center"/>
                </w:tcPr>
                <w:p w14:paraId="06D34F14">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原料堆场</w:t>
                  </w:r>
                </w:p>
              </w:tc>
              <w:tc>
                <w:tcPr>
                  <w:tcW w:w="2130" w:type="dxa"/>
                  <w:noWrap w:val="0"/>
                  <w:vAlign w:val="center"/>
                </w:tcPr>
                <w:p w14:paraId="501C5FB8">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来源于建筑、道路的基础开挖的弃土方等</w:t>
                  </w:r>
                </w:p>
              </w:tc>
            </w:tr>
            <w:tr w14:paraId="508AF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9" w:type="dxa"/>
                  <w:noWrap w:val="0"/>
                  <w:vAlign w:val="center"/>
                </w:tcPr>
                <w:p w14:paraId="441FDBBB">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2</w:t>
                  </w:r>
                </w:p>
              </w:tc>
              <w:tc>
                <w:tcPr>
                  <w:tcW w:w="1145" w:type="dxa"/>
                  <w:noWrap w:val="0"/>
                  <w:vAlign w:val="center"/>
                </w:tcPr>
                <w:p w14:paraId="6CDA16F1">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煤</w:t>
                  </w:r>
                </w:p>
              </w:tc>
              <w:tc>
                <w:tcPr>
                  <w:tcW w:w="2160" w:type="dxa"/>
                  <w:noWrap w:val="0"/>
                  <w:vAlign w:val="center"/>
                </w:tcPr>
                <w:p w14:paraId="0A75DCE7">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1485</w:t>
                  </w:r>
                </w:p>
              </w:tc>
              <w:tc>
                <w:tcPr>
                  <w:tcW w:w="853" w:type="dxa"/>
                  <w:noWrap w:val="0"/>
                  <w:vAlign w:val="center"/>
                </w:tcPr>
                <w:p w14:paraId="6DDBBA05">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100</w:t>
                  </w:r>
                </w:p>
              </w:tc>
              <w:tc>
                <w:tcPr>
                  <w:tcW w:w="1190" w:type="dxa"/>
                  <w:noWrap w:val="0"/>
                  <w:vAlign w:val="center"/>
                </w:tcPr>
                <w:p w14:paraId="41EB7FC1">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煤堆场</w:t>
                  </w:r>
                </w:p>
              </w:tc>
              <w:tc>
                <w:tcPr>
                  <w:tcW w:w="2130" w:type="dxa"/>
                  <w:noWrap w:val="0"/>
                  <w:vAlign w:val="center"/>
                </w:tcPr>
                <w:p w14:paraId="1AD06FDB">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外购</w:t>
                  </w:r>
                </w:p>
              </w:tc>
            </w:tr>
            <w:tr w14:paraId="0BAFA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639" w:type="dxa"/>
                  <w:noWrap w:val="0"/>
                  <w:vAlign w:val="center"/>
                </w:tcPr>
                <w:p w14:paraId="7A1CE792">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3</w:t>
                  </w:r>
                </w:p>
              </w:tc>
              <w:tc>
                <w:tcPr>
                  <w:tcW w:w="1145" w:type="dxa"/>
                  <w:noWrap w:val="0"/>
                  <w:vAlign w:val="center"/>
                </w:tcPr>
                <w:p w14:paraId="7D29BA08">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石灰</w:t>
                  </w:r>
                </w:p>
              </w:tc>
              <w:tc>
                <w:tcPr>
                  <w:tcW w:w="2160" w:type="dxa"/>
                  <w:noWrap w:val="0"/>
                  <w:vAlign w:val="center"/>
                </w:tcPr>
                <w:p w14:paraId="3D7FA6C3">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4.9</w:t>
                  </w:r>
                </w:p>
              </w:tc>
              <w:tc>
                <w:tcPr>
                  <w:tcW w:w="853" w:type="dxa"/>
                  <w:noWrap w:val="0"/>
                  <w:vAlign w:val="center"/>
                </w:tcPr>
                <w:p w14:paraId="75C69368">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1</w:t>
                  </w:r>
                </w:p>
              </w:tc>
              <w:tc>
                <w:tcPr>
                  <w:tcW w:w="1190" w:type="dxa"/>
                  <w:noWrap w:val="0"/>
                  <w:vAlign w:val="center"/>
                </w:tcPr>
                <w:p w14:paraId="60A47765">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辅料间</w:t>
                  </w:r>
                </w:p>
              </w:tc>
              <w:tc>
                <w:tcPr>
                  <w:tcW w:w="2130" w:type="dxa"/>
                  <w:noWrap w:val="0"/>
                  <w:vAlign w:val="center"/>
                </w:tcPr>
                <w:p w14:paraId="46D2F468">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w:t>
                  </w:r>
                </w:p>
              </w:tc>
            </w:tr>
            <w:tr w14:paraId="6A6E1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639" w:type="dxa"/>
                  <w:noWrap w:val="0"/>
                  <w:vAlign w:val="center"/>
                </w:tcPr>
                <w:p w14:paraId="433D335C">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4</w:t>
                  </w:r>
                </w:p>
              </w:tc>
              <w:tc>
                <w:tcPr>
                  <w:tcW w:w="1145" w:type="dxa"/>
                  <w:noWrap w:val="0"/>
                  <w:vAlign w:val="center"/>
                </w:tcPr>
                <w:p w14:paraId="02E721CF">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氢氧化钠</w:t>
                  </w:r>
                </w:p>
              </w:tc>
              <w:tc>
                <w:tcPr>
                  <w:tcW w:w="2160" w:type="dxa"/>
                  <w:noWrap w:val="0"/>
                  <w:vAlign w:val="center"/>
                </w:tcPr>
                <w:p w14:paraId="60613203">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7.4</w:t>
                  </w:r>
                </w:p>
              </w:tc>
              <w:tc>
                <w:tcPr>
                  <w:tcW w:w="853" w:type="dxa"/>
                  <w:noWrap w:val="0"/>
                  <w:vAlign w:val="center"/>
                </w:tcPr>
                <w:p w14:paraId="4B55C1B4">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1</w:t>
                  </w:r>
                </w:p>
              </w:tc>
              <w:tc>
                <w:tcPr>
                  <w:tcW w:w="1190" w:type="dxa"/>
                  <w:noWrap w:val="0"/>
                  <w:vAlign w:val="center"/>
                </w:tcPr>
                <w:p w14:paraId="4DD39E8C">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辅料间</w:t>
                  </w:r>
                </w:p>
              </w:tc>
              <w:tc>
                <w:tcPr>
                  <w:tcW w:w="2130" w:type="dxa"/>
                  <w:noWrap w:val="0"/>
                  <w:vAlign w:val="center"/>
                </w:tcPr>
                <w:p w14:paraId="5078871D">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w:t>
                  </w:r>
                </w:p>
              </w:tc>
            </w:tr>
            <w:tr w14:paraId="50D57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39" w:type="dxa"/>
                  <w:noWrap w:val="0"/>
                  <w:vAlign w:val="center"/>
                </w:tcPr>
                <w:p w14:paraId="348AB9EB">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5</w:t>
                  </w:r>
                </w:p>
              </w:tc>
              <w:tc>
                <w:tcPr>
                  <w:tcW w:w="1145" w:type="dxa"/>
                  <w:noWrap w:val="0"/>
                  <w:vAlign w:val="center"/>
                </w:tcPr>
                <w:p w14:paraId="2E26D178">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水</w:t>
                  </w:r>
                </w:p>
              </w:tc>
              <w:tc>
                <w:tcPr>
                  <w:tcW w:w="2160" w:type="dxa"/>
                  <w:noWrap w:val="0"/>
                  <w:vAlign w:val="center"/>
                </w:tcPr>
                <w:p w14:paraId="6D587EAD">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10737.6</w:t>
                  </w:r>
                  <w:r>
                    <w:rPr>
                      <w:rFonts w:hint="eastAsia" w:ascii="Times New Roman" w:hAnsi="Times New Roman" w:cs="Times New Roman"/>
                      <w:color w:val="auto"/>
                      <w:sz w:val="21"/>
                      <w:szCs w:val="21"/>
                      <w:lang w:val="en-US" w:eastAsia="zh-CN"/>
                    </w:rPr>
                    <w:t>（其中7706.5m³用于陈化、搅拌、返青生产工序）</w:t>
                  </w:r>
                </w:p>
              </w:tc>
              <w:tc>
                <w:tcPr>
                  <w:tcW w:w="853" w:type="dxa"/>
                  <w:noWrap w:val="0"/>
                  <w:vAlign w:val="center"/>
                </w:tcPr>
                <w:p w14:paraId="3A4F37AA">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w:t>
                  </w:r>
                </w:p>
              </w:tc>
              <w:tc>
                <w:tcPr>
                  <w:tcW w:w="1190" w:type="dxa"/>
                  <w:noWrap w:val="0"/>
                  <w:vAlign w:val="center"/>
                </w:tcPr>
                <w:p w14:paraId="0906F224">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olor w:val="auto"/>
                    </w:rPr>
                    <w:t>/</w:t>
                  </w:r>
                </w:p>
              </w:tc>
              <w:tc>
                <w:tcPr>
                  <w:tcW w:w="2130" w:type="dxa"/>
                  <w:noWrap w:val="0"/>
                  <w:vAlign w:val="center"/>
                </w:tcPr>
                <w:p w14:paraId="62C41FE0">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olor w:val="auto"/>
                    </w:rPr>
                    <w:t>/</w:t>
                  </w:r>
                </w:p>
              </w:tc>
            </w:tr>
          </w:tbl>
          <w:p w14:paraId="2AB7BEFA">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eastAsia"/>
                <w:color w:val="auto"/>
                <w:sz w:val="21"/>
                <w:szCs w:val="21"/>
                <w:lang w:val="en-US" w:eastAsia="zh-CN"/>
              </w:rPr>
            </w:pPr>
            <w:r>
              <w:rPr>
                <w:rFonts w:hint="eastAsia"/>
                <w:b/>
                <w:bCs/>
                <w:color w:val="auto"/>
                <w:sz w:val="21"/>
                <w:szCs w:val="21"/>
                <w:lang w:eastAsia="zh-CN"/>
              </w:rPr>
              <w:t>（</w:t>
            </w:r>
            <w:r>
              <w:rPr>
                <w:rFonts w:hint="eastAsia"/>
                <w:b/>
                <w:bCs/>
                <w:color w:val="auto"/>
                <w:sz w:val="21"/>
                <w:szCs w:val="21"/>
                <w:lang w:val="en-US" w:eastAsia="zh-CN"/>
              </w:rPr>
              <w:t>1</w:t>
            </w:r>
            <w:r>
              <w:rPr>
                <w:rFonts w:hint="eastAsia"/>
                <w:b/>
                <w:bCs/>
                <w:color w:val="auto"/>
                <w:sz w:val="21"/>
                <w:szCs w:val="21"/>
                <w:lang w:eastAsia="zh-CN"/>
              </w:rPr>
              <w:t>）</w:t>
            </w:r>
            <w:r>
              <w:rPr>
                <w:rFonts w:hint="eastAsia"/>
                <w:b/>
                <w:bCs/>
                <w:color w:val="auto"/>
                <w:sz w:val="21"/>
                <w:szCs w:val="21"/>
              </w:rPr>
              <w:t>原料</w:t>
            </w:r>
            <w:r>
              <w:rPr>
                <w:rFonts w:hint="eastAsia"/>
                <w:b/>
                <w:bCs/>
                <w:color w:val="auto"/>
                <w:sz w:val="21"/>
                <w:szCs w:val="21"/>
                <w:lang w:eastAsia="zh-CN"/>
              </w:rPr>
              <w:t>成分</w:t>
            </w:r>
          </w:p>
          <w:p w14:paraId="5290FDA4">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eastAsia="宋体"/>
                <w:color w:val="auto"/>
                <w:sz w:val="21"/>
                <w:szCs w:val="21"/>
                <w:lang w:val="en-US" w:eastAsia="zh-CN"/>
              </w:rPr>
            </w:pPr>
            <w:r>
              <w:rPr>
                <w:rFonts w:hint="eastAsia"/>
                <w:color w:val="auto"/>
                <w:sz w:val="21"/>
                <w:szCs w:val="21"/>
                <w:lang w:val="en-US" w:eastAsia="zh-CN"/>
              </w:rPr>
              <w:t>本项目使用</w:t>
            </w:r>
            <w:r>
              <w:rPr>
                <w:rFonts w:hint="eastAsia" w:cs="Times New Roman"/>
                <w:b w:val="0"/>
                <w:bCs/>
                <w:i w:val="0"/>
                <w:iCs w:val="0"/>
                <w:caps w:val="0"/>
                <w:color w:val="auto"/>
                <w:spacing w:val="0"/>
                <w:sz w:val="21"/>
                <w:szCs w:val="21"/>
                <w:shd w:val="clear" w:fill="FFFFFF"/>
                <w:lang w:val="en-US" w:eastAsia="zh-CN"/>
              </w:rPr>
              <w:t>建筑基坑弃土作为原料</w:t>
            </w:r>
            <w:r>
              <w:rPr>
                <w:color w:val="auto"/>
                <w:sz w:val="21"/>
                <w:szCs w:val="21"/>
              </w:rPr>
              <w:t>。</w:t>
            </w:r>
            <w:r>
              <w:rPr>
                <w:rFonts w:hint="eastAsia"/>
                <w:color w:val="auto"/>
                <w:sz w:val="21"/>
                <w:szCs w:val="21"/>
              </w:rPr>
              <w:t>原料由华宁县国有资本运营集团有限责任公司供给</w:t>
            </w:r>
            <w:r>
              <w:rPr>
                <w:rFonts w:hint="eastAsia"/>
                <w:color w:val="auto"/>
                <w:sz w:val="21"/>
                <w:szCs w:val="21"/>
                <w:lang w:eastAsia="zh-CN"/>
              </w:rPr>
              <w:t>。</w:t>
            </w:r>
            <w:r>
              <w:rPr>
                <w:rFonts w:hint="eastAsia"/>
                <w:color w:val="auto"/>
                <w:sz w:val="21"/>
                <w:szCs w:val="21"/>
                <w:lang w:val="en-US" w:eastAsia="zh-CN"/>
              </w:rPr>
              <w:t>参考同类型项目</w:t>
            </w:r>
            <w:r>
              <w:rPr>
                <w:rFonts w:hint="eastAsia"/>
                <w:color w:val="auto"/>
                <w:sz w:val="21"/>
                <w:szCs w:val="21"/>
                <w:lang w:eastAsia="zh-CN"/>
              </w:rPr>
              <w:t>有关</w:t>
            </w:r>
            <w:r>
              <w:rPr>
                <w:rFonts w:hint="eastAsia" w:cs="Times New Roman"/>
                <w:b w:val="0"/>
                <w:bCs/>
                <w:i w:val="0"/>
                <w:iCs w:val="0"/>
                <w:caps w:val="0"/>
                <w:color w:val="auto"/>
                <w:spacing w:val="0"/>
                <w:sz w:val="21"/>
                <w:szCs w:val="21"/>
                <w:shd w:val="clear" w:fill="FFFFFF"/>
                <w:lang w:val="en-US" w:eastAsia="zh-CN"/>
              </w:rPr>
              <w:t>建筑基坑弃土</w:t>
            </w:r>
            <w:r>
              <w:rPr>
                <w:rFonts w:hint="eastAsia"/>
                <w:color w:val="auto"/>
                <w:sz w:val="21"/>
                <w:szCs w:val="21"/>
                <w:lang w:eastAsia="zh-CN"/>
              </w:rPr>
              <w:t>相关成分分析详见下表。</w:t>
            </w:r>
          </w:p>
          <w:p w14:paraId="25C8C611">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center"/>
              <w:textAlignment w:val="auto"/>
              <w:rPr>
                <w:rFonts w:hint="eastAsia"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表2-</w:t>
            </w:r>
            <w:r>
              <w:rPr>
                <w:rFonts w:hint="eastAsia" w:ascii="Times New Roman" w:hAnsi="Times New Roman" w:eastAsia="宋体" w:cs="Times New Roman"/>
                <w:b/>
                <w:bCs w:val="0"/>
                <w:color w:val="auto"/>
                <w:sz w:val="21"/>
                <w:szCs w:val="21"/>
                <w:lang w:val="en-US" w:eastAsia="zh-CN"/>
              </w:rPr>
              <w:t>4-1</w:t>
            </w:r>
            <w:r>
              <w:rPr>
                <w:rFonts w:hint="default" w:ascii="Times New Roman" w:hAnsi="Times New Roman" w:eastAsia="宋体" w:cs="Times New Roman"/>
                <w:b/>
                <w:bCs w:val="0"/>
                <w:color w:val="auto"/>
                <w:sz w:val="21"/>
                <w:szCs w:val="21"/>
                <w:lang w:val="en-US" w:eastAsia="zh-CN"/>
              </w:rPr>
              <w:t xml:space="preserve">  </w:t>
            </w:r>
            <w:r>
              <w:rPr>
                <w:rFonts w:hint="eastAsia" w:ascii="Times New Roman" w:hAnsi="Times New Roman" w:eastAsia="宋体" w:cs="Times New Roman"/>
                <w:b/>
                <w:bCs w:val="0"/>
                <w:color w:val="auto"/>
                <w:sz w:val="21"/>
                <w:szCs w:val="21"/>
                <w:lang w:val="en-US" w:eastAsia="zh-CN"/>
              </w:rPr>
              <w:t>建筑基坑弃土成分分析</w:t>
            </w:r>
            <w:r>
              <w:rPr>
                <w:rFonts w:hint="default" w:ascii="Times New Roman" w:hAnsi="Times New Roman" w:eastAsia="宋体" w:cs="Times New Roman"/>
                <w:b/>
                <w:bCs w:val="0"/>
                <w:color w:val="auto"/>
                <w:sz w:val="21"/>
                <w:szCs w:val="21"/>
                <w:lang w:val="en-US" w:eastAsia="zh-CN"/>
              </w:rPr>
              <w:t>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1"/>
              <w:gridCol w:w="1149"/>
              <w:gridCol w:w="1203"/>
              <w:gridCol w:w="1216"/>
              <w:gridCol w:w="960"/>
              <w:gridCol w:w="1268"/>
              <w:gridCol w:w="962"/>
            </w:tblGrid>
            <w:tr w14:paraId="4EBBE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7" w:type="pct"/>
                  <w:noWrap w:val="0"/>
                  <w:vAlign w:val="center"/>
                </w:tcPr>
                <w:p w14:paraId="269658A5">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textAlignment w:val="auto"/>
                    <w:rPr>
                      <w:rFonts w:hint="default"/>
                      <w:b w:val="0"/>
                      <w:bCs/>
                      <w:color w:val="auto"/>
                      <w:sz w:val="21"/>
                      <w:szCs w:val="21"/>
                    </w:rPr>
                  </w:pPr>
                  <w:r>
                    <w:rPr>
                      <w:rFonts w:hint="default"/>
                      <w:b w:val="0"/>
                      <w:bCs/>
                      <w:color w:val="auto"/>
                      <w:sz w:val="21"/>
                      <w:szCs w:val="21"/>
                    </w:rPr>
                    <w:t>分析成分</w:t>
                  </w:r>
                </w:p>
              </w:tc>
              <w:tc>
                <w:tcPr>
                  <w:tcW w:w="711" w:type="pct"/>
                  <w:noWrap w:val="0"/>
                  <w:vAlign w:val="center"/>
                </w:tcPr>
                <w:p w14:paraId="747755CC">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textAlignment w:val="auto"/>
                    <w:rPr>
                      <w:rFonts w:hint="default"/>
                      <w:b w:val="0"/>
                      <w:bCs/>
                      <w:color w:val="auto"/>
                      <w:sz w:val="21"/>
                      <w:szCs w:val="21"/>
                    </w:rPr>
                  </w:pPr>
                  <w:r>
                    <w:rPr>
                      <w:rFonts w:hint="default"/>
                      <w:b w:val="0"/>
                      <w:bCs/>
                      <w:color w:val="auto"/>
                      <w:sz w:val="21"/>
                      <w:szCs w:val="21"/>
                    </w:rPr>
                    <w:t>Si</w:t>
                  </w:r>
                  <w:r>
                    <w:rPr>
                      <w:rFonts w:hint="default"/>
                      <w:b w:val="0"/>
                      <w:bCs/>
                      <w:color w:val="auto"/>
                      <w:sz w:val="21"/>
                      <w:szCs w:val="21"/>
                      <w:vertAlign w:val="subscript"/>
                    </w:rPr>
                    <w:t>2</w:t>
                  </w:r>
                  <w:r>
                    <w:rPr>
                      <w:rFonts w:hint="default"/>
                      <w:b w:val="0"/>
                      <w:bCs/>
                      <w:color w:val="auto"/>
                      <w:sz w:val="21"/>
                      <w:szCs w:val="21"/>
                    </w:rPr>
                    <w:t>O</w:t>
                  </w:r>
                </w:p>
              </w:tc>
              <w:tc>
                <w:tcPr>
                  <w:tcW w:w="744" w:type="pct"/>
                  <w:noWrap w:val="0"/>
                  <w:vAlign w:val="center"/>
                </w:tcPr>
                <w:p w14:paraId="61952DA5">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textAlignment w:val="auto"/>
                    <w:rPr>
                      <w:rFonts w:hint="default"/>
                      <w:b w:val="0"/>
                      <w:bCs/>
                      <w:color w:val="auto"/>
                      <w:sz w:val="21"/>
                      <w:szCs w:val="21"/>
                    </w:rPr>
                  </w:pPr>
                  <w:r>
                    <w:rPr>
                      <w:rFonts w:hint="default"/>
                      <w:b w:val="0"/>
                      <w:bCs/>
                      <w:color w:val="auto"/>
                      <w:sz w:val="21"/>
                      <w:szCs w:val="21"/>
                    </w:rPr>
                    <w:t>Al</w:t>
                  </w:r>
                  <w:r>
                    <w:rPr>
                      <w:rFonts w:hint="default"/>
                      <w:b w:val="0"/>
                      <w:bCs/>
                      <w:color w:val="auto"/>
                      <w:sz w:val="21"/>
                      <w:szCs w:val="21"/>
                      <w:vertAlign w:val="subscript"/>
                    </w:rPr>
                    <w:t>2</w:t>
                  </w:r>
                  <w:r>
                    <w:rPr>
                      <w:rFonts w:hint="default"/>
                      <w:b w:val="0"/>
                      <w:bCs/>
                      <w:color w:val="auto"/>
                      <w:sz w:val="21"/>
                      <w:szCs w:val="21"/>
                    </w:rPr>
                    <w:t>O</w:t>
                  </w:r>
                  <w:r>
                    <w:rPr>
                      <w:rFonts w:hint="default"/>
                      <w:b w:val="0"/>
                      <w:bCs/>
                      <w:color w:val="auto"/>
                      <w:sz w:val="21"/>
                      <w:szCs w:val="21"/>
                      <w:vertAlign w:val="subscript"/>
                    </w:rPr>
                    <w:t>3</w:t>
                  </w:r>
                </w:p>
              </w:tc>
              <w:tc>
                <w:tcPr>
                  <w:tcW w:w="752" w:type="pct"/>
                  <w:noWrap w:val="0"/>
                  <w:vAlign w:val="center"/>
                </w:tcPr>
                <w:p w14:paraId="327AA9FC">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textAlignment w:val="auto"/>
                    <w:rPr>
                      <w:rFonts w:hint="default"/>
                      <w:b w:val="0"/>
                      <w:bCs/>
                      <w:color w:val="auto"/>
                      <w:sz w:val="21"/>
                      <w:szCs w:val="21"/>
                    </w:rPr>
                  </w:pPr>
                  <w:r>
                    <w:rPr>
                      <w:rFonts w:hint="default"/>
                      <w:b w:val="0"/>
                      <w:bCs/>
                      <w:color w:val="auto"/>
                      <w:sz w:val="21"/>
                      <w:szCs w:val="21"/>
                    </w:rPr>
                    <w:t>CaO</w:t>
                  </w:r>
                </w:p>
              </w:tc>
              <w:tc>
                <w:tcPr>
                  <w:tcW w:w="594" w:type="pct"/>
                  <w:noWrap w:val="0"/>
                  <w:vAlign w:val="center"/>
                </w:tcPr>
                <w:p w14:paraId="2F638588">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textAlignment w:val="auto"/>
                    <w:rPr>
                      <w:rFonts w:hint="default"/>
                      <w:b w:val="0"/>
                      <w:bCs/>
                      <w:color w:val="auto"/>
                      <w:sz w:val="21"/>
                      <w:szCs w:val="21"/>
                    </w:rPr>
                  </w:pPr>
                  <w:r>
                    <w:rPr>
                      <w:rFonts w:hint="default"/>
                      <w:b w:val="0"/>
                      <w:bCs/>
                      <w:color w:val="auto"/>
                      <w:sz w:val="21"/>
                      <w:szCs w:val="21"/>
                    </w:rPr>
                    <w:t>MgO</w:t>
                  </w:r>
                </w:p>
              </w:tc>
              <w:tc>
                <w:tcPr>
                  <w:tcW w:w="784" w:type="pct"/>
                  <w:noWrap w:val="0"/>
                  <w:vAlign w:val="center"/>
                </w:tcPr>
                <w:p w14:paraId="46C09FE5">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textAlignment w:val="auto"/>
                    <w:rPr>
                      <w:rFonts w:hint="default"/>
                      <w:b w:val="0"/>
                      <w:bCs/>
                      <w:color w:val="auto"/>
                      <w:sz w:val="21"/>
                      <w:szCs w:val="21"/>
                    </w:rPr>
                  </w:pPr>
                  <w:r>
                    <w:rPr>
                      <w:rFonts w:hint="default"/>
                      <w:b w:val="0"/>
                      <w:bCs/>
                      <w:color w:val="auto"/>
                      <w:sz w:val="21"/>
                      <w:szCs w:val="21"/>
                    </w:rPr>
                    <w:t>Ni</w:t>
                  </w:r>
                </w:p>
              </w:tc>
              <w:tc>
                <w:tcPr>
                  <w:tcW w:w="595" w:type="pct"/>
                  <w:noWrap w:val="0"/>
                  <w:vAlign w:val="center"/>
                </w:tcPr>
                <w:p w14:paraId="3B4ACAAE">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textAlignment w:val="auto"/>
                    <w:rPr>
                      <w:rFonts w:hint="default"/>
                      <w:b w:val="0"/>
                      <w:bCs/>
                      <w:color w:val="auto"/>
                      <w:sz w:val="21"/>
                      <w:szCs w:val="21"/>
                    </w:rPr>
                  </w:pPr>
                  <w:r>
                    <w:rPr>
                      <w:rFonts w:hint="default"/>
                      <w:b w:val="0"/>
                      <w:bCs/>
                      <w:color w:val="auto"/>
                      <w:sz w:val="21"/>
                      <w:szCs w:val="21"/>
                    </w:rPr>
                    <w:t>Pb</w:t>
                  </w:r>
                </w:p>
              </w:tc>
            </w:tr>
            <w:tr w14:paraId="5ADB1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7" w:type="pct"/>
                  <w:noWrap w:val="0"/>
                  <w:vAlign w:val="center"/>
                </w:tcPr>
                <w:p w14:paraId="6A06F604">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textAlignment w:val="auto"/>
                    <w:rPr>
                      <w:rFonts w:hint="default"/>
                      <w:b w:val="0"/>
                      <w:bCs/>
                      <w:color w:val="auto"/>
                      <w:sz w:val="21"/>
                      <w:szCs w:val="21"/>
                    </w:rPr>
                  </w:pPr>
                  <w:r>
                    <w:rPr>
                      <w:rFonts w:hint="default"/>
                      <w:b w:val="0"/>
                      <w:bCs/>
                      <w:color w:val="auto"/>
                      <w:sz w:val="21"/>
                      <w:szCs w:val="21"/>
                    </w:rPr>
                    <w:t>含量（%）</w:t>
                  </w:r>
                </w:p>
              </w:tc>
              <w:tc>
                <w:tcPr>
                  <w:tcW w:w="711" w:type="pct"/>
                  <w:noWrap w:val="0"/>
                  <w:vAlign w:val="center"/>
                </w:tcPr>
                <w:p w14:paraId="293D1FE2">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textAlignment w:val="auto"/>
                    <w:rPr>
                      <w:rFonts w:hint="default"/>
                      <w:b w:val="0"/>
                      <w:bCs/>
                      <w:color w:val="auto"/>
                      <w:sz w:val="21"/>
                      <w:szCs w:val="21"/>
                    </w:rPr>
                  </w:pPr>
                  <w:r>
                    <w:rPr>
                      <w:rFonts w:hint="default"/>
                      <w:b w:val="0"/>
                      <w:bCs/>
                      <w:color w:val="auto"/>
                      <w:sz w:val="21"/>
                      <w:szCs w:val="21"/>
                    </w:rPr>
                    <w:t>57</w:t>
                  </w:r>
                </w:p>
              </w:tc>
              <w:tc>
                <w:tcPr>
                  <w:tcW w:w="744" w:type="pct"/>
                  <w:noWrap w:val="0"/>
                  <w:vAlign w:val="center"/>
                </w:tcPr>
                <w:p w14:paraId="695DD832">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textAlignment w:val="auto"/>
                    <w:rPr>
                      <w:rFonts w:hint="default"/>
                      <w:b w:val="0"/>
                      <w:bCs/>
                      <w:color w:val="auto"/>
                      <w:sz w:val="21"/>
                      <w:szCs w:val="21"/>
                    </w:rPr>
                  </w:pPr>
                  <w:r>
                    <w:rPr>
                      <w:rFonts w:hint="default"/>
                      <w:b w:val="0"/>
                      <w:bCs/>
                      <w:color w:val="auto"/>
                      <w:sz w:val="21"/>
                      <w:szCs w:val="21"/>
                    </w:rPr>
                    <w:t>19</w:t>
                  </w:r>
                </w:p>
              </w:tc>
              <w:tc>
                <w:tcPr>
                  <w:tcW w:w="752" w:type="pct"/>
                  <w:noWrap w:val="0"/>
                  <w:vAlign w:val="center"/>
                </w:tcPr>
                <w:p w14:paraId="6AC73F62">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textAlignment w:val="auto"/>
                    <w:rPr>
                      <w:rFonts w:hint="default"/>
                      <w:b w:val="0"/>
                      <w:bCs/>
                      <w:color w:val="auto"/>
                      <w:sz w:val="21"/>
                      <w:szCs w:val="21"/>
                    </w:rPr>
                  </w:pPr>
                  <w:r>
                    <w:rPr>
                      <w:rFonts w:hint="default"/>
                      <w:b w:val="0"/>
                      <w:bCs/>
                      <w:color w:val="auto"/>
                      <w:sz w:val="21"/>
                      <w:szCs w:val="21"/>
                    </w:rPr>
                    <w:t>0.5</w:t>
                  </w:r>
                </w:p>
              </w:tc>
              <w:tc>
                <w:tcPr>
                  <w:tcW w:w="594" w:type="pct"/>
                  <w:noWrap w:val="0"/>
                  <w:vAlign w:val="center"/>
                </w:tcPr>
                <w:p w14:paraId="2CD8802C">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textAlignment w:val="auto"/>
                    <w:rPr>
                      <w:rFonts w:hint="default"/>
                      <w:b w:val="0"/>
                      <w:bCs/>
                      <w:color w:val="auto"/>
                      <w:sz w:val="21"/>
                      <w:szCs w:val="21"/>
                    </w:rPr>
                  </w:pPr>
                  <w:r>
                    <w:rPr>
                      <w:rFonts w:hint="default"/>
                      <w:b w:val="0"/>
                      <w:bCs/>
                      <w:color w:val="auto"/>
                      <w:sz w:val="21"/>
                      <w:szCs w:val="21"/>
                    </w:rPr>
                    <w:t>2</w:t>
                  </w:r>
                </w:p>
              </w:tc>
              <w:tc>
                <w:tcPr>
                  <w:tcW w:w="784" w:type="pct"/>
                  <w:noWrap w:val="0"/>
                  <w:vAlign w:val="center"/>
                </w:tcPr>
                <w:p w14:paraId="79A054D2">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textAlignment w:val="auto"/>
                    <w:rPr>
                      <w:rFonts w:hint="default"/>
                      <w:b w:val="0"/>
                      <w:bCs/>
                      <w:color w:val="auto"/>
                      <w:sz w:val="21"/>
                      <w:szCs w:val="21"/>
                    </w:rPr>
                  </w:pPr>
                  <w:r>
                    <w:rPr>
                      <w:rFonts w:hint="default"/>
                      <w:b w:val="0"/>
                      <w:bCs/>
                      <w:color w:val="auto"/>
                      <w:sz w:val="21"/>
                      <w:szCs w:val="21"/>
                    </w:rPr>
                    <w:t>&lt;0.002</w:t>
                  </w:r>
                </w:p>
              </w:tc>
              <w:tc>
                <w:tcPr>
                  <w:tcW w:w="595" w:type="pct"/>
                  <w:noWrap w:val="0"/>
                  <w:vAlign w:val="center"/>
                </w:tcPr>
                <w:p w14:paraId="020A4881">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textAlignment w:val="auto"/>
                    <w:rPr>
                      <w:rFonts w:hint="default"/>
                      <w:b w:val="0"/>
                      <w:bCs/>
                      <w:color w:val="auto"/>
                      <w:sz w:val="21"/>
                      <w:szCs w:val="21"/>
                    </w:rPr>
                  </w:pPr>
                  <w:r>
                    <w:rPr>
                      <w:rFonts w:hint="default"/>
                      <w:b w:val="0"/>
                      <w:bCs/>
                      <w:color w:val="auto"/>
                      <w:sz w:val="21"/>
                      <w:szCs w:val="21"/>
                    </w:rPr>
                    <w:t>&lt;0.01</w:t>
                  </w:r>
                </w:p>
              </w:tc>
            </w:tr>
            <w:tr w14:paraId="6FFFD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7" w:type="pct"/>
                  <w:noWrap w:val="0"/>
                  <w:vAlign w:val="center"/>
                </w:tcPr>
                <w:p w14:paraId="62BEB05F">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textAlignment w:val="auto"/>
                    <w:rPr>
                      <w:rFonts w:hint="default"/>
                      <w:b w:val="0"/>
                      <w:bCs/>
                      <w:color w:val="auto"/>
                      <w:sz w:val="21"/>
                      <w:szCs w:val="21"/>
                    </w:rPr>
                  </w:pPr>
                  <w:r>
                    <w:rPr>
                      <w:rFonts w:hint="default"/>
                      <w:b w:val="0"/>
                      <w:bCs/>
                      <w:color w:val="auto"/>
                      <w:sz w:val="21"/>
                      <w:szCs w:val="21"/>
                    </w:rPr>
                    <w:t>分析成分</w:t>
                  </w:r>
                </w:p>
              </w:tc>
              <w:tc>
                <w:tcPr>
                  <w:tcW w:w="711" w:type="pct"/>
                  <w:noWrap w:val="0"/>
                  <w:vAlign w:val="center"/>
                </w:tcPr>
                <w:p w14:paraId="1EFD8F4F">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textAlignment w:val="auto"/>
                    <w:rPr>
                      <w:rFonts w:hint="default"/>
                      <w:b w:val="0"/>
                      <w:bCs/>
                      <w:color w:val="auto"/>
                      <w:sz w:val="21"/>
                      <w:szCs w:val="21"/>
                    </w:rPr>
                  </w:pPr>
                  <w:r>
                    <w:rPr>
                      <w:rFonts w:hint="default"/>
                      <w:b w:val="0"/>
                      <w:bCs/>
                      <w:color w:val="auto"/>
                      <w:sz w:val="21"/>
                      <w:szCs w:val="21"/>
                    </w:rPr>
                    <w:t>Cd</w:t>
                  </w:r>
                </w:p>
              </w:tc>
              <w:tc>
                <w:tcPr>
                  <w:tcW w:w="744" w:type="pct"/>
                  <w:noWrap w:val="0"/>
                  <w:vAlign w:val="center"/>
                </w:tcPr>
                <w:p w14:paraId="584CCE0B">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textAlignment w:val="auto"/>
                    <w:rPr>
                      <w:rFonts w:hint="default"/>
                      <w:b w:val="0"/>
                      <w:bCs/>
                      <w:color w:val="auto"/>
                      <w:sz w:val="21"/>
                      <w:szCs w:val="21"/>
                    </w:rPr>
                  </w:pPr>
                  <w:r>
                    <w:rPr>
                      <w:rFonts w:hint="default"/>
                      <w:b w:val="0"/>
                      <w:bCs/>
                      <w:color w:val="auto"/>
                      <w:sz w:val="21"/>
                      <w:szCs w:val="21"/>
                    </w:rPr>
                    <w:t>F</w:t>
                  </w:r>
                  <w:r>
                    <w:rPr>
                      <w:rFonts w:hint="default"/>
                      <w:b w:val="0"/>
                      <w:bCs/>
                      <w:color w:val="auto"/>
                      <w:sz w:val="21"/>
                      <w:szCs w:val="21"/>
                      <w:vertAlign w:val="superscript"/>
                    </w:rPr>
                    <w:t>-</w:t>
                  </w:r>
                </w:p>
              </w:tc>
              <w:tc>
                <w:tcPr>
                  <w:tcW w:w="752" w:type="pct"/>
                  <w:noWrap w:val="0"/>
                  <w:vAlign w:val="center"/>
                </w:tcPr>
                <w:p w14:paraId="69C0674C">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textAlignment w:val="auto"/>
                    <w:rPr>
                      <w:rFonts w:hint="default"/>
                      <w:b w:val="0"/>
                      <w:bCs/>
                      <w:color w:val="auto"/>
                      <w:sz w:val="21"/>
                      <w:szCs w:val="21"/>
                    </w:rPr>
                  </w:pPr>
                  <w:r>
                    <w:rPr>
                      <w:rFonts w:hint="default"/>
                      <w:b w:val="0"/>
                      <w:bCs/>
                      <w:color w:val="auto"/>
                      <w:sz w:val="21"/>
                      <w:szCs w:val="21"/>
                    </w:rPr>
                    <w:t>Cl</w:t>
                  </w:r>
                  <w:r>
                    <w:rPr>
                      <w:rFonts w:hint="default"/>
                      <w:b w:val="0"/>
                      <w:bCs/>
                      <w:color w:val="auto"/>
                      <w:sz w:val="21"/>
                      <w:szCs w:val="21"/>
                      <w:vertAlign w:val="superscript"/>
                    </w:rPr>
                    <w:t>-</w:t>
                  </w:r>
                </w:p>
              </w:tc>
              <w:tc>
                <w:tcPr>
                  <w:tcW w:w="594" w:type="pct"/>
                  <w:noWrap w:val="0"/>
                  <w:vAlign w:val="center"/>
                </w:tcPr>
                <w:p w14:paraId="4BFB71B3">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textAlignment w:val="auto"/>
                    <w:rPr>
                      <w:rFonts w:hint="default"/>
                      <w:b w:val="0"/>
                      <w:bCs/>
                      <w:color w:val="auto"/>
                      <w:sz w:val="21"/>
                      <w:szCs w:val="21"/>
                    </w:rPr>
                  </w:pPr>
                  <w:r>
                    <w:rPr>
                      <w:rFonts w:hint="default"/>
                      <w:b w:val="0"/>
                      <w:bCs/>
                      <w:color w:val="auto"/>
                      <w:sz w:val="21"/>
                      <w:szCs w:val="21"/>
                    </w:rPr>
                    <w:t>其它</w:t>
                  </w:r>
                </w:p>
              </w:tc>
              <w:tc>
                <w:tcPr>
                  <w:tcW w:w="784" w:type="pct"/>
                  <w:noWrap w:val="0"/>
                  <w:vAlign w:val="center"/>
                </w:tcPr>
                <w:p w14:paraId="36584538">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textAlignment w:val="auto"/>
                    <w:rPr>
                      <w:rFonts w:hint="default"/>
                      <w:b w:val="0"/>
                      <w:bCs/>
                      <w:color w:val="auto"/>
                      <w:sz w:val="21"/>
                      <w:szCs w:val="21"/>
                    </w:rPr>
                  </w:pPr>
                  <w:r>
                    <w:rPr>
                      <w:rFonts w:hint="eastAsia" w:ascii="宋体" w:hAnsi="宋体" w:eastAsia="宋体" w:cs="宋体"/>
                      <w:b w:val="0"/>
                      <w:bCs/>
                      <w:color w:val="auto"/>
                      <w:sz w:val="21"/>
                      <w:szCs w:val="21"/>
                    </w:rPr>
                    <w:t>Σ</w:t>
                  </w:r>
                </w:p>
              </w:tc>
              <w:tc>
                <w:tcPr>
                  <w:tcW w:w="595" w:type="pct"/>
                  <w:noWrap w:val="0"/>
                  <w:vAlign w:val="center"/>
                </w:tcPr>
                <w:p w14:paraId="2B7A5807">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textAlignment w:val="auto"/>
                    <w:rPr>
                      <w:rFonts w:hint="default"/>
                      <w:b w:val="0"/>
                      <w:bCs/>
                      <w:color w:val="auto"/>
                      <w:sz w:val="21"/>
                      <w:szCs w:val="21"/>
                    </w:rPr>
                  </w:pPr>
                </w:p>
              </w:tc>
            </w:tr>
            <w:tr w14:paraId="4BDBD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17" w:type="pct"/>
                  <w:noWrap w:val="0"/>
                  <w:vAlign w:val="center"/>
                </w:tcPr>
                <w:p w14:paraId="5F3036AE">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textAlignment w:val="auto"/>
                    <w:rPr>
                      <w:rFonts w:hint="default"/>
                      <w:b w:val="0"/>
                      <w:bCs/>
                      <w:color w:val="auto"/>
                      <w:sz w:val="21"/>
                      <w:szCs w:val="21"/>
                    </w:rPr>
                  </w:pPr>
                  <w:r>
                    <w:rPr>
                      <w:rFonts w:hint="default"/>
                      <w:b w:val="0"/>
                      <w:bCs/>
                      <w:color w:val="auto"/>
                      <w:sz w:val="21"/>
                      <w:szCs w:val="21"/>
                    </w:rPr>
                    <w:t>含量（%）</w:t>
                  </w:r>
                </w:p>
              </w:tc>
              <w:tc>
                <w:tcPr>
                  <w:tcW w:w="711" w:type="pct"/>
                  <w:noWrap w:val="0"/>
                  <w:vAlign w:val="center"/>
                </w:tcPr>
                <w:p w14:paraId="4D3DEB32">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textAlignment w:val="auto"/>
                    <w:rPr>
                      <w:rFonts w:hint="default"/>
                      <w:b w:val="0"/>
                      <w:bCs/>
                      <w:color w:val="auto"/>
                      <w:sz w:val="21"/>
                      <w:szCs w:val="21"/>
                    </w:rPr>
                  </w:pPr>
                  <w:r>
                    <w:rPr>
                      <w:rFonts w:hint="default"/>
                      <w:b w:val="0"/>
                      <w:bCs/>
                      <w:color w:val="auto"/>
                      <w:sz w:val="21"/>
                      <w:szCs w:val="21"/>
                    </w:rPr>
                    <w:t>&lt;0.0005</w:t>
                  </w:r>
                </w:p>
              </w:tc>
              <w:tc>
                <w:tcPr>
                  <w:tcW w:w="744" w:type="pct"/>
                  <w:noWrap w:val="0"/>
                  <w:vAlign w:val="center"/>
                </w:tcPr>
                <w:p w14:paraId="36119262">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textAlignment w:val="auto"/>
                    <w:rPr>
                      <w:rFonts w:hint="default" w:eastAsia="宋体"/>
                      <w:b w:val="0"/>
                      <w:bCs/>
                      <w:color w:val="auto"/>
                      <w:sz w:val="21"/>
                      <w:szCs w:val="21"/>
                      <w:lang w:val="en-US" w:eastAsia="zh-CN"/>
                    </w:rPr>
                  </w:pPr>
                  <w:r>
                    <w:rPr>
                      <w:rFonts w:hint="default" w:ascii="Times New Roman" w:hAnsi="Times New Roman" w:eastAsia="宋体" w:cs="Times New Roman"/>
                      <w:color w:val="auto"/>
                      <w:kern w:val="2"/>
                      <w:sz w:val="21"/>
                      <w:szCs w:val="21"/>
                      <w:lang w:val="en-US" w:eastAsia="zh-CN" w:bidi="ar-SA"/>
                    </w:rPr>
                    <w:t>0.0</w:t>
                  </w:r>
                  <w:r>
                    <w:rPr>
                      <w:rFonts w:hint="eastAsia" w:cs="Times New Roman"/>
                      <w:color w:val="auto"/>
                      <w:kern w:val="2"/>
                      <w:sz w:val="21"/>
                      <w:szCs w:val="21"/>
                      <w:lang w:val="en-US" w:eastAsia="zh-CN" w:bidi="ar-SA"/>
                    </w:rPr>
                    <w:t>15</w:t>
                  </w:r>
                </w:p>
              </w:tc>
              <w:tc>
                <w:tcPr>
                  <w:tcW w:w="752" w:type="pct"/>
                  <w:noWrap w:val="0"/>
                  <w:vAlign w:val="center"/>
                </w:tcPr>
                <w:p w14:paraId="643A778D">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textAlignment w:val="auto"/>
                    <w:rPr>
                      <w:rFonts w:hint="default"/>
                      <w:b w:val="0"/>
                      <w:bCs/>
                      <w:color w:val="auto"/>
                      <w:sz w:val="21"/>
                      <w:szCs w:val="21"/>
                    </w:rPr>
                  </w:pPr>
                  <w:r>
                    <w:rPr>
                      <w:rFonts w:hint="default"/>
                      <w:b w:val="0"/>
                      <w:bCs/>
                      <w:color w:val="auto"/>
                      <w:sz w:val="21"/>
                      <w:szCs w:val="21"/>
                    </w:rPr>
                    <w:t>0.0023</w:t>
                  </w:r>
                </w:p>
              </w:tc>
              <w:tc>
                <w:tcPr>
                  <w:tcW w:w="594" w:type="pct"/>
                  <w:noWrap w:val="0"/>
                  <w:vAlign w:val="center"/>
                </w:tcPr>
                <w:p w14:paraId="6F2E402B">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textAlignment w:val="auto"/>
                    <w:rPr>
                      <w:rFonts w:hint="default"/>
                      <w:b w:val="0"/>
                      <w:bCs/>
                      <w:color w:val="auto"/>
                      <w:sz w:val="21"/>
                      <w:szCs w:val="21"/>
                    </w:rPr>
                  </w:pPr>
                  <w:r>
                    <w:rPr>
                      <w:rFonts w:hint="default"/>
                      <w:b w:val="0"/>
                      <w:bCs/>
                      <w:color w:val="auto"/>
                      <w:sz w:val="21"/>
                      <w:szCs w:val="21"/>
                    </w:rPr>
                    <w:t>21</w:t>
                  </w:r>
                </w:p>
              </w:tc>
              <w:tc>
                <w:tcPr>
                  <w:tcW w:w="784" w:type="pct"/>
                  <w:noWrap w:val="0"/>
                  <w:vAlign w:val="center"/>
                </w:tcPr>
                <w:p w14:paraId="4EA58D40">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textAlignment w:val="auto"/>
                    <w:rPr>
                      <w:rFonts w:hint="default"/>
                      <w:b w:val="0"/>
                      <w:bCs/>
                      <w:color w:val="auto"/>
                      <w:sz w:val="21"/>
                      <w:szCs w:val="21"/>
                    </w:rPr>
                  </w:pPr>
                  <w:r>
                    <w:rPr>
                      <w:rFonts w:hint="default"/>
                      <w:b w:val="0"/>
                      <w:bCs/>
                      <w:color w:val="auto"/>
                      <w:sz w:val="21"/>
                      <w:szCs w:val="21"/>
                    </w:rPr>
                    <w:t>99.5</w:t>
                  </w:r>
                </w:p>
              </w:tc>
              <w:tc>
                <w:tcPr>
                  <w:tcW w:w="595" w:type="pct"/>
                  <w:noWrap w:val="0"/>
                  <w:vAlign w:val="center"/>
                </w:tcPr>
                <w:p w14:paraId="073C7372">
                  <w:pPr>
                    <w:pStyle w:val="85"/>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textAlignment w:val="auto"/>
                    <w:rPr>
                      <w:rFonts w:hint="default"/>
                      <w:b w:val="0"/>
                      <w:bCs/>
                      <w:color w:val="auto"/>
                      <w:sz w:val="21"/>
                      <w:szCs w:val="21"/>
                    </w:rPr>
                  </w:pPr>
                </w:p>
              </w:tc>
            </w:tr>
          </w:tbl>
          <w:p w14:paraId="678F75E6">
            <w:pPr>
              <w:widowControl w:val="0"/>
              <w:bidi w:val="0"/>
              <w:spacing w:line="360" w:lineRule="auto"/>
              <w:ind w:firstLine="422" w:firstLineChars="200"/>
              <w:jc w:val="both"/>
              <w:rPr>
                <w:rFonts w:hint="default" w:cs="Times New Roman"/>
                <w:color w:val="auto"/>
                <w:kern w:val="2"/>
                <w:sz w:val="21"/>
                <w:szCs w:val="21"/>
                <w:lang w:val="en-US" w:eastAsia="zh-CN" w:bidi="ar-SA"/>
              </w:rPr>
            </w:pPr>
            <w:r>
              <w:rPr>
                <w:rFonts w:hint="eastAsia" w:cs="Times New Roman"/>
                <w:b/>
                <w:bCs/>
                <w:color w:val="auto"/>
                <w:kern w:val="2"/>
                <w:sz w:val="21"/>
                <w:szCs w:val="21"/>
                <w:lang w:val="en-US" w:eastAsia="zh-CN" w:bidi="ar-SA"/>
              </w:rPr>
              <w:t>（2）煤成分分析单</w:t>
            </w:r>
          </w:p>
          <w:p w14:paraId="17095AC1">
            <w:pPr>
              <w:widowControl w:val="0"/>
              <w:bidi w:val="0"/>
              <w:spacing w:line="360" w:lineRule="auto"/>
              <w:ind w:firstLine="420" w:firstLineChars="20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煤成分分析单见下表。</w:t>
            </w:r>
          </w:p>
          <w:p w14:paraId="0785A048">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表2-</w:t>
            </w:r>
            <w:r>
              <w:rPr>
                <w:rFonts w:hint="eastAsia" w:ascii="Times New Roman" w:hAnsi="Times New Roman" w:eastAsia="宋体" w:cs="Times New Roman"/>
                <w:b/>
                <w:bCs w:val="0"/>
                <w:color w:val="auto"/>
                <w:sz w:val="21"/>
                <w:szCs w:val="21"/>
                <w:lang w:val="en-US" w:eastAsia="zh-CN"/>
              </w:rPr>
              <w:t>4-2</w:t>
            </w:r>
            <w:r>
              <w:rPr>
                <w:rFonts w:hint="default" w:ascii="Times New Roman" w:hAnsi="Times New Roman" w:eastAsia="宋体" w:cs="Times New Roman"/>
                <w:b/>
                <w:bCs w:val="0"/>
                <w:color w:val="auto"/>
                <w:sz w:val="21"/>
                <w:szCs w:val="21"/>
                <w:lang w:val="en-US" w:eastAsia="zh-CN"/>
              </w:rPr>
              <w:t xml:space="preserve"> 煤成分分析单</w:t>
            </w:r>
          </w:p>
          <w:tbl>
            <w:tblPr>
              <w:tblStyle w:val="3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1107"/>
              <w:gridCol w:w="1170"/>
              <w:gridCol w:w="1090"/>
              <w:gridCol w:w="1140"/>
              <w:gridCol w:w="1020"/>
              <w:gridCol w:w="1405"/>
            </w:tblGrid>
            <w:tr w14:paraId="5B804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pct"/>
                  <w:noWrap w:val="0"/>
                  <w:vAlign w:val="center"/>
                </w:tcPr>
                <w:p w14:paraId="08C3755E">
                  <w:pPr>
                    <w:keepNext w:val="0"/>
                    <w:keepLines w:val="0"/>
                    <w:pageBreakBefore w:val="0"/>
                    <w:widowControl/>
                    <w:kinsoku/>
                    <w:wordWrap/>
                    <w:overflowPunct/>
                    <w:topLinePunct w:val="0"/>
                    <w:autoSpaceDE/>
                    <w:autoSpaceDN/>
                    <w:bidi w:val="0"/>
                    <w:adjustRightInd/>
                    <w:snapToGrid w:val="0"/>
                    <w:spacing w:before="63" w:beforeLines="20" w:beforeAutospacing="0" w:after="63" w:afterLines="2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检测项目</w:t>
                  </w:r>
                </w:p>
              </w:tc>
              <w:tc>
                <w:tcPr>
                  <w:tcW w:w="684" w:type="pct"/>
                  <w:noWrap w:val="0"/>
                  <w:vAlign w:val="center"/>
                </w:tcPr>
                <w:p w14:paraId="4A816848">
                  <w:pPr>
                    <w:keepNext w:val="0"/>
                    <w:keepLines w:val="0"/>
                    <w:pageBreakBefore w:val="0"/>
                    <w:widowControl/>
                    <w:kinsoku/>
                    <w:wordWrap/>
                    <w:overflowPunct/>
                    <w:topLinePunct w:val="0"/>
                    <w:autoSpaceDE/>
                    <w:autoSpaceDN/>
                    <w:bidi w:val="0"/>
                    <w:adjustRightInd/>
                    <w:snapToGrid w:val="0"/>
                    <w:spacing w:before="63" w:beforeLines="20" w:beforeAutospacing="0" w:after="63" w:afterLines="2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全水分Mt%</w:t>
                  </w:r>
                </w:p>
              </w:tc>
              <w:tc>
                <w:tcPr>
                  <w:tcW w:w="723" w:type="pct"/>
                  <w:noWrap w:val="0"/>
                  <w:vAlign w:val="center"/>
                </w:tcPr>
                <w:p w14:paraId="6D45B108">
                  <w:pPr>
                    <w:keepNext w:val="0"/>
                    <w:keepLines w:val="0"/>
                    <w:pageBreakBefore w:val="0"/>
                    <w:widowControl/>
                    <w:kinsoku/>
                    <w:wordWrap/>
                    <w:overflowPunct/>
                    <w:topLinePunct w:val="0"/>
                    <w:autoSpaceDE/>
                    <w:autoSpaceDN/>
                    <w:bidi w:val="0"/>
                    <w:adjustRightInd/>
                    <w:snapToGrid w:val="0"/>
                    <w:spacing w:before="63" w:beforeLines="20" w:beforeAutospacing="0" w:after="63" w:afterLines="2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分析水分Mad%</w:t>
                  </w:r>
                </w:p>
              </w:tc>
              <w:tc>
                <w:tcPr>
                  <w:tcW w:w="674" w:type="pct"/>
                  <w:noWrap w:val="0"/>
                  <w:vAlign w:val="center"/>
                </w:tcPr>
                <w:p w14:paraId="462FBE70">
                  <w:pPr>
                    <w:keepNext w:val="0"/>
                    <w:keepLines w:val="0"/>
                    <w:pageBreakBefore w:val="0"/>
                    <w:widowControl/>
                    <w:kinsoku/>
                    <w:wordWrap/>
                    <w:overflowPunct/>
                    <w:topLinePunct w:val="0"/>
                    <w:autoSpaceDE/>
                    <w:autoSpaceDN/>
                    <w:bidi w:val="0"/>
                    <w:adjustRightInd/>
                    <w:snapToGrid w:val="0"/>
                    <w:spacing w:before="63" w:beforeLines="20" w:beforeAutospacing="0" w:after="63" w:afterLines="2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灰分Aad%</w:t>
                  </w:r>
                </w:p>
              </w:tc>
              <w:tc>
                <w:tcPr>
                  <w:tcW w:w="705" w:type="pct"/>
                  <w:noWrap w:val="0"/>
                  <w:vAlign w:val="center"/>
                </w:tcPr>
                <w:p w14:paraId="110E23B4">
                  <w:pPr>
                    <w:keepNext w:val="0"/>
                    <w:keepLines w:val="0"/>
                    <w:pageBreakBefore w:val="0"/>
                    <w:widowControl/>
                    <w:kinsoku/>
                    <w:wordWrap/>
                    <w:overflowPunct/>
                    <w:topLinePunct w:val="0"/>
                    <w:autoSpaceDE/>
                    <w:autoSpaceDN/>
                    <w:bidi w:val="0"/>
                    <w:adjustRightInd/>
                    <w:snapToGrid w:val="0"/>
                    <w:spacing w:before="63" w:beforeLines="20" w:beforeAutospacing="0" w:after="63" w:afterLines="2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挥发分Vad%</w:t>
                  </w:r>
                </w:p>
              </w:tc>
              <w:tc>
                <w:tcPr>
                  <w:tcW w:w="630" w:type="pct"/>
                  <w:shd w:val="clear" w:color="auto" w:fill="auto"/>
                  <w:noWrap w:val="0"/>
                  <w:vAlign w:val="center"/>
                </w:tcPr>
                <w:p w14:paraId="3CB4B2DB">
                  <w:pPr>
                    <w:keepNext w:val="0"/>
                    <w:keepLines w:val="0"/>
                    <w:pageBreakBefore w:val="0"/>
                    <w:widowControl/>
                    <w:kinsoku/>
                    <w:wordWrap/>
                    <w:overflowPunct/>
                    <w:topLinePunct w:val="0"/>
                    <w:autoSpaceDE/>
                    <w:autoSpaceDN/>
                    <w:bidi w:val="0"/>
                    <w:adjustRightInd/>
                    <w:snapToGrid w:val="0"/>
                    <w:spacing w:before="63" w:beforeLines="20" w:beforeAutospacing="0" w:after="63" w:afterLines="2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硫St,ad%</w:t>
                  </w:r>
                </w:p>
              </w:tc>
              <w:tc>
                <w:tcPr>
                  <w:tcW w:w="869" w:type="pct"/>
                  <w:noWrap w:val="0"/>
                  <w:vAlign w:val="center"/>
                </w:tcPr>
                <w:p w14:paraId="04B33B4A">
                  <w:pPr>
                    <w:keepNext w:val="0"/>
                    <w:keepLines w:val="0"/>
                    <w:pageBreakBefore w:val="0"/>
                    <w:widowControl/>
                    <w:kinsoku/>
                    <w:wordWrap/>
                    <w:overflowPunct/>
                    <w:topLinePunct w:val="0"/>
                    <w:autoSpaceDE/>
                    <w:autoSpaceDN/>
                    <w:bidi w:val="0"/>
                    <w:adjustRightInd/>
                    <w:snapToGrid w:val="0"/>
                    <w:spacing w:before="63" w:beforeLines="20" w:beforeAutospacing="0" w:after="63" w:afterLines="2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干</w:t>
                  </w:r>
                  <w:r>
                    <w:rPr>
                      <w:rFonts w:hint="eastAsia" w:ascii="Times New Roman" w:hAnsi="Times New Roman" w:eastAsia="宋体" w:cs="Times New Roman"/>
                      <w:b w:val="0"/>
                      <w:bCs w:val="0"/>
                      <w:color w:val="auto"/>
                      <w:kern w:val="0"/>
                      <w:sz w:val="21"/>
                      <w:szCs w:val="21"/>
                      <w:lang w:val="en-US" w:eastAsia="zh-CN" w:bidi="ar-SA"/>
                    </w:rPr>
                    <w:t>基高位发热量（卡/克）</w:t>
                  </w:r>
                </w:p>
              </w:tc>
            </w:tr>
            <w:tr w14:paraId="2E03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12" w:type="pct"/>
                  <w:noWrap w:val="0"/>
                  <w:vAlign w:val="center"/>
                </w:tcPr>
                <w:p w14:paraId="5AC5FCFA">
                  <w:pPr>
                    <w:keepNext w:val="0"/>
                    <w:keepLines w:val="0"/>
                    <w:pageBreakBefore w:val="0"/>
                    <w:widowControl/>
                    <w:kinsoku/>
                    <w:wordWrap/>
                    <w:overflowPunct/>
                    <w:topLinePunct w:val="0"/>
                    <w:autoSpaceDE/>
                    <w:autoSpaceDN/>
                    <w:bidi w:val="0"/>
                    <w:adjustRightInd/>
                    <w:snapToGrid w:val="0"/>
                    <w:spacing w:before="63" w:beforeLines="20" w:beforeAutospacing="0" w:after="63" w:afterLines="2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检测结果</w:t>
                  </w:r>
                </w:p>
              </w:tc>
              <w:tc>
                <w:tcPr>
                  <w:tcW w:w="684" w:type="pct"/>
                  <w:noWrap w:val="0"/>
                  <w:vAlign w:val="center"/>
                </w:tcPr>
                <w:p w14:paraId="06543D70">
                  <w:pPr>
                    <w:keepNext w:val="0"/>
                    <w:keepLines w:val="0"/>
                    <w:pageBreakBefore w:val="0"/>
                    <w:widowControl/>
                    <w:kinsoku/>
                    <w:wordWrap/>
                    <w:overflowPunct/>
                    <w:topLinePunct w:val="0"/>
                    <w:autoSpaceDE/>
                    <w:autoSpaceDN/>
                    <w:bidi w:val="0"/>
                    <w:adjustRightInd/>
                    <w:snapToGrid w:val="0"/>
                    <w:spacing w:before="63" w:beforeLines="20" w:beforeAutospacing="0" w:after="63" w:afterLines="2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56.34</w:t>
                  </w:r>
                </w:p>
              </w:tc>
              <w:tc>
                <w:tcPr>
                  <w:tcW w:w="723" w:type="pct"/>
                  <w:noWrap w:val="0"/>
                  <w:vAlign w:val="center"/>
                </w:tcPr>
                <w:p w14:paraId="6A589268">
                  <w:pPr>
                    <w:keepNext w:val="0"/>
                    <w:keepLines w:val="0"/>
                    <w:pageBreakBefore w:val="0"/>
                    <w:widowControl/>
                    <w:kinsoku/>
                    <w:wordWrap/>
                    <w:overflowPunct/>
                    <w:topLinePunct w:val="0"/>
                    <w:autoSpaceDE/>
                    <w:autoSpaceDN/>
                    <w:bidi w:val="0"/>
                    <w:adjustRightInd/>
                    <w:snapToGrid w:val="0"/>
                    <w:spacing w:before="63" w:beforeLines="20" w:beforeAutospacing="0" w:after="63" w:afterLines="2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21.02</w:t>
                  </w:r>
                </w:p>
              </w:tc>
              <w:tc>
                <w:tcPr>
                  <w:tcW w:w="674" w:type="pct"/>
                  <w:noWrap w:val="0"/>
                  <w:vAlign w:val="center"/>
                </w:tcPr>
                <w:p w14:paraId="72F7D8F1">
                  <w:pPr>
                    <w:keepNext w:val="0"/>
                    <w:keepLines w:val="0"/>
                    <w:pageBreakBefore w:val="0"/>
                    <w:widowControl/>
                    <w:kinsoku/>
                    <w:wordWrap/>
                    <w:overflowPunct/>
                    <w:topLinePunct w:val="0"/>
                    <w:autoSpaceDE/>
                    <w:autoSpaceDN/>
                    <w:bidi w:val="0"/>
                    <w:adjustRightInd/>
                    <w:snapToGrid w:val="0"/>
                    <w:spacing w:before="63" w:beforeLines="20" w:beforeAutospacing="0" w:after="63" w:afterLines="2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7.25</w:t>
                  </w:r>
                </w:p>
              </w:tc>
              <w:tc>
                <w:tcPr>
                  <w:tcW w:w="705" w:type="pct"/>
                  <w:noWrap w:val="0"/>
                  <w:vAlign w:val="center"/>
                </w:tcPr>
                <w:p w14:paraId="09A95764">
                  <w:pPr>
                    <w:keepNext w:val="0"/>
                    <w:keepLines w:val="0"/>
                    <w:pageBreakBefore w:val="0"/>
                    <w:widowControl/>
                    <w:kinsoku/>
                    <w:wordWrap/>
                    <w:overflowPunct/>
                    <w:topLinePunct w:val="0"/>
                    <w:autoSpaceDE/>
                    <w:autoSpaceDN/>
                    <w:bidi w:val="0"/>
                    <w:adjustRightInd/>
                    <w:snapToGrid w:val="0"/>
                    <w:spacing w:before="63" w:beforeLines="20" w:beforeAutospacing="0" w:after="63" w:afterLines="2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39.93</w:t>
                  </w:r>
                </w:p>
              </w:tc>
              <w:tc>
                <w:tcPr>
                  <w:tcW w:w="630" w:type="pct"/>
                  <w:shd w:val="clear" w:color="auto" w:fill="auto"/>
                  <w:noWrap w:val="0"/>
                  <w:vAlign w:val="center"/>
                </w:tcPr>
                <w:p w14:paraId="608A4A57">
                  <w:pPr>
                    <w:keepNext w:val="0"/>
                    <w:keepLines w:val="0"/>
                    <w:pageBreakBefore w:val="0"/>
                    <w:widowControl/>
                    <w:kinsoku/>
                    <w:wordWrap/>
                    <w:overflowPunct/>
                    <w:topLinePunct w:val="0"/>
                    <w:autoSpaceDE/>
                    <w:autoSpaceDN/>
                    <w:bidi w:val="0"/>
                    <w:adjustRightInd/>
                    <w:snapToGrid w:val="0"/>
                    <w:spacing w:before="63" w:beforeLines="20" w:beforeAutospacing="0" w:after="63" w:afterLines="2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0.47</w:t>
                  </w:r>
                </w:p>
              </w:tc>
              <w:tc>
                <w:tcPr>
                  <w:tcW w:w="869" w:type="pct"/>
                  <w:noWrap w:val="0"/>
                  <w:vAlign w:val="center"/>
                </w:tcPr>
                <w:p w14:paraId="3D7BF1D3">
                  <w:pPr>
                    <w:keepNext w:val="0"/>
                    <w:keepLines w:val="0"/>
                    <w:pageBreakBefore w:val="0"/>
                    <w:widowControl/>
                    <w:kinsoku/>
                    <w:wordWrap/>
                    <w:overflowPunct/>
                    <w:topLinePunct w:val="0"/>
                    <w:autoSpaceDE/>
                    <w:autoSpaceDN/>
                    <w:bidi w:val="0"/>
                    <w:adjustRightInd/>
                    <w:snapToGrid w:val="0"/>
                    <w:spacing w:before="63" w:beforeLines="20" w:beforeAutospacing="0" w:after="63" w:afterLines="2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5870</w:t>
                  </w:r>
                </w:p>
              </w:tc>
            </w:tr>
            <w:tr w14:paraId="3D039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712" w:type="pct"/>
                  <w:noWrap w:val="0"/>
                  <w:vAlign w:val="center"/>
                </w:tcPr>
                <w:p w14:paraId="0C50E653">
                  <w:pPr>
                    <w:keepNext w:val="0"/>
                    <w:keepLines w:val="0"/>
                    <w:pageBreakBefore w:val="0"/>
                    <w:widowControl/>
                    <w:kinsoku/>
                    <w:wordWrap/>
                    <w:overflowPunct/>
                    <w:topLinePunct w:val="0"/>
                    <w:autoSpaceDE/>
                    <w:autoSpaceDN/>
                    <w:bidi w:val="0"/>
                    <w:adjustRightInd/>
                    <w:snapToGrid w:val="0"/>
                    <w:spacing w:before="63" w:beforeLines="20" w:beforeAutospacing="0" w:after="63" w:afterLines="2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检测项目</w:t>
                  </w:r>
                </w:p>
              </w:tc>
              <w:tc>
                <w:tcPr>
                  <w:tcW w:w="1408" w:type="pct"/>
                  <w:gridSpan w:val="2"/>
                  <w:noWrap w:val="0"/>
                  <w:vAlign w:val="center"/>
                </w:tcPr>
                <w:p w14:paraId="0FC54882">
                  <w:pPr>
                    <w:keepNext w:val="0"/>
                    <w:keepLines w:val="0"/>
                    <w:pageBreakBefore w:val="0"/>
                    <w:widowControl/>
                    <w:kinsoku/>
                    <w:wordWrap/>
                    <w:overflowPunct/>
                    <w:topLinePunct w:val="0"/>
                    <w:autoSpaceDE/>
                    <w:autoSpaceDN/>
                    <w:bidi w:val="0"/>
                    <w:adjustRightInd/>
                    <w:snapToGrid w:val="0"/>
                    <w:spacing w:before="63" w:beforeLines="20" w:beforeAutospacing="0" w:after="63" w:afterLines="2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空干</w:t>
                  </w:r>
                  <w:r>
                    <w:rPr>
                      <w:rFonts w:hint="eastAsia" w:ascii="Times New Roman" w:hAnsi="Times New Roman" w:eastAsia="宋体" w:cs="Times New Roman"/>
                      <w:b w:val="0"/>
                      <w:bCs w:val="0"/>
                      <w:color w:val="auto"/>
                      <w:kern w:val="0"/>
                      <w:sz w:val="21"/>
                      <w:szCs w:val="21"/>
                      <w:lang w:val="en-US" w:eastAsia="zh-CN" w:bidi="ar-SA"/>
                    </w:rPr>
                    <w:t>基高位发热量（卡/克）</w:t>
                  </w:r>
                </w:p>
              </w:tc>
              <w:tc>
                <w:tcPr>
                  <w:tcW w:w="1379" w:type="pct"/>
                  <w:gridSpan w:val="2"/>
                  <w:noWrap w:val="0"/>
                  <w:vAlign w:val="center"/>
                </w:tcPr>
                <w:p w14:paraId="1EF3A2F7">
                  <w:pPr>
                    <w:keepNext w:val="0"/>
                    <w:keepLines w:val="0"/>
                    <w:pageBreakBefore w:val="0"/>
                    <w:widowControl/>
                    <w:kinsoku/>
                    <w:wordWrap/>
                    <w:overflowPunct/>
                    <w:topLinePunct w:val="0"/>
                    <w:autoSpaceDE/>
                    <w:autoSpaceDN/>
                    <w:bidi w:val="0"/>
                    <w:adjustRightInd/>
                    <w:snapToGrid w:val="0"/>
                    <w:spacing w:before="63" w:beforeLines="20" w:beforeAutospacing="0" w:after="63" w:afterLines="2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收到基低位发热量（卡/克）</w:t>
                  </w:r>
                </w:p>
              </w:tc>
              <w:tc>
                <w:tcPr>
                  <w:tcW w:w="1499" w:type="pct"/>
                  <w:gridSpan w:val="2"/>
                  <w:noWrap w:val="0"/>
                  <w:vAlign w:val="center"/>
                </w:tcPr>
                <w:p w14:paraId="7B246D35">
                  <w:pPr>
                    <w:keepNext w:val="0"/>
                    <w:keepLines w:val="0"/>
                    <w:pageBreakBefore w:val="0"/>
                    <w:widowControl/>
                    <w:kinsoku/>
                    <w:wordWrap/>
                    <w:overflowPunct/>
                    <w:topLinePunct w:val="0"/>
                    <w:autoSpaceDE/>
                    <w:autoSpaceDN/>
                    <w:bidi w:val="0"/>
                    <w:adjustRightInd/>
                    <w:snapToGrid w:val="0"/>
                    <w:spacing w:before="63" w:beforeLines="20" w:beforeAutospacing="0" w:after="63" w:afterLines="2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w:t>
                  </w:r>
                </w:p>
              </w:tc>
            </w:tr>
            <w:tr w14:paraId="0BC0A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12" w:type="pct"/>
                  <w:noWrap w:val="0"/>
                  <w:vAlign w:val="center"/>
                </w:tcPr>
                <w:p w14:paraId="2B10ABCF">
                  <w:pPr>
                    <w:keepNext w:val="0"/>
                    <w:keepLines w:val="0"/>
                    <w:pageBreakBefore w:val="0"/>
                    <w:widowControl/>
                    <w:kinsoku/>
                    <w:wordWrap/>
                    <w:overflowPunct/>
                    <w:topLinePunct w:val="0"/>
                    <w:autoSpaceDE/>
                    <w:autoSpaceDN/>
                    <w:bidi w:val="0"/>
                    <w:adjustRightInd/>
                    <w:snapToGrid w:val="0"/>
                    <w:spacing w:before="63" w:beforeLines="20" w:beforeAutospacing="0" w:after="63" w:afterLines="20" w:line="240" w:lineRule="auto"/>
                    <w:ind w:left="0" w:leftChars="0" w:right="0" w:rightChars="0" w:firstLine="0" w:firstLineChars="0"/>
                    <w:jc w:val="center"/>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检测结果</w:t>
                  </w:r>
                </w:p>
              </w:tc>
              <w:tc>
                <w:tcPr>
                  <w:tcW w:w="1408" w:type="pct"/>
                  <w:gridSpan w:val="2"/>
                  <w:noWrap w:val="0"/>
                  <w:vAlign w:val="center"/>
                </w:tcPr>
                <w:p w14:paraId="6AD56DDA">
                  <w:pPr>
                    <w:keepNext w:val="0"/>
                    <w:keepLines w:val="0"/>
                    <w:pageBreakBefore w:val="0"/>
                    <w:widowControl/>
                    <w:kinsoku/>
                    <w:wordWrap/>
                    <w:overflowPunct/>
                    <w:topLinePunct w:val="0"/>
                    <w:autoSpaceDE/>
                    <w:autoSpaceDN/>
                    <w:bidi w:val="0"/>
                    <w:adjustRightInd/>
                    <w:snapToGrid w:val="0"/>
                    <w:spacing w:before="63" w:beforeLines="20" w:beforeAutospacing="0" w:after="63" w:afterLines="2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4636</w:t>
                  </w:r>
                </w:p>
              </w:tc>
              <w:tc>
                <w:tcPr>
                  <w:tcW w:w="1379" w:type="pct"/>
                  <w:gridSpan w:val="2"/>
                  <w:noWrap w:val="0"/>
                  <w:vAlign w:val="center"/>
                </w:tcPr>
                <w:p w14:paraId="0AD1E37C">
                  <w:pPr>
                    <w:keepNext w:val="0"/>
                    <w:keepLines w:val="0"/>
                    <w:pageBreakBefore w:val="0"/>
                    <w:widowControl/>
                    <w:kinsoku/>
                    <w:wordWrap/>
                    <w:overflowPunct/>
                    <w:topLinePunct w:val="0"/>
                    <w:autoSpaceDE/>
                    <w:autoSpaceDN/>
                    <w:bidi w:val="0"/>
                    <w:adjustRightInd/>
                    <w:snapToGrid w:val="0"/>
                    <w:spacing w:before="63" w:beforeLines="20" w:beforeAutospacing="0" w:after="63" w:afterLines="2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cs="Times New Roman"/>
                      <w:b w:val="0"/>
                      <w:bCs w:val="0"/>
                      <w:color w:val="auto"/>
                      <w:kern w:val="0"/>
                      <w:sz w:val="21"/>
                      <w:szCs w:val="21"/>
                      <w:lang w:val="en-US" w:eastAsia="zh-CN" w:bidi="ar-SA"/>
                    </w:rPr>
                    <w:t>4146</w:t>
                  </w:r>
                </w:p>
              </w:tc>
              <w:tc>
                <w:tcPr>
                  <w:tcW w:w="1499" w:type="pct"/>
                  <w:gridSpan w:val="2"/>
                  <w:noWrap w:val="0"/>
                  <w:vAlign w:val="center"/>
                </w:tcPr>
                <w:p w14:paraId="64766FF0">
                  <w:pPr>
                    <w:keepNext w:val="0"/>
                    <w:keepLines w:val="0"/>
                    <w:pageBreakBefore w:val="0"/>
                    <w:widowControl/>
                    <w:kinsoku/>
                    <w:wordWrap/>
                    <w:overflowPunct/>
                    <w:topLinePunct w:val="0"/>
                    <w:autoSpaceDE/>
                    <w:autoSpaceDN/>
                    <w:bidi w:val="0"/>
                    <w:adjustRightInd/>
                    <w:snapToGrid w:val="0"/>
                    <w:spacing w:before="63" w:beforeLines="20" w:beforeAutospacing="0" w:after="63" w:afterLines="2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w:t>
                  </w:r>
                </w:p>
              </w:tc>
            </w:tr>
          </w:tbl>
          <w:p w14:paraId="75B3FD7E">
            <w:pPr>
              <w:widowControl w:val="0"/>
              <w:bidi w:val="0"/>
              <w:spacing w:line="360" w:lineRule="auto"/>
              <w:ind w:firstLine="422" w:firstLineChars="200"/>
              <w:jc w:val="both"/>
              <w:rPr>
                <w:rFonts w:hint="default" w:ascii="Times New Roman" w:hAnsi="Times New Roman" w:eastAsia="宋体" w:cs="Times New Roman"/>
                <w:color w:val="auto"/>
                <w:kern w:val="2"/>
                <w:sz w:val="21"/>
                <w:szCs w:val="21"/>
                <w:lang w:val="en-US" w:eastAsia="zh-CN" w:bidi="ar-SA"/>
              </w:rPr>
            </w:pPr>
            <w:r>
              <w:rPr>
                <w:rFonts w:hint="eastAsia" w:cs="Times New Roman"/>
                <w:b/>
                <w:bCs/>
                <w:color w:val="auto"/>
                <w:kern w:val="2"/>
                <w:sz w:val="21"/>
                <w:szCs w:val="21"/>
                <w:lang w:val="en-US" w:eastAsia="zh-CN" w:bidi="ar-SA"/>
              </w:rPr>
              <w:t>（3）燃料消耗及热量平衡</w:t>
            </w:r>
          </w:p>
          <w:p w14:paraId="063EF8F0">
            <w:pPr>
              <w:widowControl w:val="0"/>
              <w:bidi w:val="0"/>
              <w:spacing w:line="360" w:lineRule="auto"/>
              <w:ind w:firstLine="420" w:firstLineChars="200"/>
              <w:jc w:val="both"/>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根据建设单位提供的资料，一块标准仿古砖（按干重2.5kg/块）烧结所需热量（包含热损失）约为4520kJ。本项目生产570万块标砖，煤的低位发热量为17.35MJ/kg，则煤耗量为1485t/a。热量平衡见下表。</w:t>
            </w:r>
          </w:p>
          <w:p w14:paraId="20621B91">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表2-</w:t>
            </w:r>
            <w:r>
              <w:rPr>
                <w:rFonts w:hint="eastAsia" w:ascii="Times New Roman" w:hAnsi="Times New Roman" w:eastAsia="宋体" w:cs="Times New Roman"/>
                <w:b/>
                <w:bCs w:val="0"/>
                <w:color w:val="auto"/>
                <w:sz w:val="21"/>
                <w:szCs w:val="21"/>
                <w:lang w:val="en-US" w:eastAsia="zh-CN"/>
              </w:rPr>
              <w:t>4-3</w:t>
            </w:r>
            <w:r>
              <w:rPr>
                <w:rFonts w:hint="default" w:ascii="Times New Roman" w:hAnsi="Times New Roman" w:eastAsia="宋体" w:cs="Times New Roman"/>
                <w:b/>
                <w:bCs w:val="0"/>
                <w:color w:val="auto"/>
                <w:sz w:val="21"/>
                <w:szCs w:val="21"/>
                <w:lang w:val="en-US" w:eastAsia="zh-CN"/>
              </w:rPr>
              <w:t xml:space="preserve">  热量平衡表</w:t>
            </w:r>
          </w:p>
          <w:tbl>
            <w:tblPr>
              <w:tblStyle w:val="30"/>
              <w:tblW w:w="7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4"/>
              <w:gridCol w:w="5946"/>
            </w:tblGrid>
            <w:tr w14:paraId="21483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7980" w:type="dxa"/>
                  <w:gridSpan w:val="2"/>
                  <w:vAlign w:val="center"/>
                </w:tcPr>
                <w:p w14:paraId="608B7C97">
                  <w:pPr>
                    <w:keepNext w:val="0"/>
                    <w:keepLines w:val="0"/>
                    <w:pageBreakBefore w:val="0"/>
                    <w:widowControl w:val="0"/>
                    <w:kinsoku/>
                    <w:wordWrap/>
                    <w:overflowPunct/>
                    <w:topLinePunct w:val="0"/>
                    <w:autoSpaceDE/>
                    <w:autoSpaceDN/>
                    <w:bidi w:val="0"/>
                    <w:adjustRightInd/>
                    <w:snapToGrid w:val="0"/>
                    <w:spacing w:before="63" w:beforeLines="20" w:after="63" w:afterLines="20"/>
                    <w:jc w:val="center"/>
                    <w:textAlignment w:val="auto"/>
                    <w:rPr>
                      <w:rFonts w:hint="eastAsia"/>
                      <w:color w:val="auto"/>
                      <w:lang w:val="en-US" w:eastAsia="zh-CN"/>
                    </w:rPr>
                  </w:pPr>
                  <w:r>
                    <w:rPr>
                      <w:rFonts w:hint="eastAsia"/>
                      <w:color w:val="auto"/>
                      <w:lang w:val="en-US" w:eastAsia="zh-CN"/>
                    </w:rPr>
                    <w:t>煤热量</w:t>
                  </w:r>
                </w:p>
              </w:tc>
            </w:tr>
            <w:tr w14:paraId="5C353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034" w:type="dxa"/>
                  <w:vAlign w:val="top"/>
                </w:tcPr>
                <w:p w14:paraId="5602BE92">
                  <w:pPr>
                    <w:keepNext w:val="0"/>
                    <w:keepLines w:val="0"/>
                    <w:pageBreakBefore w:val="0"/>
                    <w:widowControl w:val="0"/>
                    <w:kinsoku/>
                    <w:wordWrap/>
                    <w:overflowPunct/>
                    <w:topLinePunct w:val="0"/>
                    <w:autoSpaceDE/>
                    <w:autoSpaceDN/>
                    <w:bidi w:val="0"/>
                    <w:adjustRightInd/>
                    <w:snapToGrid w:val="0"/>
                    <w:spacing w:before="63" w:beforeLines="20" w:after="63" w:afterLines="20"/>
                    <w:jc w:val="center"/>
                    <w:textAlignment w:val="auto"/>
                    <w:rPr>
                      <w:rFonts w:hint="eastAsia"/>
                      <w:color w:val="auto"/>
                      <w:lang w:val="en-US" w:eastAsia="zh-CN"/>
                    </w:rPr>
                  </w:pPr>
                  <w:r>
                    <w:rPr>
                      <w:rFonts w:hint="eastAsia"/>
                      <w:color w:val="auto"/>
                      <w:lang w:val="en-US" w:eastAsia="zh-CN"/>
                    </w:rPr>
                    <w:t>煤热值</w:t>
                  </w:r>
                </w:p>
              </w:tc>
              <w:tc>
                <w:tcPr>
                  <w:tcW w:w="5946" w:type="dxa"/>
                  <w:vAlign w:val="top"/>
                </w:tcPr>
                <w:p w14:paraId="423367B5">
                  <w:pPr>
                    <w:keepNext w:val="0"/>
                    <w:keepLines w:val="0"/>
                    <w:pageBreakBefore w:val="0"/>
                    <w:widowControl w:val="0"/>
                    <w:kinsoku/>
                    <w:wordWrap/>
                    <w:overflowPunct/>
                    <w:topLinePunct w:val="0"/>
                    <w:autoSpaceDE/>
                    <w:autoSpaceDN/>
                    <w:bidi w:val="0"/>
                    <w:adjustRightInd/>
                    <w:snapToGrid w:val="0"/>
                    <w:spacing w:before="63" w:beforeLines="20" w:after="63" w:afterLines="20"/>
                    <w:jc w:val="center"/>
                    <w:textAlignment w:val="auto"/>
                    <w:rPr>
                      <w:rFonts w:hint="eastAsia"/>
                      <w:color w:val="auto"/>
                      <w:lang w:val="en-US" w:eastAsia="zh-CN"/>
                    </w:rPr>
                  </w:pPr>
                  <w:r>
                    <w:rPr>
                      <w:rFonts w:hint="eastAsia"/>
                      <w:color w:val="auto"/>
                      <w:lang w:val="en-US" w:eastAsia="zh-CN"/>
                    </w:rPr>
                    <w:t>17.35MJ/kg</w:t>
                  </w:r>
                </w:p>
              </w:tc>
            </w:tr>
            <w:tr w14:paraId="1B4CC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034" w:type="dxa"/>
                  <w:vAlign w:val="top"/>
                </w:tcPr>
                <w:p w14:paraId="5759C2CA">
                  <w:pPr>
                    <w:keepNext w:val="0"/>
                    <w:keepLines w:val="0"/>
                    <w:pageBreakBefore w:val="0"/>
                    <w:widowControl w:val="0"/>
                    <w:kinsoku/>
                    <w:wordWrap/>
                    <w:overflowPunct/>
                    <w:topLinePunct w:val="0"/>
                    <w:autoSpaceDE/>
                    <w:autoSpaceDN/>
                    <w:bidi w:val="0"/>
                    <w:adjustRightInd/>
                    <w:snapToGrid w:val="0"/>
                    <w:spacing w:before="63" w:beforeLines="20" w:after="63" w:afterLines="20"/>
                    <w:jc w:val="center"/>
                    <w:textAlignment w:val="auto"/>
                    <w:rPr>
                      <w:rFonts w:hint="eastAsia"/>
                      <w:color w:val="auto"/>
                      <w:lang w:val="en-US" w:eastAsia="zh-CN"/>
                    </w:rPr>
                  </w:pPr>
                  <w:r>
                    <w:rPr>
                      <w:rFonts w:hint="eastAsia"/>
                      <w:color w:val="auto"/>
                      <w:lang w:val="en-US" w:eastAsia="zh-CN"/>
                    </w:rPr>
                    <w:t>煤使用量</w:t>
                  </w:r>
                </w:p>
              </w:tc>
              <w:tc>
                <w:tcPr>
                  <w:tcW w:w="5946" w:type="dxa"/>
                </w:tcPr>
                <w:p w14:paraId="410606F5">
                  <w:pPr>
                    <w:keepNext w:val="0"/>
                    <w:keepLines w:val="0"/>
                    <w:pageBreakBefore w:val="0"/>
                    <w:widowControl w:val="0"/>
                    <w:kinsoku/>
                    <w:wordWrap/>
                    <w:overflowPunct/>
                    <w:topLinePunct w:val="0"/>
                    <w:autoSpaceDE/>
                    <w:autoSpaceDN/>
                    <w:bidi w:val="0"/>
                    <w:adjustRightInd/>
                    <w:snapToGrid w:val="0"/>
                    <w:spacing w:before="63" w:beforeLines="20" w:after="63" w:afterLines="20"/>
                    <w:jc w:val="center"/>
                    <w:textAlignment w:val="auto"/>
                    <w:rPr>
                      <w:rFonts w:hint="eastAsia"/>
                      <w:color w:val="auto"/>
                      <w:lang w:val="en-US" w:eastAsia="zh-CN"/>
                    </w:rPr>
                  </w:pPr>
                  <w:r>
                    <w:rPr>
                      <w:rFonts w:hint="eastAsia"/>
                      <w:color w:val="auto"/>
                      <w:lang w:val="en-US" w:eastAsia="zh-CN"/>
                    </w:rPr>
                    <w:t>1485t</w:t>
                  </w:r>
                </w:p>
              </w:tc>
            </w:tr>
            <w:tr w14:paraId="41FC5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034" w:type="dxa"/>
                </w:tcPr>
                <w:p w14:paraId="2B412AEA">
                  <w:pPr>
                    <w:keepNext w:val="0"/>
                    <w:keepLines w:val="0"/>
                    <w:pageBreakBefore w:val="0"/>
                    <w:widowControl w:val="0"/>
                    <w:kinsoku/>
                    <w:wordWrap/>
                    <w:overflowPunct/>
                    <w:topLinePunct w:val="0"/>
                    <w:autoSpaceDE/>
                    <w:autoSpaceDN/>
                    <w:bidi w:val="0"/>
                    <w:adjustRightInd/>
                    <w:snapToGrid w:val="0"/>
                    <w:spacing w:before="63" w:beforeLines="20" w:after="63" w:afterLines="20"/>
                    <w:jc w:val="center"/>
                    <w:textAlignment w:val="auto"/>
                    <w:rPr>
                      <w:rFonts w:hint="eastAsia"/>
                      <w:color w:val="auto"/>
                      <w:lang w:val="en-US" w:eastAsia="zh-CN"/>
                    </w:rPr>
                  </w:pPr>
                  <w:r>
                    <w:rPr>
                      <w:rFonts w:hint="eastAsia"/>
                      <w:color w:val="auto"/>
                      <w:lang w:val="en-US" w:eastAsia="zh-CN"/>
                    </w:rPr>
                    <w:t>总热量</w:t>
                  </w:r>
                </w:p>
              </w:tc>
              <w:tc>
                <w:tcPr>
                  <w:tcW w:w="5946" w:type="dxa"/>
                </w:tcPr>
                <w:p w14:paraId="010C479C">
                  <w:pPr>
                    <w:keepNext w:val="0"/>
                    <w:keepLines w:val="0"/>
                    <w:pageBreakBefore w:val="0"/>
                    <w:widowControl w:val="0"/>
                    <w:kinsoku/>
                    <w:wordWrap/>
                    <w:overflowPunct/>
                    <w:topLinePunct w:val="0"/>
                    <w:autoSpaceDE/>
                    <w:autoSpaceDN/>
                    <w:bidi w:val="0"/>
                    <w:adjustRightInd/>
                    <w:snapToGrid w:val="0"/>
                    <w:spacing w:before="63" w:beforeLines="20" w:after="63" w:afterLines="20"/>
                    <w:jc w:val="center"/>
                    <w:textAlignment w:val="auto"/>
                    <w:rPr>
                      <w:rFonts w:hint="eastAsia"/>
                      <w:color w:val="auto"/>
                      <w:lang w:val="en-US" w:eastAsia="zh-CN"/>
                    </w:rPr>
                  </w:pPr>
                  <w:r>
                    <w:rPr>
                      <w:rFonts w:hint="eastAsia"/>
                      <w:color w:val="auto"/>
                      <w:lang w:val="en-US" w:eastAsia="zh-CN"/>
                    </w:rPr>
                    <w:t>2.5764×10</w:t>
                  </w:r>
                  <w:r>
                    <w:rPr>
                      <w:rFonts w:hint="eastAsia"/>
                      <w:color w:val="auto"/>
                      <w:vertAlign w:val="superscript"/>
                      <w:lang w:val="en-US" w:eastAsia="zh-CN"/>
                    </w:rPr>
                    <w:t>7</w:t>
                  </w:r>
                  <w:r>
                    <w:rPr>
                      <w:rFonts w:hint="eastAsia"/>
                      <w:color w:val="auto"/>
                      <w:lang w:val="en-US" w:eastAsia="zh-CN"/>
                    </w:rPr>
                    <w:t>MJ</w:t>
                  </w:r>
                </w:p>
              </w:tc>
            </w:tr>
            <w:tr w14:paraId="156A8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7980" w:type="dxa"/>
                  <w:gridSpan w:val="2"/>
                </w:tcPr>
                <w:p w14:paraId="5C6F7C66">
                  <w:pPr>
                    <w:keepNext w:val="0"/>
                    <w:keepLines w:val="0"/>
                    <w:pageBreakBefore w:val="0"/>
                    <w:widowControl w:val="0"/>
                    <w:kinsoku/>
                    <w:wordWrap/>
                    <w:overflowPunct/>
                    <w:topLinePunct w:val="0"/>
                    <w:autoSpaceDE/>
                    <w:autoSpaceDN/>
                    <w:bidi w:val="0"/>
                    <w:adjustRightInd/>
                    <w:snapToGrid w:val="0"/>
                    <w:spacing w:before="63" w:beforeLines="20" w:after="63" w:afterLines="20"/>
                    <w:textAlignment w:val="auto"/>
                    <w:rPr>
                      <w:rFonts w:hint="eastAsia"/>
                      <w:color w:val="auto"/>
                      <w:lang w:val="en-US" w:eastAsia="zh-CN"/>
                    </w:rPr>
                  </w:pPr>
                  <w:r>
                    <w:rPr>
                      <w:rFonts w:hint="eastAsia"/>
                      <w:color w:val="auto"/>
                      <w:lang w:val="en-US" w:eastAsia="zh-CN"/>
                    </w:rPr>
                    <w:t>注：总热量=（1块标砖所需热量</w:t>
                  </w:r>
                  <w:r>
                    <w:rPr>
                      <w:rFonts w:hint="eastAsia" w:ascii="Times New Roman" w:eastAsia="宋体"/>
                      <w:color w:val="auto"/>
                      <w:lang w:val="en-US" w:eastAsia="zh-CN"/>
                    </w:rPr>
                    <w:t>×生产标砖数量</w:t>
                  </w:r>
                  <w:r>
                    <w:rPr>
                      <w:rFonts w:hint="eastAsia"/>
                      <w:color w:val="auto"/>
                      <w:lang w:val="en-US" w:eastAsia="zh-CN"/>
                    </w:rPr>
                    <w:t>）=（煤热值×煤使用量）</w:t>
                  </w:r>
                </w:p>
              </w:tc>
            </w:tr>
          </w:tbl>
          <w:p w14:paraId="6BD21C65">
            <w:pPr>
              <w:widowControl w:val="0"/>
              <w:bidi w:val="0"/>
              <w:spacing w:line="360" w:lineRule="auto"/>
              <w:ind w:firstLine="422" w:firstLineChars="200"/>
              <w:jc w:val="both"/>
              <w:rPr>
                <w:rFonts w:hint="default" w:ascii="Times New Roman" w:hAnsi="Times New Roman" w:eastAsia="宋体" w:cs="Times New Roman"/>
                <w:color w:val="auto"/>
                <w:kern w:val="2"/>
                <w:sz w:val="21"/>
                <w:szCs w:val="21"/>
                <w:lang w:val="en-US" w:eastAsia="zh-CN" w:bidi="ar-SA"/>
              </w:rPr>
            </w:pPr>
            <w:r>
              <w:rPr>
                <w:rFonts w:hint="eastAsia" w:cs="Times New Roman"/>
                <w:b/>
                <w:bCs/>
                <w:color w:val="auto"/>
                <w:kern w:val="2"/>
                <w:sz w:val="21"/>
                <w:szCs w:val="21"/>
                <w:lang w:val="en-US" w:eastAsia="zh-CN" w:bidi="ar-SA"/>
              </w:rPr>
              <w:t>（4）硫平衡</w:t>
            </w:r>
          </w:p>
          <w:p w14:paraId="75FF6C46">
            <w:pPr>
              <w:widowControl w:val="0"/>
              <w:bidi w:val="0"/>
              <w:spacing w:line="360" w:lineRule="auto"/>
              <w:ind w:firstLine="420" w:firstLineChars="200"/>
              <w:jc w:val="both"/>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根据源强核算（详见第四章节）本项目硫平衡如下。</w:t>
            </w:r>
          </w:p>
          <w:p w14:paraId="77C02A96">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表2-</w:t>
            </w:r>
            <w:r>
              <w:rPr>
                <w:rFonts w:hint="eastAsia" w:ascii="Times New Roman" w:hAnsi="Times New Roman" w:eastAsia="宋体" w:cs="Times New Roman"/>
                <w:b/>
                <w:bCs w:val="0"/>
                <w:color w:val="auto"/>
                <w:sz w:val="21"/>
                <w:szCs w:val="21"/>
                <w:lang w:val="en-US" w:eastAsia="zh-CN"/>
              </w:rPr>
              <w:t>4-4</w:t>
            </w:r>
            <w:r>
              <w:rPr>
                <w:rFonts w:hint="default" w:ascii="Times New Roman" w:hAnsi="Times New Roman" w:eastAsia="宋体" w:cs="Times New Roman"/>
                <w:b/>
                <w:bCs w:val="0"/>
                <w:color w:val="auto"/>
                <w:sz w:val="21"/>
                <w:szCs w:val="21"/>
                <w:lang w:val="en-US" w:eastAsia="zh-CN"/>
              </w:rPr>
              <w:t xml:space="preserve">  硫平衡表  单位：t/a</w:t>
            </w:r>
          </w:p>
          <w:tbl>
            <w:tblPr>
              <w:tblStyle w:val="30"/>
              <w:tblW w:w="80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9"/>
              <w:gridCol w:w="2020"/>
              <w:gridCol w:w="2019"/>
              <w:gridCol w:w="2021"/>
            </w:tblGrid>
            <w:tr w14:paraId="3D5CF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4039" w:type="dxa"/>
                  <w:gridSpan w:val="2"/>
                  <w:vAlign w:val="center"/>
                </w:tcPr>
                <w:p w14:paraId="1D5B6630">
                  <w:pPr>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eastAsia" w:ascii="Times New Roman" w:hAnsi="Times New Roman" w:eastAsia="宋体" w:cs="Times New Roman"/>
                      <w:b/>
                      <w:bCs w:val="0"/>
                      <w:color w:val="auto"/>
                      <w:sz w:val="21"/>
                      <w:szCs w:val="21"/>
                      <w:vertAlign w:val="baseline"/>
                      <w:lang w:val="en-US" w:eastAsia="zh-CN"/>
                    </w:rPr>
                    <w:t>投入</w:t>
                  </w:r>
                </w:p>
              </w:tc>
              <w:tc>
                <w:tcPr>
                  <w:tcW w:w="4040" w:type="dxa"/>
                  <w:gridSpan w:val="2"/>
                  <w:vAlign w:val="center"/>
                </w:tcPr>
                <w:p w14:paraId="0372B7D1">
                  <w:pPr>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eastAsia" w:ascii="Times New Roman" w:hAnsi="Times New Roman" w:eastAsia="宋体" w:cs="Times New Roman"/>
                      <w:b/>
                      <w:bCs w:val="0"/>
                      <w:color w:val="auto"/>
                      <w:sz w:val="21"/>
                      <w:szCs w:val="21"/>
                      <w:vertAlign w:val="baseline"/>
                      <w:lang w:val="en-US" w:eastAsia="zh-CN"/>
                    </w:rPr>
                    <w:t>产出</w:t>
                  </w:r>
                </w:p>
              </w:tc>
            </w:tr>
            <w:tr w14:paraId="0730F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019" w:type="dxa"/>
                  <w:vAlign w:val="center"/>
                </w:tcPr>
                <w:p w14:paraId="7A657EA2">
                  <w:pPr>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煤中含硫量</w:t>
                  </w:r>
                </w:p>
              </w:tc>
              <w:tc>
                <w:tcPr>
                  <w:tcW w:w="2020" w:type="dxa"/>
                  <w:vAlign w:val="center"/>
                </w:tcPr>
                <w:p w14:paraId="21A99959">
                  <w:pPr>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6.98</w:t>
                  </w:r>
                </w:p>
              </w:tc>
              <w:tc>
                <w:tcPr>
                  <w:tcW w:w="2019" w:type="dxa"/>
                  <w:vAlign w:val="center"/>
                </w:tcPr>
                <w:p w14:paraId="35C40A14">
                  <w:pPr>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废气排放量</w:t>
                  </w:r>
                </w:p>
              </w:tc>
              <w:tc>
                <w:tcPr>
                  <w:tcW w:w="2021" w:type="dxa"/>
                  <w:vAlign w:val="center"/>
                </w:tcPr>
                <w:p w14:paraId="5CC29076">
                  <w:pPr>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cs="Times New Roman"/>
                      <w:i w:val="0"/>
                      <w:iCs w:val="0"/>
                      <w:color w:val="auto"/>
                      <w:kern w:val="0"/>
                      <w:sz w:val="21"/>
                      <w:szCs w:val="21"/>
                      <w:u w:val="none"/>
                      <w:lang w:val="en-US" w:eastAsia="zh-CN" w:bidi="ar"/>
                    </w:rPr>
                    <w:t>0.55</w:t>
                  </w:r>
                </w:p>
              </w:tc>
            </w:tr>
            <w:tr w14:paraId="487EE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019" w:type="dxa"/>
                  <w:vAlign w:val="center"/>
                </w:tcPr>
                <w:p w14:paraId="34AE7C2C">
                  <w:pPr>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w:t>
                  </w:r>
                </w:p>
              </w:tc>
              <w:tc>
                <w:tcPr>
                  <w:tcW w:w="2020" w:type="dxa"/>
                  <w:vAlign w:val="center"/>
                </w:tcPr>
                <w:p w14:paraId="4F01DE6D">
                  <w:pPr>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w:t>
                  </w:r>
                </w:p>
              </w:tc>
              <w:tc>
                <w:tcPr>
                  <w:tcW w:w="2019" w:type="dxa"/>
                  <w:vAlign w:val="center"/>
                </w:tcPr>
                <w:p w14:paraId="2CF5ACF2">
                  <w:pPr>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脱硫塔</w:t>
                  </w:r>
                  <w:r>
                    <w:rPr>
                      <w:rFonts w:hint="eastAsia" w:cs="Times New Roman"/>
                      <w:b w:val="0"/>
                      <w:bCs/>
                      <w:color w:val="auto"/>
                      <w:sz w:val="21"/>
                      <w:szCs w:val="21"/>
                      <w:vertAlign w:val="baseline"/>
                      <w:lang w:val="en-US" w:eastAsia="zh-CN"/>
                    </w:rPr>
                    <w:t>去除</w:t>
                  </w:r>
                  <w:r>
                    <w:rPr>
                      <w:rFonts w:hint="eastAsia" w:ascii="Times New Roman" w:hAnsi="Times New Roman" w:eastAsia="宋体" w:cs="Times New Roman"/>
                      <w:b w:val="0"/>
                      <w:bCs/>
                      <w:color w:val="auto"/>
                      <w:sz w:val="21"/>
                      <w:szCs w:val="21"/>
                      <w:vertAlign w:val="baseline"/>
                      <w:lang w:val="en-US" w:eastAsia="zh-CN"/>
                    </w:rPr>
                    <w:t>量</w:t>
                  </w:r>
                </w:p>
              </w:tc>
              <w:tc>
                <w:tcPr>
                  <w:tcW w:w="2021" w:type="dxa"/>
                  <w:vAlign w:val="center"/>
                </w:tcPr>
                <w:p w14:paraId="4C9E5BA1">
                  <w:pPr>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4.95</w:t>
                  </w:r>
                </w:p>
              </w:tc>
            </w:tr>
            <w:tr w14:paraId="2641A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019" w:type="dxa"/>
                  <w:vAlign w:val="center"/>
                </w:tcPr>
                <w:p w14:paraId="764ABADF">
                  <w:pPr>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w:t>
                  </w:r>
                </w:p>
              </w:tc>
              <w:tc>
                <w:tcPr>
                  <w:tcW w:w="2020" w:type="dxa"/>
                  <w:vAlign w:val="center"/>
                </w:tcPr>
                <w:p w14:paraId="046A4ECB">
                  <w:pPr>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w:t>
                  </w:r>
                </w:p>
              </w:tc>
              <w:tc>
                <w:tcPr>
                  <w:tcW w:w="2019" w:type="dxa"/>
                  <w:vAlign w:val="center"/>
                </w:tcPr>
                <w:p w14:paraId="2D45EB9A">
                  <w:pPr>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产品中含量</w:t>
                  </w:r>
                </w:p>
              </w:tc>
              <w:tc>
                <w:tcPr>
                  <w:tcW w:w="2021" w:type="dxa"/>
                  <w:vAlign w:val="center"/>
                </w:tcPr>
                <w:p w14:paraId="1F330C30">
                  <w:pPr>
                    <w:keepNext w:val="0"/>
                    <w:keepLines w:val="0"/>
                    <w:pageBreakBefore w:val="0"/>
                    <w:widowControl/>
                    <w:suppressLineNumbers w:val="0"/>
                    <w:kinsoku/>
                    <w:wordWrap/>
                    <w:overflowPunct/>
                    <w:topLinePunct w:val="0"/>
                    <w:autoSpaceDE/>
                    <w:autoSpaceDN/>
                    <w:bidi w:val="0"/>
                    <w:snapToGrid w:val="0"/>
                    <w:spacing w:before="95" w:beforeLines="30" w:beforeAutospacing="0" w:after="95" w:afterLines="30" w:afterAutospacing="0"/>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1.48</w:t>
                  </w:r>
                </w:p>
              </w:tc>
            </w:tr>
            <w:tr w14:paraId="34492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019" w:type="dxa"/>
                  <w:vAlign w:val="center"/>
                </w:tcPr>
                <w:p w14:paraId="69D25AAB">
                  <w:pPr>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合计</w:t>
                  </w:r>
                </w:p>
              </w:tc>
              <w:tc>
                <w:tcPr>
                  <w:tcW w:w="2020" w:type="dxa"/>
                  <w:vAlign w:val="center"/>
                </w:tcPr>
                <w:p w14:paraId="4379332B">
                  <w:pPr>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6.98</w:t>
                  </w:r>
                </w:p>
              </w:tc>
              <w:tc>
                <w:tcPr>
                  <w:tcW w:w="2019" w:type="dxa"/>
                  <w:vAlign w:val="center"/>
                </w:tcPr>
                <w:p w14:paraId="18B39EE6">
                  <w:pPr>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合计</w:t>
                  </w:r>
                </w:p>
              </w:tc>
              <w:tc>
                <w:tcPr>
                  <w:tcW w:w="2021" w:type="dxa"/>
                  <w:vAlign w:val="center"/>
                </w:tcPr>
                <w:p w14:paraId="44C869AA">
                  <w:pPr>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6.98</w:t>
                  </w:r>
                </w:p>
              </w:tc>
            </w:tr>
            <w:tr w14:paraId="45A15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079" w:type="dxa"/>
                  <w:gridSpan w:val="4"/>
                  <w:vAlign w:val="center"/>
                </w:tcPr>
                <w:p w14:paraId="103424E8">
                  <w:pPr>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jc w:val="both"/>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注：本项目煤质分析报告单中含硫量为</w:t>
                  </w:r>
                  <w:r>
                    <w:rPr>
                      <w:rFonts w:hint="eastAsia" w:cs="Times New Roman"/>
                      <w:b w:val="0"/>
                      <w:bCs/>
                      <w:color w:val="auto"/>
                      <w:sz w:val="21"/>
                      <w:szCs w:val="21"/>
                      <w:vertAlign w:val="baseline"/>
                      <w:lang w:val="en-US" w:eastAsia="zh-CN"/>
                    </w:rPr>
                    <w:t>0.47</w:t>
                  </w:r>
                  <w:r>
                    <w:rPr>
                      <w:rFonts w:hint="eastAsia" w:ascii="Times New Roman" w:hAnsi="Times New Roman" w:eastAsia="宋体" w:cs="Times New Roman"/>
                      <w:b w:val="0"/>
                      <w:bCs/>
                      <w:color w:val="auto"/>
                      <w:sz w:val="21"/>
                      <w:szCs w:val="21"/>
                      <w:vertAlign w:val="baseline"/>
                      <w:lang w:val="en-US" w:eastAsia="zh-CN"/>
                    </w:rPr>
                    <w:t>%</w:t>
                  </w:r>
                  <w:r>
                    <w:rPr>
                      <w:rFonts w:hint="eastAsia" w:cs="Times New Roman"/>
                      <w:b w:val="0"/>
                      <w:bCs/>
                      <w:color w:val="auto"/>
                      <w:sz w:val="21"/>
                      <w:szCs w:val="21"/>
                      <w:vertAlign w:val="baseline"/>
                      <w:lang w:val="en-US" w:eastAsia="zh-CN"/>
                    </w:rPr>
                    <w:t>，源强核算二氧化硫产生量为11t/a（折算为硫单质5.5t/a），二氧化硫排放量为1.1t/a（折算为硫单质0.55t/a）。</w:t>
                  </w:r>
                </w:p>
              </w:tc>
            </w:tr>
          </w:tbl>
          <w:p w14:paraId="3277A6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default"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w:t>
            </w:r>
            <w:r>
              <w:rPr>
                <w:rFonts w:hint="eastAsia" w:cs="Times New Roman"/>
                <w:b/>
                <w:bCs w:val="0"/>
                <w:color w:val="auto"/>
                <w:sz w:val="21"/>
                <w:szCs w:val="21"/>
                <w:lang w:val="en-US" w:eastAsia="zh-CN"/>
              </w:rPr>
              <w:t>5</w:t>
            </w:r>
            <w:r>
              <w:rPr>
                <w:rFonts w:hint="eastAsia" w:ascii="Times New Roman" w:hAnsi="Times New Roman" w:eastAsia="宋体" w:cs="Times New Roman"/>
                <w:b/>
                <w:bCs w:val="0"/>
                <w:color w:val="auto"/>
                <w:sz w:val="21"/>
                <w:szCs w:val="21"/>
                <w:lang w:val="en-US" w:eastAsia="zh-CN"/>
              </w:rPr>
              <w:t>）氟平衡</w:t>
            </w:r>
          </w:p>
          <w:p w14:paraId="12F202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根据源强核算（详见第四章节）本项目氟平衡如下。</w:t>
            </w:r>
          </w:p>
          <w:p w14:paraId="25A4AC14">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表2-4-5  本项目氟平衡  单位：t/a</w:t>
            </w:r>
          </w:p>
          <w:tbl>
            <w:tblPr>
              <w:tblStyle w:val="30"/>
              <w:tblW w:w="80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9"/>
              <w:gridCol w:w="2020"/>
              <w:gridCol w:w="2019"/>
              <w:gridCol w:w="2021"/>
            </w:tblGrid>
            <w:tr w14:paraId="17C41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3" w:hRule="atLeast"/>
              </w:trPr>
              <w:tc>
                <w:tcPr>
                  <w:tcW w:w="4039" w:type="dxa"/>
                  <w:gridSpan w:val="2"/>
                  <w:vAlign w:val="center"/>
                </w:tcPr>
                <w:p w14:paraId="7A701C8D">
                  <w:pPr>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eastAsia" w:ascii="Times New Roman" w:hAnsi="Times New Roman" w:eastAsia="宋体" w:cs="Times New Roman"/>
                      <w:b/>
                      <w:bCs w:val="0"/>
                      <w:color w:val="auto"/>
                      <w:sz w:val="21"/>
                      <w:szCs w:val="21"/>
                      <w:vertAlign w:val="baseline"/>
                      <w:lang w:val="en-US" w:eastAsia="zh-CN"/>
                    </w:rPr>
                    <w:t>投入</w:t>
                  </w:r>
                </w:p>
              </w:tc>
              <w:tc>
                <w:tcPr>
                  <w:tcW w:w="4040" w:type="dxa"/>
                  <w:gridSpan w:val="2"/>
                  <w:vAlign w:val="center"/>
                </w:tcPr>
                <w:p w14:paraId="7392936C">
                  <w:pPr>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eastAsia" w:ascii="Times New Roman" w:hAnsi="Times New Roman" w:eastAsia="宋体" w:cs="Times New Roman"/>
                      <w:b/>
                      <w:bCs w:val="0"/>
                      <w:color w:val="auto"/>
                      <w:sz w:val="21"/>
                      <w:szCs w:val="21"/>
                      <w:vertAlign w:val="baseline"/>
                      <w:lang w:val="en-US" w:eastAsia="zh-CN"/>
                    </w:rPr>
                    <w:t>产出</w:t>
                  </w:r>
                </w:p>
              </w:tc>
            </w:tr>
            <w:tr w14:paraId="51B7F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2019" w:type="dxa"/>
                  <w:vAlign w:val="center"/>
                </w:tcPr>
                <w:p w14:paraId="447CA0F8">
                  <w:pPr>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原料中含氟量</w:t>
                  </w:r>
                </w:p>
              </w:tc>
              <w:tc>
                <w:tcPr>
                  <w:tcW w:w="2020" w:type="dxa"/>
                  <w:vAlign w:val="center"/>
                </w:tcPr>
                <w:p w14:paraId="638DA2E6">
                  <w:pPr>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2.325</w:t>
                  </w:r>
                </w:p>
              </w:tc>
              <w:tc>
                <w:tcPr>
                  <w:tcW w:w="2019" w:type="dxa"/>
                  <w:vAlign w:val="center"/>
                </w:tcPr>
                <w:p w14:paraId="46B6C62D">
                  <w:pPr>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废气排放量</w:t>
                  </w:r>
                </w:p>
              </w:tc>
              <w:tc>
                <w:tcPr>
                  <w:tcW w:w="2021" w:type="dxa"/>
                  <w:vAlign w:val="center"/>
                </w:tcPr>
                <w:p w14:paraId="10C39C9E">
                  <w:pPr>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color w:val="auto"/>
                      <w:lang w:val="en-US" w:eastAsia="zh-CN"/>
                    </w:rPr>
                    <w:t>0.04</w:t>
                  </w:r>
                </w:p>
              </w:tc>
            </w:tr>
            <w:tr w14:paraId="6B91B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2019" w:type="dxa"/>
                  <w:vAlign w:val="center"/>
                </w:tcPr>
                <w:p w14:paraId="653B7211">
                  <w:pPr>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w:t>
                  </w:r>
                </w:p>
              </w:tc>
              <w:tc>
                <w:tcPr>
                  <w:tcW w:w="2020" w:type="dxa"/>
                  <w:vAlign w:val="center"/>
                </w:tcPr>
                <w:p w14:paraId="6B9253DA">
                  <w:pPr>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w:t>
                  </w:r>
                </w:p>
              </w:tc>
              <w:tc>
                <w:tcPr>
                  <w:tcW w:w="2019" w:type="dxa"/>
                  <w:vAlign w:val="center"/>
                </w:tcPr>
                <w:p w14:paraId="2FED217C">
                  <w:pPr>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脱硫塔吸收量</w:t>
                  </w:r>
                </w:p>
              </w:tc>
              <w:tc>
                <w:tcPr>
                  <w:tcW w:w="2021" w:type="dxa"/>
                  <w:vAlign w:val="center"/>
                </w:tcPr>
                <w:p w14:paraId="26FA82C4">
                  <w:pPr>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0.767</w:t>
                  </w:r>
                </w:p>
              </w:tc>
            </w:tr>
            <w:tr w14:paraId="10A5F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2019" w:type="dxa"/>
                  <w:vAlign w:val="center"/>
                </w:tcPr>
                <w:p w14:paraId="7D5C199D">
                  <w:pPr>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w:t>
                  </w:r>
                </w:p>
              </w:tc>
              <w:tc>
                <w:tcPr>
                  <w:tcW w:w="2020" w:type="dxa"/>
                  <w:vAlign w:val="center"/>
                </w:tcPr>
                <w:p w14:paraId="1EB20C69">
                  <w:pPr>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w:t>
                  </w:r>
                </w:p>
              </w:tc>
              <w:tc>
                <w:tcPr>
                  <w:tcW w:w="2019" w:type="dxa"/>
                  <w:vAlign w:val="center"/>
                </w:tcPr>
                <w:p w14:paraId="3CA472C3">
                  <w:pPr>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产品中含量</w:t>
                  </w:r>
                </w:p>
              </w:tc>
              <w:tc>
                <w:tcPr>
                  <w:tcW w:w="2021" w:type="dxa"/>
                  <w:vAlign w:val="center"/>
                </w:tcPr>
                <w:p w14:paraId="1EC5E11E">
                  <w:pPr>
                    <w:keepNext w:val="0"/>
                    <w:keepLines w:val="0"/>
                    <w:pageBreakBefore w:val="0"/>
                    <w:widowControl/>
                    <w:suppressLineNumbers w:val="0"/>
                    <w:kinsoku/>
                    <w:wordWrap/>
                    <w:overflowPunct/>
                    <w:topLinePunct w:val="0"/>
                    <w:autoSpaceDE/>
                    <w:autoSpaceDN/>
                    <w:bidi w:val="0"/>
                    <w:snapToGrid w:val="0"/>
                    <w:spacing w:before="95" w:beforeLines="30" w:beforeAutospacing="0" w:after="95" w:afterLines="30" w:afterAutospacing="0" w:line="240" w:lineRule="auto"/>
                    <w:ind w:left="0" w:right="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0"/>
                      <w:sz w:val="21"/>
                      <w:szCs w:val="21"/>
                      <w:u w:val="none"/>
                      <w:lang w:val="en-US" w:eastAsia="zh-CN" w:bidi="ar"/>
                    </w:rPr>
                    <w:t>1.518</w:t>
                  </w:r>
                </w:p>
              </w:tc>
            </w:tr>
            <w:tr w14:paraId="0F993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2019" w:type="dxa"/>
                  <w:vAlign w:val="center"/>
                </w:tcPr>
                <w:p w14:paraId="704A72BA">
                  <w:pPr>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合计</w:t>
                  </w:r>
                </w:p>
              </w:tc>
              <w:tc>
                <w:tcPr>
                  <w:tcW w:w="2020" w:type="dxa"/>
                  <w:vAlign w:val="center"/>
                </w:tcPr>
                <w:p w14:paraId="4FCBCD81">
                  <w:pPr>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2.325</w:t>
                  </w:r>
                </w:p>
              </w:tc>
              <w:tc>
                <w:tcPr>
                  <w:tcW w:w="2019" w:type="dxa"/>
                  <w:vAlign w:val="center"/>
                </w:tcPr>
                <w:p w14:paraId="33D835BE">
                  <w:pPr>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合计</w:t>
                  </w:r>
                </w:p>
              </w:tc>
              <w:tc>
                <w:tcPr>
                  <w:tcW w:w="2021" w:type="dxa"/>
                  <w:vAlign w:val="center"/>
                </w:tcPr>
                <w:p w14:paraId="7B8D02B3">
                  <w:pPr>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2.325</w:t>
                  </w:r>
                </w:p>
              </w:tc>
            </w:tr>
            <w:tr w14:paraId="77C52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079" w:type="dxa"/>
                  <w:gridSpan w:val="4"/>
                  <w:vAlign w:val="center"/>
                </w:tcPr>
                <w:p w14:paraId="6AA6EF71">
                  <w:pPr>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jc w:val="both"/>
                    <w:textAlignment w:val="auto"/>
                    <w:rPr>
                      <w:rFonts w:hint="default" w:ascii="Times New Roman" w:hAnsi="Times New Roman" w:eastAsia="宋体" w:cs="Times New Roman"/>
                      <w:b w:val="0"/>
                      <w:bCs/>
                      <w:color w:val="auto"/>
                      <w:sz w:val="21"/>
                      <w:szCs w:val="21"/>
                      <w:vertAlign w:val="baseline"/>
                      <w:lang w:val="en-US" w:eastAsia="zh-CN"/>
                    </w:rPr>
                  </w:pPr>
                  <w:r>
                    <w:rPr>
                      <w:rFonts w:hint="eastAsia" w:ascii="Times New Roman" w:hAnsi="Times New Roman" w:eastAsia="宋体" w:cs="Times New Roman"/>
                      <w:b w:val="0"/>
                      <w:bCs/>
                      <w:color w:val="auto"/>
                      <w:sz w:val="21"/>
                      <w:szCs w:val="21"/>
                      <w:vertAlign w:val="baseline"/>
                      <w:lang w:val="en-US" w:eastAsia="zh-CN"/>
                    </w:rPr>
                    <w:t>注：</w:t>
                  </w:r>
                  <w:r>
                    <w:rPr>
                      <w:rFonts w:hint="eastAsia" w:ascii="Times New Roman" w:hAnsi="Times New Roman" w:eastAsia="宋体" w:cs="Times New Roman"/>
                      <w:color w:val="auto"/>
                      <w:sz w:val="21"/>
                      <w:szCs w:val="21"/>
                      <w:lang w:val="en-US" w:eastAsia="zh-CN"/>
                    </w:rPr>
                    <w:t>根据业主提供的资料，原料用量为</w:t>
                  </w:r>
                  <w:r>
                    <w:rPr>
                      <w:rFonts w:hint="eastAsia" w:cs="Times New Roman"/>
                      <w:color w:val="auto"/>
                      <w:sz w:val="21"/>
                      <w:szCs w:val="21"/>
                      <w:lang w:val="en-US" w:eastAsia="zh-CN"/>
                    </w:rPr>
                    <w:t>15500</w:t>
                  </w:r>
                  <w:r>
                    <w:rPr>
                      <w:rFonts w:hint="eastAsia" w:ascii="Times New Roman" w:hAnsi="Times New Roman" w:eastAsia="宋体" w:cs="Times New Roman"/>
                      <w:color w:val="auto"/>
                      <w:sz w:val="21"/>
                      <w:szCs w:val="21"/>
                      <w:lang w:val="en-US" w:eastAsia="zh-CN"/>
                    </w:rPr>
                    <w:t>t/a，本项目采用</w:t>
                  </w:r>
                  <w:r>
                    <w:rPr>
                      <w:rFonts w:hint="eastAsia" w:cs="Times New Roman"/>
                      <w:color w:val="auto"/>
                      <w:sz w:val="21"/>
                      <w:szCs w:val="21"/>
                      <w:lang w:val="en-US" w:eastAsia="zh-CN"/>
                    </w:rPr>
                    <w:t>弃土</w:t>
                  </w:r>
                  <w:r>
                    <w:rPr>
                      <w:rFonts w:hint="eastAsia" w:ascii="Times New Roman" w:hAnsi="Times New Roman" w:eastAsia="宋体" w:cs="Times New Roman"/>
                      <w:color w:val="auto"/>
                      <w:sz w:val="21"/>
                      <w:szCs w:val="21"/>
                      <w:lang w:val="en-US" w:eastAsia="zh-CN"/>
                    </w:rPr>
                    <w:t>作为原材料，根据参考的同类型报告，弃土中氟含量为0.0</w:t>
                  </w:r>
                  <w:r>
                    <w:rPr>
                      <w:rFonts w:hint="eastAsia" w:cs="Times New Roman"/>
                      <w:color w:val="auto"/>
                      <w:sz w:val="21"/>
                      <w:szCs w:val="21"/>
                      <w:lang w:val="en-US" w:eastAsia="zh-CN"/>
                    </w:rPr>
                    <w:t>15</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，氟总量为2.325t</w:t>
                  </w:r>
                  <w:r>
                    <w:rPr>
                      <w:rFonts w:hint="eastAsia" w:ascii="Times New Roman" w:hAnsi="Times New Roman" w:eastAsia="宋体" w:cs="Times New Roman"/>
                      <w:color w:val="auto"/>
                      <w:sz w:val="21"/>
                      <w:szCs w:val="21"/>
                      <w:lang w:val="en-US" w:eastAsia="zh-CN"/>
                    </w:rPr>
                    <w:t>。</w:t>
                  </w:r>
                </w:p>
              </w:tc>
            </w:tr>
          </w:tbl>
          <w:p w14:paraId="4B6D1D51">
            <w:pPr>
              <w:widowControl w:val="0"/>
              <w:bidi w:val="0"/>
              <w:spacing w:line="360" w:lineRule="auto"/>
              <w:ind w:firstLine="422" w:firstLineChars="200"/>
              <w:jc w:val="both"/>
              <w:rPr>
                <w:rFonts w:hint="default" w:ascii="Times New Roman" w:hAnsi="Times New Roman" w:eastAsia="宋体" w:cs="Times New Roman"/>
                <w:color w:val="auto"/>
                <w:kern w:val="2"/>
                <w:sz w:val="21"/>
                <w:szCs w:val="21"/>
                <w:lang w:val="en-US" w:eastAsia="zh-CN" w:bidi="ar-SA"/>
              </w:rPr>
            </w:pPr>
            <w:r>
              <w:rPr>
                <w:rFonts w:hint="eastAsia" w:cs="Times New Roman"/>
                <w:b/>
                <w:bCs/>
                <w:color w:val="auto"/>
                <w:kern w:val="2"/>
                <w:sz w:val="21"/>
                <w:szCs w:val="21"/>
                <w:lang w:val="en-US" w:eastAsia="zh-CN" w:bidi="ar-SA"/>
              </w:rPr>
              <w:t>（6）物料平衡</w:t>
            </w:r>
          </w:p>
          <w:p w14:paraId="1D4CAE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val="0"/>
                <w:bCs/>
                <w:color w:val="auto"/>
                <w:sz w:val="21"/>
                <w:szCs w:val="21"/>
                <w:lang w:val="en-US" w:eastAsia="zh-CN"/>
              </w:rPr>
              <w:t>根据源强核算（详见第四章节）本项目物料平衡如下。</w:t>
            </w:r>
          </w:p>
          <w:p w14:paraId="02B8765B">
            <w:pPr>
              <w:ind w:firstLine="480"/>
              <w:rPr>
                <w:rFonts w:hint="eastAsia"/>
                <w:b/>
                <w:bCs/>
                <w:color w:val="auto"/>
                <w:sz w:val="21"/>
                <w:szCs w:val="21"/>
                <w:lang w:val="en-US" w:eastAsia="zh-CN"/>
              </w:rPr>
            </w:pPr>
            <w:r>
              <w:rPr>
                <w:rFonts w:hint="eastAsia"/>
                <w:color w:val="auto"/>
                <w:sz w:val="21"/>
                <w:szCs w:val="21"/>
              </w:rPr>
              <w:t>本项目物料平衡</w:t>
            </w:r>
            <w:r>
              <w:rPr>
                <w:rFonts w:hint="eastAsia"/>
                <w:color w:val="auto"/>
                <w:sz w:val="21"/>
                <w:szCs w:val="21"/>
                <w:lang w:eastAsia="zh-CN"/>
              </w:rPr>
              <w:t>见下表：</w:t>
            </w:r>
          </w:p>
          <w:p w14:paraId="0BD3432C">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center"/>
              <w:textAlignment w:val="auto"/>
              <w:rPr>
                <w:rFonts w:hint="eastAsia"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表2-8  本项目物料平衡一览表</w:t>
            </w:r>
          </w:p>
          <w:tbl>
            <w:tblPr>
              <w:tblStyle w:val="2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0"/>
              <w:gridCol w:w="1295"/>
              <w:gridCol w:w="2354"/>
              <w:gridCol w:w="2430"/>
            </w:tblGrid>
            <w:tr w14:paraId="0A4F8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9" w:type="pct"/>
                  <w:gridSpan w:val="2"/>
                  <w:vAlign w:val="center"/>
                </w:tcPr>
                <w:p w14:paraId="52A1D236">
                  <w:pPr>
                    <w:pStyle w:val="95"/>
                    <w:keepNext w:val="0"/>
                    <w:keepLines w:val="0"/>
                    <w:pageBreakBefore w:val="0"/>
                    <w:widowControl w:val="0"/>
                    <w:kinsoku/>
                    <w:wordWrap/>
                    <w:overflowPunct/>
                    <w:topLinePunct w:val="0"/>
                    <w:autoSpaceDE/>
                    <w:autoSpaceDN/>
                    <w:bidi w:val="0"/>
                    <w:adjustRightInd/>
                    <w:snapToGrid w:val="0"/>
                    <w:spacing w:before="63" w:beforeLines="20" w:after="63" w:afterLines="2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物料投入情况</w:t>
                  </w:r>
                </w:p>
              </w:tc>
              <w:tc>
                <w:tcPr>
                  <w:tcW w:w="2960" w:type="pct"/>
                  <w:gridSpan w:val="2"/>
                  <w:vAlign w:val="center"/>
                </w:tcPr>
                <w:p w14:paraId="6FE38DE8">
                  <w:pPr>
                    <w:pStyle w:val="95"/>
                    <w:keepNext w:val="0"/>
                    <w:keepLines w:val="0"/>
                    <w:pageBreakBefore w:val="0"/>
                    <w:widowControl w:val="0"/>
                    <w:kinsoku/>
                    <w:wordWrap/>
                    <w:overflowPunct/>
                    <w:topLinePunct w:val="0"/>
                    <w:autoSpaceDE/>
                    <w:autoSpaceDN/>
                    <w:bidi w:val="0"/>
                    <w:adjustRightInd/>
                    <w:snapToGrid w:val="0"/>
                    <w:spacing w:before="63" w:beforeLines="20" w:after="63" w:afterLines="2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物料产出情况</w:t>
                  </w:r>
                </w:p>
              </w:tc>
            </w:tr>
            <w:tr w14:paraId="6C631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7" w:type="pct"/>
                  <w:vAlign w:val="center"/>
                </w:tcPr>
                <w:p w14:paraId="49D91BE0">
                  <w:pPr>
                    <w:pStyle w:val="95"/>
                    <w:keepNext w:val="0"/>
                    <w:keepLines w:val="0"/>
                    <w:pageBreakBefore w:val="0"/>
                    <w:widowControl w:val="0"/>
                    <w:kinsoku/>
                    <w:wordWrap/>
                    <w:overflowPunct/>
                    <w:topLinePunct w:val="0"/>
                    <w:autoSpaceDE/>
                    <w:autoSpaceDN/>
                    <w:bidi w:val="0"/>
                    <w:adjustRightInd/>
                    <w:snapToGrid w:val="0"/>
                    <w:spacing w:before="63" w:beforeLines="20" w:after="63" w:afterLines="2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801" w:type="pct"/>
                  <w:vAlign w:val="center"/>
                </w:tcPr>
                <w:p w14:paraId="3F06A371">
                  <w:pPr>
                    <w:pStyle w:val="95"/>
                    <w:keepNext w:val="0"/>
                    <w:keepLines w:val="0"/>
                    <w:pageBreakBefore w:val="0"/>
                    <w:widowControl w:val="0"/>
                    <w:kinsoku/>
                    <w:wordWrap/>
                    <w:overflowPunct/>
                    <w:topLinePunct w:val="0"/>
                    <w:autoSpaceDE/>
                    <w:autoSpaceDN/>
                    <w:bidi w:val="0"/>
                    <w:adjustRightInd/>
                    <w:snapToGrid w:val="0"/>
                    <w:spacing w:before="63" w:beforeLines="20" w:after="63" w:afterLines="2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耗量（t/a）</w:t>
                  </w:r>
                </w:p>
              </w:tc>
              <w:tc>
                <w:tcPr>
                  <w:tcW w:w="1456" w:type="pct"/>
                  <w:vAlign w:val="center"/>
                </w:tcPr>
                <w:p w14:paraId="176C1CE0">
                  <w:pPr>
                    <w:pStyle w:val="95"/>
                    <w:keepNext w:val="0"/>
                    <w:keepLines w:val="0"/>
                    <w:pageBreakBefore w:val="0"/>
                    <w:widowControl w:val="0"/>
                    <w:kinsoku/>
                    <w:wordWrap/>
                    <w:overflowPunct/>
                    <w:topLinePunct w:val="0"/>
                    <w:autoSpaceDE/>
                    <w:autoSpaceDN/>
                    <w:bidi w:val="0"/>
                    <w:adjustRightInd/>
                    <w:snapToGrid w:val="0"/>
                    <w:spacing w:before="63" w:beforeLines="20" w:after="63" w:afterLines="2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1503" w:type="pct"/>
                  <w:vAlign w:val="center"/>
                </w:tcPr>
                <w:p w14:paraId="7C1E395A">
                  <w:pPr>
                    <w:pStyle w:val="95"/>
                    <w:keepNext w:val="0"/>
                    <w:keepLines w:val="0"/>
                    <w:pageBreakBefore w:val="0"/>
                    <w:widowControl w:val="0"/>
                    <w:kinsoku/>
                    <w:wordWrap/>
                    <w:overflowPunct/>
                    <w:topLinePunct w:val="0"/>
                    <w:autoSpaceDE/>
                    <w:autoSpaceDN/>
                    <w:bidi w:val="0"/>
                    <w:adjustRightInd/>
                    <w:snapToGrid w:val="0"/>
                    <w:spacing w:before="63" w:beforeLines="20" w:after="63" w:afterLines="2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产生量（t/a）</w:t>
                  </w:r>
                </w:p>
              </w:tc>
            </w:tr>
            <w:tr w14:paraId="08296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7" w:type="pct"/>
                  <w:vAlign w:val="center"/>
                </w:tcPr>
                <w:p w14:paraId="60447166">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ascii="Times New Roman" w:hAnsi="Times New Roman" w:eastAsia="宋体" w:cs="Times New Roman"/>
                      <w:color w:val="auto"/>
                      <w:sz w:val="21"/>
                      <w:szCs w:val="21"/>
                      <w:lang w:eastAsia="zh-CN"/>
                    </w:rPr>
                  </w:pPr>
                  <w:r>
                    <w:rPr>
                      <w:rFonts w:hint="eastAsia" w:cs="Times New Roman"/>
                      <w:b w:val="0"/>
                      <w:bCs/>
                      <w:i w:val="0"/>
                      <w:iCs w:val="0"/>
                      <w:caps w:val="0"/>
                      <w:color w:val="auto"/>
                      <w:spacing w:val="0"/>
                      <w:sz w:val="21"/>
                      <w:szCs w:val="21"/>
                      <w:shd w:val="clear" w:fill="FFFFFF"/>
                      <w:lang w:val="en-US" w:eastAsia="zh-CN"/>
                    </w:rPr>
                    <w:t>建筑基坑弃土</w:t>
                  </w:r>
                </w:p>
              </w:tc>
              <w:tc>
                <w:tcPr>
                  <w:tcW w:w="801" w:type="pct"/>
                  <w:vAlign w:val="center"/>
                </w:tcPr>
                <w:p w14:paraId="4DE5EAF4">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cs="Times New Roman"/>
                      <w:color w:val="auto"/>
                      <w:sz w:val="21"/>
                      <w:szCs w:val="21"/>
                      <w:lang w:val="en-US"/>
                    </w:rPr>
                  </w:pPr>
                  <w:r>
                    <w:rPr>
                      <w:rFonts w:hint="eastAsia" w:cs="Times New Roman"/>
                      <w:bCs/>
                      <w:color w:val="auto"/>
                      <w:sz w:val="21"/>
                      <w:szCs w:val="21"/>
                      <w:vertAlign w:val="baseline"/>
                      <w:lang w:val="en-US" w:eastAsia="zh-CN"/>
                    </w:rPr>
                    <w:t>15500</w:t>
                  </w:r>
                </w:p>
              </w:tc>
              <w:tc>
                <w:tcPr>
                  <w:tcW w:w="1456" w:type="pct"/>
                  <w:vAlign w:val="center"/>
                </w:tcPr>
                <w:p w14:paraId="0B7D9340">
                  <w:pPr>
                    <w:pStyle w:val="95"/>
                    <w:keepNext w:val="0"/>
                    <w:keepLines w:val="0"/>
                    <w:pageBreakBefore w:val="0"/>
                    <w:widowControl w:val="0"/>
                    <w:kinsoku/>
                    <w:wordWrap/>
                    <w:overflowPunct/>
                    <w:topLinePunct w:val="0"/>
                    <w:autoSpaceDE/>
                    <w:autoSpaceDN/>
                    <w:bidi w:val="0"/>
                    <w:adjustRightInd/>
                    <w:snapToGrid w:val="0"/>
                    <w:spacing w:before="63" w:beforeLines="20" w:after="63" w:afterLines="20"/>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成品砖瓦</w:t>
                  </w:r>
                </w:p>
              </w:tc>
              <w:tc>
                <w:tcPr>
                  <w:tcW w:w="1503" w:type="pct"/>
                  <w:vAlign w:val="center"/>
                </w:tcPr>
                <w:p w14:paraId="299E0FA7">
                  <w:pPr>
                    <w:pStyle w:val="95"/>
                    <w:keepNext w:val="0"/>
                    <w:keepLines w:val="0"/>
                    <w:pageBreakBefore w:val="0"/>
                    <w:widowControl w:val="0"/>
                    <w:kinsoku/>
                    <w:wordWrap/>
                    <w:overflowPunct/>
                    <w:topLinePunct w:val="0"/>
                    <w:autoSpaceDE/>
                    <w:autoSpaceDN/>
                    <w:bidi w:val="0"/>
                    <w:adjustRightInd/>
                    <w:snapToGrid w:val="0"/>
                    <w:spacing w:before="63" w:beforeLines="20" w:after="63" w:afterLines="20"/>
                    <w:textAlignment w:val="auto"/>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14250</w:t>
                  </w:r>
                </w:p>
              </w:tc>
            </w:tr>
            <w:tr w14:paraId="11CF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7" w:type="pct"/>
                  <w:vAlign w:val="center"/>
                </w:tcPr>
                <w:p w14:paraId="559E7E67">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ascii="Times New Roman" w:hAnsi="Times New Roman" w:eastAsia="宋体" w:cs="Times New Roman"/>
                      <w:color w:val="auto"/>
                      <w:sz w:val="21"/>
                      <w:szCs w:val="21"/>
                      <w:lang w:eastAsia="zh-CN"/>
                    </w:rPr>
                  </w:pPr>
                  <w:r>
                    <w:rPr>
                      <w:rFonts w:hint="eastAsia" w:cs="Times New Roman"/>
                      <w:bCs/>
                      <w:color w:val="auto"/>
                      <w:sz w:val="21"/>
                      <w:szCs w:val="21"/>
                      <w:vertAlign w:val="baseline"/>
                      <w:lang w:val="en-US" w:eastAsia="zh-CN"/>
                    </w:rPr>
                    <w:t>煤</w:t>
                  </w:r>
                </w:p>
              </w:tc>
              <w:tc>
                <w:tcPr>
                  <w:tcW w:w="801" w:type="pct"/>
                  <w:vAlign w:val="center"/>
                </w:tcPr>
                <w:p w14:paraId="6CA1C552">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color w:val="auto"/>
                      <w:sz w:val="21"/>
                      <w:szCs w:val="21"/>
                      <w:lang w:val="en-US" w:eastAsia="zh-CN"/>
                    </w:rPr>
                  </w:pPr>
                  <w:r>
                    <w:rPr>
                      <w:rFonts w:hint="eastAsia" w:cs="Times New Roman"/>
                      <w:bCs/>
                      <w:color w:val="auto"/>
                      <w:sz w:val="21"/>
                      <w:szCs w:val="21"/>
                      <w:vertAlign w:val="baseline"/>
                      <w:lang w:val="en-US" w:eastAsia="zh-CN"/>
                    </w:rPr>
                    <w:t>1485</w:t>
                  </w:r>
                </w:p>
              </w:tc>
              <w:tc>
                <w:tcPr>
                  <w:tcW w:w="1456" w:type="pct"/>
                  <w:vAlign w:val="center"/>
                </w:tcPr>
                <w:p w14:paraId="34CC7E10">
                  <w:pPr>
                    <w:pStyle w:val="95"/>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切条、制坯</w:t>
                  </w:r>
                  <w:r>
                    <w:rPr>
                      <w:rFonts w:hint="default" w:ascii="Times New Roman" w:hAnsi="Times New Roman" w:cs="Times New Roman"/>
                      <w:color w:val="auto"/>
                      <w:sz w:val="21"/>
                      <w:szCs w:val="21"/>
                      <w:lang w:eastAsia="zh-CN"/>
                    </w:rPr>
                    <w:t>修坯废料</w:t>
                  </w:r>
                </w:p>
              </w:tc>
              <w:tc>
                <w:tcPr>
                  <w:tcW w:w="1503" w:type="pct"/>
                  <w:vAlign w:val="center"/>
                </w:tcPr>
                <w:p w14:paraId="5B5C99E8">
                  <w:pPr>
                    <w:pStyle w:val="95"/>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default" w:ascii="Times New Roman" w:hAnsi="Times New Roman" w:cs="Times New Roman"/>
                      <w:color w:val="auto"/>
                      <w:sz w:val="21"/>
                      <w:szCs w:val="21"/>
                      <w:lang w:val="en-US"/>
                    </w:rPr>
                  </w:pPr>
                  <w:r>
                    <w:rPr>
                      <w:rFonts w:hint="eastAsia" w:cs="Times New Roman"/>
                      <w:color w:val="auto"/>
                      <w:kern w:val="2"/>
                      <w:sz w:val="21"/>
                      <w:szCs w:val="21"/>
                      <w:lang w:val="en-US" w:eastAsia="zh-CN" w:bidi="ar-SA"/>
                    </w:rPr>
                    <w:t>775</w:t>
                  </w:r>
                  <w:r>
                    <w:rPr>
                      <w:rFonts w:hint="eastAsia" w:ascii="Times New Roman" w:hAnsi="Times New Roman"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返回生产线</w:t>
                  </w:r>
                  <w:r>
                    <w:rPr>
                      <w:rFonts w:hint="eastAsia" w:ascii="Times New Roman" w:hAnsi="Times New Roman" w:cs="Times New Roman"/>
                      <w:color w:val="auto"/>
                      <w:kern w:val="2"/>
                      <w:sz w:val="21"/>
                      <w:szCs w:val="21"/>
                      <w:lang w:val="en-US" w:eastAsia="zh-CN" w:bidi="ar-SA"/>
                    </w:rPr>
                    <w:t>利用）</w:t>
                  </w:r>
                </w:p>
              </w:tc>
            </w:tr>
            <w:tr w14:paraId="2A968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1237" w:type="pct"/>
                  <w:vAlign w:val="center"/>
                </w:tcPr>
                <w:p w14:paraId="2F2EFE1A">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cs="Times New Roman"/>
                      <w:color w:val="auto"/>
                      <w:sz w:val="21"/>
                      <w:szCs w:val="21"/>
                      <w:lang w:val="en-US" w:eastAsia="zh-CN"/>
                    </w:rPr>
                  </w:pPr>
                  <w:r>
                    <w:rPr>
                      <w:rFonts w:hint="eastAsia" w:cs="Times New Roman"/>
                      <w:bCs/>
                      <w:color w:val="auto"/>
                      <w:sz w:val="21"/>
                      <w:szCs w:val="21"/>
                      <w:vertAlign w:val="baseline"/>
                      <w:lang w:val="en-US" w:eastAsia="zh-CN"/>
                    </w:rPr>
                    <w:t>石灰</w:t>
                  </w:r>
                </w:p>
              </w:tc>
              <w:tc>
                <w:tcPr>
                  <w:tcW w:w="801" w:type="pct"/>
                  <w:vAlign w:val="center"/>
                </w:tcPr>
                <w:p w14:paraId="5FDE5106">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cs="Times New Roman"/>
                      <w:color w:val="auto"/>
                      <w:kern w:val="2"/>
                      <w:sz w:val="21"/>
                      <w:szCs w:val="21"/>
                      <w:lang w:val="en-US" w:eastAsia="zh-CN" w:bidi="ar-SA"/>
                    </w:rPr>
                  </w:pPr>
                  <w:r>
                    <w:rPr>
                      <w:rFonts w:hint="eastAsia" w:cs="Times New Roman"/>
                      <w:bCs/>
                      <w:color w:val="auto"/>
                      <w:sz w:val="21"/>
                      <w:szCs w:val="21"/>
                      <w:vertAlign w:val="baseline"/>
                      <w:lang w:val="en-US" w:eastAsia="zh-CN"/>
                    </w:rPr>
                    <w:t>4.9</w:t>
                  </w:r>
                </w:p>
              </w:tc>
              <w:tc>
                <w:tcPr>
                  <w:tcW w:w="1456" w:type="pct"/>
                  <w:vAlign w:val="center"/>
                </w:tcPr>
                <w:p w14:paraId="4530266B">
                  <w:pPr>
                    <w:pStyle w:val="95"/>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eastAsia"/>
                      <w:color w:val="auto"/>
                      <w:sz w:val="21"/>
                      <w:szCs w:val="21"/>
                      <w:highlight w:val="none"/>
                      <w:lang w:val="en-US" w:eastAsia="zh-CN"/>
                    </w:rPr>
                  </w:pPr>
                  <w:r>
                    <w:rPr>
                      <w:rFonts w:hint="eastAsia" w:ascii="Times New Roman" w:hAnsi="Times New Roman" w:cs="Times New Roman"/>
                      <w:color w:val="auto"/>
                      <w:sz w:val="21"/>
                      <w:szCs w:val="21"/>
                      <w:lang w:eastAsia="zh-CN"/>
                    </w:rPr>
                    <w:t>次品</w:t>
                  </w:r>
                </w:p>
              </w:tc>
              <w:tc>
                <w:tcPr>
                  <w:tcW w:w="1503" w:type="pct"/>
                  <w:vAlign w:val="center"/>
                </w:tcPr>
                <w:p w14:paraId="5AED1A3B">
                  <w:pPr>
                    <w:pStyle w:val="95"/>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155</w:t>
                  </w:r>
                  <w:r>
                    <w:rPr>
                      <w:rFonts w:hint="eastAsia" w:ascii="Times New Roman" w:hAnsi="Times New Roman"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返回生产线</w:t>
                  </w:r>
                  <w:r>
                    <w:rPr>
                      <w:rFonts w:hint="eastAsia" w:ascii="Times New Roman" w:hAnsi="Times New Roman" w:cs="Times New Roman"/>
                      <w:color w:val="auto"/>
                      <w:kern w:val="2"/>
                      <w:sz w:val="21"/>
                      <w:szCs w:val="21"/>
                      <w:lang w:val="en-US" w:eastAsia="zh-CN" w:bidi="ar-SA"/>
                    </w:rPr>
                    <w:t>利用）</w:t>
                  </w:r>
                </w:p>
              </w:tc>
            </w:tr>
            <w:tr w14:paraId="44BA9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237" w:type="pct"/>
                  <w:vAlign w:val="center"/>
                </w:tcPr>
                <w:p w14:paraId="3B76D881">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ascii="Times New Roman" w:hAnsi="Times New Roman" w:cs="Times New Roman"/>
                      <w:color w:val="auto"/>
                      <w:sz w:val="21"/>
                      <w:szCs w:val="21"/>
                      <w:lang w:val="en-US" w:eastAsia="zh-CN"/>
                    </w:rPr>
                  </w:pPr>
                  <w:r>
                    <w:rPr>
                      <w:rFonts w:hint="eastAsia" w:cs="Times New Roman"/>
                      <w:bCs/>
                      <w:color w:val="auto"/>
                      <w:sz w:val="21"/>
                      <w:szCs w:val="21"/>
                      <w:vertAlign w:val="baseline"/>
                      <w:lang w:val="en-US" w:eastAsia="zh-CN"/>
                    </w:rPr>
                    <w:t>氢氧化钠</w:t>
                  </w:r>
                </w:p>
              </w:tc>
              <w:tc>
                <w:tcPr>
                  <w:tcW w:w="801" w:type="pct"/>
                  <w:vAlign w:val="center"/>
                </w:tcPr>
                <w:p w14:paraId="6BF21E8B">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ascii="Times New Roman" w:hAnsi="Times New Roman" w:cs="Times New Roman"/>
                      <w:color w:val="auto"/>
                      <w:kern w:val="2"/>
                      <w:sz w:val="21"/>
                      <w:szCs w:val="21"/>
                      <w:lang w:val="en-US" w:eastAsia="zh-CN" w:bidi="ar-SA"/>
                    </w:rPr>
                  </w:pPr>
                  <w:r>
                    <w:rPr>
                      <w:rFonts w:hint="eastAsia" w:cs="Times New Roman"/>
                      <w:bCs/>
                      <w:color w:val="auto"/>
                      <w:sz w:val="21"/>
                      <w:szCs w:val="21"/>
                      <w:vertAlign w:val="baseline"/>
                      <w:lang w:val="en-US" w:eastAsia="zh-CN"/>
                    </w:rPr>
                    <w:t>7.4</w:t>
                  </w:r>
                </w:p>
              </w:tc>
              <w:tc>
                <w:tcPr>
                  <w:tcW w:w="1456" w:type="pct"/>
                  <w:vAlign w:val="center"/>
                </w:tcPr>
                <w:p w14:paraId="14040058">
                  <w:pPr>
                    <w:pStyle w:val="95"/>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default"/>
                      <w:color w:val="auto"/>
                      <w:sz w:val="21"/>
                      <w:szCs w:val="21"/>
                      <w:highlight w:val="none"/>
                      <w:lang w:val="en-US" w:eastAsia="zh-CN"/>
                    </w:rPr>
                  </w:pPr>
                  <w:r>
                    <w:rPr>
                      <w:rFonts w:hint="eastAsia"/>
                      <w:color w:val="auto"/>
                      <w:sz w:val="21"/>
                      <w:szCs w:val="21"/>
                      <w:highlight w:val="none"/>
                      <w:lang w:val="en-US" w:eastAsia="zh-CN"/>
                    </w:rPr>
                    <w:t>煤渣、除尘灰</w:t>
                  </w:r>
                </w:p>
              </w:tc>
              <w:tc>
                <w:tcPr>
                  <w:tcW w:w="1503" w:type="pct"/>
                  <w:vAlign w:val="center"/>
                </w:tcPr>
                <w:p w14:paraId="3C2792A3">
                  <w:pPr>
                    <w:pStyle w:val="95"/>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107.14</w:t>
                  </w:r>
                  <w:r>
                    <w:rPr>
                      <w:rFonts w:hint="eastAsia" w:ascii="Times New Roman" w:hAnsi="Times New Roman"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返回生产线</w:t>
                  </w:r>
                  <w:r>
                    <w:rPr>
                      <w:rFonts w:hint="eastAsia" w:ascii="Times New Roman" w:hAnsi="Times New Roman" w:cs="Times New Roman"/>
                      <w:color w:val="auto"/>
                      <w:kern w:val="2"/>
                      <w:sz w:val="21"/>
                      <w:szCs w:val="21"/>
                      <w:lang w:val="en-US" w:eastAsia="zh-CN" w:bidi="ar-SA"/>
                    </w:rPr>
                    <w:t>利用）</w:t>
                  </w:r>
                </w:p>
              </w:tc>
            </w:tr>
            <w:tr w14:paraId="6CBD0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7" w:type="pct"/>
                  <w:vAlign w:val="center"/>
                </w:tcPr>
                <w:p w14:paraId="21E99820">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eastAsia" w:ascii="Times New Roman" w:hAnsi="Times New Roman" w:eastAsia="宋体" w:cs="Times New Roman"/>
                      <w:color w:val="auto"/>
                      <w:sz w:val="21"/>
                      <w:szCs w:val="21"/>
                      <w:lang w:eastAsia="zh-CN"/>
                    </w:rPr>
                  </w:pPr>
                  <w:r>
                    <w:rPr>
                      <w:rFonts w:hint="eastAsia" w:cs="Times New Roman"/>
                      <w:bCs/>
                      <w:color w:val="auto"/>
                      <w:sz w:val="21"/>
                      <w:szCs w:val="21"/>
                      <w:vertAlign w:val="baseline"/>
                      <w:lang w:val="en-US" w:eastAsia="zh-CN"/>
                    </w:rPr>
                    <w:t>水</w:t>
                  </w:r>
                </w:p>
              </w:tc>
              <w:tc>
                <w:tcPr>
                  <w:tcW w:w="801" w:type="pct"/>
                  <w:vAlign w:val="center"/>
                </w:tcPr>
                <w:p w14:paraId="722731C7">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7706.5</w:t>
                  </w:r>
                </w:p>
              </w:tc>
              <w:tc>
                <w:tcPr>
                  <w:tcW w:w="1456" w:type="pct"/>
                  <w:vAlign w:val="center"/>
                </w:tcPr>
                <w:p w14:paraId="43AD69D7">
                  <w:pPr>
                    <w:pStyle w:val="95"/>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外排废气（含颗粒物、</w:t>
                  </w:r>
                  <w:r>
                    <w:rPr>
                      <w:rFonts w:hint="default" w:ascii="Times New Roman" w:hAnsi="Times New Roman" w:cs="Times New Roman"/>
                      <w:color w:val="auto"/>
                      <w:sz w:val="21"/>
                      <w:szCs w:val="21"/>
                      <w:highlight w:val="none"/>
                      <w:lang w:val="en-US" w:eastAsia="zh-CN"/>
                    </w:rPr>
                    <w:t>SO</w:t>
                  </w:r>
                  <w:r>
                    <w:rPr>
                      <w:rFonts w:hint="default" w:ascii="Times New Roman" w:hAnsi="Times New Roman" w:cs="Times New Roman"/>
                      <w:color w:val="auto"/>
                      <w:sz w:val="21"/>
                      <w:szCs w:val="21"/>
                      <w:highlight w:val="none"/>
                      <w:vertAlign w:val="subscript"/>
                      <w:lang w:val="en-US" w:eastAsia="zh-CN"/>
                    </w:rPr>
                    <w:t>2</w:t>
                  </w:r>
                  <w:r>
                    <w:rPr>
                      <w:rFonts w:hint="default" w:ascii="Times New Roman" w:hAnsi="Times New Roman" w:cs="Times New Roman"/>
                      <w:color w:val="auto"/>
                      <w:sz w:val="21"/>
                      <w:szCs w:val="21"/>
                      <w:highlight w:val="none"/>
                      <w:lang w:val="en-US" w:eastAsia="zh-CN"/>
                    </w:rPr>
                    <w:t>、NO</w:t>
                  </w:r>
                  <w:r>
                    <w:rPr>
                      <w:rFonts w:hint="default" w:ascii="Times New Roman" w:hAnsi="Times New Roman" w:cs="Times New Roman"/>
                      <w:color w:val="auto"/>
                      <w:sz w:val="21"/>
                      <w:szCs w:val="21"/>
                      <w:highlight w:val="none"/>
                      <w:vertAlign w:val="subscript"/>
                      <w:lang w:val="en-US" w:eastAsia="zh-CN"/>
                    </w:rPr>
                    <w:t>x</w:t>
                  </w:r>
                  <w:r>
                    <w:rPr>
                      <w:rFonts w:hint="default" w:ascii="Times New Roman" w:hAnsi="Times New Roman" w:cs="Times New Roman"/>
                      <w:color w:val="auto"/>
                      <w:sz w:val="21"/>
                      <w:szCs w:val="21"/>
                      <w:highlight w:val="none"/>
                      <w:lang w:val="en-US" w:eastAsia="zh-CN"/>
                    </w:rPr>
                    <w:t>、氟</w:t>
                  </w:r>
                  <w:r>
                    <w:rPr>
                      <w:rFonts w:hint="eastAsia"/>
                      <w:color w:val="auto"/>
                      <w:sz w:val="21"/>
                      <w:szCs w:val="21"/>
                      <w:highlight w:val="none"/>
                      <w:lang w:val="en-US" w:eastAsia="zh-CN"/>
                    </w:rPr>
                    <w:t>化物等）</w:t>
                  </w:r>
                </w:p>
              </w:tc>
              <w:tc>
                <w:tcPr>
                  <w:tcW w:w="1503" w:type="pct"/>
                  <w:vAlign w:val="center"/>
                </w:tcPr>
                <w:p w14:paraId="688C61D7">
                  <w:pPr>
                    <w:pStyle w:val="95"/>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6.15</w:t>
                  </w:r>
                </w:p>
              </w:tc>
            </w:tr>
            <w:tr w14:paraId="26093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7" w:type="pct"/>
                  <w:vAlign w:val="center"/>
                </w:tcPr>
                <w:p w14:paraId="2077E36E">
                  <w:pPr>
                    <w:pStyle w:val="95"/>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回用的切条、制坯</w:t>
                  </w:r>
                  <w:r>
                    <w:rPr>
                      <w:rFonts w:hint="default" w:ascii="Times New Roman" w:hAnsi="Times New Roman" w:cs="Times New Roman"/>
                      <w:color w:val="auto"/>
                      <w:sz w:val="21"/>
                      <w:szCs w:val="21"/>
                      <w:lang w:eastAsia="zh-CN"/>
                    </w:rPr>
                    <w:t>修坯废料</w:t>
                  </w:r>
                  <w:r>
                    <w:rPr>
                      <w:rFonts w:hint="eastAsia" w:ascii="Times New Roman" w:hAnsi="Times New Roman" w:cs="Times New Roman"/>
                      <w:color w:val="auto"/>
                      <w:sz w:val="21"/>
                      <w:szCs w:val="21"/>
                      <w:lang w:eastAsia="zh-CN"/>
                    </w:rPr>
                    <w:t>；次品；</w:t>
                  </w:r>
                  <w:r>
                    <w:rPr>
                      <w:rFonts w:hint="eastAsia"/>
                      <w:color w:val="auto"/>
                      <w:sz w:val="21"/>
                      <w:szCs w:val="21"/>
                      <w:highlight w:val="none"/>
                      <w:lang w:val="en-US" w:eastAsia="zh-CN"/>
                    </w:rPr>
                    <w:t>煤渣、除尘灰；</w:t>
                  </w:r>
                  <w:r>
                    <w:rPr>
                      <w:rFonts w:hint="eastAsia" w:cs="Times New Roman"/>
                      <w:b w:val="0"/>
                      <w:bCs/>
                      <w:color w:val="auto"/>
                      <w:sz w:val="21"/>
                      <w:szCs w:val="21"/>
                      <w:lang w:val="en-US" w:eastAsia="zh-CN"/>
                    </w:rPr>
                    <w:t>脱硫渣</w:t>
                  </w:r>
                </w:p>
              </w:tc>
              <w:tc>
                <w:tcPr>
                  <w:tcW w:w="801" w:type="pct"/>
                  <w:vAlign w:val="center"/>
                </w:tcPr>
                <w:p w14:paraId="600334BC">
                  <w:pPr>
                    <w:pStyle w:val="95"/>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1043.29</w:t>
                  </w:r>
                </w:p>
              </w:tc>
              <w:tc>
                <w:tcPr>
                  <w:tcW w:w="1456" w:type="pct"/>
                  <w:vAlign w:val="center"/>
                </w:tcPr>
                <w:p w14:paraId="514B2BF3">
                  <w:pPr>
                    <w:pStyle w:val="95"/>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eastAsia"/>
                      <w:color w:val="auto"/>
                      <w:sz w:val="21"/>
                      <w:szCs w:val="21"/>
                      <w:highlight w:val="none"/>
                      <w:lang w:val="en-US" w:eastAsia="zh-CN"/>
                    </w:rPr>
                  </w:pPr>
                  <w:r>
                    <w:rPr>
                      <w:rFonts w:hint="eastAsia" w:cs="Times New Roman"/>
                      <w:b w:val="0"/>
                      <w:bCs/>
                      <w:color w:val="auto"/>
                      <w:sz w:val="21"/>
                      <w:szCs w:val="21"/>
                      <w:lang w:val="en-US" w:eastAsia="zh-CN"/>
                    </w:rPr>
                    <w:t>脱硫渣</w:t>
                  </w:r>
                  <w:r>
                    <w:rPr>
                      <w:rFonts w:hint="eastAsia"/>
                      <w:color w:val="auto"/>
                      <w:sz w:val="21"/>
                      <w:szCs w:val="21"/>
                      <w:highlight w:val="none"/>
                      <w:lang w:val="en-US" w:eastAsia="zh-CN"/>
                    </w:rPr>
                    <w:t>（</w:t>
                  </w:r>
                  <w:r>
                    <w:rPr>
                      <w:rFonts w:hint="eastAsia" w:ascii="Times New Roman" w:hAnsi="Times New Roman" w:eastAsia="宋体" w:cs="Times New Roman"/>
                      <w:color w:val="auto"/>
                      <w:kern w:val="2"/>
                      <w:sz w:val="21"/>
                      <w:szCs w:val="21"/>
                      <w:lang w:val="en-US" w:eastAsia="zh-CN" w:bidi="ar-SA"/>
                    </w:rPr>
                    <w:t>含水率按40%计</w:t>
                  </w:r>
                  <w:r>
                    <w:rPr>
                      <w:rFonts w:hint="eastAsia"/>
                      <w:color w:val="auto"/>
                      <w:sz w:val="21"/>
                      <w:szCs w:val="21"/>
                      <w:highlight w:val="none"/>
                      <w:lang w:val="en-US" w:eastAsia="zh-CN"/>
                    </w:rPr>
                    <w:t>）</w:t>
                  </w:r>
                </w:p>
              </w:tc>
              <w:tc>
                <w:tcPr>
                  <w:tcW w:w="1503" w:type="pct"/>
                  <w:vAlign w:val="center"/>
                </w:tcPr>
                <w:p w14:paraId="4C47581C">
                  <w:pPr>
                    <w:pStyle w:val="95"/>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35.7</w:t>
                  </w:r>
                  <w:r>
                    <w:rPr>
                      <w:rFonts w:hint="eastAsia" w:ascii="Times New Roman" w:hAnsi="Times New Roman" w:cs="Times New Roman"/>
                      <w:color w:val="auto"/>
                      <w:kern w:val="2"/>
                      <w:sz w:val="21"/>
                      <w:szCs w:val="21"/>
                      <w:lang w:val="en-US" w:eastAsia="zh-CN" w:bidi="ar-SA"/>
                    </w:rPr>
                    <w:t>（委托免烧砖单位清运处置）</w:t>
                  </w:r>
                </w:p>
              </w:tc>
            </w:tr>
            <w:tr w14:paraId="23296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7" w:type="pct"/>
                  <w:vAlign w:val="center"/>
                </w:tcPr>
                <w:p w14:paraId="62973D95">
                  <w:pPr>
                    <w:pStyle w:val="95"/>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rPr>
                    <w:t>/</w:t>
                  </w:r>
                </w:p>
              </w:tc>
              <w:tc>
                <w:tcPr>
                  <w:tcW w:w="801" w:type="pct"/>
                  <w:vAlign w:val="center"/>
                </w:tcPr>
                <w:p w14:paraId="459AFA41">
                  <w:pPr>
                    <w:pStyle w:val="95"/>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w:t>
                  </w:r>
                </w:p>
              </w:tc>
              <w:tc>
                <w:tcPr>
                  <w:tcW w:w="1456" w:type="pct"/>
                  <w:vAlign w:val="center"/>
                </w:tcPr>
                <w:p w14:paraId="45463A36">
                  <w:pPr>
                    <w:pStyle w:val="95"/>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eastAsia"/>
                      <w:color w:val="auto"/>
                      <w:sz w:val="21"/>
                      <w:szCs w:val="21"/>
                      <w:highlight w:val="none"/>
                      <w:lang w:val="en-US" w:eastAsia="zh-CN"/>
                    </w:rPr>
                  </w:pPr>
                  <w:r>
                    <w:rPr>
                      <w:rFonts w:hint="eastAsia"/>
                      <w:color w:val="auto"/>
                      <w:sz w:val="21"/>
                      <w:szCs w:val="21"/>
                      <w:highlight w:val="none"/>
                      <w:lang w:val="en-US" w:eastAsia="zh-CN"/>
                    </w:rPr>
                    <w:t>烧成损失</w:t>
                  </w:r>
                </w:p>
              </w:tc>
              <w:tc>
                <w:tcPr>
                  <w:tcW w:w="1503" w:type="pct"/>
                  <w:vAlign w:val="center"/>
                </w:tcPr>
                <w:p w14:paraId="05E68DD7">
                  <w:pPr>
                    <w:pStyle w:val="95"/>
                    <w:keepNext w:val="0"/>
                    <w:keepLines w:val="0"/>
                    <w:pageBreakBefore w:val="0"/>
                    <w:widowControl w:val="0"/>
                    <w:kinsoku/>
                    <w:wordWrap/>
                    <w:overflowPunct/>
                    <w:topLinePunct w:val="0"/>
                    <w:autoSpaceDE/>
                    <w:autoSpaceDN/>
                    <w:bidi w:val="0"/>
                    <w:adjustRightInd/>
                    <w:snapToGrid w:val="0"/>
                    <w:spacing w:before="63" w:beforeLines="20" w:after="63" w:afterLines="20"/>
                    <w:ind w:firstLine="0" w:firstLineChars="0"/>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b w:val="0"/>
                      <w:bCs w:val="0"/>
                      <w:color w:val="auto"/>
                      <w:sz w:val="21"/>
                      <w:szCs w:val="21"/>
                      <w:lang w:val="en-US" w:eastAsia="zh-CN"/>
                    </w:rPr>
                    <w:t>10418.1</w:t>
                  </w:r>
                </w:p>
              </w:tc>
            </w:tr>
            <w:tr w14:paraId="033B8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7" w:type="pct"/>
                  <w:vAlign w:val="center"/>
                </w:tcPr>
                <w:p w14:paraId="3B52ED30">
                  <w:pPr>
                    <w:pStyle w:val="95"/>
                    <w:keepNext w:val="0"/>
                    <w:keepLines w:val="0"/>
                    <w:pageBreakBefore w:val="0"/>
                    <w:widowControl w:val="0"/>
                    <w:kinsoku/>
                    <w:wordWrap/>
                    <w:overflowPunct/>
                    <w:topLinePunct w:val="0"/>
                    <w:autoSpaceDE/>
                    <w:autoSpaceDN/>
                    <w:bidi w:val="0"/>
                    <w:adjustRightInd/>
                    <w:snapToGrid w:val="0"/>
                    <w:spacing w:before="63" w:beforeLines="20" w:after="63" w:afterLines="2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合计</w:t>
                  </w:r>
                </w:p>
              </w:tc>
              <w:tc>
                <w:tcPr>
                  <w:tcW w:w="801" w:type="pct"/>
                  <w:vAlign w:val="center"/>
                </w:tcPr>
                <w:p w14:paraId="3859CB92">
                  <w:pPr>
                    <w:pStyle w:val="95"/>
                    <w:keepNext w:val="0"/>
                    <w:keepLines w:val="0"/>
                    <w:pageBreakBefore w:val="0"/>
                    <w:widowControl w:val="0"/>
                    <w:kinsoku/>
                    <w:wordWrap/>
                    <w:overflowPunct/>
                    <w:topLinePunct w:val="0"/>
                    <w:autoSpaceDE/>
                    <w:autoSpaceDN/>
                    <w:bidi w:val="0"/>
                    <w:adjustRightInd/>
                    <w:snapToGrid w:val="0"/>
                    <w:spacing w:before="63" w:beforeLines="20" w:after="63" w:afterLines="20"/>
                    <w:textAlignment w:val="auto"/>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25747.09</w:t>
                  </w:r>
                </w:p>
              </w:tc>
              <w:tc>
                <w:tcPr>
                  <w:tcW w:w="1456" w:type="pct"/>
                  <w:vAlign w:val="center"/>
                </w:tcPr>
                <w:p w14:paraId="12DFB26F">
                  <w:pPr>
                    <w:pStyle w:val="95"/>
                    <w:keepNext w:val="0"/>
                    <w:keepLines w:val="0"/>
                    <w:pageBreakBefore w:val="0"/>
                    <w:widowControl w:val="0"/>
                    <w:kinsoku/>
                    <w:wordWrap/>
                    <w:overflowPunct/>
                    <w:topLinePunct w:val="0"/>
                    <w:autoSpaceDE/>
                    <w:autoSpaceDN/>
                    <w:bidi w:val="0"/>
                    <w:adjustRightInd/>
                    <w:snapToGrid w:val="0"/>
                    <w:spacing w:before="63" w:beforeLines="20" w:after="63" w:afterLines="2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合计</w:t>
                  </w:r>
                </w:p>
              </w:tc>
              <w:tc>
                <w:tcPr>
                  <w:tcW w:w="1503" w:type="pct"/>
                  <w:vAlign w:val="center"/>
                </w:tcPr>
                <w:p w14:paraId="3488E85A">
                  <w:pPr>
                    <w:pStyle w:val="95"/>
                    <w:keepNext w:val="0"/>
                    <w:keepLines w:val="0"/>
                    <w:pageBreakBefore w:val="0"/>
                    <w:widowControl w:val="0"/>
                    <w:kinsoku/>
                    <w:wordWrap/>
                    <w:overflowPunct/>
                    <w:topLinePunct w:val="0"/>
                    <w:autoSpaceDE/>
                    <w:autoSpaceDN/>
                    <w:bidi w:val="0"/>
                    <w:adjustRightInd/>
                    <w:snapToGrid w:val="0"/>
                    <w:spacing w:before="63" w:beforeLines="20" w:after="63" w:afterLines="20"/>
                    <w:textAlignment w:val="auto"/>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25747.09</w:t>
                  </w:r>
                </w:p>
              </w:tc>
            </w:tr>
            <w:tr w14:paraId="6DADB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vAlign w:val="center"/>
                </w:tcPr>
                <w:p w14:paraId="1123AFC8">
                  <w:pPr>
                    <w:pStyle w:val="95"/>
                    <w:keepNext w:val="0"/>
                    <w:keepLines w:val="0"/>
                    <w:pageBreakBefore w:val="0"/>
                    <w:widowControl w:val="0"/>
                    <w:kinsoku/>
                    <w:wordWrap/>
                    <w:overflowPunct/>
                    <w:topLinePunct w:val="0"/>
                    <w:autoSpaceDE/>
                    <w:autoSpaceDN/>
                    <w:bidi w:val="0"/>
                    <w:adjustRightInd/>
                    <w:snapToGrid w:val="0"/>
                    <w:spacing w:before="63" w:beforeLines="20" w:after="63" w:afterLines="20"/>
                    <w:jc w:val="both"/>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注：返回生产线利用的物料，未纳入原料统计，同时这部分不计入烧成损失。</w:t>
                  </w:r>
                </w:p>
              </w:tc>
            </w:tr>
          </w:tbl>
          <w:p w14:paraId="611061B1">
            <w:pPr>
              <w:pStyle w:val="45"/>
              <w:bidi w:val="0"/>
              <w:ind w:firstLine="422" w:firstLineChars="200"/>
              <w:rPr>
                <w:rFonts w:hint="default"/>
                <w:color w:val="auto"/>
                <w:lang w:val="en-US" w:eastAsia="zh-CN"/>
              </w:rPr>
            </w:pPr>
            <w:r>
              <w:rPr>
                <w:rFonts w:hint="eastAsia"/>
                <w:color w:val="auto"/>
                <w:lang w:val="en-US" w:eastAsia="zh-CN"/>
              </w:rPr>
              <w:t>物料平衡图如下：</w:t>
            </w:r>
          </w:p>
          <w:p w14:paraId="0D65951E">
            <w:pPr>
              <w:pStyle w:val="45"/>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color w:val="auto"/>
                <w:lang w:val="en-US" w:eastAsia="zh-CN"/>
              </w:rPr>
            </w:pPr>
            <w:r>
              <w:drawing>
                <wp:inline distT="0" distB="0" distL="114300" distR="114300">
                  <wp:extent cx="5133975" cy="4045585"/>
                  <wp:effectExtent l="0" t="0" r="9525" b="1206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14"/>
                          <a:stretch>
                            <a:fillRect/>
                          </a:stretch>
                        </pic:blipFill>
                        <pic:spPr>
                          <a:xfrm>
                            <a:off x="0" y="0"/>
                            <a:ext cx="5133975" cy="4045585"/>
                          </a:xfrm>
                          <a:prstGeom prst="rect">
                            <a:avLst/>
                          </a:prstGeom>
                          <a:noFill/>
                          <a:ln>
                            <a:noFill/>
                          </a:ln>
                        </pic:spPr>
                      </pic:pic>
                    </a:graphicData>
                  </a:graphic>
                </wp:inline>
              </w:drawing>
            </w:r>
          </w:p>
          <w:p w14:paraId="2FFE58B1">
            <w:pPr>
              <w:pStyle w:val="45"/>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auto"/>
                <w:lang w:val="en-US" w:eastAsia="zh-CN"/>
              </w:rPr>
            </w:pPr>
            <w:r>
              <w:rPr>
                <w:rFonts w:hint="eastAsia"/>
                <w:color w:val="auto"/>
                <w:lang w:val="en-US" w:eastAsia="zh-CN"/>
              </w:rPr>
              <w:t>图2-1  本项目物料平衡图</w:t>
            </w:r>
          </w:p>
          <w:p w14:paraId="53F28713">
            <w:pPr>
              <w:pStyle w:val="45"/>
              <w:bidi w:val="0"/>
              <w:rPr>
                <w:rFonts w:hint="default"/>
                <w:color w:val="auto"/>
                <w:lang w:val="en-US" w:eastAsia="zh-CN"/>
              </w:rPr>
            </w:pPr>
            <w:r>
              <w:rPr>
                <w:rFonts w:hint="eastAsia"/>
                <w:color w:val="auto"/>
                <w:lang w:val="en-US" w:eastAsia="zh-CN"/>
              </w:rPr>
              <w:t>2.5 主要生产设备</w:t>
            </w:r>
          </w:p>
          <w:p w14:paraId="18998DB1">
            <w:pPr>
              <w:pStyle w:val="38"/>
              <w:bidi w:val="0"/>
              <w:rPr>
                <w:rFonts w:hint="default"/>
                <w:color w:val="auto"/>
              </w:rPr>
            </w:pPr>
            <w:r>
              <w:rPr>
                <w:rFonts w:hint="default"/>
                <w:color w:val="auto"/>
              </w:rPr>
              <w:t>本项目主要设备见下表。</w:t>
            </w:r>
          </w:p>
          <w:p w14:paraId="09926510">
            <w:pPr>
              <w:pStyle w:val="41"/>
              <w:bidi w:val="0"/>
              <w:rPr>
                <w:rFonts w:hint="default"/>
                <w:color w:val="auto"/>
              </w:rPr>
            </w:pPr>
            <w:r>
              <w:rPr>
                <w:rFonts w:hint="default"/>
                <w:color w:val="auto"/>
              </w:rPr>
              <w:t>表</w:t>
            </w:r>
            <w:r>
              <w:rPr>
                <w:rFonts w:hint="eastAsia"/>
                <w:color w:val="auto"/>
                <w:lang w:val="en-US" w:eastAsia="zh-CN"/>
              </w:rPr>
              <w:t>2-5</w:t>
            </w:r>
            <w:r>
              <w:rPr>
                <w:rFonts w:hint="default"/>
                <w:color w:val="auto"/>
                <w:lang w:val="en-US" w:eastAsia="zh-CN"/>
              </w:rPr>
              <w:t xml:space="preserve">  </w:t>
            </w:r>
            <w:r>
              <w:rPr>
                <w:rFonts w:hint="default"/>
                <w:color w:val="auto"/>
              </w:rPr>
              <w:t>项目主要设备一览表</w:t>
            </w:r>
          </w:p>
          <w:tbl>
            <w:tblPr>
              <w:tblStyle w:val="30"/>
              <w:tblW w:w="8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276"/>
              <w:gridCol w:w="726"/>
              <w:gridCol w:w="921"/>
              <w:gridCol w:w="921"/>
              <w:gridCol w:w="1819"/>
              <w:gridCol w:w="1636"/>
            </w:tblGrid>
            <w:tr w14:paraId="3AFD7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759" w:type="dxa"/>
                  <w:vMerge w:val="restart"/>
                  <w:vAlign w:val="center"/>
                </w:tcPr>
                <w:p w14:paraId="1862C4A0">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eastAsia" w:eastAsia="宋体"/>
                      <w:color w:val="auto"/>
                      <w:lang w:val="en-US" w:eastAsia="zh-CN"/>
                    </w:rPr>
                  </w:pPr>
                  <w:r>
                    <w:rPr>
                      <w:rFonts w:hint="eastAsia"/>
                      <w:color w:val="auto"/>
                      <w:lang w:val="en-US" w:eastAsia="zh-CN"/>
                    </w:rPr>
                    <w:t>序号</w:t>
                  </w:r>
                </w:p>
              </w:tc>
              <w:tc>
                <w:tcPr>
                  <w:tcW w:w="1276" w:type="dxa"/>
                  <w:vMerge w:val="restart"/>
                  <w:vAlign w:val="center"/>
                </w:tcPr>
                <w:p w14:paraId="1146DD80">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color w:val="auto"/>
                    </w:rPr>
                  </w:pPr>
                  <w:r>
                    <w:rPr>
                      <w:rFonts w:hint="default" w:ascii="Times New Roman" w:hAnsi="Times New Roman" w:cs="Times New Roman"/>
                      <w:color w:val="auto"/>
                      <w:sz w:val="21"/>
                      <w:szCs w:val="21"/>
                      <w:lang w:val="en-US" w:eastAsia="zh-CN"/>
                    </w:rPr>
                    <w:t>生产设施</w:t>
                  </w:r>
                </w:p>
              </w:tc>
              <w:tc>
                <w:tcPr>
                  <w:tcW w:w="2568" w:type="dxa"/>
                  <w:gridSpan w:val="3"/>
                  <w:vAlign w:val="center"/>
                </w:tcPr>
                <w:p w14:paraId="232D0045">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color w:val="auto"/>
                    </w:rPr>
                  </w:pPr>
                  <w:r>
                    <w:rPr>
                      <w:rFonts w:hint="default" w:ascii="Times New Roman" w:hAnsi="Times New Roman" w:cs="Times New Roman"/>
                      <w:color w:val="auto"/>
                      <w:sz w:val="21"/>
                      <w:szCs w:val="21"/>
                      <w:lang w:val="en-US" w:eastAsia="zh-CN"/>
                    </w:rPr>
                    <w:t>数量</w:t>
                  </w:r>
                  <w:r>
                    <w:rPr>
                      <w:rFonts w:hint="eastAsia" w:cs="Times New Roman"/>
                      <w:color w:val="auto"/>
                      <w:sz w:val="21"/>
                      <w:szCs w:val="21"/>
                      <w:lang w:val="en-US" w:eastAsia="zh-CN"/>
                    </w:rPr>
                    <w:t>（台、套、座）</w:t>
                  </w:r>
                </w:p>
              </w:tc>
              <w:tc>
                <w:tcPr>
                  <w:tcW w:w="1819" w:type="dxa"/>
                  <w:vMerge w:val="restart"/>
                  <w:vAlign w:val="center"/>
                </w:tcPr>
                <w:p w14:paraId="73DAD8E0">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color w:val="auto"/>
                    </w:rPr>
                  </w:pPr>
                  <w:r>
                    <w:rPr>
                      <w:rFonts w:hint="default" w:ascii="Times New Roman" w:hAnsi="Times New Roman" w:cs="Times New Roman"/>
                      <w:color w:val="auto"/>
                      <w:sz w:val="21"/>
                      <w:szCs w:val="21"/>
                      <w:lang w:val="en-US" w:eastAsia="zh-CN"/>
                    </w:rPr>
                    <w:t>设施参数</w:t>
                  </w:r>
                </w:p>
              </w:tc>
              <w:tc>
                <w:tcPr>
                  <w:tcW w:w="1636" w:type="dxa"/>
                  <w:vMerge w:val="restart"/>
                  <w:vAlign w:val="center"/>
                </w:tcPr>
                <w:p w14:paraId="2C1ADFCA">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eastAsia" w:eastAsia="宋体"/>
                      <w:color w:val="auto"/>
                      <w:lang w:val="en-US" w:eastAsia="zh-CN"/>
                    </w:rPr>
                  </w:pPr>
                  <w:r>
                    <w:rPr>
                      <w:rFonts w:hint="eastAsia"/>
                      <w:color w:val="auto"/>
                      <w:lang w:val="en-US" w:eastAsia="zh-CN"/>
                    </w:rPr>
                    <w:t>位置</w:t>
                  </w:r>
                </w:p>
              </w:tc>
            </w:tr>
            <w:tr w14:paraId="70624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59" w:type="dxa"/>
                  <w:vMerge w:val="continue"/>
                  <w:vAlign w:val="center"/>
                </w:tcPr>
                <w:p w14:paraId="172CB80E">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eastAsia"/>
                      <w:color w:val="auto"/>
                      <w:lang w:val="en-US" w:eastAsia="zh-CN"/>
                    </w:rPr>
                  </w:pPr>
                </w:p>
              </w:tc>
              <w:tc>
                <w:tcPr>
                  <w:tcW w:w="1276" w:type="dxa"/>
                  <w:vMerge w:val="continue"/>
                  <w:vAlign w:val="center"/>
                </w:tcPr>
                <w:p w14:paraId="2F188E7D">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sz w:val="21"/>
                      <w:szCs w:val="21"/>
                      <w:lang w:val="en-US" w:eastAsia="zh-CN"/>
                    </w:rPr>
                  </w:pPr>
                </w:p>
              </w:tc>
              <w:tc>
                <w:tcPr>
                  <w:tcW w:w="726" w:type="dxa"/>
                  <w:vAlign w:val="center"/>
                </w:tcPr>
                <w:p w14:paraId="29DF570F">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现有</w:t>
                  </w:r>
                </w:p>
              </w:tc>
              <w:tc>
                <w:tcPr>
                  <w:tcW w:w="921" w:type="dxa"/>
                  <w:vAlign w:val="center"/>
                </w:tcPr>
                <w:p w14:paraId="0B075578">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改建后</w:t>
                  </w:r>
                </w:p>
              </w:tc>
              <w:tc>
                <w:tcPr>
                  <w:tcW w:w="921" w:type="dxa"/>
                  <w:vAlign w:val="center"/>
                </w:tcPr>
                <w:p w14:paraId="08AA7405">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变化量</w:t>
                  </w:r>
                </w:p>
              </w:tc>
              <w:tc>
                <w:tcPr>
                  <w:tcW w:w="1819" w:type="dxa"/>
                  <w:vMerge w:val="continue"/>
                  <w:vAlign w:val="center"/>
                </w:tcPr>
                <w:p w14:paraId="241F0426">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sz w:val="21"/>
                      <w:szCs w:val="21"/>
                      <w:lang w:val="en-US" w:eastAsia="zh-CN"/>
                    </w:rPr>
                  </w:pPr>
                </w:p>
              </w:tc>
              <w:tc>
                <w:tcPr>
                  <w:tcW w:w="1636" w:type="dxa"/>
                  <w:vMerge w:val="continue"/>
                  <w:vAlign w:val="center"/>
                </w:tcPr>
                <w:p w14:paraId="79C116A9">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eastAsia"/>
                      <w:color w:val="auto"/>
                      <w:lang w:val="en-US" w:eastAsia="zh-CN"/>
                    </w:rPr>
                  </w:pPr>
                </w:p>
              </w:tc>
            </w:tr>
            <w:tr w14:paraId="4B7BB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Align w:val="center"/>
                </w:tcPr>
                <w:p w14:paraId="0DC883CF">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w:t>
                  </w:r>
                </w:p>
              </w:tc>
              <w:tc>
                <w:tcPr>
                  <w:tcW w:w="1276" w:type="dxa"/>
                  <w:shd w:val="clear" w:color="auto" w:fill="auto"/>
                  <w:vAlign w:val="center"/>
                </w:tcPr>
                <w:p w14:paraId="3C74F04F">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搅拌机</w:t>
                  </w:r>
                </w:p>
              </w:tc>
              <w:tc>
                <w:tcPr>
                  <w:tcW w:w="726" w:type="dxa"/>
                  <w:shd w:val="clear" w:color="auto" w:fill="auto"/>
                  <w:vAlign w:val="center"/>
                </w:tcPr>
                <w:p w14:paraId="2C06F47D">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2</w:t>
                  </w:r>
                </w:p>
              </w:tc>
              <w:tc>
                <w:tcPr>
                  <w:tcW w:w="921" w:type="dxa"/>
                  <w:shd w:val="clear" w:color="auto" w:fill="auto"/>
                  <w:vAlign w:val="center"/>
                </w:tcPr>
                <w:p w14:paraId="67D299BA">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eastAsia"/>
                      <w:color w:val="auto"/>
                      <w:lang w:val="en-US" w:eastAsia="zh-CN"/>
                    </w:rPr>
                  </w:pPr>
                  <w:r>
                    <w:rPr>
                      <w:rFonts w:hint="eastAsia"/>
                      <w:color w:val="auto"/>
                      <w:lang w:val="en-US" w:eastAsia="zh-CN"/>
                    </w:rPr>
                    <w:t>2</w:t>
                  </w:r>
                </w:p>
              </w:tc>
              <w:tc>
                <w:tcPr>
                  <w:tcW w:w="921" w:type="dxa"/>
                  <w:shd w:val="clear" w:color="auto" w:fill="auto"/>
                  <w:vAlign w:val="center"/>
                </w:tcPr>
                <w:p w14:paraId="682C6B81">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default"/>
                      <w:color w:val="auto"/>
                      <w:lang w:val="en-US" w:eastAsia="zh-CN"/>
                    </w:rPr>
                  </w:pPr>
                  <w:r>
                    <w:rPr>
                      <w:rFonts w:hint="eastAsia"/>
                      <w:color w:val="auto"/>
                      <w:lang w:val="en-US" w:eastAsia="zh-CN"/>
                    </w:rPr>
                    <w:t>0</w:t>
                  </w:r>
                </w:p>
              </w:tc>
              <w:tc>
                <w:tcPr>
                  <w:tcW w:w="1819" w:type="dxa"/>
                  <w:shd w:val="clear" w:color="auto" w:fill="auto"/>
                  <w:vAlign w:val="center"/>
                </w:tcPr>
                <w:p w14:paraId="087EB755">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10KW</w:t>
                  </w:r>
                </w:p>
              </w:tc>
              <w:tc>
                <w:tcPr>
                  <w:tcW w:w="1636" w:type="dxa"/>
                  <w:shd w:val="clear" w:color="auto" w:fill="auto"/>
                  <w:vAlign w:val="center"/>
                </w:tcPr>
                <w:p w14:paraId="6C72F6B2">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陈化车间</w:t>
                  </w:r>
                </w:p>
              </w:tc>
            </w:tr>
            <w:tr w14:paraId="631A1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759" w:type="dxa"/>
                  <w:shd w:val="clear" w:color="auto" w:fill="auto"/>
                  <w:vAlign w:val="center"/>
                </w:tcPr>
                <w:p w14:paraId="6BE5A111">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w:t>
                  </w:r>
                </w:p>
              </w:tc>
              <w:tc>
                <w:tcPr>
                  <w:tcW w:w="1276" w:type="dxa"/>
                  <w:shd w:val="clear" w:color="auto" w:fill="auto"/>
                  <w:vAlign w:val="center"/>
                </w:tcPr>
                <w:p w14:paraId="5E503049">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对辊机</w:t>
                  </w:r>
                </w:p>
              </w:tc>
              <w:tc>
                <w:tcPr>
                  <w:tcW w:w="726" w:type="dxa"/>
                  <w:shd w:val="clear" w:color="auto" w:fill="auto"/>
                  <w:vAlign w:val="center"/>
                </w:tcPr>
                <w:p w14:paraId="3501A707">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eastAsia"/>
                      <w:color w:val="auto"/>
                      <w:lang w:val="en-US" w:eastAsia="zh-CN"/>
                    </w:rPr>
                  </w:pPr>
                  <w:r>
                    <w:rPr>
                      <w:rFonts w:hint="eastAsia"/>
                      <w:color w:val="auto"/>
                      <w:lang w:val="en-US" w:eastAsia="zh-CN"/>
                    </w:rPr>
                    <w:t>2</w:t>
                  </w:r>
                </w:p>
              </w:tc>
              <w:tc>
                <w:tcPr>
                  <w:tcW w:w="921" w:type="dxa"/>
                  <w:shd w:val="clear" w:color="auto" w:fill="auto"/>
                  <w:vAlign w:val="center"/>
                </w:tcPr>
                <w:p w14:paraId="0E36DB1C">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eastAsia"/>
                      <w:color w:val="auto"/>
                      <w:lang w:val="en-US" w:eastAsia="zh-CN"/>
                    </w:rPr>
                  </w:pPr>
                  <w:r>
                    <w:rPr>
                      <w:rFonts w:hint="eastAsia"/>
                      <w:color w:val="auto"/>
                      <w:lang w:val="en-US" w:eastAsia="zh-CN"/>
                    </w:rPr>
                    <w:t>2</w:t>
                  </w:r>
                </w:p>
              </w:tc>
              <w:tc>
                <w:tcPr>
                  <w:tcW w:w="921" w:type="dxa"/>
                  <w:shd w:val="clear" w:color="auto" w:fill="auto"/>
                  <w:vAlign w:val="center"/>
                </w:tcPr>
                <w:p w14:paraId="44D2750E">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default"/>
                      <w:color w:val="auto"/>
                      <w:lang w:val="en-US" w:eastAsia="zh-CN"/>
                    </w:rPr>
                  </w:pPr>
                  <w:r>
                    <w:rPr>
                      <w:rFonts w:hint="eastAsia"/>
                      <w:color w:val="auto"/>
                      <w:lang w:val="en-US" w:eastAsia="zh-CN"/>
                    </w:rPr>
                    <w:t>0</w:t>
                  </w:r>
                </w:p>
              </w:tc>
              <w:tc>
                <w:tcPr>
                  <w:tcW w:w="1819" w:type="dxa"/>
                  <w:shd w:val="clear" w:color="auto" w:fill="auto"/>
                  <w:vAlign w:val="center"/>
                </w:tcPr>
                <w:p w14:paraId="55CAA056">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default"/>
                      <w:color w:val="auto"/>
                      <w:lang w:val="en-US" w:eastAsia="zh-CN"/>
                    </w:rPr>
                  </w:pPr>
                  <w:r>
                    <w:rPr>
                      <w:rFonts w:hint="eastAsia"/>
                      <w:color w:val="auto"/>
                      <w:lang w:val="en-US" w:eastAsia="zh-CN"/>
                    </w:rPr>
                    <w:t>45KW</w:t>
                  </w:r>
                </w:p>
              </w:tc>
              <w:tc>
                <w:tcPr>
                  <w:tcW w:w="1636" w:type="dxa"/>
                  <w:vMerge w:val="restart"/>
                  <w:shd w:val="clear" w:color="auto" w:fill="auto"/>
                  <w:vAlign w:val="center"/>
                </w:tcPr>
                <w:p w14:paraId="4792FA37">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default"/>
                      <w:color w:val="auto"/>
                      <w:lang w:val="en-US" w:eastAsia="zh-CN"/>
                    </w:rPr>
                  </w:pPr>
                  <w:r>
                    <w:rPr>
                      <w:rFonts w:hint="eastAsia"/>
                      <w:color w:val="auto"/>
                      <w:lang w:val="en-US" w:eastAsia="zh-CN"/>
                    </w:rPr>
                    <w:t>制坯车间</w:t>
                  </w:r>
                </w:p>
              </w:tc>
            </w:tr>
            <w:tr w14:paraId="349E0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shd w:val="clear" w:color="auto" w:fill="auto"/>
                  <w:vAlign w:val="center"/>
                </w:tcPr>
                <w:p w14:paraId="5A8AA9C3">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w:t>
                  </w:r>
                </w:p>
              </w:tc>
              <w:tc>
                <w:tcPr>
                  <w:tcW w:w="1276" w:type="dxa"/>
                  <w:shd w:val="clear" w:color="auto" w:fill="auto"/>
                  <w:vAlign w:val="center"/>
                </w:tcPr>
                <w:p w14:paraId="01A08F95">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真空成型机</w:t>
                  </w:r>
                </w:p>
              </w:tc>
              <w:tc>
                <w:tcPr>
                  <w:tcW w:w="726" w:type="dxa"/>
                  <w:shd w:val="clear" w:color="auto" w:fill="auto"/>
                  <w:vAlign w:val="center"/>
                </w:tcPr>
                <w:p w14:paraId="2035C0B8">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eastAsia"/>
                      <w:color w:val="auto"/>
                      <w:lang w:val="en-US" w:eastAsia="zh-CN"/>
                    </w:rPr>
                  </w:pPr>
                  <w:r>
                    <w:rPr>
                      <w:rFonts w:hint="eastAsia"/>
                      <w:color w:val="auto"/>
                      <w:lang w:val="en-US" w:eastAsia="zh-CN"/>
                    </w:rPr>
                    <w:t>4</w:t>
                  </w:r>
                </w:p>
              </w:tc>
              <w:tc>
                <w:tcPr>
                  <w:tcW w:w="921" w:type="dxa"/>
                  <w:shd w:val="clear" w:color="auto" w:fill="auto"/>
                  <w:vAlign w:val="center"/>
                </w:tcPr>
                <w:p w14:paraId="2DEF0691">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eastAsia"/>
                      <w:color w:val="auto"/>
                      <w:lang w:val="en-US" w:eastAsia="zh-CN"/>
                    </w:rPr>
                  </w:pPr>
                  <w:r>
                    <w:rPr>
                      <w:rFonts w:hint="eastAsia"/>
                      <w:color w:val="auto"/>
                      <w:lang w:val="en-US" w:eastAsia="zh-CN"/>
                    </w:rPr>
                    <w:t>4</w:t>
                  </w:r>
                </w:p>
              </w:tc>
              <w:tc>
                <w:tcPr>
                  <w:tcW w:w="921" w:type="dxa"/>
                  <w:shd w:val="clear" w:color="auto" w:fill="auto"/>
                  <w:vAlign w:val="center"/>
                </w:tcPr>
                <w:p w14:paraId="6A581068">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default"/>
                      <w:color w:val="auto"/>
                      <w:lang w:val="en-US" w:eastAsia="zh-CN"/>
                    </w:rPr>
                  </w:pPr>
                  <w:r>
                    <w:rPr>
                      <w:rFonts w:hint="eastAsia"/>
                      <w:color w:val="auto"/>
                      <w:lang w:val="en-US" w:eastAsia="zh-CN"/>
                    </w:rPr>
                    <w:t>0</w:t>
                  </w:r>
                </w:p>
              </w:tc>
              <w:tc>
                <w:tcPr>
                  <w:tcW w:w="1819" w:type="dxa"/>
                  <w:shd w:val="clear" w:color="auto" w:fill="auto"/>
                  <w:vAlign w:val="center"/>
                </w:tcPr>
                <w:p w14:paraId="4E807292">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default"/>
                      <w:color w:val="auto"/>
                      <w:lang w:val="en-US" w:eastAsia="zh-CN"/>
                    </w:rPr>
                  </w:pPr>
                  <w:r>
                    <w:rPr>
                      <w:rFonts w:hint="eastAsia"/>
                      <w:color w:val="auto"/>
                      <w:lang w:val="en-US" w:eastAsia="zh-CN"/>
                    </w:rPr>
                    <w:t>250型</w:t>
                  </w:r>
                </w:p>
              </w:tc>
              <w:tc>
                <w:tcPr>
                  <w:tcW w:w="1636" w:type="dxa"/>
                  <w:vMerge w:val="continue"/>
                  <w:shd w:val="clear" w:color="auto" w:fill="auto"/>
                  <w:vAlign w:val="center"/>
                </w:tcPr>
                <w:p w14:paraId="7CCE264E">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eastAsia"/>
                      <w:color w:val="auto"/>
                      <w:lang w:val="en-US" w:eastAsia="zh-CN"/>
                    </w:rPr>
                  </w:pPr>
                </w:p>
              </w:tc>
            </w:tr>
            <w:tr w14:paraId="67218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shd w:val="clear" w:color="auto" w:fill="auto"/>
                  <w:vAlign w:val="center"/>
                </w:tcPr>
                <w:p w14:paraId="6DD2DF0A">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4</w:t>
                  </w:r>
                </w:p>
              </w:tc>
              <w:tc>
                <w:tcPr>
                  <w:tcW w:w="1276" w:type="dxa"/>
                  <w:shd w:val="clear" w:color="auto" w:fill="auto"/>
                  <w:vAlign w:val="center"/>
                </w:tcPr>
                <w:p w14:paraId="50088AC6">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分切机</w:t>
                  </w:r>
                </w:p>
              </w:tc>
              <w:tc>
                <w:tcPr>
                  <w:tcW w:w="726" w:type="dxa"/>
                  <w:shd w:val="clear" w:color="auto" w:fill="auto"/>
                  <w:vAlign w:val="center"/>
                </w:tcPr>
                <w:p w14:paraId="197714E2">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4</w:t>
                  </w:r>
                </w:p>
              </w:tc>
              <w:tc>
                <w:tcPr>
                  <w:tcW w:w="921" w:type="dxa"/>
                  <w:shd w:val="clear" w:color="auto" w:fill="auto"/>
                  <w:vAlign w:val="center"/>
                </w:tcPr>
                <w:p w14:paraId="0BCFACC0">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4</w:t>
                  </w:r>
                </w:p>
              </w:tc>
              <w:tc>
                <w:tcPr>
                  <w:tcW w:w="921" w:type="dxa"/>
                  <w:shd w:val="clear" w:color="auto" w:fill="auto"/>
                  <w:vAlign w:val="center"/>
                </w:tcPr>
                <w:p w14:paraId="5CBC658D">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1819" w:type="dxa"/>
                  <w:shd w:val="clear" w:color="auto" w:fill="auto"/>
                  <w:vAlign w:val="center"/>
                </w:tcPr>
                <w:p w14:paraId="198AFAE0">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w:t>
                  </w:r>
                </w:p>
              </w:tc>
              <w:tc>
                <w:tcPr>
                  <w:tcW w:w="1636" w:type="dxa"/>
                  <w:vMerge w:val="continue"/>
                  <w:shd w:val="clear" w:color="auto" w:fill="auto"/>
                  <w:vAlign w:val="center"/>
                </w:tcPr>
                <w:p w14:paraId="4E710543">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7146D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shd w:val="clear" w:color="auto" w:fill="auto"/>
                  <w:vAlign w:val="center"/>
                </w:tcPr>
                <w:p w14:paraId="072013A4">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5</w:t>
                  </w:r>
                </w:p>
              </w:tc>
              <w:tc>
                <w:tcPr>
                  <w:tcW w:w="1276" w:type="dxa"/>
                  <w:shd w:val="clear" w:color="auto" w:fill="auto"/>
                  <w:vAlign w:val="center"/>
                </w:tcPr>
                <w:p w14:paraId="35B6A5F9">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梭子窑</w:t>
                  </w:r>
                </w:p>
              </w:tc>
              <w:tc>
                <w:tcPr>
                  <w:tcW w:w="726" w:type="dxa"/>
                  <w:shd w:val="clear" w:color="auto" w:fill="auto"/>
                  <w:vAlign w:val="center"/>
                </w:tcPr>
                <w:p w14:paraId="361837C2">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w:t>
                  </w:r>
                </w:p>
              </w:tc>
              <w:tc>
                <w:tcPr>
                  <w:tcW w:w="921" w:type="dxa"/>
                  <w:shd w:val="clear" w:color="auto" w:fill="auto"/>
                  <w:vAlign w:val="center"/>
                </w:tcPr>
                <w:p w14:paraId="438CDDC8">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6</w:t>
                  </w:r>
                </w:p>
              </w:tc>
              <w:tc>
                <w:tcPr>
                  <w:tcW w:w="921" w:type="dxa"/>
                  <w:shd w:val="clear" w:color="auto" w:fill="auto"/>
                  <w:vAlign w:val="center"/>
                </w:tcPr>
                <w:p w14:paraId="12438216">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+6</w:t>
                  </w:r>
                </w:p>
              </w:tc>
              <w:tc>
                <w:tcPr>
                  <w:tcW w:w="1819" w:type="dxa"/>
                  <w:shd w:val="clear" w:color="auto" w:fill="auto"/>
                  <w:vAlign w:val="center"/>
                </w:tcPr>
                <w:p w14:paraId="2DB6E3BF">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0"/>
                      <w:sz w:val="21"/>
                      <w:szCs w:val="21"/>
                      <w:lang w:val="en-US" w:eastAsia="zh-CN" w:bidi="ar"/>
                    </w:rPr>
                    <w:t>18m</w:t>
                  </w:r>
                  <w:r>
                    <w:rPr>
                      <w:rFonts w:hint="default" w:ascii="Times New Roman" w:hAnsi="Times New Roman" w:cs="Times New Roman"/>
                      <w:color w:val="auto"/>
                      <w:kern w:val="0"/>
                      <w:sz w:val="21"/>
                      <w:szCs w:val="21"/>
                      <w:lang w:val="en-US" w:eastAsia="zh-CN" w:bidi="ar"/>
                    </w:rPr>
                    <w:t>×</w:t>
                  </w:r>
                  <w:r>
                    <w:rPr>
                      <w:rFonts w:hint="eastAsia" w:ascii="Times New Roman" w:hAnsi="Times New Roman" w:cs="Times New Roman"/>
                      <w:color w:val="auto"/>
                      <w:kern w:val="0"/>
                      <w:sz w:val="21"/>
                      <w:szCs w:val="21"/>
                      <w:lang w:val="en-US" w:eastAsia="zh-CN" w:bidi="ar"/>
                    </w:rPr>
                    <w:t>6m</w:t>
                  </w:r>
                  <w:r>
                    <w:rPr>
                      <w:rFonts w:hint="default" w:ascii="Times New Roman" w:hAnsi="Times New Roman" w:cs="Times New Roman"/>
                      <w:color w:val="auto"/>
                      <w:kern w:val="0"/>
                      <w:sz w:val="21"/>
                      <w:szCs w:val="21"/>
                      <w:lang w:val="en-US" w:eastAsia="zh-CN" w:bidi="ar"/>
                    </w:rPr>
                    <w:t>×</w:t>
                  </w:r>
                  <w:r>
                    <w:rPr>
                      <w:rFonts w:hint="eastAsia" w:cs="Times New Roman"/>
                      <w:color w:val="auto"/>
                      <w:kern w:val="0"/>
                      <w:sz w:val="21"/>
                      <w:szCs w:val="21"/>
                      <w:lang w:val="en-US" w:eastAsia="zh-CN" w:bidi="ar"/>
                    </w:rPr>
                    <w:t>4m</w:t>
                  </w:r>
                </w:p>
              </w:tc>
              <w:tc>
                <w:tcPr>
                  <w:tcW w:w="1636" w:type="dxa"/>
                  <w:vMerge w:val="restart"/>
                  <w:shd w:val="clear" w:color="auto" w:fill="auto"/>
                  <w:vAlign w:val="center"/>
                </w:tcPr>
                <w:p w14:paraId="2119168D">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烧成车间</w:t>
                  </w:r>
                </w:p>
              </w:tc>
            </w:tr>
            <w:tr w14:paraId="0C9F9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shd w:val="clear" w:color="auto" w:fill="auto"/>
                  <w:vAlign w:val="center"/>
                </w:tcPr>
                <w:p w14:paraId="0012CD49">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6</w:t>
                  </w:r>
                </w:p>
              </w:tc>
              <w:tc>
                <w:tcPr>
                  <w:tcW w:w="1276" w:type="dxa"/>
                  <w:shd w:val="clear" w:color="auto" w:fill="auto"/>
                  <w:vAlign w:val="center"/>
                </w:tcPr>
                <w:p w14:paraId="020B33D4">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土窑</w:t>
                  </w:r>
                </w:p>
              </w:tc>
              <w:tc>
                <w:tcPr>
                  <w:tcW w:w="726" w:type="dxa"/>
                  <w:shd w:val="clear" w:color="auto" w:fill="auto"/>
                  <w:vAlign w:val="center"/>
                </w:tcPr>
                <w:p w14:paraId="0579A174">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w:t>
                  </w:r>
                </w:p>
              </w:tc>
              <w:tc>
                <w:tcPr>
                  <w:tcW w:w="921" w:type="dxa"/>
                  <w:shd w:val="clear" w:color="auto" w:fill="auto"/>
                  <w:vAlign w:val="center"/>
                </w:tcPr>
                <w:p w14:paraId="76EE1188">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921" w:type="dxa"/>
                  <w:shd w:val="clear" w:color="auto" w:fill="auto"/>
                  <w:vAlign w:val="center"/>
                </w:tcPr>
                <w:p w14:paraId="7722156D">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w:t>
                  </w:r>
                </w:p>
              </w:tc>
              <w:tc>
                <w:tcPr>
                  <w:tcW w:w="1819" w:type="dxa"/>
                  <w:shd w:val="clear" w:color="auto" w:fill="auto"/>
                  <w:vAlign w:val="center"/>
                </w:tcPr>
                <w:p w14:paraId="0BDE4468">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eastAsia" w:cs="Times New Roman"/>
                      <w:color w:val="auto"/>
                      <w:kern w:val="0"/>
                      <w:sz w:val="21"/>
                      <w:szCs w:val="21"/>
                      <w:lang w:val="en-US" w:eastAsia="zh-CN" w:bidi="ar"/>
                    </w:rPr>
                  </w:pPr>
                </w:p>
              </w:tc>
              <w:tc>
                <w:tcPr>
                  <w:tcW w:w="1636" w:type="dxa"/>
                  <w:vMerge w:val="continue"/>
                  <w:shd w:val="clear" w:color="auto" w:fill="auto"/>
                  <w:vAlign w:val="center"/>
                </w:tcPr>
                <w:p w14:paraId="65A42C05">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eastAsia" w:cs="Times New Roman"/>
                      <w:color w:val="auto"/>
                      <w:kern w:val="2"/>
                      <w:sz w:val="21"/>
                      <w:szCs w:val="21"/>
                      <w:lang w:val="en-US" w:eastAsia="zh-CN" w:bidi="ar-SA"/>
                    </w:rPr>
                  </w:pPr>
                </w:p>
              </w:tc>
            </w:tr>
            <w:tr w14:paraId="7ABF0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shd w:val="clear" w:color="auto" w:fill="auto"/>
                  <w:vAlign w:val="center"/>
                </w:tcPr>
                <w:p w14:paraId="04B861FE">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7</w:t>
                  </w:r>
                </w:p>
              </w:tc>
              <w:tc>
                <w:tcPr>
                  <w:tcW w:w="1276" w:type="dxa"/>
                  <w:shd w:val="clear" w:color="auto" w:fill="auto"/>
                  <w:vAlign w:val="center"/>
                </w:tcPr>
                <w:p w14:paraId="24B8B3D6">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循环风机</w:t>
                  </w:r>
                </w:p>
              </w:tc>
              <w:tc>
                <w:tcPr>
                  <w:tcW w:w="726" w:type="dxa"/>
                  <w:shd w:val="clear" w:color="auto" w:fill="auto"/>
                  <w:vAlign w:val="center"/>
                </w:tcPr>
                <w:p w14:paraId="0D2BF2BE">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w:t>
                  </w:r>
                </w:p>
              </w:tc>
              <w:tc>
                <w:tcPr>
                  <w:tcW w:w="921" w:type="dxa"/>
                  <w:shd w:val="clear" w:color="auto" w:fill="auto"/>
                  <w:vAlign w:val="center"/>
                </w:tcPr>
                <w:p w14:paraId="210A6945">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6</w:t>
                  </w:r>
                </w:p>
              </w:tc>
              <w:tc>
                <w:tcPr>
                  <w:tcW w:w="921" w:type="dxa"/>
                  <w:shd w:val="clear" w:color="auto" w:fill="auto"/>
                  <w:vAlign w:val="center"/>
                </w:tcPr>
                <w:p w14:paraId="1D3439ED">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+6</w:t>
                  </w:r>
                </w:p>
              </w:tc>
              <w:tc>
                <w:tcPr>
                  <w:tcW w:w="1819" w:type="dxa"/>
                  <w:shd w:val="clear" w:color="auto" w:fill="auto"/>
                  <w:vAlign w:val="center"/>
                </w:tcPr>
                <w:p w14:paraId="7B03A402">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w:t>
                  </w:r>
                  <w:r>
                    <w:rPr>
                      <w:rFonts w:hint="default" w:ascii="Times New Roman" w:hAnsi="Times New Roman" w:eastAsia="宋体" w:cs="Times New Roman"/>
                      <w:color w:val="auto"/>
                      <w:kern w:val="2"/>
                      <w:sz w:val="21"/>
                      <w:szCs w:val="21"/>
                      <w:lang w:val="en-US" w:eastAsia="zh-CN" w:bidi="ar-SA"/>
                    </w:rPr>
                    <w:t>000m³/h</w:t>
                  </w:r>
                </w:p>
              </w:tc>
              <w:tc>
                <w:tcPr>
                  <w:tcW w:w="1636" w:type="dxa"/>
                  <w:vMerge w:val="continue"/>
                  <w:shd w:val="clear" w:color="auto" w:fill="auto"/>
                  <w:vAlign w:val="center"/>
                </w:tcPr>
                <w:p w14:paraId="1E698A0A">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4239C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shd w:val="clear" w:color="auto" w:fill="auto"/>
                  <w:vAlign w:val="center"/>
                </w:tcPr>
                <w:p w14:paraId="5418C21E">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8</w:t>
                  </w:r>
                </w:p>
              </w:tc>
              <w:tc>
                <w:tcPr>
                  <w:tcW w:w="1276" w:type="dxa"/>
                  <w:shd w:val="clear" w:color="auto" w:fill="auto"/>
                  <w:vAlign w:val="center"/>
                </w:tcPr>
                <w:p w14:paraId="0DBFBB37">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供气风机</w:t>
                  </w:r>
                </w:p>
              </w:tc>
              <w:tc>
                <w:tcPr>
                  <w:tcW w:w="726" w:type="dxa"/>
                  <w:shd w:val="clear" w:color="auto" w:fill="auto"/>
                  <w:vAlign w:val="center"/>
                </w:tcPr>
                <w:p w14:paraId="21E35443">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w:t>
                  </w:r>
                </w:p>
              </w:tc>
              <w:tc>
                <w:tcPr>
                  <w:tcW w:w="921" w:type="dxa"/>
                  <w:shd w:val="clear" w:color="auto" w:fill="auto"/>
                  <w:vAlign w:val="center"/>
                </w:tcPr>
                <w:p w14:paraId="6696570F">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1</w:t>
                  </w:r>
                </w:p>
              </w:tc>
              <w:tc>
                <w:tcPr>
                  <w:tcW w:w="921" w:type="dxa"/>
                  <w:shd w:val="clear" w:color="auto" w:fill="auto"/>
                  <w:vAlign w:val="center"/>
                </w:tcPr>
                <w:p w14:paraId="546062EF">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1819" w:type="dxa"/>
                  <w:shd w:val="clear" w:color="auto" w:fill="auto"/>
                  <w:vAlign w:val="center"/>
                </w:tcPr>
                <w:p w14:paraId="44200BAD">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eastAsia"/>
                      <w:color w:val="auto"/>
                      <w:lang w:val="en-US" w:eastAsia="zh-CN"/>
                    </w:rPr>
                  </w:pPr>
                  <w:r>
                    <w:rPr>
                      <w:rFonts w:hint="eastAsia"/>
                      <w:color w:val="auto"/>
                      <w:lang w:val="en-US" w:eastAsia="zh-CN"/>
                    </w:rPr>
                    <w:t>变频风机1000~6000m³/h</w:t>
                  </w:r>
                </w:p>
              </w:tc>
              <w:tc>
                <w:tcPr>
                  <w:tcW w:w="1636" w:type="dxa"/>
                  <w:vMerge w:val="continue"/>
                  <w:shd w:val="clear" w:color="auto" w:fill="auto"/>
                  <w:vAlign w:val="center"/>
                </w:tcPr>
                <w:p w14:paraId="3BED3295">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eastAsia"/>
                      <w:color w:val="auto"/>
                      <w:lang w:val="en-US" w:eastAsia="zh-CN"/>
                    </w:rPr>
                  </w:pPr>
                </w:p>
              </w:tc>
            </w:tr>
            <w:tr w14:paraId="79314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Align w:val="center"/>
                </w:tcPr>
                <w:p w14:paraId="43FDF9C3">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9</w:t>
                  </w:r>
                </w:p>
              </w:tc>
              <w:tc>
                <w:tcPr>
                  <w:tcW w:w="1276" w:type="dxa"/>
                  <w:shd w:val="clear" w:color="auto" w:fill="auto"/>
                  <w:vAlign w:val="center"/>
                </w:tcPr>
                <w:p w14:paraId="5C1FFFA5">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运输车辆</w:t>
                  </w:r>
                </w:p>
              </w:tc>
              <w:tc>
                <w:tcPr>
                  <w:tcW w:w="726" w:type="dxa"/>
                  <w:shd w:val="clear" w:color="auto" w:fill="auto"/>
                  <w:vAlign w:val="center"/>
                </w:tcPr>
                <w:p w14:paraId="035F48EF">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w:t>
                  </w:r>
                </w:p>
              </w:tc>
              <w:tc>
                <w:tcPr>
                  <w:tcW w:w="921" w:type="dxa"/>
                  <w:shd w:val="clear" w:color="auto" w:fill="auto"/>
                  <w:vAlign w:val="center"/>
                </w:tcPr>
                <w:p w14:paraId="2D78DD67">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2</w:t>
                  </w:r>
                </w:p>
              </w:tc>
              <w:tc>
                <w:tcPr>
                  <w:tcW w:w="921" w:type="dxa"/>
                  <w:shd w:val="clear" w:color="auto" w:fill="auto"/>
                  <w:vAlign w:val="center"/>
                </w:tcPr>
                <w:p w14:paraId="6C14C24C">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1819" w:type="dxa"/>
                  <w:shd w:val="clear" w:color="auto" w:fill="auto"/>
                  <w:vAlign w:val="center"/>
                </w:tcPr>
                <w:p w14:paraId="468A1C8F">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w:t>
                  </w:r>
                </w:p>
              </w:tc>
              <w:tc>
                <w:tcPr>
                  <w:tcW w:w="1636" w:type="dxa"/>
                  <w:shd w:val="clear" w:color="auto" w:fill="auto"/>
                  <w:vAlign w:val="center"/>
                </w:tcPr>
                <w:p w14:paraId="3AEEE1E0">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w:t>
                  </w:r>
                </w:p>
              </w:tc>
            </w:tr>
            <w:tr w14:paraId="42BA4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Align w:val="center"/>
                </w:tcPr>
                <w:p w14:paraId="4F15EA8C">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10</w:t>
                  </w:r>
                </w:p>
              </w:tc>
              <w:tc>
                <w:tcPr>
                  <w:tcW w:w="1276" w:type="dxa"/>
                  <w:shd w:val="clear" w:color="auto" w:fill="auto"/>
                  <w:vAlign w:val="center"/>
                </w:tcPr>
                <w:p w14:paraId="54C99ECA">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叉车</w:t>
                  </w:r>
                </w:p>
              </w:tc>
              <w:tc>
                <w:tcPr>
                  <w:tcW w:w="726" w:type="dxa"/>
                  <w:shd w:val="clear" w:color="auto" w:fill="auto"/>
                  <w:vAlign w:val="center"/>
                </w:tcPr>
                <w:p w14:paraId="4473B08E">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w:t>
                  </w:r>
                </w:p>
              </w:tc>
              <w:tc>
                <w:tcPr>
                  <w:tcW w:w="921" w:type="dxa"/>
                  <w:shd w:val="clear" w:color="auto" w:fill="auto"/>
                  <w:vAlign w:val="center"/>
                </w:tcPr>
                <w:p w14:paraId="36BD4FD9">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2</w:t>
                  </w:r>
                </w:p>
              </w:tc>
              <w:tc>
                <w:tcPr>
                  <w:tcW w:w="921" w:type="dxa"/>
                  <w:shd w:val="clear" w:color="auto" w:fill="auto"/>
                  <w:vAlign w:val="center"/>
                </w:tcPr>
                <w:p w14:paraId="586BAF21">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1819" w:type="dxa"/>
                  <w:shd w:val="clear" w:color="auto" w:fill="auto"/>
                  <w:vAlign w:val="center"/>
                </w:tcPr>
                <w:p w14:paraId="270E383E">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default"/>
                      <w:color w:val="auto"/>
                      <w:lang w:val="en-US" w:eastAsia="zh-CN"/>
                    </w:rPr>
                  </w:pPr>
                  <w:r>
                    <w:rPr>
                      <w:rFonts w:hint="eastAsia"/>
                      <w:color w:val="auto"/>
                      <w:lang w:val="en-US" w:eastAsia="zh-CN"/>
                    </w:rPr>
                    <w:t>/</w:t>
                  </w:r>
                </w:p>
              </w:tc>
              <w:tc>
                <w:tcPr>
                  <w:tcW w:w="1636" w:type="dxa"/>
                  <w:shd w:val="clear" w:color="auto" w:fill="auto"/>
                  <w:vAlign w:val="center"/>
                </w:tcPr>
                <w:p w14:paraId="77EFA7F5">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default"/>
                      <w:color w:val="auto"/>
                      <w:lang w:val="en-US" w:eastAsia="zh-CN"/>
                    </w:rPr>
                  </w:pPr>
                  <w:r>
                    <w:rPr>
                      <w:rFonts w:hint="eastAsia"/>
                      <w:color w:val="auto"/>
                      <w:lang w:val="en-US" w:eastAsia="zh-CN"/>
                    </w:rPr>
                    <w:t>/</w:t>
                  </w:r>
                </w:p>
              </w:tc>
            </w:tr>
            <w:tr w14:paraId="6C455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Align w:val="center"/>
                </w:tcPr>
                <w:p w14:paraId="2F1AF507">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11</w:t>
                  </w:r>
                </w:p>
              </w:tc>
              <w:tc>
                <w:tcPr>
                  <w:tcW w:w="1276" w:type="dxa"/>
                  <w:shd w:val="clear" w:color="auto" w:fill="auto"/>
                  <w:vAlign w:val="center"/>
                </w:tcPr>
                <w:p w14:paraId="25835C20">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磨具</w:t>
                  </w:r>
                </w:p>
              </w:tc>
              <w:tc>
                <w:tcPr>
                  <w:tcW w:w="726" w:type="dxa"/>
                  <w:shd w:val="clear" w:color="auto" w:fill="auto"/>
                  <w:vAlign w:val="center"/>
                </w:tcPr>
                <w:p w14:paraId="47254E87">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若干</w:t>
                  </w:r>
                </w:p>
              </w:tc>
              <w:tc>
                <w:tcPr>
                  <w:tcW w:w="921" w:type="dxa"/>
                  <w:shd w:val="clear" w:color="auto" w:fill="auto"/>
                  <w:vAlign w:val="center"/>
                </w:tcPr>
                <w:p w14:paraId="657CD2A5">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若干</w:t>
                  </w:r>
                </w:p>
              </w:tc>
              <w:tc>
                <w:tcPr>
                  <w:tcW w:w="921" w:type="dxa"/>
                  <w:shd w:val="clear" w:color="auto" w:fill="auto"/>
                  <w:vAlign w:val="center"/>
                </w:tcPr>
                <w:p w14:paraId="03E812D4">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1819" w:type="dxa"/>
                  <w:shd w:val="clear" w:color="auto" w:fill="auto"/>
                  <w:vAlign w:val="center"/>
                </w:tcPr>
                <w:p w14:paraId="55001875">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default"/>
                      <w:color w:val="auto"/>
                      <w:lang w:val="en-US" w:eastAsia="zh-CN"/>
                    </w:rPr>
                  </w:pPr>
                  <w:r>
                    <w:rPr>
                      <w:rFonts w:hint="eastAsia"/>
                      <w:color w:val="auto"/>
                      <w:lang w:val="en-US" w:eastAsia="zh-CN"/>
                    </w:rPr>
                    <w:t>/</w:t>
                  </w:r>
                </w:p>
              </w:tc>
              <w:tc>
                <w:tcPr>
                  <w:tcW w:w="1636" w:type="dxa"/>
                  <w:shd w:val="clear" w:color="auto" w:fill="auto"/>
                  <w:vAlign w:val="center"/>
                </w:tcPr>
                <w:p w14:paraId="4CDF37B8">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default"/>
                      <w:color w:val="auto"/>
                      <w:lang w:val="en-US" w:eastAsia="zh-CN"/>
                    </w:rPr>
                  </w:pPr>
                  <w:r>
                    <w:rPr>
                      <w:rFonts w:hint="eastAsia" w:cs="Times New Roman"/>
                      <w:color w:val="auto"/>
                      <w:kern w:val="0"/>
                      <w:sz w:val="21"/>
                      <w:szCs w:val="21"/>
                      <w:lang w:val="en-US" w:eastAsia="zh-CN" w:bidi="ar"/>
                    </w:rPr>
                    <w:t>磨具、维修车间</w:t>
                  </w:r>
                </w:p>
              </w:tc>
            </w:tr>
          </w:tbl>
          <w:p w14:paraId="2C43F3BC">
            <w:pPr>
              <w:pStyle w:val="45"/>
              <w:keepNext w:val="0"/>
              <w:keepLines w:val="0"/>
              <w:pageBreakBefore w:val="0"/>
              <w:kinsoku/>
              <w:wordWrap/>
              <w:overflowPunct/>
              <w:topLinePunct w:val="0"/>
              <w:autoSpaceDE/>
              <w:autoSpaceDN/>
              <w:bidi w:val="0"/>
              <w:snapToGrid w:val="0"/>
              <w:spacing w:line="360" w:lineRule="auto"/>
              <w:ind w:firstLine="422" w:firstLineChars="200"/>
              <w:textAlignment w:val="auto"/>
              <w:rPr>
                <w:rFonts w:hint="default"/>
                <w:color w:val="auto"/>
                <w:lang w:val="en-US" w:eastAsia="zh-CN"/>
              </w:rPr>
            </w:pPr>
            <w:r>
              <w:rPr>
                <w:rFonts w:hint="eastAsia"/>
                <w:color w:val="auto"/>
                <w:lang w:val="en-US" w:eastAsia="zh-CN"/>
              </w:rPr>
              <w:t>2.6 公用工程</w:t>
            </w:r>
          </w:p>
          <w:p w14:paraId="49949CE4">
            <w:pPr>
              <w:pStyle w:val="45"/>
              <w:keepNext w:val="0"/>
              <w:keepLines w:val="0"/>
              <w:pageBreakBefore w:val="0"/>
              <w:kinsoku/>
              <w:wordWrap/>
              <w:overflowPunct/>
              <w:topLinePunct w:val="0"/>
              <w:autoSpaceDE/>
              <w:autoSpaceDN/>
              <w:bidi w:val="0"/>
              <w:snapToGrid w:val="0"/>
              <w:spacing w:line="360" w:lineRule="auto"/>
              <w:ind w:firstLine="422" w:firstLineChars="200"/>
              <w:textAlignment w:val="auto"/>
              <w:rPr>
                <w:rFonts w:hint="eastAsia"/>
                <w:color w:val="auto"/>
                <w:lang w:val="en-US" w:eastAsia="zh-CN"/>
              </w:rPr>
            </w:pPr>
            <w:r>
              <w:rPr>
                <w:rFonts w:hint="eastAsia"/>
                <w:color w:val="auto"/>
                <w:lang w:val="en-US" w:eastAsia="zh-CN"/>
              </w:rPr>
              <w:t>2.6.1 给水</w:t>
            </w:r>
          </w:p>
          <w:p w14:paraId="33428401">
            <w:pPr>
              <w:pStyle w:val="38"/>
              <w:keepNext w:val="0"/>
              <w:keepLines w:val="0"/>
              <w:pageBreakBefore w:val="0"/>
              <w:kinsoku/>
              <w:wordWrap/>
              <w:overflowPunct/>
              <w:topLinePunct w:val="0"/>
              <w:autoSpaceDE/>
              <w:autoSpaceDN/>
              <w:bidi w:val="0"/>
              <w:snapToGrid w:val="0"/>
              <w:spacing w:line="360" w:lineRule="auto"/>
              <w:ind w:firstLine="420" w:firstLineChars="200"/>
              <w:textAlignment w:val="auto"/>
              <w:rPr>
                <w:rFonts w:hint="eastAsia"/>
                <w:color w:val="auto"/>
                <w:lang w:val="en-US" w:eastAsia="zh-CN"/>
              </w:rPr>
            </w:pPr>
            <w:r>
              <w:rPr>
                <w:rFonts w:hint="default" w:ascii="Times New Roman" w:hAnsi="Times New Roman" w:cs="Times New Roman"/>
                <w:color w:val="auto"/>
                <w:sz w:val="21"/>
                <w:szCs w:val="21"/>
              </w:rPr>
              <w:t>项目生产用水</w:t>
            </w:r>
            <w:r>
              <w:rPr>
                <w:rFonts w:hint="eastAsia" w:cs="Times New Roman"/>
                <w:color w:val="auto"/>
                <w:sz w:val="21"/>
                <w:szCs w:val="21"/>
                <w:lang w:val="en-US" w:eastAsia="zh-CN"/>
              </w:rPr>
              <w:t>使用周边供水管网供水。</w:t>
            </w:r>
            <w:r>
              <w:rPr>
                <w:rFonts w:hint="eastAsia"/>
                <w:color w:val="auto"/>
                <w:lang w:val="en-US" w:eastAsia="zh-CN"/>
              </w:rPr>
              <w:t>以保证生产、生活的用水要求。</w:t>
            </w:r>
          </w:p>
          <w:p w14:paraId="51BEC85F">
            <w:pPr>
              <w:pStyle w:val="45"/>
              <w:keepNext w:val="0"/>
              <w:keepLines w:val="0"/>
              <w:pageBreakBefore w:val="0"/>
              <w:kinsoku/>
              <w:wordWrap/>
              <w:overflowPunct/>
              <w:topLinePunct w:val="0"/>
              <w:autoSpaceDE/>
              <w:autoSpaceDN/>
              <w:bidi w:val="0"/>
              <w:snapToGrid w:val="0"/>
              <w:spacing w:line="360" w:lineRule="auto"/>
              <w:ind w:firstLine="422" w:firstLineChars="200"/>
              <w:textAlignment w:val="auto"/>
              <w:rPr>
                <w:rFonts w:hint="eastAsia"/>
                <w:color w:val="auto"/>
                <w:lang w:val="en-US" w:eastAsia="zh-CN"/>
              </w:rPr>
            </w:pPr>
            <w:r>
              <w:rPr>
                <w:rFonts w:hint="eastAsia"/>
                <w:color w:val="auto"/>
                <w:lang w:val="en-US" w:eastAsia="zh-CN"/>
              </w:rPr>
              <w:t>2.6.2 排水</w:t>
            </w:r>
          </w:p>
          <w:p w14:paraId="7FDBBC28">
            <w:pPr>
              <w:pStyle w:val="38"/>
              <w:keepNext w:val="0"/>
              <w:keepLines w:val="0"/>
              <w:pageBreakBefore w:val="0"/>
              <w:kinsoku/>
              <w:wordWrap/>
              <w:overflowPunct/>
              <w:topLinePunct w:val="0"/>
              <w:autoSpaceDE/>
              <w:autoSpaceDN/>
              <w:bidi w:val="0"/>
              <w:snapToGrid w:val="0"/>
              <w:spacing w:line="360" w:lineRule="auto"/>
              <w:ind w:firstLine="420" w:firstLineChars="200"/>
              <w:textAlignment w:val="auto"/>
              <w:rPr>
                <w:rFonts w:hint="default"/>
                <w:color w:val="auto"/>
                <w:lang w:val="en-US" w:eastAsia="zh-CN"/>
              </w:rPr>
            </w:pPr>
            <w:r>
              <w:rPr>
                <w:color w:val="auto"/>
                <w:szCs w:val="21"/>
                <w:lang w:bidi="ar"/>
              </w:rPr>
              <w:t>项目</w:t>
            </w:r>
            <w:r>
              <w:rPr>
                <w:rFonts w:hint="eastAsia"/>
                <w:color w:val="auto"/>
                <w:szCs w:val="21"/>
                <w:lang w:bidi="ar"/>
              </w:rPr>
              <w:t>区域实行</w:t>
            </w:r>
            <w:r>
              <w:rPr>
                <w:color w:val="auto"/>
                <w:szCs w:val="21"/>
                <w:lang w:bidi="ar"/>
              </w:rPr>
              <w:t>雨污分流</w:t>
            </w:r>
            <w:r>
              <w:rPr>
                <w:rFonts w:hint="eastAsia"/>
                <w:color w:val="auto"/>
                <w:szCs w:val="21"/>
                <w:lang w:bidi="ar"/>
              </w:rPr>
              <w:t>制</w:t>
            </w:r>
            <w:r>
              <w:rPr>
                <w:color w:val="auto"/>
                <w:szCs w:val="21"/>
              </w:rPr>
              <w:t>，</w:t>
            </w:r>
            <w:r>
              <w:rPr>
                <w:rFonts w:hint="default"/>
                <w:color w:val="auto"/>
                <w:szCs w:val="21"/>
                <w:lang w:eastAsia="zh-CN"/>
              </w:rPr>
              <w:t>厂区</w:t>
            </w:r>
            <w:r>
              <w:rPr>
                <w:rFonts w:hint="eastAsia"/>
                <w:color w:val="auto"/>
                <w:szCs w:val="21"/>
                <w:lang w:val="en-US" w:eastAsia="zh-CN"/>
              </w:rPr>
              <w:t>屋面雨水</w:t>
            </w:r>
            <w:r>
              <w:rPr>
                <w:rFonts w:hint="default"/>
                <w:color w:val="auto"/>
                <w:szCs w:val="21"/>
                <w:lang w:eastAsia="zh-CN"/>
              </w:rPr>
              <w:t>经</w:t>
            </w:r>
            <w:r>
              <w:rPr>
                <w:rFonts w:hint="eastAsia"/>
                <w:color w:val="auto"/>
                <w:szCs w:val="21"/>
                <w:lang w:val="en-US" w:eastAsia="zh-CN"/>
              </w:rPr>
              <w:t>管道收集至</w:t>
            </w:r>
            <w:r>
              <w:rPr>
                <w:rFonts w:hint="default"/>
                <w:color w:val="auto"/>
                <w:szCs w:val="21"/>
                <w:lang w:eastAsia="zh-CN"/>
              </w:rPr>
              <w:t>雨水沟</w:t>
            </w:r>
            <w:r>
              <w:rPr>
                <w:rFonts w:hint="eastAsia"/>
                <w:color w:val="auto"/>
                <w:szCs w:val="21"/>
                <w:lang w:eastAsia="zh-CN"/>
              </w:rPr>
              <w:t>，</w:t>
            </w:r>
            <w:r>
              <w:rPr>
                <w:rFonts w:hint="eastAsia"/>
                <w:color w:val="auto"/>
                <w:szCs w:val="21"/>
                <w:lang w:val="en-US" w:eastAsia="zh-CN"/>
              </w:rPr>
              <w:t>地面雨水经厂内</w:t>
            </w:r>
            <w:r>
              <w:rPr>
                <w:color w:val="auto"/>
                <w:szCs w:val="21"/>
              </w:rPr>
              <w:t>截流沟渠</w:t>
            </w:r>
            <w:r>
              <w:rPr>
                <w:rFonts w:hint="eastAsia"/>
                <w:color w:val="auto"/>
                <w:szCs w:val="21"/>
                <w:lang w:val="en-US" w:eastAsia="zh-CN"/>
              </w:rPr>
              <w:t>流至厂外沟渠后排入白龙河，</w:t>
            </w:r>
            <w:r>
              <w:rPr>
                <w:rFonts w:hint="eastAsia"/>
                <w:color w:val="auto"/>
                <w:szCs w:val="21"/>
              </w:rPr>
              <w:t>下游汇入龙洞河</w:t>
            </w:r>
            <w:r>
              <w:rPr>
                <w:rFonts w:hint="eastAsia"/>
                <w:color w:val="auto"/>
                <w:szCs w:val="21"/>
                <w:lang w:eastAsia="zh-CN"/>
              </w:rPr>
              <w:t>。</w:t>
            </w:r>
            <w:r>
              <w:rPr>
                <w:rFonts w:hint="eastAsia"/>
                <w:color w:val="auto"/>
                <w:szCs w:val="21"/>
                <w:lang w:val="en-US" w:eastAsia="zh-CN"/>
              </w:rPr>
              <w:t>本项目新建有一个300m³的初期雨水收集池，雨水经沉淀后回用于生产。生产废水为脱硫塔循环水，循环使用</w:t>
            </w:r>
            <w:r>
              <w:rPr>
                <w:rFonts w:hint="default"/>
                <w:color w:val="auto"/>
                <w:szCs w:val="21"/>
              </w:rPr>
              <w:t>，</w:t>
            </w:r>
            <w:r>
              <w:rPr>
                <w:rFonts w:hint="eastAsia"/>
                <w:color w:val="auto"/>
                <w:szCs w:val="21"/>
                <w:lang w:val="en-US" w:eastAsia="zh-CN"/>
              </w:rPr>
              <w:t>不外排</w:t>
            </w:r>
            <w:r>
              <w:rPr>
                <w:rFonts w:hint="eastAsia" w:ascii="Times New Roman" w:eastAsia="宋体"/>
                <w:color w:val="auto"/>
                <w:kern w:val="0"/>
                <w:szCs w:val="21"/>
                <w:lang w:val="en-US" w:eastAsia="zh-CN" w:bidi="ar"/>
              </w:rPr>
              <w:t>。</w:t>
            </w:r>
            <w:r>
              <w:rPr>
                <w:rFonts w:hint="eastAsia"/>
                <w:color w:val="auto"/>
                <w:kern w:val="0"/>
                <w:szCs w:val="21"/>
                <w:lang w:val="en-US" w:eastAsia="zh-CN" w:bidi="ar"/>
              </w:rPr>
              <w:t>本项目生活污水</w:t>
            </w:r>
            <w:r>
              <w:rPr>
                <w:rFonts w:hint="eastAsia" w:ascii="Times New Roman" w:eastAsia="宋体"/>
                <w:color w:val="auto"/>
                <w:kern w:val="0"/>
                <w:szCs w:val="21"/>
                <w:lang w:val="en-US" w:eastAsia="zh-CN" w:bidi="ar"/>
              </w:rPr>
              <w:t>经自建</w:t>
            </w:r>
            <w:r>
              <w:rPr>
                <w:rFonts w:hint="eastAsia"/>
                <w:color w:val="auto"/>
                <w:kern w:val="0"/>
                <w:szCs w:val="21"/>
                <w:lang w:val="en-US" w:eastAsia="zh-CN" w:bidi="ar"/>
              </w:rPr>
              <w:t>的10m³化粪池</w:t>
            </w:r>
            <w:r>
              <w:rPr>
                <w:rFonts w:hint="eastAsia" w:ascii="Times New Roman" w:eastAsia="宋体"/>
                <w:color w:val="auto"/>
                <w:kern w:val="0"/>
                <w:szCs w:val="21"/>
                <w:lang w:val="en-US" w:eastAsia="zh-CN" w:bidi="ar"/>
              </w:rPr>
              <w:t>处理</w:t>
            </w:r>
            <w:r>
              <w:rPr>
                <w:rFonts w:hint="eastAsia"/>
                <w:color w:val="auto"/>
                <w:kern w:val="0"/>
                <w:szCs w:val="21"/>
                <w:lang w:val="en-US" w:eastAsia="zh-CN" w:bidi="ar"/>
              </w:rPr>
              <w:t>后</w:t>
            </w:r>
            <w:r>
              <w:rPr>
                <w:rFonts w:hint="eastAsia" w:ascii="Times New Roman" w:eastAsia="宋体"/>
                <w:color w:val="auto"/>
                <w:kern w:val="0"/>
                <w:szCs w:val="21"/>
                <w:lang w:val="en-US" w:eastAsia="zh-CN" w:bidi="ar"/>
              </w:rPr>
              <w:t>，</w:t>
            </w:r>
            <w:r>
              <w:rPr>
                <w:rFonts w:hint="eastAsia"/>
                <w:b w:val="0"/>
                <w:bCs/>
                <w:color w:val="auto"/>
                <w:sz w:val="21"/>
                <w:szCs w:val="21"/>
                <w:lang w:val="en-US" w:eastAsia="zh-CN"/>
              </w:rPr>
              <w:t>委托环卫车辆运送至华宁北控环保水务有限公司管理运营的华宁县城污水处理厂处理</w:t>
            </w:r>
            <w:r>
              <w:rPr>
                <w:rFonts w:hint="eastAsia" w:ascii="Times New Roman" w:eastAsia="宋体"/>
                <w:color w:val="auto"/>
                <w:kern w:val="0"/>
                <w:szCs w:val="21"/>
                <w:lang w:val="en-US" w:eastAsia="zh-CN" w:bidi="ar"/>
              </w:rPr>
              <w:t>。</w:t>
            </w:r>
          </w:p>
          <w:p w14:paraId="60AE48DC">
            <w:pPr>
              <w:pStyle w:val="45"/>
              <w:keepNext w:val="0"/>
              <w:keepLines w:val="0"/>
              <w:pageBreakBefore w:val="0"/>
              <w:kinsoku/>
              <w:wordWrap/>
              <w:overflowPunct/>
              <w:topLinePunct w:val="0"/>
              <w:autoSpaceDE/>
              <w:autoSpaceDN/>
              <w:bidi w:val="0"/>
              <w:snapToGrid w:val="0"/>
              <w:spacing w:line="360" w:lineRule="auto"/>
              <w:ind w:firstLine="422" w:firstLineChars="200"/>
              <w:textAlignment w:val="auto"/>
              <w:rPr>
                <w:rFonts w:hint="eastAsia"/>
                <w:color w:val="auto"/>
                <w:lang w:val="en-US" w:eastAsia="zh-CN"/>
              </w:rPr>
            </w:pPr>
            <w:r>
              <w:rPr>
                <w:rFonts w:hint="eastAsia"/>
                <w:color w:val="auto"/>
                <w:lang w:val="en-US" w:eastAsia="zh-CN"/>
              </w:rPr>
              <w:t>2.6.3 供电</w:t>
            </w:r>
          </w:p>
          <w:p w14:paraId="37F8D1B9">
            <w:pPr>
              <w:pStyle w:val="38"/>
              <w:keepNext w:val="0"/>
              <w:keepLines w:val="0"/>
              <w:pageBreakBefore w:val="0"/>
              <w:kinsoku/>
              <w:wordWrap/>
              <w:overflowPunct/>
              <w:topLinePunct w:val="0"/>
              <w:autoSpaceDE/>
              <w:autoSpaceDN/>
              <w:bidi w:val="0"/>
              <w:snapToGrid w:val="0"/>
              <w:spacing w:line="360" w:lineRule="auto"/>
              <w:ind w:firstLine="420" w:firstLineChars="200"/>
              <w:textAlignment w:val="auto"/>
              <w:rPr>
                <w:color w:val="auto"/>
              </w:rPr>
            </w:pPr>
            <w:r>
              <w:rPr>
                <w:rFonts w:hint="eastAsia" w:cs="Times New Roman"/>
                <w:color w:val="auto"/>
                <w:kern w:val="0"/>
                <w:sz w:val="21"/>
                <w:szCs w:val="21"/>
                <w:lang w:val="en-US" w:eastAsia="zh-CN" w:bidi="ar"/>
              </w:rPr>
              <w:t>设置</w:t>
            </w:r>
            <w:r>
              <w:rPr>
                <w:rFonts w:hint="default" w:ascii="Times New Roman" w:hAnsi="Times New Roman" w:eastAsia="宋体" w:cs="Times New Roman"/>
                <w:color w:val="auto"/>
                <w:kern w:val="0"/>
                <w:sz w:val="21"/>
                <w:szCs w:val="21"/>
                <w:lang w:val="en-US" w:eastAsia="zh-CN" w:bidi="ar"/>
              </w:rPr>
              <w:t>20㎡的配电室，</w:t>
            </w:r>
            <w:r>
              <w:rPr>
                <w:rFonts w:hint="eastAsia" w:cs="Times New Roman"/>
                <w:color w:val="auto"/>
                <w:kern w:val="0"/>
                <w:sz w:val="21"/>
                <w:szCs w:val="21"/>
                <w:lang w:val="en-US" w:eastAsia="zh-CN" w:bidi="ar"/>
              </w:rPr>
              <w:t>从附近变压器</w:t>
            </w:r>
            <w:r>
              <w:rPr>
                <w:rFonts w:hint="default" w:ascii="Times New Roman" w:hAnsi="Times New Roman" w:eastAsia="宋体" w:cs="Times New Roman"/>
                <w:color w:val="auto"/>
                <w:kern w:val="0"/>
                <w:sz w:val="21"/>
                <w:szCs w:val="21"/>
                <w:lang w:val="en-US" w:eastAsia="zh-CN" w:bidi="ar"/>
              </w:rPr>
              <w:t>接线，电力由当地市政供电系统供给</w:t>
            </w:r>
            <w:r>
              <w:rPr>
                <w:rFonts w:hint="default" w:ascii="Times New Roman" w:hAnsi="Times New Roman" w:cs="Times New Roman"/>
                <w:color w:val="auto"/>
                <w:sz w:val="21"/>
                <w:szCs w:val="21"/>
              </w:rPr>
              <w:t>。</w:t>
            </w:r>
          </w:p>
          <w:p w14:paraId="1962EBAE">
            <w:pPr>
              <w:pStyle w:val="45"/>
              <w:keepNext w:val="0"/>
              <w:keepLines w:val="0"/>
              <w:pageBreakBefore w:val="0"/>
              <w:kinsoku/>
              <w:wordWrap/>
              <w:overflowPunct/>
              <w:topLinePunct w:val="0"/>
              <w:autoSpaceDE/>
              <w:autoSpaceDN/>
              <w:bidi w:val="0"/>
              <w:snapToGrid w:val="0"/>
              <w:spacing w:line="360" w:lineRule="auto"/>
              <w:ind w:firstLine="422" w:firstLineChars="200"/>
              <w:textAlignment w:val="auto"/>
              <w:rPr>
                <w:rFonts w:ascii="Times New Roman" w:hAnsi="Times New Roman" w:eastAsia="宋体" w:cs="Times New Roman"/>
                <w:bCs/>
                <w:color w:val="auto"/>
                <w:szCs w:val="21"/>
              </w:rPr>
            </w:pPr>
            <w:r>
              <w:rPr>
                <w:rFonts w:hint="eastAsia"/>
                <w:color w:val="auto"/>
                <w:lang w:val="en-US" w:eastAsia="zh-CN"/>
              </w:rPr>
              <w:t>2.7 水平衡</w:t>
            </w:r>
          </w:p>
          <w:p w14:paraId="6C028C01">
            <w:pPr>
              <w:keepNext w:val="0"/>
              <w:keepLines w:val="0"/>
              <w:pageBreakBefore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Times New Roman"/>
                <w:bCs/>
                <w:color w:val="auto"/>
                <w:szCs w:val="21"/>
                <w:lang w:eastAsia="zh-CN"/>
              </w:rPr>
            </w:pPr>
            <w:r>
              <w:rPr>
                <w:color w:val="auto"/>
                <w:sz w:val="21"/>
                <w:szCs w:val="21"/>
                <w:highlight w:val="none"/>
              </w:rPr>
              <w:t>本项目</w:t>
            </w:r>
            <w:r>
              <w:rPr>
                <w:rFonts w:hint="eastAsia"/>
                <w:color w:val="auto"/>
                <w:sz w:val="21"/>
                <w:szCs w:val="21"/>
                <w:highlight w:val="none"/>
                <w:lang w:val="en-US" w:eastAsia="zh-CN"/>
              </w:rPr>
              <w:t>用水环节主要为生产用水、生活用水及绿化用水。生产用水包括陈化用水、搅拌用水、返青用水、脱硫塔补充用水及降尘用水</w:t>
            </w:r>
          </w:p>
          <w:p w14:paraId="5F6C4A2C">
            <w:pPr>
              <w:keepNext w:val="0"/>
              <w:keepLines w:val="0"/>
              <w:pageBreakBefore w:val="0"/>
              <w:widowControl/>
              <w:numPr>
                <w:ilvl w:val="0"/>
                <w:numId w:val="0"/>
              </w:numPr>
              <w:kinsoku/>
              <w:wordWrap/>
              <w:overflowPunct/>
              <w:topLinePunct w:val="0"/>
              <w:autoSpaceDE/>
              <w:autoSpaceDN/>
              <w:bidi w:val="0"/>
              <w:adjustRightInd/>
              <w:snapToGrid w:val="0"/>
              <w:spacing w:line="360" w:lineRule="auto"/>
              <w:ind w:left="420" w:leftChars="200" w:firstLine="422" w:firstLineChars="200"/>
              <w:jc w:val="both"/>
              <w:textAlignment w:val="auto"/>
              <w:rPr>
                <w:rFonts w:hint="eastAsia"/>
                <w:b/>
                <w:bCs/>
                <w:color w:val="auto"/>
                <w:sz w:val="21"/>
                <w:szCs w:val="21"/>
                <w:highlight w:val="none"/>
                <w:lang w:val="en-US" w:eastAsia="zh-CN"/>
              </w:rPr>
            </w:pPr>
            <w:r>
              <w:rPr>
                <w:rFonts w:hint="eastAsia" w:ascii="Times New Roman" w:hAnsi="Times New Roman" w:eastAsia="宋体" w:cs="黑体"/>
                <w:b/>
                <w:bCs/>
                <w:color w:val="auto"/>
                <w:kern w:val="2"/>
                <w:sz w:val="21"/>
                <w:szCs w:val="21"/>
                <w:highlight w:val="none"/>
                <w:lang w:val="en-US" w:eastAsia="zh-CN" w:bidi="ar-SA"/>
              </w:rPr>
              <w:t>（</w:t>
            </w:r>
            <w:r>
              <w:rPr>
                <w:rFonts w:hint="eastAsia" w:cs="黑体"/>
                <w:b/>
                <w:bCs/>
                <w:color w:val="auto"/>
                <w:kern w:val="2"/>
                <w:sz w:val="21"/>
                <w:szCs w:val="21"/>
                <w:highlight w:val="none"/>
                <w:lang w:val="en-US" w:eastAsia="zh-CN" w:bidi="ar-SA"/>
              </w:rPr>
              <w:t>1</w:t>
            </w:r>
            <w:r>
              <w:rPr>
                <w:rFonts w:hint="eastAsia" w:ascii="Times New Roman" w:hAnsi="Times New Roman" w:eastAsia="宋体" w:cs="黑体"/>
                <w:b/>
                <w:bCs/>
                <w:color w:val="auto"/>
                <w:kern w:val="2"/>
                <w:sz w:val="21"/>
                <w:szCs w:val="21"/>
                <w:highlight w:val="none"/>
                <w:lang w:val="en-US" w:eastAsia="zh-CN" w:bidi="ar-SA"/>
              </w:rPr>
              <w:t>）</w:t>
            </w:r>
            <w:r>
              <w:rPr>
                <w:rFonts w:hint="eastAsia"/>
                <w:b/>
                <w:bCs/>
                <w:color w:val="auto"/>
                <w:sz w:val="21"/>
                <w:szCs w:val="21"/>
                <w:highlight w:val="none"/>
                <w:lang w:val="en-US" w:eastAsia="zh-CN"/>
              </w:rPr>
              <w:t>生产用水</w:t>
            </w:r>
          </w:p>
          <w:p w14:paraId="22BC3321">
            <w:pPr>
              <w:keepNext w:val="0"/>
              <w:keepLines w:val="0"/>
              <w:pageBreakBefore w:val="0"/>
              <w:kinsoku/>
              <w:wordWrap/>
              <w:overflowPunct/>
              <w:topLinePunct w:val="0"/>
              <w:autoSpaceDE/>
              <w:autoSpaceDN/>
              <w:bidi w:val="0"/>
              <w:adjustRightInd/>
              <w:snapToGrid w:val="0"/>
              <w:spacing w:line="360" w:lineRule="auto"/>
              <w:ind w:firstLine="422" w:firstLineChars="200"/>
              <w:jc w:val="both"/>
              <w:textAlignment w:val="auto"/>
              <w:rPr>
                <w:rFonts w:hint="eastAsia" w:ascii="宋体" w:hAnsi="宋体"/>
                <w:b/>
                <w:color w:val="auto"/>
                <w:sz w:val="21"/>
                <w:szCs w:val="21"/>
                <w:highlight w:val="none"/>
                <w:lang w:val="en-US" w:eastAsia="zh-CN"/>
              </w:rPr>
            </w:pPr>
            <w:r>
              <w:rPr>
                <w:rFonts w:hint="eastAsia" w:ascii="宋体" w:hAnsi="宋体"/>
                <w:b/>
                <w:color w:val="auto"/>
                <w:sz w:val="21"/>
                <w:szCs w:val="21"/>
                <w:highlight w:val="none"/>
                <w:lang w:val="en-US" w:eastAsia="zh-CN"/>
              </w:rPr>
              <w:t>①陈化用水</w:t>
            </w:r>
          </w:p>
          <w:p w14:paraId="7DD85B75">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hint="default"/>
                <w:color w:val="auto"/>
                <w:sz w:val="21"/>
                <w:szCs w:val="21"/>
                <w:lang w:val="en-US" w:eastAsia="zh-CN"/>
              </w:rPr>
            </w:pPr>
            <w:r>
              <w:rPr>
                <w:rFonts w:hint="eastAsia"/>
                <w:color w:val="auto"/>
                <w:sz w:val="21"/>
                <w:szCs w:val="21"/>
                <w:lang w:val="en-US" w:eastAsia="zh-CN"/>
              </w:rPr>
              <w:t>原料陈化过程需在表面喷洒适量水分，使原料含水率在10%左右。入场原料含水率约8%，本项目</w:t>
            </w:r>
            <w:r>
              <w:rPr>
                <w:rFonts w:hint="eastAsia" w:cs="Times New Roman"/>
                <w:b w:val="0"/>
                <w:bCs/>
                <w:i w:val="0"/>
                <w:iCs w:val="0"/>
                <w:caps w:val="0"/>
                <w:color w:val="auto"/>
                <w:spacing w:val="0"/>
                <w:sz w:val="21"/>
                <w:szCs w:val="21"/>
                <w:shd w:val="clear" w:fill="FFFFFF"/>
                <w:lang w:val="en-US" w:eastAsia="zh-CN"/>
              </w:rPr>
              <w:t>建筑基坑弃土</w:t>
            </w:r>
            <w:r>
              <w:rPr>
                <w:rFonts w:hint="eastAsia"/>
                <w:color w:val="auto"/>
                <w:sz w:val="21"/>
                <w:szCs w:val="21"/>
                <w:lang w:val="en-US" w:eastAsia="zh-CN"/>
              </w:rPr>
              <w:t>用量为15500t/a，则陈化过程用水量为310m³/a，1.03m³/d（年生产300天）</w:t>
            </w:r>
            <w:r>
              <w:rPr>
                <w:rFonts w:hint="eastAsia"/>
                <w:color w:val="auto"/>
                <w:sz w:val="21"/>
                <w:szCs w:val="21"/>
                <w:highlight w:val="none"/>
                <w:lang w:val="en-US" w:eastAsia="zh-CN"/>
              </w:rPr>
              <w:t>，陈化过程中无</w:t>
            </w:r>
            <w:r>
              <w:rPr>
                <w:rFonts w:hint="eastAsia"/>
                <w:snapToGrid w:val="0"/>
                <w:color w:val="auto"/>
                <w:kern w:val="28"/>
                <w:sz w:val="21"/>
                <w:szCs w:val="21"/>
                <w:highlight w:val="none"/>
              </w:rPr>
              <w:t>废水产生</w:t>
            </w:r>
            <w:r>
              <w:rPr>
                <w:rFonts w:hint="eastAsia"/>
                <w:color w:val="auto"/>
                <w:sz w:val="21"/>
                <w:szCs w:val="21"/>
                <w:lang w:val="en-US" w:eastAsia="zh-CN"/>
              </w:rPr>
              <w:t>。陈化后的物料为湿润状态，转运过程不产生粉尘。</w:t>
            </w:r>
          </w:p>
          <w:p w14:paraId="402935FD">
            <w:pPr>
              <w:keepNext w:val="0"/>
              <w:keepLines w:val="0"/>
              <w:pageBreakBefore w:val="0"/>
              <w:kinsoku/>
              <w:wordWrap/>
              <w:overflowPunct/>
              <w:topLinePunct w:val="0"/>
              <w:autoSpaceDE/>
              <w:autoSpaceDN/>
              <w:bidi w:val="0"/>
              <w:adjustRightInd/>
              <w:snapToGrid w:val="0"/>
              <w:spacing w:line="360" w:lineRule="auto"/>
              <w:ind w:firstLine="422" w:firstLineChars="200"/>
              <w:jc w:val="both"/>
              <w:textAlignment w:val="auto"/>
              <w:rPr>
                <w:rFonts w:hint="eastAsia" w:ascii="宋体" w:hAnsi="宋体"/>
                <w:b/>
                <w:color w:val="auto"/>
                <w:sz w:val="21"/>
                <w:szCs w:val="21"/>
                <w:highlight w:val="none"/>
              </w:rPr>
            </w:pPr>
            <w:r>
              <w:rPr>
                <w:rFonts w:hint="eastAsia" w:ascii="宋体" w:hAnsi="宋体"/>
                <w:b/>
                <w:color w:val="auto"/>
                <w:sz w:val="21"/>
                <w:szCs w:val="21"/>
                <w:highlight w:val="none"/>
                <w:lang w:val="en-US" w:eastAsia="zh-CN"/>
              </w:rPr>
              <w:t>②搅拌用水</w:t>
            </w:r>
          </w:p>
          <w:p w14:paraId="549B200A">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default" w:eastAsia="宋体"/>
                <w:color w:val="auto"/>
                <w:sz w:val="21"/>
                <w:szCs w:val="21"/>
                <w:highlight w:val="yellow"/>
                <w:lang w:val="en-US" w:eastAsia="zh-CN"/>
              </w:rPr>
            </w:pPr>
            <w:r>
              <w:rPr>
                <w:rFonts w:hint="eastAsia"/>
                <w:color w:val="auto"/>
                <w:sz w:val="21"/>
                <w:szCs w:val="21"/>
                <w:highlight w:val="none"/>
                <w:lang w:val="en-US" w:eastAsia="zh-CN"/>
              </w:rPr>
              <w:t>根据业主提供的资料，本项目砖瓦坯含水量在30%左右，砖坯合格率最高，陈化后的原料含水率为10%，搅拌工序按照原料：水=</w:t>
            </w:r>
            <w:r>
              <w:rPr>
                <w:rFonts w:hint="eastAsia"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：1</w:t>
            </w:r>
            <w:r>
              <w:rPr>
                <w:rFonts w:hint="eastAsia"/>
                <w:color w:val="auto"/>
                <w:sz w:val="21"/>
                <w:szCs w:val="21"/>
                <w:highlight w:val="none"/>
              </w:rPr>
              <w:t>的</w:t>
            </w:r>
            <w:r>
              <w:rPr>
                <w:rFonts w:hint="eastAsia"/>
                <w:color w:val="auto"/>
                <w:sz w:val="21"/>
                <w:szCs w:val="21"/>
                <w:highlight w:val="none"/>
                <w:lang w:eastAsia="zh-CN"/>
              </w:rPr>
              <w:t>比例加水混合搅拌</w:t>
            </w:r>
            <w:r>
              <w:rPr>
                <w:rFonts w:hint="eastAsia"/>
                <w:color w:val="auto"/>
                <w:sz w:val="21"/>
                <w:szCs w:val="21"/>
                <w:highlight w:val="none"/>
                <w:lang w:val="en-US" w:eastAsia="zh-CN"/>
              </w:rPr>
              <w:t>，本项目陈化后</w:t>
            </w:r>
            <w:r>
              <w:rPr>
                <w:rFonts w:hint="eastAsia" w:cs="Times New Roman"/>
                <w:b w:val="0"/>
                <w:bCs/>
                <w:i w:val="0"/>
                <w:iCs w:val="0"/>
                <w:caps w:val="0"/>
                <w:color w:val="auto"/>
                <w:spacing w:val="0"/>
                <w:sz w:val="21"/>
                <w:szCs w:val="21"/>
                <w:shd w:val="clear" w:fill="FFFFFF"/>
                <w:lang w:val="en-US" w:eastAsia="zh-CN"/>
              </w:rPr>
              <w:t>建筑基坑弃土</w:t>
            </w:r>
            <w:r>
              <w:rPr>
                <w:rFonts w:hint="eastAsia"/>
                <w:color w:val="auto"/>
                <w:sz w:val="21"/>
                <w:szCs w:val="21"/>
                <w:highlight w:val="none"/>
                <w:lang w:val="en-US" w:eastAsia="zh-CN"/>
              </w:rPr>
              <w:t>用量为15810t</w:t>
            </w:r>
            <w:r>
              <w:rPr>
                <w:rFonts w:hint="eastAsia"/>
                <w:color w:val="auto"/>
                <w:sz w:val="21"/>
                <w:szCs w:val="21"/>
                <w:lang w:val="en-US" w:eastAsia="zh-CN"/>
              </w:rPr>
              <w:t>/a</w:t>
            </w:r>
            <w:r>
              <w:rPr>
                <w:rFonts w:hint="eastAsia"/>
                <w:color w:val="auto"/>
                <w:sz w:val="21"/>
                <w:szCs w:val="21"/>
                <w:highlight w:val="none"/>
                <w:lang w:val="en-US" w:eastAsia="zh-CN"/>
              </w:rPr>
              <w:t>，则搅拌用水量为3952.5m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/a，13.18m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/d</w:t>
            </w:r>
            <w:r>
              <w:rPr>
                <w:rFonts w:hint="eastAsia"/>
                <w:color w:val="auto"/>
                <w:sz w:val="21"/>
                <w:szCs w:val="21"/>
                <w:lang w:val="en-US" w:eastAsia="zh-CN"/>
              </w:rPr>
              <w:t>（年生产300天）</w:t>
            </w:r>
            <w:r>
              <w:rPr>
                <w:rFonts w:hint="eastAsia"/>
                <w:color w:val="auto"/>
                <w:sz w:val="21"/>
                <w:szCs w:val="21"/>
                <w:highlight w:val="none"/>
                <w:lang w:val="en-US" w:eastAsia="zh-CN"/>
              </w:rPr>
              <w:t>，搅拌过程中无</w:t>
            </w:r>
            <w:r>
              <w:rPr>
                <w:rFonts w:hint="eastAsia"/>
                <w:snapToGrid w:val="0"/>
                <w:color w:val="auto"/>
                <w:kern w:val="28"/>
                <w:sz w:val="21"/>
                <w:szCs w:val="21"/>
                <w:highlight w:val="none"/>
              </w:rPr>
              <w:t>废水产生</w:t>
            </w:r>
            <w:r>
              <w:rPr>
                <w:rFonts w:hint="eastAsia"/>
                <w:color w:val="auto"/>
                <w:sz w:val="21"/>
                <w:szCs w:val="21"/>
                <w:highlight w:val="none"/>
              </w:rPr>
              <w:t>。</w:t>
            </w:r>
          </w:p>
          <w:p w14:paraId="37F6EFCE">
            <w:pPr>
              <w:keepNext w:val="0"/>
              <w:keepLines w:val="0"/>
              <w:pageBreakBefore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b/>
                <w:color w:val="auto"/>
                <w:sz w:val="21"/>
                <w:szCs w:val="21"/>
                <w:highlight w:val="none"/>
                <w:lang w:val="en-US" w:eastAsia="zh-CN"/>
              </w:rPr>
            </w:pPr>
            <w:r>
              <w:rPr>
                <w:rFonts w:hint="default" w:ascii="宋体" w:hAnsi="宋体"/>
                <w:b/>
                <w:color w:val="auto"/>
                <w:sz w:val="21"/>
                <w:szCs w:val="21"/>
                <w:highlight w:val="none"/>
                <w:lang w:val="en-US" w:eastAsia="zh-CN"/>
              </w:rPr>
              <w:t>③</w:t>
            </w:r>
            <w:r>
              <w:rPr>
                <w:rFonts w:hint="eastAsia" w:ascii="宋体" w:hAnsi="宋体"/>
                <w:b/>
                <w:color w:val="auto"/>
                <w:sz w:val="21"/>
                <w:szCs w:val="21"/>
                <w:highlight w:val="none"/>
                <w:lang w:val="en-US" w:eastAsia="zh-CN"/>
              </w:rPr>
              <w:t>返青用水</w:t>
            </w:r>
          </w:p>
          <w:p w14:paraId="1B3927FF">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hint="default"/>
                <w:color w:val="auto"/>
                <w:sz w:val="21"/>
                <w:szCs w:val="21"/>
                <w:lang w:val="en-US" w:eastAsia="zh-CN"/>
              </w:rPr>
            </w:pPr>
            <w:r>
              <w:rPr>
                <w:rFonts w:hint="eastAsia" w:ascii="宋体" w:hAnsi="宋体" w:eastAsia="宋体" w:cs="宋体"/>
                <w:b w:val="0"/>
                <w:bCs/>
                <w:color w:val="auto"/>
                <w:sz w:val="21"/>
                <w:szCs w:val="21"/>
                <w:lang w:val="en-US" w:eastAsia="zh-CN"/>
              </w:rPr>
              <w:t>返青用水：梭</w:t>
            </w:r>
            <w:r>
              <w:rPr>
                <w:rFonts w:hint="eastAsia" w:ascii="宋体" w:hAnsi="宋体" w:cs="宋体"/>
                <w:b w:val="0"/>
                <w:bCs/>
                <w:color w:val="auto"/>
                <w:sz w:val="21"/>
                <w:szCs w:val="21"/>
                <w:lang w:val="en-US" w:eastAsia="zh-CN"/>
              </w:rPr>
              <w:t>子</w:t>
            </w:r>
            <w:r>
              <w:rPr>
                <w:rFonts w:hint="eastAsia" w:ascii="宋体" w:hAnsi="宋体" w:eastAsia="宋体" w:cs="宋体"/>
                <w:b w:val="0"/>
                <w:bCs/>
                <w:color w:val="auto"/>
                <w:sz w:val="21"/>
                <w:szCs w:val="21"/>
                <w:lang w:val="en-US" w:eastAsia="zh-CN"/>
              </w:rPr>
              <w:t>窑</w:t>
            </w:r>
            <w:r>
              <w:rPr>
                <w:rFonts w:hint="eastAsia" w:ascii="宋体" w:hAnsi="宋体" w:cs="宋体"/>
                <w:b w:val="0"/>
                <w:bCs/>
                <w:color w:val="auto"/>
                <w:sz w:val="21"/>
                <w:szCs w:val="21"/>
                <w:lang w:val="en-US" w:eastAsia="zh-CN"/>
              </w:rPr>
              <w:t>通过暗管</w:t>
            </w:r>
            <w:r>
              <w:rPr>
                <w:rFonts w:hint="eastAsia" w:ascii="宋体" w:hAnsi="宋体" w:eastAsia="宋体" w:cs="宋体"/>
                <w:b w:val="0"/>
                <w:bCs/>
                <w:color w:val="auto"/>
                <w:sz w:val="21"/>
                <w:szCs w:val="21"/>
                <w:lang w:val="en-US" w:eastAsia="zh-CN"/>
              </w:rPr>
              <w:t>把水注进去，水变成了水蒸气，大量的水蒸气将空气排出，坯体在缺少氧气的情况生成了大量的碳黑颗粒，这些黑色的碳将已生成的三氧化二铁，重新还原为黑色的氧化亚铁，仍有剩余的碳原子慢慢渗入到高温下的</w:t>
            </w:r>
            <w:r>
              <w:rPr>
                <w:rFonts w:hint="eastAsia" w:ascii="宋体" w:hAnsi="宋体" w:cs="宋体"/>
                <w:b w:val="0"/>
                <w:bCs/>
                <w:color w:val="auto"/>
                <w:sz w:val="21"/>
                <w:szCs w:val="21"/>
                <w:lang w:val="en-US" w:eastAsia="zh-CN"/>
              </w:rPr>
              <w:t>原料</w:t>
            </w:r>
            <w:r>
              <w:rPr>
                <w:rFonts w:hint="eastAsia" w:ascii="宋体" w:hAnsi="宋体" w:eastAsia="宋体" w:cs="宋体"/>
                <w:b w:val="0"/>
                <w:bCs/>
                <w:color w:val="auto"/>
                <w:sz w:val="21"/>
                <w:szCs w:val="21"/>
                <w:lang w:val="en-US" w:eastAsia="zh-CN"/>
              </w:rPr>
              <w:t>颗粒的缝隙中去，从而使制品呈青色</w:t>
            </w:r>
            <w:r>
              <w:rPr>
                <w:rFonts w:hint="eastAsia"/>
                <w:color w:val="auto"/>
                <w:sz w:val="21"/>
                <w:szCs w:val="21"/>
                <w:lang w:val="en-US" w:eastAsia="zh-CN"/>
              </w:rPr>
              <w:t>。本项目单窑</w:t>
            </w:r>
            <w:r>
              <w:rPr>
                <w:rFonts w:hint="eastAsia"/>
                <w:color w:val="auto"/>
                <w:sz w:val="21"/>
                <w:szCs w:val="21"/>
                <w:highlight w:val="none"/>
                <w:lang w:val="en-US" w:eastAsia="zh-CN"/>
              </w:rPr>
              <w:t>返青用时</w:t>
            </w:r>
            <w:r>
              <w:rPr>
                <w:rFonts w:hint="eastAsia" w:cs="Times New Roman"/>
                <w:color w:val="auto"/>
                <w:spacing w:val="10"/>
                <w:sz w:val="21"/>
                <w:szCs w:val="21"/>
                <w:lang w:val="en-US" w:eastAsia="zh-CN"/>
              </w:rPr>
              <w:t>7</w:t>
            </w:r>
            <w:r>
              <w:rPr>
                <w:rFonts w:hint="eastAsia"/>
                <w:color w:val="auto"/>
                <w:sz w:val="21"/>
                <w:szCs w:val="21"/>
                <w:highlight w:val="none"/>
                <w:lang w:val="en-US" w:eastAsia="zh-CN"/>
              </w:rPr>
              <w:t>天</w:t>
            </w:r>
            <w:r>
              <w:rPr>
                <w:rFonts w:hint="eastAsia"/>
                <w:color w:val="auto"/>
                <w:sz w:val="21"/>
                <w:szCs w:val="21"/>
                <w:lang w:val="en-US" w:eastAsia="zh-CN"/>
              </w:rPr>
              <w:t>，用水量约0.5m</w:t>
            </w:r>
            <w:r>
              <w:rPr>
                <w:rFonts w:hint="eastAsia"/>
                <w:color w:val="auto"/>
                <w:sz w:val="21"/>
                <w:szCs w:val="21"/>
                <w:vertAlign w:val="superscript"/>
                <w:lang w:val="en-US" w:eastAsia="zh-CN"/>
              </w:rPr>
              <w:t>3</w:t>
            </w:r>
            <w:r>
              <w:rPr>
                <w:rFonts w:hint="eastAsia"/>
                <w:color w:val="auto"/>
                <w:sz w:val="21"/>
                <w:szCs w:val="21"/>
                <w:lang w:val="en-US" w:eastAsia="zh-CN"/>
              </w:rPr>
              <w:t>/h，则烧制1窑返青用水约为84m</w:t>
            </w:r>
            <w:r>
              <w:rPr>
                <w:rFonts w:hint="eastAsia"/>
                <w:color w:val="auto"/>
                <w:sz w:val="21"/>
                <w:szCs w:val="21"/>
                <w:vertAlign w:val="superscript"/>
                <w:lang w:val="en-US" w:eastAsia="zh-CN"/>
              </w:rPr>
              <w:t>3</w:t>
            </w:r>
            <w:r>
              <w:rPr>
                <w:rFonts w:hint="eastAsia"/>
                <w:color w:val="auto"/>
                <w:sz w:val="21"/>
                <w:szCs w:val="21"/>
                <w:lang w:val="en-US" w:eastAsia="zh-CN"/>
              </w:rPr>
              <w:t>，每窑产能约22万块，年产900万块仿古砖瓦，则全年需烧制41窑，用水量3444m</w:t>
            </w:r>
            <w:r>
              <w:rPr>
                <w:rFonts w:hint="eastAsia"/>
                <w:color w:val="auto"/>
                <w:sz w:val="21"/>
                <w:szCs w:val="21"/>
                <w:vertAlign w:val="superscript"/>
                <w:lang w:val="en-US" w:eastAsia="zh-CN"/>
              </w:rPr>
              <w:t>3</w:t>
            </w:r>
            <w:r>
              <w:rPr>
                <w:rFonts w:hint="eastAsia"/>
                <w:color w:val="auto"/>
                <w:sz w:val="21"/>
                <w:szCs w:val="21"/>
                <w:lang w:val="en-US" w:eastAsia="zh-CN"/>
              </w:rPr>
              <w:t>/a，</w:t>
            </w:r>
            <w:r>
              <w:rPr>
                <w:rFonts w:hint="eastAsia"/>
                <w:color w:val="auto"/>
                <w:sz w:val="21"/>
                <w:szCs w:val="21"/>
                <w:highlight w:val="none"/>
                <w:lang w:val="en-US" w:eastAsia="zh-CN"/>
              </w:rPr>
              <w:t>11.48m</w:t>
            </w:r>
            <w:r>
              <w:rPr>
                <w:rFonts w:hint="eastAsia"/>
                <w:color w:val="auto"/>
                <w:sz w:val="21"/>
                <w:szCs w:val="21"/>
                <w:highlight w:val="none"/>
                <w:vertAlign w:val="superscript"/>
                <w:lang w:val="en-US" w:eastAsia="zh-CN"/>
              </w:rPr>
              <w:t>3</w:t>
            </w:r>
            <w:r>
              <w:rPr>
                <w:rFonts w:hint="eastAsia"/>
                <w:color w:val="auto"/>
                <w:sz w:val="21"/>
                <w:szCs w:val="21"/>
                <w:highlight w:val="none"/>
                <w:lang w:val="en-US" w:eastAsia="zh-CN"/>
              </w:rPr>
              <w:t>/d</w:t>
            </w:r>
            <w:r>
              <w:rPr>
                <w:rFonts w:hint="eastAsia"/>
                <w:color w:val="auto"/>
                <w:sz w:val="21"/>
                <w:szCs w:val="21"/>
                <w:lang w:val="en-US" w:eastAsia="zh-CN"/>
              </w:rPr>
              <w:t>（年生产300天）</w:t>
            </w:r>
            <w:r>
              <w:rPr>
                <w:rFonts w:hint="eastAsia"/>
                <w:color w:val="auto"/>
                <w:sz w:val="21"/>
                <w:szCs w:val="21"/>
                <w:highlight w:val="none"/>
                <w:lang w:val="en-US" w:eastAsia="zh-CN"/>
              </w:rPr>
              <w:t>，</w:t>
            </w:r>
            <w:r>
              <w:rPr>
                <w:rFonts w:hint="eastAsia"/>
                <w:color w:val="auto"/>
                <w:sz w:val="21"/>
                <w:szCs w:val="21"/>
                <w:lang w:val="en-US" w:eastAsia="zh-CN"/>
              </w:rPr>
              <w:t>烧制过程中无废水产生</w:t>
            </w:r>
            <w:r>
              <w:rPr>
                <w:rFonts w:hint="eastAsia" w:cs="Times New Roman"/>
                <w:bCs/>
                <w:color w:val="auto"/>
                <w:sz w:val="21"/>
                <w:szCs w:val="21"/>
                <w:lang w:val="en-US" w:eastAsia="zh-CN"/>
              </w:rPr>
              <w:t>。</w:t>
            </w:r>
          </w:p>
          <w:p w14:paraId="46B5FDC2">
            <w:pPr>
              <w:keepNext w:val="0"/>
              <w:keepLines w:val="0"/>
              <w:pageBreakBefore w:val="0"/>
              <w:kinsoku/>
              <w:wordWrap/>
              <w:overflowPunct/>
              <w:topLinePunct w:val="0"/>
              <w:autoSpaceDE/>
              <w:autoSpaceDN/>
              <w:bidi w:val="0"/>
              <w:adjustRightInd/>
              <w:snapToGrid w:val="0"/>
              <w:spacing w:line="360" w:lineRule="auto"/>
              <w:ind w:firstLine="422" w:firstLineChars="200"/>
              <w:textAlignment w:val="auto"/>
              <w:rPr>
                <w:b/>
                <w:bCs/>
                <w:color w:val="auto"/>
                <w:sz w:val="21"/>
                <w:szCs w:val="21"/>
                <w:highlight w:val="none"/>
              </w:rPr>
            </w:pPr>
            <w:r>
              <w:rPr>
                <w:rFonts w:hint="default" w:ascii="宋体" w:hAnsi="宋体"/>
                <w:b/>
                <w:bCs/>
                <w:color w:val="auto"/>
                <w:sz w:val="21"/>
                <w:szCs w:val="21"/>
                <w:highlight w:val="none"/>
                <w:lang w:val="en-US" w:eastAsia="zh-CN"/>
              </w:rPr>
              <w:fldChar w:fldCharType="begin"/>
            </w:r>
            <w:r>
              <w:rPr>
                <w:rFonts w:hint="default" w:ascii="宋体" w:hAnsi="宋体"/>
                <w:b/>
                <w:bCs/>
                <w:color w:val="auto"/>
                <w:sz w:val="21"/>
                <w:szCs w:val="21"/>
                <w:highlight w:val="none"/>
                <w:lang w:val="en-US" w:eastAsia="zh-CN"/>
              </w:rPr>
              <w:instrText xml:space="preserve"> = 4 \* GB3 \* MERGEFORMAT </w:instrText>
            </w:r>
            <w:r>
              <w:rPr>
                <w:rFonts w:hint="default" w:ascii="宋体" w:hAnsi="宋体"/>
                <w:b/>
                <w:bCs/>
                <w:color w:val="auto"/>
                <w:sz w:val="21"/>
                <w:szCs w:val="21"/>
                <w:highlight w:val="none"/>
                <w:lang w:val="en-US" w:eastAsia="zh-CN"/>
              </w:rPr>
              <w:fldChar w:fldCharType="separate"/>
            </w:r>
            <w:r>
              <w:rPr>
                <w:b/>
                <w:bCs/>
                <w:color w:val="auto"/>
                <w:sz w:val="21"/>
                <w:szCs w:val="21"/>
              </w:rPr>
              <w:t>④</w:t>
            </w:r>
            <w:r>
              <w:rPr>
                <w:rFonts w:hint="default" w:ascii="宋体" w:hAnsi="宋体"/>
                <w:b/>
                <w:bCs/>
                <w:color w:val="auto"/>
                <w:sz w:val="21"/>
                <w:szCs w:val="21"/>
                <w:highlight w:val="none"/>
                <w:lang w:val="en-US" w:eastAsia="zh-CN"/>
              </w:rPr>
              <w:fldChar w:fldCharType="end"/>
            </w:r>
            <w:r>
              <w:rPr>
                <w:rFonts w:hint="eastAsia" w:ascii="宋体" w:hAnsi="宋体"/>
                <w:b/>
                <w:bCs/>
                <w:color w:val="auto"/>
                <w:sz w:val="21"/>
                <w:szCs w:val="21"/>
                <w:highlight w:val="none"/>
                <w:lang w:val="en-US" w:eastAsia="zh-CN"/>
              </w:rPr>
              <w:t>脱硫塔补充用水</w:t>
            </w:r>
          </w:p>
          <w:p w14:paraId="4A86EE7A">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hint="default" w:eastAsia="宋体"/>
                <w:color w:val="auto"/>
                <w:sz w:val="21"/>
                <w:szCs w:val="21"/>
                <w:highlight w:val="yellow"/>
                <w:lang w:val="en-US" w:eastAsia="zh-CN"/>
              </w:rPr>
            </w:pPr>
            <w:r>
              <w:rPr>
                <w:rFonts w:hint="eastAsia"/>
                <w:color w:val="auto"/>
                <w:sz w:val="21"/>
                <w:szCs w:val="21"/>
                <w:highlight w:val="none"/>
                <w:lang w:eastAsia="zh-CN"/>
              </w:rPr>
              <w:t>本项目</w:t>
            </w:r>
            <w:r>
              <w:rPr>
                <w:rFonts w:hint="eastAsia"/>
                <w:color w:val="auto"/>
                <w:sz w:val="21"/>
                <w:szCs w:val="21"/>
                <w:highlight w:val="none"/>
                <w:lang w:val="en-US" w:eastAsia="zh-CN"/>
              </w:rPr>
              <w:t>脱硫塔</w:t>
            </w:r>
            <w:r>
              <w:rPr>
                <w:rFonts w:hint="eastAsia"/>
                <w:color w:val="auto"/>
                <w:sz w:val="21"/>
                <w:szCs w:val="21"/>
                <w:highlight w:val="none"/>
                <w:lang w:eastAsia="zh-CN"/>
              </w:rPr>
              <w:t>配套建设有</w:t>
            </w:r>
            <w:r>
              <w:rPr>
                <w:rFonts w:hint="eastAsia"/>
                <w:color w:val="auto"/>
                <w:kern w:val="0"/>
                <w:szCs w:val="21"/>
                <w:lang w:val="en-US" w:eastAsia="zh-CN" w:bidi="ar"/>
              </w:rPr>
              <w:t>三级沉淀（单级5m³）+1级循环水池</w:t>
            </w:r>
            <w:r>
              <w:rPr>
                <w:rFonts w:hint="eastAsia"/>
                <w:color w:val="auto"/>
                <w:sz w:val="21"/>
                <w:szCs w:val="21"/>
                <w:highlight w:val="none"/>
                <w:lang w:val="en-US" w:eastAsia="zh-CN"/>
              </w:rPr>
              <w:t>（5m³）的循环系统，</w:t>
            </w:r>
            <w:r>
              <w:rPr>
                <w:rFonts w:hint="eastAsia"/>
                <w:color w:val="auto"/>
                <w:sz w:val="21"/>
                <w:szCs w:val="21"/>
                <w:lang w:val="en-US" w:eastAsia="zh-CN"/>
              </w:rPr>
              <w:t>除尘过程中产生的废水储存于循环水池内循环使用，不外排，但需定期补充新水。</w:t>
            </w:r>
            <w:r>
              <w:rPr>
                <w:rFonts w:hint="default" w:cs="Times New Roman"/>
                <w:bCs/>
                <w:color w:val="auto"/>
                <w:sz w:val="21"/>
                <w:szCs w:val="21"/>
                <w:lang w:val="en-US" w:eastAsia="zh-CN"/>
              </w:rPr>
              <w:t>循环水量为</w:t>
            </w:r>
            <w:r>
              <w:rPr>
                <w:rFonts w:hint="eastAsia" w:cs="Times New Roman"/>
                <w:bCs/>
                <w:color w:val="auto"/>
                <w:sz w:val="21"/>
                <w:szCs w:val="21"/>
                <w:lang w:val="en-US" w:eastAsia="zh-CN"/>
              </w:rPr>
              <w:t>20</w:t>
            </w:r>
            <w:r>
              <w:rPr>
                <w:rFonts w:hint="default" w:cs="Times New Roman"/>
                <w:bCs/>
                <w:color w:val="auto"/>
                <w:sz w:val="21"/>
                <w:szCs w:val="21"/>
                <w:lang w:val="en-US" w:eastAsia="zh-CN"/>
              </w:rPr>
              <w:t>m</w:t>
            </w:r>
            <w:r>
              <w:rPr>
                <w:rFonts w:hint="default" w:cs="Times New Roman"/>
                <w:bCs/>
                <w:color w:val="auto"/>
                <w:sz w:val="21"/>
                <w:szCs w:val="21"/>
                <w:vertAlign w:val="superscript"/>
                <w:lang w:val="en-US" w:eastAsia="zh-CN"/>
              </w:rPr>
              <w:t>3</w:t>
            </w:r>
            <w:r>
              <w:rPr>
                <w:rFonts w:hint="default" w:cs="Times New Roman"/>
                <w:bCs/>
                <w:color w:val="auto"/>
                <w:sz w:val="21"/>
                <w:szCs w:val="21"/>
                <w:lang w:val="en-US" w:eastAsia="zh-CN"/>
              </w:rPr>
              <w:t>/</w:t>
            </w:r>
            <w:r>
              <w:rPr>
                <w:rFonts w:hint="eastAsia" w:cs="Times New Roman"/>
                <w:bCs/>
                <w:color w:val="auto"/>
                <w:sz w:val="21"/>
                <w:szCs w:val="21"/>
                <w:lang w:val="en-US" w:eastAsia="zh-CN"/>
              </w:rPr>
              <w:t>h，全天运行，则循环水量为480</w:t>
            </w:r>
            <w:r>
              <w:rPr>
                <w:rFonts w:hint="default" w:cs="Times New Roman"/>
                <w:bCs/>
                <w:color w:val="auto"/>
                <w:sz w:val="21"/>
                <w:szCs w:val="21"/>
                <w:lang w:val="en-US" w:eastAsia="zh-CN"/>
              </w:rPr>
              <w:t>m</w:t>
            </w:r>
            <w:r>
              <w:rPr>
                <w:rFonts w:hint="default" w:cs="Times New Roman"/>
                <w:bCs/>
                <w:color w:val="auto"/>
                <w:sz w:val="21"/>
                <w:szCs w:val="21"/>
                <w:vertAlign w:val="superscript"/>
                <w:lang w:val="en-US" w:eastAsia="zh-CN"/>
              </w:rPr>
              <w:t>3</w:t>
            </w:r>
            <w:r>
              <w:rPr>
                <w:rFonts w:hint="default" w:cs="Times New Roman"/>
                <w:bCs/>
                <w:color w:val="auto"/>
                <w:sz w:val="21"/>
                <w:szCs w:val="21"/>
                <w:lang w:val="en-US" w:eastAsia="zh-CN"/>
              </w:rPr>
              <w:t>/</w:t>
            </w:r>
            <w:r>
              <w:rPr>
                <w:rFonts w:hint="eastAsia" w:cs="Times New Roman"/>
                <w:bCs/>
                <w:color w:val="auto"/>
                <w:sz w:val="21"/>
                <w:szCs w:val="21"/>
                <w:lang w:val="en-US" w:eastAsia="zh-CN"/>
              </w:rPr>
              <w:t>d，根据生产经验，循环过程中的水量损耗约为1%，则应补充新水量为4.8</w:t>
            </w:r>
            <w:r>
              <w:rPr>
                <w:rFonts w:hint="default" w:cs="Times New Roman"/>
                <w:bCs/>
                <w:color w:val="auto"/>
                <w:sz w:val="21"/>
                <w:szCs w:val="21"/>
                <w:lang w:val="en-US" w:eastAsia="zh-CN"/>
              </w:rPr>
              <w:t>m</w:t>
            </w:r>
            <w:r>
              <w:rPr>
                <w:rFonts w:hint="default" w:cs="Times New Roman"/>
                <w:bCs/>
                <w:color w:val="auto"/>
                <w:sz w:val="21"/>
                <w:szCs w:val="21"/>
                <w:vertAlign w:val="superscript"/>
                <w:lang w:val="en-US" w:eastAsia="zh-CN"/>
              </w:rPr>
              <w:t>3</w:t>
            </w:r>
            <w:r>
              <w:rPr>
                <w:rFonts w:hint="default" w:cs="Times New Roman"/>
                <w:bCs/>
                <w:color w:val="auto"/>
                <w:sz w:val="21"/>
                <w:szCs w:val="21"/>
                <w:lang w:val="en-US" w:eastAsia="zh-CN"/>
              </w:rPr>
              <w:t>/</w:t>
            </w:r>
            <w:r>
              <w:rPr>
                <w:rFonts w:hint="eastAsia" w:cs="Times New Roman"/>
                <w:bCs/>
                <w:color w:val="auto"/>
                <w:sz w:val="21"/>
                <w:szCs w:val="21"/>
                <w:lang w:val="en-US" w:eastAsia="zh-CN"/>
              </w:rPr>
              <w:t>d。</w:t>
            </w:r>
          </w:p>
          <w:p w14:paraId="2CC6BA8C">
            <w:pPr>
              <w:keepNext w:val="0"/>
              <w:keepLines w:val="0"/>
              <w:pageBreakBefore w:val="0"/>
              <w:widowControl/>
              <w:kinsoku/>
              <w:wordWrap/>
              <w:overflowPunct/>
              <w:topLinePunct w:val="0"/>
              <w:autoSpaceDE/>
              <w:autoSpaceDN/>
              <w:bidi w:val="0"/>
              <w:adjustRightInd/>
              <w:snapToGrid w:val="0"/>
              <w:spacing w:line="360" w:lineRule="auto"/>
              <w:ind w:left="420" w:leftChars="200" w:firstLine="422" w:firstLineChars="200"/>
              <w:jc w:val="both"/>
              <w:textAlignment w:val="auto"/>
              <w:rPr>
                <w:b/>
                <w:bCs/>
                <w:color w:val="auto"/>
                <w:sz w:val="21"/>
                <w:szCs w:val="21"/>
                <w:highlight w:val="none"/>
              </w:rPr>
            </w:pPr>
            <w:r>
              <w:rPr>
                <w:rFonts w:hint="eastAsia"/>
                <w:b/>
                <w:bCs/>
                <w:color w:val="auto"/>
                <w:sz w:val="21"/>
                <w:szCs w:val="21"/>
                <w:highlight w:val="none"/>
              </w:rPr>
              <w:fldChar w:fldCharType="begin"/>
            </w:r>
            <w:r>
              <w:rPr>
                <w:rFonts w:hint="eastAsia"/>
                <w:b/>
                <w:bCs/>
                <w:color w:val="auto"/>
                <w:sz w:val="21"/>
                <w:szCs w:val="21"/>
                <w:highlight w:val="none"/>
              </w:rPr>
              <w:instrText xml:space="preserve"> = 5 \* GB3 \* MERGEFORMAT </w:instrText>
            </w:r>
            <w:r>
              <w:rPr>
                <w:rFonts w:hint="eastAsia"/>
                <w:b/>
                <w:bCs/>
                <w:color w:val="auto"/>
                <w:sz w:val="21"/>
                <w:szCs w:val="21"/>
                <w:highlight w:val="none"/>
              </w:rPr>
              <w:fldChar w:fldCharType="separate"/>
            </w:r>
            <w:r>
              <w:rPr>
                <w:b/>
                <w:bCs/>
                <w:color w:val="auto"/>
                <w:sz w:val="21"/>
                <w:szCs w:val="21"/>
                <w:highlight w:val="none"/>
              </w:rPr>
              <w:t>⑤</w:t>
            </w:r>
            <w:r>
              <w:rPr>
                <w:rFonts w:hint="eastAsia"/>
                <w:b/>
                <w:bCs/>
                <w:color w:val="auto"/>
                <w:sz w:val="21"/>
                <w:szCs w:val="21"/>
                <w:highlight w:val="none"/>
              </w:rPr>
              <w:fldChar w:fldCharType="end"/>
            </w:r>
            <w:r>
              <w:rPr>
                <w:rFonts w:hint="eastAsia"/>
                <w:b/>
                <w:bCs/>
                <w:color w:val="auto"/>
                <w:sz w:val="21"/>
                <w:szCs w:val="21"/>
                <w:highlight w:val="none"/>
              </w:rPr>
              <w:t>降尘用水</w:t>
            </w:r>
          </w:p>
          <w:p w14:paraId="78B9A661">
            <w:pPr>
              <w:keepNext w:val="0"/>
              <w:keepLines w:val="0"/>
              <w:pageBreakBefore w:val="0"/>
              <w:widowControl/>
              <w:numPr>
                <w:ilvl w:val="0"/>
                <w:numId w:val="0"/>
              </w:numPr>
              <w:kinsoku/>
              <w:wordWrap/>
              <w:overflowPunct/>
              <w:topLinePunct w:val="0"/>
              <w:autoSpaceDE/>
              <w:autoSpaceDN/>
              <w:bidi w:val="0"/>
              <w:adjustRightInd/>
              <w:snapToGrid w:val="0"/>
              <w:spacing w:line="360" w:lineRule="auto"/>
              <w:ind w:leftChars="0" w:firstLine="420" w:firstLineChars="200"/>
              <w:jc w:val="left"/>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A、原料装卸洒水降尘</w:t>
            </w:r>
          </w:p>
          <w:p w14:paraId="6EDE4795">
            <w:pPr>
              <w:keepNext w:val="0"/>
              <w:keepLines w:val="0"/>
              <w:pageBreakBefore w:val="0"/>
              <w:widowControl/>
              <w:numPr>
                <w:ilvl w:val="0"/>
                <w:numId w:val="0"/>
              </w:numPr>
              <w:kinsoku/>
              <w:wordWrap/>
              <w:overflowPunct/>
              <w:topLinePunct w:val="0"/>
              <w:autoSpaceDE/>
              <w:autoSpaceDN/>
              <w:bidi w:val="0"/>
              <w:adjustRightInd/>
              <w:snapToGrid w:val="0"/>
              <w:spacing w:line="360" w:lineRule="auto"/>
              <w:ind w:leftChars="0" w:firstLine="420" w:firstLineChars="200"/>
              <w:jc w:val="left"/>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项目在原料装卸出安装喷雾头，流量为20L/min，卸料的时候使用，本项目运输原料煤和</w:t>
            </w:r>
            <w:r>
              <w:rPr>
                <w:rFonts w:hint="eastAsia" w:cs="Times New Roman"/>
                <w:b w:val="0"/>
                <w:bCs/>
                <w:i w:val="0"/>
                <w:iCs w:val="0"/>
                <w:caps w:val="0"/>
                <w:color w:val="auto"/>
                <w:spacing w:val="0"/>
                <w:sz w:val="21"/>
                <w:szCs w:val="21"/>
                <w:shd w:val="clear" w:fill="FFFFFF"/>
                <w:lang w:val="en-US" w:eastAsia="zh-CN"/>
              </w:rPr>
              <w:t>建筑基坑弃土共计16985t/a，每辆车载重25t，合计每年运输688车次，煤车次卸料时间为2min，合计喷雾头使用时间为1376min/a，用水量=1376×20=27520L/a，27.52m³/a，0.092m³/d，</w:t>
            </w:r>
            <w:r>
              <w:rPr>
                <w:rFonts w:hint="eastAsia"/>
                <w:color w:val="auto"/>
                <w:sz w:val="21"/>
                <w:szCs w:val="21"/>
                <w:highlight w:val="none"/>
              </w:rPr>
              <w:t>降尘水全部蒸发，无废水产生</w:t>
            </w:r>
            <w:r>
              <w:rPr>
                <w:rFonts w:hint="eastAsia"/>
                <w:color w:val="auto"/>
                <w:sz w:val="21"/>
                <w:szCs w:val="21"/>
                <w:highlight w:val="none"/>
                <w:lang w:eastAsia="zh-CN"/>
              </w:rPr>
              <w:t>。</w:t>
            </w:r>
          </w:p>
          <w:p w14:paraId="7F4A50AC">
            <w:pPr>
              <w:keepNext w:val="0"/>
              <w:keepLines w:val="0"/>
              <w:pageBreakBefore w:val="0"/>
              <w:widowControl/>
              <w:numPr>
                <w:ilvl w:val="0"/>
                <w:numId w:val="0"/>
              </w:numPr>
              <w:kinsoku/>
              <w:wordWrap/>
              <w:overflowPunct/>
              <w:topLinePunct w:val="0"/>
              <w:autoSpaceDE/>
              <w:autoSpaceDN/>
              <w:bidi w:val="0"/>
              <w:adjustRightInd/>
              <w:snapToGrid w:val="0"/>
              <w:spacing w:line="360" w:lineRule="auto"/>
              <w:ind w:leftChars="0" w:firstLine="420" w:firstLineChars="200"/>
              <w:jc w:val="left"/>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B、运输道路洒水降尘</w:t>
            </w:r>
          </w:p>
          <w:p w14:paraId="6E7911AF">
            <w:pPr>
              <w:keepNext w:val="0"/>
              <w:keepLines w:val="0"/>
              <w:pageBreakBefore w:val="0"/>
              <w:widowControl/>
              <w:numPr>
                <w:ilvl w:val="0"/>
                <w:numId w:val="0"/>
              </w:numPr>
              <w:kinsoku/>
              <w:wordWrap/>
              <w:overflowPunct/>
              <w:topLinePunct w:val="0"/>
              <w:autoSpaceDE/>
              <w:autoSpaceDN/>
              <w:bidi w:val="0"/>
              <w:adjustRightInd/>
              <w:snapToGrid w:val="0"/>
              <w:spacing w:line="360" w:lineRule="auto"/>
              <w:ind w:leftChars="0" w:firstLine="420" w:firstLineChars="200"/>
              <w:jc w:val="left"/>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项目道路规划占地面积为2000㎡，每天使用喷淋管进行洒水降尘，</w:t>
            </w:r>
            <w:r>
              <w:rPr>
                <w:rFonts w:hint="default" w:ascii="Times New Roman" w:hAnsi="Times New Roman" w:cs="Times New Roman"/>
                <w:color w:val="auto"/>
              </w:rPr>
              <w:t>根据《云南省地方标准用水定额》（GB53/T 168-2019)</w:t>
            </w:r>
            <w:r>
              <w:rPr>
                <w:rFonts w:hint="eastAsia"/>
                <w:color w:val="auto"/>
                <w:lang w:val="en-US" w:eastAsia="zh-CN"/>
              </w:rPr>
              <w:t>，用</w:t>
            </w:r>
            <w:r>
              <w:rPr>
                <w:rFonts w:hint="default"/>
                <w:color w:val="auto"/>
              </w:rPr>
              <w:t>水量以</w:t>
            </w:r>
            <w:r>
              <w:rPr>
                <w:rFonts w:hint="eastAsia"/>
                <w:color w:val="auto"/>
                <w:lang w:val="en-US" w:eastAsia="zh-CN"/>
              </w:rPr>
              <w:t>1</w:t>
            </w:r>
            <w:r>
              <w:rPr>
                <w:rFonts w:hint="default"/>
                <w:color w:val="auto"/>
              </w:rPr>
              <w:t>L/</w:t>
            </w:r>
            <w:r>
              <w:rPr>
                <w:rFonts w:hint="eastAsia"/>
                <w:color w:val="auto"/>
                <w:lang w:eastAsia="zh-CN"/>
              </w:rPr>
              <w:t>（</w:t>
            </w:r>
            <w:r>
              <w:rPr>
                <w:rFonts w:hint="eastAsia"/>
                <w:color w:val="auto"/>
                <w:lang w:val="en-US" w:eastAsia="zh-CN"/>
              </w:rPr>
              <w:t>㎡</w:t>
            </w:r>
            <w:r>
              <w:rPr>
                <w:rFonts w:hint="default"/>
                <w:color w:val="auto"/>
              </w:rPr>
              <w:t>·</w:t>
            </w:r>
            <w:r>
              <w:rPr>
                <w:rFonts w:hint="eastAsia"/>
                <w:color w:val="auto"/>
                <w:lang w:val="en-US" w:eastAsia="zh-CN"/>
              </w:rPr>
              <w:t>次</w:t>
            </w:r>
            <w:r>
              <w:rPr>
                <w:rFonts w:hint="eastAsia"/>
                <w:color w:val="auto"/>
                <w:lang w:eastAsia="zh-CN"/>
              </w:rPr>
              <w:t>），</w:t>
            </w:r>
            <w:r>
              <w:rPr>
                <w:rFonts w:hint="eastAsia"/>
                <w:color w:val="auto"/>
                <w:lang w:val="en-US" w:eastAsia="zh-CN"/>
              </w:rPr>
              <w:t>则每次洒水量=2000×1=2000L=2m³，每天至少喷洒2次，则用水量为4m³/d。</w:t>
            </w:r>
            <w:r>
              <w:rPr>
                <w:rFonts w:hint="eastAsia"/>
                <w:color w:val="auto"/>
                <w:sz w:val="21"/>
                <w:szCs w:val="21"/>
                <w:highlight w:val="none"/>
              </w:rPr>
              <w:t>降尘水全部蒸发，无废水产生</w:t>
            </w:r>
            <w:r>
              <w:rPr>
                <w:rFonts w:hint="eastAsia"/>
                <w:color w:val="auto"/>
                <w:lang w:val="en-US" w:eastAsia="zh-CN"/>
              </w:rPr>
              <w:t>。</w:t>
            </w:r>
          </w:p>
          <w:p w14:paraId="09A9A5B6">
            <w:pPr>
              <w:keepNext w:val="0"/>
              <w:keepLines w:val="0"/>
              <w:pageBreakBefore w:val="0"/>
              <w:widowControl/>
              <w:numPr>
                <w:ilvl w:val="0"/>
                <w:numId w:val="0"/>
              </w:numPr>
              <w:kinsoku/>
              <w:wordWrap/>
              <w:overflowPunct/>
              <w:topLinePunct w:val="0"/>
              <w:autoSpaceDE/>
              <w:autoSpaceDN/>
              <w:bidi w:val="0"/>
              <w:adjustRightInd/>
              <w:snapToGrid w:val="0"/>
              <w:spacing w:line="360" w:lineRule="auto"/>
              <w:ind w:leftChars="200" w:firstLine="422" w:firstLineChars="200"/>
              <w:jc w:val="both"/>
              <w:textAlignment w:val="auto"/>
              <w:rPr>
                <w:rFonts w:hint="default" w:ascii="Times New Roman" w:hAnsi="Times New Roman" w:eastAsia="宋体" w:cs="黑体"/>
                <w:b/>
                <w:bCs/>
                <w:color w:val="auto"/>
                <w:kern w:val="2"/>
                <w:sz w:val="21"/>
                <w:szCs w:val="21"/>
                <w:highlight w:val="none"/>
                <w:lang w:val="en-US" w:eastAsia="zh-CN" w:bidi="ar-SA"/>
              </w:rPr>
            </w:pPr>
            <w:r>
              <w:rPr>
                <w:rFonts w:hint="eastAsia" w:cs="黑体"/>
                <w:b/>
                <w:bCs/>
                <w:color w:val="auto"/>
                <w:kern w:val="2"/>
                <w:sz w:val="21"/>
                <w:szCs w:val="21"/>
                <w:highlight w:val="none"/>
                <w:lang w:val="en-US" w:eastAsia="zh-CN" w:bidi="ar-SA"/>
              </w:rPr>
              <w:t>⑥破碎用水</w:t>
            </w:r>
          </w:p>
          <w:p w14:paraId="46F47FF1">
            <w:pPr>
              <w:keepNext w:val="0"/>
              <w:keepLines w:val="0"/>
              <w:pageBreakBefore w:val="0"/>
              <w:widowControl/>
              <w:numPr>
                <w:ilvl w:val="0"/>
                <w:numId w:val="0"/>
              </w:numPr>
              <w:kinsoku/>
              <w:wordWrap/>
              <w:overflowPunct/>
              <w:topLinePunct w:val="0"/>
              <w:autoSpaceDE/>
              <w:autoSpaceDN/>
              <w:bidi w:val="0"/>
              <w:adjustRightInd/>
              <w:snapToGrid w:val="0"/>
              <w:spacing w:line="360" w:lineRule="auto"/>
              <w:ind w:leftChars="0" w:firstLine="420" w:firstLineChars="200"/>
              <w:jc w:val="left"/>
              <w:textAlignment w:val="auto"/>
              <w:rPr>
                <w:rFonts w:ascii="Times New Roman" w:hAnsi="Times New Roman" w:eastAsia="宋体" w:cs="黑体"/>
                <w:b/>
                <w:bCs/>
                <w:color w:val="auto"/>
                <w:kern w:val="2"/>
                <w:sz w:val="21"/>
                <w:szCs w:val="21"/>
                <w:highlight w:val="none"/>
                <w:lang w:val="en-US" w:eastAsia="zh-CN" w:bidi="ar-SA"/>
              </w:rPr>
            </w:pPr>
            <w:r>
              <w:rPr>
                <w:rFonts w:hint="eastAsia" w:cs="黑体"/>
                <w:b w:val="0"/>
                <w:bCs w:val="0"/>
                <w:color w:val="auto"/>
                <w:kern w:val="2"/>
                <w:sz w:val="21"/>
                <w:szCs w:val="21"/>
                <w:highlight w:val="none"/>
                <w:lang w:val="en-US" w:eastAsia="zh-CN" w:bidi="ar-SA"/>
              </w:rPr>
              <w:t>本项目不合格产品，混入对辊破碎，在破碎前，喷砂大量的水，使次品润湿，在对辊破碎过程中，属于湿式破碎不会产生粉尘。根据业主提供的资料，项目</w:t>
            </w:r>
            <w:r>
              <w:rPr>
                <w:rFonts w:hint="eastAsia" w:ascii="Times New Roman" w:hAnsi="Times New Roman" w:eastAsia="宋体" w:cs="Times New Roman"/>
                <w:color w:val="auto"/>
                <w:sz w:val="21"/>
                <w:szCs w:val="21"/>
                <w:lang w:val="en-US" w:eastAsia="zh-CN"/>
              </w:rPr>
              <w:t>原料用量为</w:t>
            </w:r>
            <w:r>
              <w:rPr>
                <w:rFonts w:hint="eastAsia" w:cs="Times New Roman"/>
                <w:color w:val="auto"/>
                <w:sz w:val="21"/>
                <w:szCs w:val="21"/>
                <w:lang w:val="en-US" w:eastAsia="zh-CN"/>
              </w:rPr>
              <w:t>15500</w:t>
            </w:r>
            <w:r>
              <w:rPr>
                <w:rFonts w:hint="eastAsia" w:ascii="Times New Roman" w:hAnsi="Times New Roman" w:eastAsia="宋体" w:cs="Times New Roman"/>
                <w:color w:val="auto"/>
                <w:sz w:val="21"/>
                <w:szCs w:val="21"/>
                <w:lang w:val="en-US" w:eastAsia="zh-CN"/>
              </w:rPr>
              <w:t>t/a</w:t>
            </w:r>
            <w:r>
              <w:rPr>
                <w:rFonts w:hint="eastAsia" w:cs="Times New Roman"/>
                <w:color w:val="auto"/>
                <w:sz w:val="21"/>
                <w:szCs w:val="21"/>
                <w:lang w:val="en-US" w:eastAsia="zh-CN"/>
              </w:rPr>
              <w:t>，烧成率为99%，则次品率为1%，次品=15500×1%=155t/a，平均每天产生次品0.52t/d，项目喷洒润湿，至少需要将不合格水分提升至30%，按照最大喷洒量计算（即：次品含水率为0），则项目喷洒量=30%含水率的次品-次品的产生量=0.52÷（1-30%）-0.52=0.21m³/d，</w:t>
            </w:r>
            <w:r>
              <w:rPr>
                <w:rFonts w:hint="eastAsia"/>
                <w:color w:val="auto"/>
                <w:sz w:val="21"/>
                <w:szCs w:val="21"/>
                <w:highlight w:val="none"/>
              </w:rPr>
              <w:t>水全部</w:t>
            </w:r>
            <w:r>
              <w:rPr>
                <w:rFonts w:hint="eastAsia"/>
                <w:color w:val="auto"/>
                <w:sz w:val="21"/>
                <w:szCs w:val="21"/>
                <w:highlight w:val="none"/>
                <w:lang w:val="en-US" w:eastAsia="zh-CN"/>
              </w:rPr>
              <w:t>自然</w:t>
            </w:r>
            <w:r>
              <w:rPr>
                <w:rFonts w:hint="eastAsia"/>
                <w:color w:val="auto"/>
                <w:sz w:val="21"/>
                <w:szCs w:val="21"/>
                <w:highlight w:val="none"/>
              </w:rPr>
              <w:t>蒸发，无废水产生</w:t>
            </w:r>
            <w:r>
              <w:rPr>
                <w:rFonts w:hint="eastAsia" w:cs="Times New Roman"/>
                <w:color w:val="auto"/>
                <w:sz w:val="21"/>
                <w:szCs w:val="21"/>
                <w:lang w:val="en-US" w:eastAsia="zh-CN"/>
              </w:rPr>
              <w:t>。</w:t>
            </w:r>
          </w:p>
          <w:p w14:paraId="5AD56449">
            <w:pPr>
              <w:keepNext w:val="0"/>
              <w:keepLines w:val="0"/>
              <w:pageBreakBefore w:val="0"/>
              <w:widowControl/>
              <w:numPr>
                <w:ilvl w:val="0"/>
                <w:numId w:val="0"/>
              </w:numPr>
              <w:kinsoku/>
              <w:wordWrap/>
              <w:overflowPunct/>
              <w:topLinePunct w:val="0"/>
              <w:autoSpaceDE/>
              <w:autoSpaceDN/>
              <w:bidi w:val="0"/>
              <w:adjustRightInd/>
              <w:snapToGrid w:val="0"/>
              <w:spacing w:line="360" w:lineRule="auto"/>
              <w:ind w:leftChars="200" w:firstLine="422" w:firstLineChars="200"/>
              <w:jc w:val="both"/>
              <w:textAlignment w:val="auto"/>
              <w:rPr>
                <w:rFonts w:hint="eastAsia" w:eastAsia="宋体"/>
                <w:b/>
                <w:bCs/>
                <w:color w:val="auto"/>
                <w:sz w:val="21"/>
                <w:szCs w:val="21"/>
                <w:highlight w:val="none"/>
                <w:lang w:eastAsia="zh-CN"/>
              </w:rPr>
            </w:pPr>
            <w:r>
              <w:rPr>
                <w:rFonts w:ascii="Times New Roman" w:hAnsi="Times New Roman" w:eastAsia="宋体" w:cs="黑体"/>
                <w:b/>
                <w:bCs/>
                <w:color w:val="auto"/>
                <w:kern w:val="2"/>
                <w:sz w:val="21"/>
                <w:szCs w:val="21"/>
                <w:highlight w:val="none"/>
                <w:lang w:val="en-US" w:eastAsia="zh-CN" w:bidi="ar-SA"/>
              </w:rPr>
              <w:t>（</w:t>
            </w:r>
            <w:r>
              <w:rPr>
                <w:rFonts w:hint="eastAsia" w:cs="黑体"/>
                <w:b/>
                <w:bCs/>
                <w:color w:val="auto"/>
                <w:kern w:val="2"/>
                <w:sz w:val="21"/>
                <w:szCs w:val="21"/>
                <w:highlight w:val="none"/>
                <w:lang w:val="en-US" w:eastAsia="zh-CN" w:bidi="ar-SA"/>
              </w:rPr>
              <w:t>2</w:t>
            </w:r>
            <w:r>
              <w:rPr>
                <w:rFonts w:ascii="Times New Roman" w:hAnsi="Times New Roman" w:eastAsia="宋体" w:cs="黑体"/>
                <w:b/>
                <w:bCs/>
                <w:color w:val="auto"/>
                <w:kern w:val="2"/>
                <w:sz w:val="21"/>
                <w:szCs w:val="21"/>
                <w:highlight w:val="none"/>
                <w:lang w:val="en-US" w:eastAsia="zh-CN" w:bidi="ar-SA"/>
              </w:rPr>
              <w:t>）</w:t>
            </w:r>
            <w:r>
              <w:rPr>
                <w:b/>
                <w:bCs/>
                <w:color w:val="auto"/>
                <w:sz w:val="21"/>
                <w:szCs w:val="21"/>
                <w:highlight w:val="none"/>
              </w:rPr>
              <w:t>生活用</w:t>
            </w:r>
            <w:r>
              <w:rPr>
                <w:rFonts w:hint="eastAsia"/>
                <w:b/>
                <w:bCs/>
                <w:color w:val="auto"/>
                <w:sz w:val="21"/>
                <w:szCs w:val="21"/>
                <w:highlight w:val="none"/>
                <w:lang w:eastAsia="zh-CN"/>
              </w:rPr>
              <w:t>水</w:t>
            </w:r>
          </w:p>
          <w:p w14:paraId="5B6D5FB8">
            <w:pPr>
              <w:pStyle w:val="17"/>
              <w:keepNext w:val="0"/>
              <w:keepLines w:val="0"/>
              <w:pageBreakBefore w:val="0"/>
              <w:kinsoku/>
              <w:wordWrap/>
              <w:overflowPunct/>
              <w:topLinePunct w:val="0"/>
              <w:autoSpaceDE/>
              <w:autoSpaceDN/>
              <w:bidi w:val="0"/>
              <w:adjustRightInd/>
              <w:snapToGrid w:val="0"/>
              <w:spacing w:after="0" w:line="360" w:lineRule="auto"/>
              <w:ind w:left="0" w:leftChars="0" w:firstLine="420" w:firstLineChars="200"/>
              <w:textAlignment w:val="auto"/>
              <w:rPr>
                <w:rFonts w:hint="default" w:ascii="Times New Roman" w:hAnsi="Times New Roman" w:eastAsia="宋体" w:cs="Times New Roman"/>
                <w:b w:val="0"/>
                <w:bCs/>
                <w:color w:val="auto"/>
                <w:sz w:val="21"/>
                <w:szCs w:val="21"/>
                <w:lang w:val="en-US" w:eastAsia="zh-CN"/>
              </w:rPr>
            </w:pPr>
            <w:r>
              <w:rPr>
                <w:color w:val="auto"/>
                <w:sz w:val="21"/>
                <w:szCs w:val="21"/>
                <w:highlight w:val="none"/>
              </w:rPr>
              <w:t>本项目</w:t>
            </w:r>
            <w:r>
              <w:rPr>
                <w:rFonts w:hint="eastAsia"/>
                <w:color w:val="auto"/>
                <w:sz w:val="21"/>
                <w:szCs w:val="21"/>
                <w:highlight w:val="none"/>
                <w:lang w:eastAsia="zh-CN"/>
              </w:rPr>
              <w:t>总</w:t>
            </w:r>
            <w:r>
              <w:rPr>
                <w:color w:val="auto"/>
                <w:sz w:val="21"/>
                <w:szCs w:val="21"/>
                <w:highlight w:val="none"/>
              </w:rPr>
              <w:t>劳动定员</w:t>
            </w:r>
            <w:r>
              <w:rPr>
                <w:rFonts w:hint="eastAsia"/>
                <w:color w:val="auto"/>
                <w:sz w:val="21"/>
                <w:szCs w:val="21"/>
                <w:highlight w:val="none"/>
                <w:lang w:val="en-US" w:eastAsia="zh-CN"/>
              </w:rPr>
              <w:t>25</w:t>
            </w:r>
            <w:r>
              <w:rPr>
                <w:color w:val="auto"/>
                <w:sz w:val="21"/>
                <w:szCs w:val="21"/>
                <w:highlight w:val="none"/>
              </w:rPr>
              <w:t>人，</w:t>
            </w:r>
            <w:r>
              <w:rPr>
                <w:rFonts w:hint="eastAsia"/>
                <w:color w:val="auto"/>
                <w:sz w:val="21"/>
                <w:szCs w:val="21"/>
                <w:highlight w:val="none"/>
                <w:lang w:val="en-US" w:eastAsia="zh-CN"/>
              </w:rPr>
              <w:t>员工为附近居民，</w:t>
            </w:r>
            <w:r>
              <w:rPr>
                <w:rFonts w:hint="eastAsia" w:cs="Times New Roman"/>
                <w:color w:val="auto"/>
                <w:sz w:val="21"/>
                <w:szCs w:val="21"/>
                <w:lang w:val="en-US" w:eastAsia="zh-CN"/>
              </w:rPr>
              <w:t>员工不在</w:t>
            </w:r>
            <w:r>
              <w:rPr>
                <w:rFonts w:hint="default" w:ascii="Times New Roman" w:hAnsi="Times New Roman" w:cs="Times New Roman"/>
                <w:color w:val="auto"/>
                <w:sz w:val="21"/>
                <w:szCs w:val="21"/>
                <w:lang w:eastAsia="zh-CN"/>
              </w:rPr>
              <w:t>厂区内</w:t>
            </w:r>
            <w:r>
              <w:rPr>
                <w:rFonts w:hint="eastAsia" w:cs="Times New Roman"/>
                <w:color w:val="auto"/>
                <w:sz w:val="21"/>
                <w:szCs w:val="21"/>
                <w:lang w:val="en-US" w:eastAsia="zh-CN"/>
              </w:rPr>
              <w:t>住</w:t>
            </w:r>
            <w:r>
              <w:rPr>
                <w:rFonts w:hint="default" w:ascii="Times New Roman" w:hAnsi="Times New Roman" w:cs="Times New Roman"/>
                <w:color w:val="auto"/>
                <w:sz w:val="21"/>
                <w:szCs w:val="21"/>
                <w:lang w:eastAsia="zh-CN"/>
              </w:rPr>
              <w:t>宿</w:t>
            </w:r>
            <w:r>
              <w:rPr>
                <w:rFonts w:hint="default" w:ascii="Times New Roman" w:hAnsi="Times New Roman" w:cs="Times New Roman"/>
                <w:b w:val="0"/>
                <w:bCs/>
                <w:color w:val="auto"/>
                <w:spacing w:val="10"/>
                <w:sz w:val="21"/>
                <w:szCs w:val="21"/>
                <w:lang w:val="zh-CN" w:eastAsia="zh-CN"/>
              </w:rPr>
              <w:t>，</w:t>
            </w:r>
            <w:r>
              <w:rPr>
                <w:rFonts w:hint="eastAsia" w:cs="Times New Roman"/>
                <w:b w:val="0"/>
                <w:bCs/>
                <w:color w:val="auto"/>
                <w:spacing w:val="10"/>
                <w:sz w:val="21"/>
                <w:szCs w:val="21"/>
                <w:lang w:val="en-US" w:eastAsia="zh-CN"/>
              </w:rPr>
              <w:t>厂区内不设置食堂</w:t>
            </w:r>
            <w:r>
              <w:rPr>
                <w:rFonts w:hint="eastAsia"/>
                <w:color w:val="auto"/>
                <w:sz w:val="21"/>
                <w:szCs w:val="21"/>
                <w:highlight w:val="none"/>
                <w:lang w:val="en-US" w:eastAsia="zh-CN"/>
              </w:rPr>
              <w:t>，</w:t>
            </w:r>
            <w:r>
              <w:rPr>
                <w:rFonts w:cs="Times New Roman"/>
                <w:color w:val="auto"/>
                <w:kern w:val="0"/>
                <w:sz w:val="21"/>
                <w:szCs w:val="21"/>
                <w:highlight w:val="none"/>
              </w:rPr>
              <w:t>根据</w:t>
            </w:r>
            <w:r>
              <w:rPr>
                <w:color w:val="auto"/>
                <w:sz w:val="21"/>
                <w:szCs w:val="21"/>
                <w:highlight w:val="none"/>
              </w:rPr>
              <w:t>《云南省地方标准用水定额》</w:t>
            </w:r>
            <w:r>
              <w:rPr>
                <w:rFonts w:cs="Times New Roman"/>
                <w:color w:val="auto"/>
                <w:kern w:val="0"/>
                <w:sz w:val="21"/>
                <w:szCs w:val="21"/>
                <w:highlight w:val="none"/>
              </w:rPr>
              <w:t>（DB53/T 168-2019）</w:t>
            </w:r>
            <w:r>
              <w:rPr>
                <w:rFonts w:hint="eastAsia" w:ascii="宋体" w:hAnsi="宋体" w:cs="宋体"/>
                <w:color w:val="auto"/>
                <w:kern w:val="0"/>
                <w:sz w:val="21"/>
                <w:szCs w:val="21"/>
                <w:highlight w:val="none"/>
                <w:lang w:val="en-US" w:eastAsia="zh-CN"/>
              </w:rPr>
              <w:t>由于员工不在厂区食宿</w:t>
            </w:r>
            <w:r>
              <w:rPr>
                <w:rFonts w:cs="Times New Roman"/>
                <w:color w:val="auto"/>
                <w:kern w:val="0"/>
                <w:sz w:val="21"/>
                <w:szCs w:val="21"/>
                <w:highlight w:val="none"/>
              </w:rPr>
              <w:t>用水量按</w:t>
            </w:r>
            <w:r>
              <w:rPr>
                <w:rFonts w:hint="eastAsia" w:cs="Times New Roman"/>
                <w:color w:val="auto"/>
                <w:kern w:val="0"/>
                <w:sz w:val="21"/>
                <w:szCs w:val="21"/>
                <w:highlight w:val="none"/>
                <w:lang w:val="en-US" w:eastAsia="zh-CN"/>
              </w:rPr>
              <w:t>4</w:t>
            </w:r>
            <w:r>
              <w:rPr>
                <w:rFonts w:cs="Times New Roman"/>
                <w:color w:val="auto"/>
                <w:kern w:val="0"/>
                <w:sz w:val="21"/>
                <w:szCs w:val="21"/>
                <w:highlight w:val="none"/>
              </w:rPr>
              <w:t>0L/人•d计算，则本项目生活用水量为</w:t>
            </w:r>
            <w:r>
              <w:rPr>
                <w:rFonts w:hint="eastAsia" w:cs="Times New Roman"/>
                <w:color w:val="auto"/>
                <w:kern w:val="0"/>
                <w:sz w:val="21"/>
                <w:szCs w:val="21"/>
                <w:highlight w:val="none"/>
                <w:lang w:val="en-US" w:eastAsia="zh-CN"/>
              </w:rPr>
              <w:t>1</w:t>
            </w:r>
            <w:r>
              <w:rPr>
                <w:rFonts w:cs="Times New Roman"/>
                <w:color w:val="auto"/>
                <w:kern w:val="0"/>
                <w:sz w:val="21"/>
                <w:szCs w:val="21"/>
                <w:highlight w:val="none"/>
              </w:rPr>
              <w:t>m</w:t>
            </w:r>
            <w:r>
              <w:rPr>
                <w:rFonts w:cs="Times New Roman"/>
                <w:color w:val="auto"/>
                <w:kern w:val="0"/>
                <w:sz w:val="21"/>
                <w:szCs w:val="21"/>
                <w:highlight w:val="none"/>
                <w:vertAlign w:val="superscript"/>
              </w:rPr>
              <w:t>3</w:t>
            </w:r>
            <w:r>
              <w:rPr>
                <w:rFonts w:cs="Times New Roman"/>
                <w:color w:val="auto"/>
                <w:kern w:val="0"/>
                <w:sz w:val="21"/>
                <w:szCs w:val="21"/>
                <w:highlight w:val="none"/>
              </w:rPr>
              <w:t>/d</w:t>
            </w:r>
            <w:r>
              <w:rPr>
                <w:rFonts w:hint="eastAsia" w:cs="Times New Roman"/>
                <w:color w:val="auto"/>
                <w:kern w:val="0"/>
                <w:sz w:val="21"/>
                <w:szCs w:val="21"/>
                <w:highlight w:val="none"/>
                <w:lang w:eastAsia="zh-CN"/>
              </w:rPr>
              <w:t>，污水</w:t>
            </w:r>
            <w:r>
              <w:rPr>
                <w:rFonts w:cs="Times New Roman"/>
                <w:color w:val="auto"/>
                <w:kern w:val="0"/>
                <w:sz w:val="21"/>
                <w:szCs w:val="21"/>
                <w:highlight w:val="none"/>
              </w:rPr>
              <w:t>产生量按用水量的8</w:t>
            </w:r>
            <w:r>
              <w:rPr>
                <w:rFonts w:hint="eastAsia" w:cs="Times New Roman"/>
                <w:color w:val="auto"/>
                <w:kern w:val="0"/>
                <w:sz w:val="21"/>
                <w:szCs w:val="21"/>
                <w:highlight w:val="none"/>
                <w:lang w:val="en-US" w:eastAsia="zh-CN"/>
              </w:rPr>
              <w:t>0</w:t>
            </w:r>
            <w:r>
              <w:rPr>
                <w:rFonts w:cs="Times New Roman"/>
                <w:color w:val="auto"/>
                <w:kern w:val="0"/>
                <w:sz w:val="21"/>
                <w:szCs w:val="21"/>
                <w:highlight w:val="none"/>
              </w:rPr>
              <w:t>%计，则本项目</w:t>
            </w:r>
            <w:r>
              <w:rPr>
                <w:rFonts w:hint="eastAsia" w:cs="Times New Roman"/>
                <w:color w:val="auto"/>
                <w:kern w:val="0"/>
                <w:sz w:val="21"/>
                <w:szCs w:val="21"/>
                <w:highlight w:val="none"/>
                <w:lang w:val="en-US" w:eastAsia="zh-CN"/>
              </w:rPr>
              <w:t>生活污水</w:t>
            </w:r>
            <w:r>
              <w:rPr>
                <w:rFonts w:cs="Times New Roman"/>
                <w:color w:val="auto"/>
                <w:kern w:val="0"/>
                <w:sz w:val="21"/>
                <w:szCs w:val="21"/>
                <w:highlight w:val="none"/>
              </w:rPr>
              <w:t>产生量为</w:t>
            </w:r>
            <w:r>
              <w:rPr>
                <w:rFonts w:hint="eastAsia" w:cs="Times New Roman"/>
                <w:color w:val="auto"/>
                <w:kern w:val="0"/>
                <w:sz w:val="21"/>
                <w:szCs w:val="21"/>
                <w:highlight w:val="none"/>
                <w:lang w:val="en-US" w:eastAsia="zh-CN"/>
              </w:rPr>
              <w:t>0.8</w:t>
            </w:r>
            <w:r>
              <w:rPr>
                <w:rFonts w:cs="Times New Roman"/>
                <w:color w:val="auto"/>
                <w:kern w:val="0"/>
                <w:sz w:val="21"/>
                <w:szCs w:val="21"/>
                <w:highlight w:val="none"/>
              </w:rPr>
              <w:t>m</w:t>
            </w:r>
            <w:r>
              <w:rPr>
                <w:rFonts w:cs="Times New Roman"/>
                <w:color w:val="auto"/>
                <w:kern w:val="0"/>
                <w:sz w:val="21"/>
                <w:szCs w:val="21"/>
                <w:highlight w:val="none"/>
                <w:vertAlign w:val="superscript"/>
              </w:rPr>
              <w:t>3</w:t>
            </w:r>
            <w:r>
              <w:rPr>
                <w:rFonts w:cs="Times New Roman"/>
                <w:color w:val="auto"/>
                <w:kern w:val="0"/>
                <w:sz w:val="21"/>
                <w:szCs w:val="21"/>
                <w:highlight w:val="none"/>
              </w:rPr>
              <w:t>/d</w:t>
            </w:r>
            <w:r>
              <w:rPr>
                <w:rFonts w:hint="eastAsia" w:cs="Times New Roman"/>
                <w:color w:val="auto"/>
                <w:kern w:val="0"/>
                <w:sz w:val="21"/>
                <w:szCs w:val="21"/>
                <w:highlight w:val="none"/>
                <w:lang w:eastAsia="zh-CN"/>
              </w:rPr>
              <w:t>，生活污水</w:t>
            </w:r>
            <w:r>
              <w:rPr>
                <w:rFonts w:hint="eastAsia" w:cs="Times New Roman"/>
                <w:color w:val="auto"/>
                <w:kern w:val="0"/>
                <w:sz w:val="21"/>
                <w:szCs w:val="21"/>
                <w:highlight w:val="none"/>
                <w:lang w:val="en-US" w:eastAsia="zh-CN"/>
              </w:rPr>
              <w:t>进入</w:t>
            </w:r>
            <w:r>
              <w:rPr>
                <w:rFonts w:hint="eastAsia" w:cs="Times New Roman"/>
                <w:color w:val="auto"/>
                <w:kern w:val="0"/>
                <w:sz w:val="21"/>
                <w:szCs w:val="21"/>
                <w:highlight w:val="none"/>
                <w:lang w:eastAsia="zh-CN"/>
              </w:rPr>
              <w:t>化粪池</w:t>
            </w:r>
            <w:r>
              <w:rPr>
                <w:rFonts w:hint="eastAsia" w:cs="Times New Roman"/>
                <w:color w:val="auto"/>
                <w:kern w:val="0"/>
                <w:sz w:val="21"/>
                <w:szCs w:val="21"/>
                <w:highlight w:val="none"/>
                <w:lang w:val="en-US" w:eastAsia="zh-CN"/>
              </w:rPr>
              <w:t>处理后</w:t>
            </w:r>
            <w:r>
              <w:rPr>
                <w:rFonts w:hint="eastAsia" w:cs="Times New Roman"/>
                <w:color w:val="auto"/>
                <w:kern w:val="0"/>
                <w:sz w:val="21"/>
                <w:szCs w:val="21"/>
                <w:highlight w:val="none"/>
                <w:lang w:eastAsia="zh-CN"/>
              </w:rPr>
              <w:t>，</w:t>
            </w:r>
            <w:r>
              <w:rPr>
                <w:rFonts w:hint="eastAsia"/>
                <w:b w:val="0"/>
                <w:bCs/>
                <w:color w:val="auto"/>
                <w:sz w:val="21"/>
                <w:szCs w:val="21"/>
                <w:lang w:val="en-US" w:eastAsia="zh-CN"/>
              </w:rPr>
              <w:t>委托环卫车辆运送至华宁北控环保水务有限公司管理运营的华宁县城污水处理厂处理</w:t>
            </w:r>
            <w:r>
              <w:rPr>
                <w:rFonts w:hint="eastAsia" w:cs="Times New Roman"/>
                <w:color w:val="auto"/>
                <w:kern w:val="0"/>
                <w:sz w:val="21"/>
                <w:szCs w:val="21"/>
                <w:highlight w:val="none"/>
                <w:lang w:eastAsia="zh-CN"/>
              </w:rPr>
              <w:t>。</w:t>
            </w:r>
          </w:p>
          <w:p w14:paraId="270008D2">
            <w:pPr>
              <w:keepNext w:val="0"/>
              <w:keepLines w:val="0"/>
              <w:pageBreakBefore w:val="0"/>
              <w:kinsoku/>
              <w:wordWrap/>
              <w:overflowPunct/>
              <w:topLinePunct w:val="0"/>
              <w:autoSpaceDE/>
              <w:autoSpaceDN/>
              <w:bidi w:val="0"/>
              <w:adjustRightInd w:val="0"/>
              <w:snapToGrid w:val="0"/>
              <w:spacing w:line="360" w:lineRule="auto"/>
              <w:ind w:firstLine="422" w:firstLineChars="200"/>
              <w:jc w:val="left"/>
              <w:textAlignment w:val="auto"/>
              <w:rPr>
                <w:rFonts w:hint="default" w:ascii="Times New Roman" w:hAnsi="Times New Roman" w:eastAsia="宋体" w:cs="Times New Roman"/>
                <w:b/>
                <w:bCs w:val="0"/>
                <w:color w:val="auto"/>
                <w:szCs w:val="21"/>
                <w:lang w:val="en-US" w:eastAsia="zh-CN"/>
              </w:rPr>
            </w:pPr>
            <w:r>
              <w:rPr>
                <w:rFonts w:hint="eastAsia" w:ascii="Times New Roman" w:hAnsi="Times New Roman" w:eastAsia="宋体" w:cs="Times New Roman"/>
                <w:b/>
                <w:bCs w:val="0"/>
                <w:color w:val="auto"/>
                <w:szCs w:val="21"/>
                <w:lang w:val="en-US" w:eastAsia="zh-CN"/>
              </w:rPr>
              <w:t>（3）初期雨水</w:t>
            </w:r>
          </w:p>
          <w:p w14:paraId="0D053A13">
            <w:pPr>
              <w:keepNext w:val="0"/>
              <w:keepLines w:val="0"/>
              <w:pageBreakBefore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本项目占地面积为</w:t>
            </w:r>
            <w:r>
              <w:rPr>
                <w:rFonts w:hint="eastAsia" w:cs="Times New Roman"/>
                <w:color w:val="auto"/>
                <w:lang w:val="en-US" w:eastAsia="zh-CN"/>
              </w:rPr>
              <w:t>19552.66</w:t>
            </w:r>
            <w:r>
              <w:rPr>
                <w:rFonts w:hint="eastAsia" w:ascii="Times New Roman" w:hAnsi="Times New Roman" w:eastAsia="宋体" w:cs="Times New Roman"/>
                <w:color w:val="auto"/>
                <w:lang w:val="en-US" w:eastAsia="zh-CN"/>
              </w:rPr>
              <w:t>㎡，未配套相关环保措施，本次评价提出对本项目用地范围的初期雨水进行收集回用，初期雨水按照该地区暴雨公式计算。雨水汇水量计算公式：</w:t>
            </w:r>
          </w:p>
          <w:p w14:paraId="7B0DFED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0" w:firstLineChars="200"/>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object>
                <v:shape id="_x0000_i1025" o:spt="75" type="#_x0000_t75" style="height:14.7pt;width:58.85pt;" o:ole="t" filled="f" o:preferrelative="t" stroked="f" coordsize="21600,21600">
                  <v:path/>
                  <v:fill on="f" focussize="0,0"/>
                  <v:stroke on="f"/>
                  <v:imagedata r:id="rId16" o:title=""/>
                  <o:lock v:ext="edit" aspectratio="t"/>
                  <w10:wrap type="none"/>
                  <w10:anchorlock/>
                </v:shape>
                <o:OLEObject Type="Embed" ProgID="Equation.KSEE3" ShapeID="_x0000_i1025" DrawAspect="Content" ObjectID="_1468075725" r:id="rId15">
                  <o:LockedField>false</o:LockedField>
                </o:OLEObject>
              </w:object>
            </w:r>
          </w:p>
          <w:p w14:paraId="29F0EFF6">
            <w:pPr>
              <w:keepNext w:val="0"/>
              <w:keepLines w:val="0"/>
              <w:pageBreakBefore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式中：Q—雨水流量，L/s；</w:t>
            </w:r>
          </w:p>
          <w:p w14:paraId="1E7DC5E5">
            <w:pPr>
              <w:keepNext w:val="0"/>
              <w:keepLines w:val="0"/>
              <w:pageBreakBefore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q—设计暴雨强度，L/s·hm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val="en-US" w:eastAsia="zh-CN"/>
              </w:rPr>
              <w:t>；</w:t>
            </w:r>
          </w:p>
          <w:p w14:paraId="5F99C844">
            <w:pPr>
              <w:keepNext w:val="0"/>
              <w:keepLines w:val="0"/>
              <w:pageBreakBefore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F—汇水面积（hm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val="en-US" w:eastAsia="zh-CN"/>
              </w:rPr>
              <w:t>）；</w:t>
            </w:r>
          </w:p>
          <w:p w14:paraId="5100ECA3">
            <w:pPr>
              <w:keepNext w:val="0"/>
              <w:keepLines w:val="0"/>
              <w:pageBreakBefore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kern w:val="2"/>
                <w:sz w:val="21"/>
                <w:szCs w:val="21"/>
                <w:lang w:val="en-US" w:eastAsia="zh-CN" w:bidi="ar-SA"/>
              </w:rPr>
              <w:t>Ψ</w:t>
            </w:r>
            <w:r>
              <w:rPr>
                <w:rFonts w:hint="eastAsia" w:ascii="Times New Roman" w:hAnsi="Times New Roman" w:eastAsia="宋体" w:cs="Times New Roman"/>
                <w:color w:val="auto"/>
                <w:lang w:val="en-US" w:eastAsia="zh-CN"/>
              </w:rPr>
              <w:t>—径流系数，径流系数取0.</w:t>
            </w:r>
            <w:r>
              <w:rPr>
                <w:rFonts w:hint="eastAsia" w:cs="Times New Roman"/>
                <w:color w:val="auto"/>
                <w:lang w:val="en-US" w:eastAsia="zh-CN"/>
              </w:rPr>
              <w:t>8</w:t>
            </w:r>
            <w:r>
              <w:rPr>
                <w:rFonts w:hint="eastAsia" w:ascii="Times New Roman" w:hAnsi="Times New Roman" w:eastAsia="宋体" w:cs="Times New Roman"/>
                <w:color w:val="auto"/>
                <w:lang w:val="en-US" w:eastAsia="zh-CN"/>
              </w:rPr>
              <w:t>；</w:t>
            </w:r>
          </w:p>
          <w:p w14:paraId="2FF52CB9">
            <w:pPr>
              <w:keepNext w:val="0"/>
              <w:keepLines w:val="0"/>
              <w:pageBreakBefore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玉溪市暴雨强度计算公式：</w:t>
            </w:r>
          </w:p>
          <w:p w14:paraId="6277771B">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420" w:firstLineChars="200"/>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object>
                <v:shape id="_x0000_i1026" o:spt="75" type="#_x0000_t75" style="height:32.55pt;width:136.7pt;" o:ole="t" filled="f" o:preferrelative="t" stroked="f" coordsize="21600,21600">
                  <v:path/>
                  <v:fill on="f" focussize="0,0"/>
                  <v:stroke on="f"/>
                  <v:imagedata r:id="rId18" o:title=""/>
                  <o:lock v:ext="edit" aspectratio="t"/>
                  <w10:wrap type="none"/>
                  <w10:anchorlock/>
                </v:shape>
                <o:OLEObject Type="Embed" ProgID="Equation.KSEE3" ShapeID="_x0000_i1026" DrawAspect="Content" ObjectID="_1468075726" r:id="rId17">
                  <o:LockedField>false</o:LockedField>
                </o:OLEObject>
              </w:object>
            </w:r>
          </w:p>
          <w:p w14:paraId="77B086D4">
            <w:pPr>
              <w:keepNext w:val="0"/>
              <w:keepLines w:val="0"/>
              <w:pageBreakBefore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式中：P—设计降雨重现期1a；</w:t>
            </w:r>
          </w:p>
          <w:p w14:paraId="42249437">
            <w:pPr>
              <w:keepNext w:val="0"/>
              <w:keepLines w:val="0"/>
              <w:pageBreakBefore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      t—降雨历时，取15min。</w:t>
            </w:r>
          </w:p>
          <w:p w14:paraId="4A1F08B3">
            <w:pPr>
              <w:keepNext w:val="0"/>
              <w:keepLines w:val="0"/>
              <w:pageBreakBefore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经计算，项目区暴雨强度为178.96L/s·hm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val="en-US" w:eastAsia="zh-CN"/>
              </w:rPr>
              <w:t>，本项目用地范围雨水流量为</w:t>
            </w:r>
            <w:r>
              <w:rPr>
                <w:rFonts w:hint="eastAsia" w:cs="Times New Roman"/>
                <w:color w:val="auto"/>
                <w:lang w:val="en-US" w:eastAsia="zh-CN"/>
              </w:rPr>
              <w:t>143.168</w:t>
            </w:r>
            <w:r>
              <w:rPr>
                <w:rFonts w:hint="eastAsia" w:ascii="Times New Roman" w:hAnsi="Times New Roman" w:eastAsia="宋体" w:cs="Times New Roman"/>
                <w:color w:val="auto"/>
                <w:lang w:val="en-US" w:eastAsia="zh-CN"/>
              </w:rPr>
              <w:t>L/s。降雨前15min初期雨水产生量为</w:t>
            </w:r>
            <w:r>
              <w:rPr>
                <w:rFonts w:hint="eastAsia" w:cs="Times New Roman"/>
                <w:color w:val="auto"/>
                <w:lang w:val="en-US" w:eastAsia="zh-CN"/>
              </w:rPr>
              <w:t>279.93</w:t>
            </w:r>
            <w:r>
              <w:rPr>
                <w:rFonts w:hint="eastAsia" w:ascii="Times New Roman" w:hAnsi="Times New Roman" w:eastAsia="宋体" w:cs="Times New Roman"/>
                <w:color w:val="auto"/>
                <w:lang w:val="en-US" w:eastAsia="zh-CN"/>
              </w:rPr>
              <w:t>m³/次，</w:t>
            </w:r>
            <w:r>
              <w:rPr>
                <w:rFonts w:hint="eastAsia" w:cs="Times New Roman"/>
                <w:color w:val="auto"/>
                <w:lang w:val="en-US" w:eastAsia="zh-CN"/>
              </w:rPr>
              <w:t>现有</w:t>
            </w:r>
            <w:r>
              <w:rPr>
                <w:rFonts w:hint="eastAsia" w:ascii="Times New Roman" w:hAnsi="Times New Roman" w:eastAsia="宋体" w:cs="Times New Roman"/>
                <w:color w:val="auto"/>
                <w:lang w:val="en-US" w:eastAsia="zh-CN"/>
              </w:rPr>
              <w:t>初期雨水收集池容积合计</w:t>
            </w:r>
            <w:r>
              <w:rPr>
                <w:rFonts w:hint="eastAsia" w:cs="Times New Roman"/>
                <w:color w:val="auto"/>
                <w:lang w:val="en-US" w:eastAsia="zh-CN"/>
              </w:rPr>
              <w:t>30</w:t>
            </w:r>
            <w:r>
              <w:rPr>
                <w:rFonts w:hint="eastAsia" w:ascii="Times New Roman" w:hAnsi="Times New Roman" w:eastAsia="宋体" w:cs="Times New Roman"/>
                <w:color w:val="auto"/>
                <w:lang w:val="en-US" w:eastAsia="zh-CN"/>
              </w:rPr>
              <w:t>0m³，</w:t>
            </w:r>
            <w:r>
              <w:rPr>
                <w:rFonts w:hint="eastAsia" w:cs="Times New Roman"/>
                <w:color w:val="auto"/>
                <w:lang w:val="en-US" w:eastAsia="zh-CN"/>
              </w:rPr>
              <w:t>可完全接纳初期雨水</w:t>
            </w:r>
            <w:r>
              <w:rPr>
                <w:rFonts w:hint="eastAsia" w:ascii="Times New Roman" w:hAnsi="Times New Roman" w:eastAsia="宋体" w:cs="Times New Roman"/>
                <w:color w:val="auto"/>
                <w:lang w:val="en-US" w:eastAsia="zh-CN"/>
              </w:rPr>
              <w:t>，</w:t>
            </w:r>
            <w:r>
              <w:rPr>
                <w:rFonts w:hint="eastAsia" w:cs="Times New Roman"/>
                <w:color w:val="auto"/>
                <w:lang w:val="en-US" w:eastAsia="zh-CN"/>
              </w:rPr>
              <w:t>初期雨水经</w:t>
            </w:r>
            <w:r>
              <w:rPr>
                <w:rFonts w:hint="eastAsia" w:ascii="Times New Roman" w:hAnsi="Times New Roman" w:eastAsia="宋体" w:cs="Times New Roman"/>
                <w:color w:val="auto"/>
                <w:lang w:val="en-US" w:eastAsia="zh-CN"/>
              </w:rPr>
              <w:t>沉淀后回用于生产用水。</w:t>
            </w:r>
          </w:p>
          <w:p w14:paraId="40006749">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both"/>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水平衡图如下：</w:t>
            </w:r>
          </w:p>
          <w:p w14:paraId="7CE5ED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lang w:val="en-US" w:eastAsia="zh-CN"/>
              </w:rPr>
            </w:pPr>
            <w:r>
              <w:drawing>
                <wp:inline distT="0" distB="0" distL="114300" distR="114300">
                  <wp:extent cx="4522470" cy="5158740"/>
                  <wp:effectExtent l="0" t="0" r="11430" b="381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9"/>
                          <a:stretch>
                            <a:fillRect/>
                          </a:stretch>
                        </pic:blipFill>
                        <pic:spPr>
                          <a:xfrm>
                            <a:off x="0" y="0"/>
                            <a:ext cx="4522470" cy="5158740"/>
                          </a:xfrm>
                          <a:prstGeom prst="rect">
                            <a:avLst/>
                          </a:prstGeom>
                          <a:noFill/>
                          <a:ln>
                            <a:noFill/>
                          </a:ln>
                        </pic:spPr>
                      </pic:pic>
                    </a:graphicData>
                  </a:graphic>
                </wp:inline>
              </w:drawing>
            </w:r>
          </w:p>
          <w:p w14:paraId="09DB3F3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图2-</w:t>
            </w:r>
            <w:r>
              <w:rPr>
                <w:rFonts w:hint="eastAsia" w:cs="Times New Roman"/>
                <w:b/>
                <w:bCs w:val="0"/>
                <w:color w:val="auto"/>
                <w:sz w:val="21"/>
                <w:szCs w:val="21"/>
                <w:lang w:val="en-US" w:eastAsia="zh-CN"/>
              </w:rPr>
              <w:t>7</w:t>
            </w:r>
            <w:r>
              <w:rPr>
                <w:rFonts w:hint="default" w:ascii="Times New Roman" w:hAnsi="Times New Roman" w:eastAsia="宋体" w:cs="Times New Roman"/>
                <w:b/>
                <w:bCs w:val="0"/>
                <w:color w:val="auto"/>
                <w:sz w:val="21"/>
                <w:szCs w:val="21"/>
                <w:lang w:val="en-US" w:eastAsia="zh-CN"/>
              </w:rPr>
              <w:t xml:space="preserve">  本项目水平衡图</w:t>
            </w:r>
            <w:r>
              <w:rPr>
                <w:rFonts w:hint="eastAsia" w:ascii="Times New Roman" w:hAnsi="Times New Roman" w:eastAsia="宋体" w:cs="Times New Roman"/>
                <w:b/>
                <w:bCs w:val="0"/>
                <w:color w:val="auto"/>
                <w:sz w:val="21"/>
                <w:szCs w:val="21"/>
                <w:lang w:val="en-US" w:eastAsia="zh-CN"/>
              </w:rPr>
              <w:t xml:space="preserve">  单位：m³/d</w:t>
            </w:r>
          </w:p>
          <w:p w14:paraId="3D16ACBA">
            <w:pPr>
              <w:pStyle w:val="45"/>
              <w:bidi w:val="0"/>
              <w:rPr>
                <w:rFonts w:hint="default"/>
                <w:color w:val="auto"/>
                <w:lang w:val="en-US" w:eastAsia="zh-CN"/>
              </w:rPr>
            </w:pPr>
            <w:r>
              <w:rPr>
                <w:rFonts w:hint="eastAsia"/>
                <w:color w:val="auto"/>
                <w:lang w:val="en-US" w:eastAsia="zh-CN"/>
              </w:rPr>
              <w:t>2.8 劳动定员及工作制度</w:t>
            </w:r>
          </w:p>
          <w:p w14:paraId="219CAF5D">
            <w:pPr>
              <w:keepNext w:val="0"/>
              <w:keepLines w:val="0"/>
              <w:pageBreakBefore w:val="0"/>
              <w:widowControl w:val="0"/>
              <w:kinsoku/>
              <w:wordWrap/>
              <w:overflowPunct/>
              <w:topLinePunct w:val="0"/>
              <w:autoSpaceDE/>
              <w:autoSpaceDN/>
              <w:bidi w:val="0"/>
              <w:adjustRightInd/>
              <w:snapToGrid w:val="0"/>
              <w:spacing w:line="360" w:lineRule="auto"/>
              <w:ind w:firstLine="510"/>
              <w:textAlignment w:val="auto"/>
              <w:rPr>
                <w:rFonts w:hint="eastAsia"/>
                <w:color w:val="auto"/>
                <w:sz w:val="21"/>
                <w:szCs w:val="21"/>
                <w:lang w:eastAsia="zh-CN"/>
              </w:rPr>
            </w:pPr>
            <w:r>
              <w:rPr>
                <w:rFonts w:hint="default" w:ascii="Times New Roman" w:hAnsi="Times New Roman" w:cs="Times New Roman"/>
                <w:color w:val="auto"/>
                <w:spacing w:val="8"/>
                <w:kern w:val="0"/>
                <w:sz w:val="21"/>
                <w:szCs w:val="21"/>
              </w:rPr>
              <w:t>本项目劳动定员</w:t>
            </w:r>
            <w:r>
              <w:rPr>
                <w:rFonts w:hint="eastAsia" w:cs="Times New Roman"/>
                <w:color w:val="auto"/>
                <w:spacing w:val="8"/>
                <w:kern w:val="0"/>
                <w:sz w:val="21"/>
                <w:szCs w:val="21"/>
                <w:lang w:val="en-US" w:eastAsia="zh-CN"/>
              </w:rPr>
              <w:t>25</w:t>
            </w:r>
            <w:r>
              <w:rPr>
                <w:rFonts w:hint="default" w:ascii="Times New Roman" w:hAnsi="Times New Roman" w:cs="Times New Roman"/>
                <w:color w:val="auto"/>
                <w:sz w:val="21"/>
                <w:szCs w:val="21"/>
              </w:rPr>
              <w:t>人，</w:t>
            </w:r>
            <w:r>
              <w:rPr>
                <w:rFonts w:hint="default" w:ascii="Times New Roman" w:hAnsi="Times New Roman" w:cs="Times New Roman"/>
                <w:color w:val="auto"/>
                <w:sz w:val="21"/>
                <w:szCs w:val="21"/>
                <w:lang w:eastAsia="zh-CN"/>
              </w:rPr>
              <w:t>均为附近村民，</w:t>
            </w:r>
            <w:r>
              <w:rPr>
                <w:rFonts w:hint="eastAsia" w:cs="Times New Roman"/>
                <w:color w:val="auto"/>
                <w:sz w:val="21"/>
                <w:szCs w:val="21"/>
                <w:lang w:val="en-US" w:eastAsia="zh-CN"/>
              </w:rPr>
              <w:t>员工不在</w:t>
            </w:r>
            <w:r>
              <w:rPr>
                <w:rFonts w:hint="default" w:ascii="Times New Roman" w:hAnsi="Times New Roman" w:cs="Times New Roman"/>
                <w:color w:val="auto"/>
                <w:sz w:val="21"/>
                <w:szCs w:val="21"/>
                <w:lang w:eastAsia="zh-CN"/>
              </w:rPr>
              <w:t>厂区内</w:t>
            </w:r>
            <w:r>
              <w:rPr>
                <w:rFonts w:hint="eastAsia" w:cs="Times New Roman"/>
                <w:color w:val="auto"/>
                <w:sz w:val="21"/>
                <w:szCs w:val="21"/>
                <w:lang w:val="en-US" w:eastAsia="zh-CN"/>
              </w:rPr>
              <w:t>住</w:t>
            </w:r>
            <w:r>
              <w:rPr>
                <w:rFonts w:hint="default" w:ascii="Times New Roman" w:hAnsi="Times New Roman" w:cs="Times New Roman"/>
                <w:color w:val="auto"/>
                <w:sz w:val="21"/>
                <w:szCs w:val="21"/>
                <w:lang w:eastAsia="zh-CN"/>
              </w:rPr>
              <w:t>宿</w:t>
            </w:r>
            <w:r>
              <w:rPr>
                <w:rFonts w:hint="default" w:ascii="Times New Roman" w:hAnsi="Times New Roman" w:cs="Times New Roman"/>
                <w:b w:val="0"/>
                <w:bCs/>
                <w:color w:val="auto"/>
                <w:spacing w:val="10"/>
                <w:sz w:val="21"/>
                <w:szCs w:val="21"/>
                <w:lang w:val="zh-CN" w:eastAsia="zh-CN"/>
              </w:rPr>
              <w:t>，</w:t>
            </w:r>
            <w:r>
              <w:rPr>
                <w:rFonts w:hint="eastAsia" w:cs="Times New Roman"/>
                <w:b w:val="0"/>
                <w:bCs/>
                <w:color w:val="auto"/>
                <w:spacing w:val="10"/>
                <w:sz w:val="21"/>
                <w:szCs w:val="21"/>
                <w:lang w:val="en-US" w:eastAsia="zh-CN"/>
              </w:rPr>
              <w:t>厂区内不设置食堂</w:t>
            </w:r>
            <w:r>
              <w:rPr>
                <w:rFonts w:hint="eastAsia"/>
                <w:color w:val="auto"/>
                <w:sz w:val="21"/>
                <w:szCs w:val="21"/>
                <w:lang w:eastAsia="zh-CN"/>
              </w:rPr>
              <w:t>。</w:t>
            </w:r>
          </w:p>
          <w:p w14:paraId="62A72857">
            <w:pPr>
              <w:keepNext w:val="0"/>
              <w:keepLines w:val="0"/>
              <w:pageBreakBefore w:val="0"/>
              <w:widowControl w:val="0"/>
              <w:kinsoku/>
              <w:wordWrap/>
              <w:overflowPunct/>
              <w:topLinePunct w:val="0"/>
              <w:autoSpaceDE/>
              <w:autoSpaceDN/>
              <w:bidi w:val="0"/>
              <w:adjustRightInd/>
              <w:snapToGrid w:val="0"/>
              <w:spacing w:line="360" w:lineRule="auto"/>
              <w:ind w:firstLine="510"/>
              <w:textAlignment w:val="auto"/>
              <w:rPr>
                <w:rFonts w:hint="eastAsia" w:cs="Times New Roman"/>
                <w:color w:val="auto"/>
                <w:spacing w:val="8"/>
                <w:kern w:val="0"/>
                <w:sz w:val="21"/>
                <w:szCs w:val="21"/>
              </w:rPr>
            </w:pPr>
            <w:r>
              <w:rPr>
                <w:rFonts w:hint="default" w:ascii="Times New Roman" w:hAnsi="Times New Roman" w:cs="Times New Roman"/>
                <w:color w:val="auto"/>
                <w:spacing w:val="10"/>
                <w:sz w:val="21"/>
                <w:szCs w:val="21"/>
                <w:lang w:val="zh-CN" w:eastAsia="zh-CN"/>
              </w:rPr>
              <w:t>全年生产3</w:t>
            </w:r>
            <w:r>
              <w:rPr>
                <w:rFonts w:hint="eastAsia" w:cs="Times New Roman"/>
                <w:color w:val="auto"/>
                <w:spacing w:val="10"/>
                <w:sz w:val="21"/>
                <w:szCs w:val="21"/>
                <w:lang w:val="en-US" w:eastAsia="zh-CN"/>
              </w:rPr>
              <w:t>0</w:t>
            </w:r>
            <w:r>
              <w:rPr>
                <w:rFonts w:hint="default" w:ascii="Times New Roman" w:hAnsi="Times New Roman" w:cs="Times New Roman"/>
                <w:color w:val="auto"/>
                <w:spacing w:val="10"/>
                <w:sz w:val="21"/>
                <w:szCs w:val="21"/>
                <w:lang w:val="zh-CN" w:eastAsia="zh-CN"/>
              </w:rPr>
              <w:t>0天，每天工作时间为8小时；烧窑为24小时/天，三班倒，每班8小时。</w:t>
            </w:r>
          </w:p>
          <w:p w14:paraId="463ABF8A">
            <w:pPr>
              <w:keepNext w:val="0"/>
              <w:keepLines w:val="0"/>
              <w:pageBreakBefore w:val="0"/>
              <w:widowControl w:val="0"/>
              <w:kinsoku/>
              <w:wordWrap/>
              <w:overflowPunct/>
              <w:topLinePunct w:val="0"/>
              <w:autoSpaceDE/>
              <w:autoSpaceDN/>
              <w:bidi w:val="0"/>
              <w:adjustRightInd/>
              <w:snapToGrid w:val="0"/>
              <w:spacing w:line="360" w:lineRule="auto"/>
              <w:ind w:firstLine="510"/>
              <w:textAlignment w:val="auto"/>
              <w:rPr>
                <w:rFonts w:hint="default" w:ascii="Times New Roman" w:hAnsi="Times New Roman" w:eastAsia="宋体" w:cs="Times New Roman"/>
                <w:bCs/>
                <w:color w:val="auto"/>
                <w:sz w:val="21"/>
                <w:szCs w:val="21"/>
                <w:lang w:val="en-US" w:eastAsia="zh-CN"/>
              </w:rPr>
            </w:pPr>
            <w:r>
              <w:rPr>
                <w:rFonts w:hint="eastAsia"/>
                <w:color w:val="auto"/>
                <w:sz w:val="21"/>
                <w:szCs w:val="21"/>
                <w:highlight w:val="none"/>
                <w:lang w:eastAsia="zh-CN"/>
              </w:rPr>
              <w:t>本项目梭式窑交替使用，烧制一窑约</w:t>
            </w:r>
            <w:r>
              <w:rPr>
                <w:rFonts w:hint="eastAsia"/>
                <w:color w:val="auto"/>
                <w:sz w:val="21"/>
                <w:szCs w:val="21"/>
                <w:highlight w:val="none"/>
                <w:lang w:val="en-US" w:eastAsia="zh-CN"/>
              </w:rPr>
              <w:t>30天（其中装窑5天，焙烧13天，返青7天，出窑5天）</w:t>
            </w:r>
            <w:r>
              <w:rPr>
                <w:rFonts w:hint="eastAsia" w:cs="Times New Roman"/>
                <w:bCs/>
                <w:color w:val="auto"/>
                <w:sz w:val="21"/>
                <w:szCs w:val="21"/>
                <w:lang w:val="en-US" w:eastAsia="zh-CN"/>
              </w:rPr>
              <w:t>。</w:t>
            </w:r>
          </w:p>
          <w:p w14:paraId="072F6614">
            <w:pPr>
              <w:widowControl w:val="0"/>
              <w:bidi w:val="0"/>
              <w:spacing w:line="360" w:lineRule="auto"/>
              <w:ind w:firstLine="0" w:firstLineChars="0"/>
              <w:jc w:val="left"/>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2.9 项目</w:t>
            </w:r>
            <w:r>
              <w:rPr>
                <w:rFonts w:hint="eastAsia" w:cs="Times New Roman"/>
                <w:b/>
                <w:bCs/>
                <w:color w:val="auto"/>
                <w:kern w:val="2"/>
                <w:sz w:val="21"/>
                <w:szCs w:val="21"/>
                <w:lang w:val="en-US" w:eastAsia="zh-CN" w:bidi="ar-SA"/>
              </w:rPr>
              <w:t>平面布置</w:t>
            </w:r>
          </w:p>
          <w:p w14:paraId="02E4A2ED">
            <w:pPr>
              <w:widowControl w:val="0"/>
              <w:bidi w:val="0"/>
              <w:spacing w:line="360" w:lineRule="auto"/>
              <w:ind w:firstLine="420" w:firstLineChars="200"/>
              <w:jc w:val="both"/>
              <w:rPr>
                <w:rFonts w:hint="default"/>
                <w:color w:val="auto"/>
                <w:lang w:val="en-US" w:eastAsia="zh-CN"/>
              </w:rPr>
            </w:pPr>
            <w:r>
              <w:rPr>
                <w:rFonts w:hint="eastAsia"/>
                <w:color w:val="auto"/>
                <w:szCs w:val="21"/>
                <w:lang w:val="en-US" w:eastAsia="zh-CN"/>
              </w:rPr>
              <w:t>企业总占地面积为</w:t>
            </w:r>
            <w:r>
              <w:rPr>
                <w:rFonts w:hint="eastAsia" w:cs="Times New Roman"/>
                <w:color w:val="auto"/>
                <w:kern w:val="2"/>
                <w:sz w:val="21"/>
                <w:szCs w:val="21"/>
                <w:lang w:val="en-US" w:eastAsia="zh-CN" w:bidi="ar-SA"/>
              </w:rPr>
              <w:t>19552.66</w:t>
            </w:r>
            <w:r>
              <w:rPr>
                <w:rFonts w:hint="eastAsia"/>
                <w:color w:val="auto"/>
                <w:szCs w:val="21"/>
                <w:lang w:val="en-US" w:eastAsia="zh-CN"/>
              </w:rPr>
              <w:t>㎡，现有厂房5280㎡，从北至南顺时针拟设置原料车间（160㎡）、陈化车间（7600㎡）、制坯车间（860㎡）、晾干车间（740㎡）、待烧车间（940㎡）、烧成车间（820㎡）、成品车间（1000㎡）；办公区设置于厂区南侧。项目平面布置合理，详见附图</w:t>
            </w:r>
            <w:r>
              <w:rPr>
                <w:rFonts w:hint="eastAsia" w:ascii="Times New Roman" w:hAnsi="Times New Roman" w:eastAsia="宋体" w:cs="Times New Roman"/>
                <w:color w:val="auto"/>
                <w:kern w:val="2"/>
                <w:sz w:val="21"/>
                <w:szCs w:val="21"/>
                <w:lang w:val="en-US" w:eastAsia="zh-CN" w:bidi="ar-SA"/>
              </w:rPr>
              <w:t>。</w:t>
            </w:r>
          </w:p>
          <w:p w14:paraId="5416B000">
            <w:pPr>
              <w:pStyle w:val="45"/>
              <w:bidi w:val="0"/>
              <w:rPr>
                <w:rFonts w:hint="eastAsia"/>
                <w:color w:val="auto"/>
                <w:lang w:val="en-US" w:eastAsia="zh-CN"/>
              </w:rPr>
            </w:pPr>
            <w:r>
              <w:rPr>
                <w:rFonts w:hint="eastAsia"/>
                <w:color w:val="auto"/>
                <w:lang w:val="en-US" w:eastAsia="zh-CN"/>
              </w:rPr>
              <w:t>2.10 环保工程</w:t>
            </w:r>
          </w:p>
          <w:p w14:paraId="73D69426">
            <w:pPr>
              <w:pStyle w:val="38"/>
              <w:bidi w:val="0"/>
              <w:rPr>
                <w:rFonts w:hint="default"/>
                <w:color w:val="auto"/>
                <w:lang w:val="en-US" w:eastAsia="zh-CN"/>
              </w:rPr>
            </w:pPr>
            <w:r>
              <w:rPr>
                <w:rFonts w:hint="eastAsia"/>
                <w:color w:val="auto"/>
                <w:lang w:val="en-US" w:eastAsia="zh-CN"/>
              </w:rPr>
              <w:t>项目总投资737万元人民币，其中环保投资约85万元人民币，占总投资的</w:t>
            </w:r>
            <w:r>
              <w:rPr>
                <w:rFonts w:hint="eastAsia" w:cs="Times New Roman"/>
                <w:color w:val="auto"/>
                <w:sz w:val="21"/>
                <w:szCs w:val="21"/>
                <w:lang w:val="en-US" w:eastAsia="zh-CN"/>
              </w:rPr>
              <w:t>11.53</w:t>
            </w:r>
            <w:r>
              <w:rPr>
                <w:rFonts w:hint="eastAsia"/>
                <w:color w:val="auto"/>
                <w:lang w:val="en-US" w:eastAsia="zh-CN"/>
              </w:rPr>
              <w:t>%。项目环保投资情况见下表。</w:t>
            </w:r>
          </w:p>
          <w:p w14:paraId="0597BBD9">
            <w:pPr>
              <w:pStyle w:val="4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default"/>
                <w:color w:val="auto"/>
                <w:lang w:val="en-US" w:eastAsia="zh-CN"/>
              </w:rPr>
            </w:pPr>
            <w:r>
              <w:rPr>
                <w:rFonts w:hint="eastAsia"/>
                <w:color w:val="auto"/>
                <w:lang w:eastAsia="zh-CN"/>
              </w:rPr>
              <w:t>表</w:t>
            </w:r>
            <w:r>
              <w:rPr>
                <w:rFonts w:hint="eastAsia"/>
                <w:color w:val="auto"/>
                <w:lang w:val="en-US" w:eastAsia="zh-CN"/>
              </w:rPr>
              <w:t>2-8  项目环保投资一览表</w:t>
            </w:r>
          </w:p>
          <w:tbl>
            <w:tblPr>
              <w:tblStyle w:val="29"/>
              <w:tblW w:w="8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905"/>
              <w:gridCol w:w="2533"/>
              <w:gridCol w:w="1162"/>
              <w:gridCol w:w="1488"/>
              <w:gridCol w:w="1221"/>
            </w:tblGrid>
            <w:tr w14:paraId="0B775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48" w:type="dxa"/>
                  <w:tcBorders>
                    <w:tl2br w:val="nil"/>
                    <w:tr2bl w:val="nil"/>
                  </w:tcBorders>
                  <w:noWrap w:val="0"/>
                  <w:vAlign w:val="center"/>
                </w:tcPr>
                <w:p w14:paraId="42541C5C">
                  <w:pPr>
                    <w:pStyle w:val="74"/>
                    <w:keepNext w:val="0"/>
                    <w:keepLines w:val="0"/>
                    <w:pageBreakBefore w:val="0"/>
                    <w:widowControl w:val="0"/>
                    <w:wordWrap/>
                    <w:topLinePunct w:val="0"/>
                    <w:bidi w:val="0"/>
                    <w:snapToGrid w:val="0"/>
                    <w:spacing w:before="63" w:beforeLines="20" w:after="63" w:afterLines="20" w:line="240" w:lineRule="auto"/>
                    <w:ind w:firstLine="0" w:firstLineChars="0"/>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类型</w:t>
                  </w:r>
                </w:p>
              </w:tc>
              <w:tc>
                <w:tcPr>
                  <w:tcW w:w="3438" w:type="dxa"/>
                  <w:gridSpan w:val="2"/>
                  <w:tcBorders>
                    <w:tl2br w:val="nil"/>
                    <w:tr2bl w:val="nil"/>
                  </w:tcBorders>
                  <w:noWrap w:val="0"/>
                  <w:vAlign w:val="center"/>
                </w:tcPr>
                <w:p w14:paraId="226B6D73">
                  <w:pPr>
                    <w:pStyle w:val="74"/>
                    <w:keepNext w:val="0"/>
                    <w:keepLines w:val="0"/>
                    <w:pageBreakBefore w:val="0"/>
                    <w:widowControl w:val="0"/>
                    <w:wordWrap/>
                    <w:topLinePunct w:val="0"/>
                    <w:bidi w:val="0"/>
                    <w:snapToGrid w:val="0"/>
                    <w:spacing w:before="63" w:beforeLines="20" w:after="63" w:afterLines="20" w:line="240" w:lineRule="auto"/>
                    <w:ind w:firstLine="0" w:firstLineChars="0"/>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工程内容</w:t>
                  </w:r>
                </w:p>
              </w:tc>
              <w:tc>
                <w:tcPr>
                  <w:tcW w:w="1162" w:type="dxa"/>
                  <w:tcBorders>
                    <w:tl2br w:val="nil"/>
                    <w:tr2bl w:val="nil"/>
                  </w:tcBorders>
                  <w:noWrap w:val="0"/>
                  <w:vAlign w:val="center"/>
                </w:tcPr>
                <w:p w14:paraId="7AEAE2A1">
                  <w:pPr>
                    <w:pStyle w:val="74"/>
                    <w:keepNext w:val="0"/>
                    <w:keepLines w:val="0"/>
                    <w:pageBreakBefore w:val="0"/>
                    <w:widowControl w:val="0"/>
                    <w:wordWrap/>
                    <w:topLinePunct w:val="0"/>
                    <w:bidi w:val="0"/>
                    <w:snapToGrid w:val="0"/>
                    <w:spacing w:before="63" w:beforeLines="20" w:after="63" w:afterLines="20" w:line="240" w:lineRule="auto"/>
                    <w:ind w:firstLine="0" w:firstLineChars="0"/>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投资</w:t>
                  </w:r>
                  <w:r>
                    <w:rPr>
                      <w:rFonts w:hint="default" w:ascii="Times New Roman" w:hAnsi="Times New Roman" w:cs="Times New Roman"/>
                      <w:b/>
                      <w:bCs w:val="0"/>
                      <w:color w:val="auto"/>
                      <w:sz w:val="21"/>
                      <w:szCs w:val="21"/>
                      <w:lang w:eastAsia="zh-CN"/>
                    </w:rPr>
                    <w:t>金额</w:t>
                  </w:r>
                  <w:r>
                    <w:rPr>
                      <w:rFonts w:hint="default" w:ascii="Times New Roman" w:hAnsi="Times New Roman" w:cs="Times New Roman"/>
                      <w:b/>
                      <w:bCs w:val="0"/>
                      <w:color w:val="auto"/>
                      <w:sz w:val="21"/>
                      <w:szCs w:val="21"/>
                    </w:rPr>
                    <w:t>（万元）</w:t>
                  </w:r>
                </w:p>
              </w:tc>
              <w:tc>
                <w:tcPr>
                  <w:tcW w:w="1488" w:type="dxa"/>
                  <w:tcBorders>
                    <w:tl2br w:val="nil"/>
                    <w:tr2bl w:val="nil"/>
                  </w:tcBorders>
                  <w:noWrap w:val="0"/>
                  <w:vAlign w:val="center"/>
                </w:tcPr>
                <w:p w14:paraId="432FEAD3">
                  <w:pPr>
                    <w:pStyle w:val="74"/>
                    <w:keepNext w:val="0"/>
                    <w:keepLines w:val="0"/>
                    <w:pageBreakBefore w:val="0"/>
                    <w:widowControl w:val="0"/>
                    <w:wordWrap/>
                    <w:topLinePunct w:val="0"/>
                    <w:bidi w:val="0"/>
                    <w:snapToGrid w:val="0"/>
                    <w:spacing w:before="63" w:beforeLines="20" w:after="63" w:afterLines="20" w:line="240" w:lineRule="auto"/>
                    <w:ind w:firstLine="0" w:firstLineChars="0"/>
                    <w:rPr>
                      <w:rFonts w:hint="eastAsia" w:ascii="Times New Roman" w:hAnsi="Times New Roman" w:eastAsia="宋体" w:cs="Times New Roman"/>
                      <w:b/>
                      <w:bCs w:val="0"/>
                      <w:color w:val="auto"/>
                      <w:sz w:val="21"/>
                      <w:szCs w:val="21"/>
                      <w:lang w:eastAsia="zh-CN"/>
                    </w:rPr>
                  </w:pPr>
                  <w:r>
                    <w:rPr>
                      <w:rFonts w:hint="eastAsia" w:cs="Times New Roman"/>
                      <w:b/>
                      <w:bCs w:val="0"/>
                      <w:color w:val="auto"/>
                      <w:sz w:val="21"/>
                      <w:szCs w:val="21"/>
                      <w:lang w:eastAsia="zh-CN"/>
                    </w:rPr>
                    <w:t>数量</w:t>
                  </w:r>
                </w:p>
              </w:tc>
              <w:tc>
                <w:tcPr>
                  <w:tcW w:w="1221" w:type="dxa"/>
                  <w:tcBorders>
                    <w:tl2br w:val="nil"/>
                    <w:tr2bl w:val="nil"/>
                  </w:tcBorders>
                  <w:noWrap w:val="0"/>
                  <w:vAlign w:val="center"/>
                </w:tcPr>
                <w:p w14:paraId="7150B071">
                  <w:pPr>
                    <w:pStyle w:val="74"/>
                    <w:keepNext w:val="0"/>
                    <w:keepLines w:val="0"/>
                    <w:pageBreakBefore w:val="0"/>
                    <w:widowControl w:val="0"/>
                    <w:wordWrap/>
                    <w:topLinePunct w:val="0"/>
                    <w:bidi w:val="0"/>
                    <w:snapToGrid w:val="0"/>
                    <w:spacing w:before="63" w:beforeLines="20" w:after="63" w:afterLines="20" w:line="240" w:lineRule="auto"/>
                    <w:ind w:firstLine="0" w:firstLineChars="0"/>
                    <w:rPr>
                      <w:rFonts w:hint="eastAsia" w:ascii="Times New Roman" w:hAnsi="Times New Roman" w:eastAsia="宋体" w:cs="Times New Roman"/>
                      <w:b/>
                      <w:bCs w:val="0"/>
                      <w:color w:val="auto"/>
                      <w:sz w:val="21"/>
                      <w:szCs w:val="21"/>
                      <w:lang w:eastAsia="zh-CN"/>
                    </w:rPr>
                  </w:pPr>
                  <w:r>
                    <w:rPr>
                      <w:rFonts w:hint="eastAsia" w:ascii="Times New Roman" w:hAnsi="Times New Roman" w:cs="Times New Roman"/>
                      <w:b/>
                      <w:bCs w:val="0"/>
                      <w:color w:val="auto"/>
                      <w:sz w:val="21"/>
                      <w:szCs w:val="21"/>
                      <w:lang w:eastAsia="zh-CN"/>
                    </w:rPr>
                    <w:t>备注</w:t>
                  </w:r>
                </w:p>
              </w:tc>
            </w:tr>
            <w:tr w14:paraId="6E65D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748" w:type="dxa"/>
                  <w:vMerge w:val="restart"/>
                  <w:tcBorders>
                    <w:tl2br w:val="nil"/>
                    <w:tr2bl w:val="nil"/>
                  </w:tcBorders>
                  <w:noWrap w:val="0"/>
                  <w:vAlign w:val="center"/>
                </w:tcPr>
                <w:p w14:paraId="6B245294">
                  <w:pPr>
                    <w:pStyle w:val="74"/>
                    <w:keepNext w:val="0"/>
                    <w:keepLines w:val="0"/>
                    <w:pageBreakBefore w:val="0"/>
                    <w:widowControl w:val="0"/>
                    <w:wordWrap/>
                    <w:topLinePunct w:val="0"/>
                    <w:bidi w:val="0"/>
                    <w:snapToGrid w:val="0"/>
                    <w:spacing w:before="63" w:beforeLines="20" w:after="63" w:afterLines="20"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施工期</w:t>
                  </w:r>
                </w:p>
              </w:tc>
              <w:tc>
                <w:tcPr>
                  <w:tcW w:w="905" w:type="dxa"/>
                  <w:vMerge w:val="restart"/>
                  <w:tcBorders>
                    <w:tl2br w:val="nil"/>
                    <w:tr2bl w:val="nil"/>
                  </w:tcBorders>
                  <w:noWrap w:val="0"/>
                  <w:vAlign w:val="center"/>
                </w:tcPr>
                <w:p w14:paraId="6FFD37F6">
                  <w:pPr>
                    <w:keepNext w:val="0"/>
                    <w:keepLines w:val="0"/>
                    <w:pageBreakBefore w:val="0"/>
                    <w:widowControl w:val="0"/>
                    <w:tabs>
                      <w:tab w:val="left" w:pos="624"/>
                    </w:tabs>
                    <w:wordWrap/>
                    <w:topLinePunct w:val="0"/>
                    <w:bidi w:val="0"/>
                    <w:snapToGrid w:val="0"/>
                    <w:spacing w:before="63" w:beforeLines="20" w:after="63" w:afterLines="20"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废气</w:t>
                  </w:r>
                </w:p>
              </w:tc>
              <w:tc>
                <w:tcPr>
                  <w:tcW w:w="2533" w:type="dxa"/>
                  <w:tcBorders>
                    <w:tl2br w:val="nil"/>
                    <w:tr2bl w:val="nil"/>
                  </w:tcBorders>
                  <w:noWrap w:val="0"/>
                  <w:vAlign w:val="center"/>
                </w:tcPr>
                <w:p w14:paraId="6CD43301">
                  <w:pPr>
                    <w:keepNext w:val="0"/>
                    <w:keepLines w:val="0"/>
                    <w:pageBreakBefore w:val="0"/>
                    <w:widowControl w:val="0"/>
                    <w:tabs>
                      <w:tab w:val="left" w:pos="624"/>
                    </w:tabs>
                    <w:wordWrap/>
                    <w:topLinePunct w:val="0"/>
                    <w:bidi w:val="0"/>
                    <w:snapToGrid w:val="0"/>
                    <w:spacing w:before="63" w:beforeLines="20" w:after="63" w:afterLines="20" w:line="240" w:lineRule="auto"/>
                    <w:ind w:firstLine="0" w:firstLineChars="0"/>
                    <w:jc w:val="center"/>
                    <w:rPr>
                      <w:rFonts w:hint="default" w:ascii="Times New Roman" w:hAnsi="Times New Roman" w:cs="Times New Roman"/>
                      <w:color w:val="auto"/>
                      <w:sz w:val="21"/>
                      <w:szCs w:val="21"/>
                      <w:lang w:val="en-US" w:eastAsia="zh-CN" w:bidi="ar-SA"/>
                    </w:rPr>
                  </w:pPr>
                  <w:r>
                    <w:rPr>
                      <w:rFonts w:hint="default" w:ascii="Times New Roman" w:hAnsi="Times New Roman" w:cs="Times New Roman"/>
                      <w:color w:val="auto"/>
                      <w:sz w:val="21"/>
                      <w:szCs w:val="21"/>
                    </w:rPr>
                    <w:t>洒水降尘</w:t>
                  </w:r>
                </w:p>
              </w:tc>
              <w:tc>
                <w:tcPr>
                  <w:tcW w:w="1162" w:type="dxa"/>
                  <w:tcBorders>
                    <w:tl2br w:val="nil"/>
                    <w:tr2bl w:val="nil"/>
                  </w:tcBorders>
                  <w:noWrap w:val="0"/>
                  <w:vAlign w:val="center"/>
                </w:tcPr>
                <w:p w14:paraId="0F9076D6">
                  <w:pPr>
                    <w:pStyle w:val="74"/>
                    <w:keepNext w:val="0"/>
                    <w:keepLines w:val="0"/>
                    <w:pageBreakBefore w:val="0"/>
                    <w:widowControl w:val="0"/>
                    <w:wordWrap/>
                    <w:topLinePunct w:val="0"/>
                    <w:bidi w:val="0"/>
                    <w:snapToGrid w:val="0"/>
                    <w:spacing w:before="63" w:beforeLines="20" w:after="63" w:afterLines="2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w:t>
                  </w:r>
                </w:p>
              </w:tc>
              <w:tc>
                <w:tcPr>
                  <w:tcW w:w="1488" w:type="dxa"/>
                  <w:tcBorders>
                    <w:tl2br w:val="nil"/>
                    <w:tr2bl w:val="nil"/>
                  </w:tcBorders>
                  <w:noWrap w:val="0"/>
                  <w:vAlign w:val="center"/>
                </w:tcPr>
                <w:p w14:paraId="1EC2427E">
                  <w:pPr>
                    <w:pStyle w:val="74"/>
                    <w:keepNext w:val="0"/>
                    <w:keepLines w:val="0"/>
                    <w:pageBreakBefore w:val="0"/>
                    <w:widowControl w:val="0"/>
                    <w:wordWrap/>
                    <w:topLinePunct w:val="0"/>
                    <w:bidi w:val="0"/>
                    <w:snapToGrid w:val="0"/>
                    <w:spacing w:before="63" w:beforeLines="20" w:after="63" w:afterLines="2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221" w:type="dxa"/>
                  <w:tcBorders>
                    <w:tl2br w:val="nil"/>
                    <w:tr2bl w:val="nil"/>
                  </w:tcBorders>
                  <w:noWrap w:val="0"/>
                  <w:vAlign w:val="center"/>
                </w:tcPr>
                <w:p w14:paraId="10BB434A">
                  <w:pPr>
                    <w:pStyle w:val="74"/>
                    <w:keepNext w:val="0"/>
                    <w:keepLines w:val="0"/>
                    <w:pageBreakBefore w:val="0"/>
                    <w:widowControl w:val="0"/>
                    <w:wordWrap/>
                    <w:topLinePunct w:val="0"/>
                    <w:bidi w:val="0"/>
                    <w:snapToGrid w:val="0"/>
                    <w:spacing w:before="63" w:beforeLines="20" w:after="63" w:afterLines="2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14:paraId="68573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748" w:type="dxa"/>
                  <w:vMerge w:val="continue"/>
                  <w:tcBorders>
                    <w:tl2br w:val="nil"/>
                    <w:tr2bl w:val="nil"/>
                  </w:tcBorders>
                  <w:noWrap w:val="0"/>
                  <w:vAlign w:val="center"/>
                </w:tcPr>
                <w:p w14:paraId="3CF8DD79">
                  <w:pPr>
                    <w:pStyle w:val="74"/>
                    <w:keepNext w:val="0"/>
                    <w:keepLines w:val="0"/>
                    <w:pageBreakBefore w:val="0"/>
                    <w:widowControl w:val="0"/>
                    <w:wordWrap/>
                    <w:topLinePunct w:val="0"/>
                    <w:bidi w:val="0"/>
                    <w:snapToGrid w:val="0"/>
                    <w:spacing w:before="63" w:beforeLines="20" w:after="63" w:afterLines="20" w:line="240" w:lineRule="auto"/>
                    <w:ind w:firstLine="0" w:firstLineChars="0"/>
                    <w:rPr>
                      <w:rFonts w:hint="default" w:ascii="Times New Roman" w:hAnsi="Times New Roman" w:cs="Times New Roman"/>
                      <w:color w:val="auto"/>
                      <w:sz w:val="21"/>
                      <w:szCs w:val="21"/>
                    </w:rPr>
                  </w:pPr>
                </w:p>
              </w:tc>
              <w:tc>
                <w:tcPr>
                  <w:tcW w:w="905" w:type="dxa"/>
                  <w:vMerge w:val="continue"/>
                  <w:tcBorders>
                    <w:tl2br w:val="nil"/>
                    <w:tr2bl w:val="nil"/>
                  </w:tcBorders>
                  <w:noWrap w:val="0"/>
                  <w:vAlign w:val="center"/>
                </w:tcPr>
                <w:p w14:paraId="4861F44A">
                  <w:pPr>
                    <w:keepNext w:val="0"/>
                    <w:keepLines w:val="0"/>
                    <w:pageBreakBefore w:val="0"/>
                    <w:widowControl w:val="0"/>
                    <w:tabs>
                      <w:tab w:val="left" w:pos="624"/>
                    </w:tabs>
                    <w:wordWrap/>
                    <w:topLinePunct w:val="0"/>
                    <w:bidi w:val="0"/>
                    <w:snapToGrid w:val="0"/>
                    <w:spacing w:before="63" w:beforeLines="20" w:after="63" w:afterLines="20" w:line="240" w:lineRule="auto"/>
                    <w:ind w:firstLine="0" w:firstLineChars="0"/>
                    <w:jc w:val="center"/>
                    <w:rPr>
                      <w:rFonts w:hint="default" w:ascii="Times New Roman" w:hAnsi="Times New Roman" w:cs="Times New Roman"/>
                      <w:color w:val="auto"/>
                      <w:sz w:val="21"/>
                      <w:szCs w:val="21"/>
                    </w:rPr>
                  </w:pPr>
                </w:p>
              </w:tc>
              <w:tc>
                <w:tcPr>
                  <w:tcW w:w="2533" w:type="dxa"/>
                  <w:tcBorders>
                    <w:tl2br w:val="nil"/>
                    <w:tr2bl w:val="nil"/>
                  </w:tcBorders>
                  <w:noWrap w:val="0"/>
                  <w:vAlign w:val="center"/>
                </w:tcPr>
                <w:p w14:paraId="18657FC4">
                  <w:pPr>
                    <w:keepNext w:val="0"/>
                    <w:keepLines w:val="0"/>
                    <w:pageBreakBefore w:val="0"/>
                    <w:widowControl w:val="0"/>
                    <w:tabs>
                      <w:tab w:val="left" w:pos="624"/>
                    </w:tabs>
                    <w:wordWrap/>
                    <w:topLinePunct w:val="0"/>
                    <w:bidi w:val="0"/>
                    <w:snapToGrid w:val="0"/>
                    <w:spacing w:before="63" w:beforeLines="20" w:after="63" w:afterLines="20" w:line="240" w:lineRule="auto"/>
                    <w:ind w:firstLine="0" w:firstLineChars="0"/>
                    <w:jc w:val="center"/>
                    <w:rPr>
                      <w:rFonts w:hint="default" w:ascii="Times New Roman" w:hAnsi="Times New Roman" w:cs="Times New Roman"/>
                      <w:color w:val="auto"/>
                      <w:sz w:val="21"/>
                      <w:szCs w:val="21"/>
                      <w:lang w:val="en-US" w:eastAsia="zh-CN" w:bidi="ar-SA"/>
                    </w:rPr>
                  </w:pPr>
                  <w:r>
                    <w:rPr>
                      <w:rFonts w:hint="default" w:ascii="Times New Roman" w:hAnsi="Times New Roman" w:cs="Times New Roman"/>
                      <w:bCs/>
                      <w:color w:val="auto"/>
                      <w:sz w:val="21"/>
                      <w:szCs w:val="21"/>
                    </w:rPr>
                    <w:t>遮盖篷布</w:t>
                  </w:r>
                </w:p>
              </w:tc>
              <w:tc>
                <w:tcPr>
                  <w:tcW w:w="1162" w:type="dxa"/>
                  <w:tcBorders>
                    <w:tl2br w:val="nil"/>
                    <w:tr2bl w:val="nil"/>
                  </w:tcBorders>
                  <w:noWrap w:val="0"/>
                  <w:vAlign w:val="center"/>
                </w:tcPr>
                <w:p w14:paraId="7C4AEDF6">
                  <w:pPr>
                    <w:pStyle w:val="74"/>
                    <w:keepNext w:val="0"/>
                    <w:keepLines w:val="0"/>
                    <w:pageBreakBefore w:val="0"/>
                    <w:widowControl w:val="0"/>
                    <w:wordWrap/>
                    <w:topLinePunct w:val="0"/>
                    <w:bidi w:val="0"/>
                    <w:snapToGrid w:val="0"/>
                    <w:spacing w:before="63" w:beforeLines="20" w:after="63" w:afterLines="2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w:t>
                  </w:r>
                </w:p>
              </w:tc>
              <w:tc>
                <w:tcPr>
                  <w:tcW w:w="1488" w:type="dxa"/>
                  <w:tcBorders>
                    <w:tl2br w:val="nil"/>
                    <w:tr2bl w:val="nil"/>
                  </w:tcBorders>
                  <w:noWrap w:val="0"/>
                  <w:vAlign w:val="center"/>
                </w:tcPr>
                <w:p w14:paraId="227AA892">
                  <w:pPr>
                    <w:pStyle w:val="74"/>
                    <w:keepNext w:val="0"/>
                    <w:keepLines w:val="0"/>
                    <w:pageBreakBefore w:val="0"/>
                    <w:widowControl w:val="0"/>
                    <w:wordWrap/>
                    <w:topLinePunct w:val="0"/>
                    <w:bidi w:val="0"/>
                    <w:snapToGrid w:val="0"/>
                    <w:spacing w:before="63" w:beforeLines="20" w:after="63" w:afterLines="2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221" w:type="dxa"/>
                  <w:tcBorders>
                    <w:tl2br w:val="nil"/>
                    <w:tr2bl w:val="nil"/>
                  </w:tcBorders>
                  <w:noWrap w:val="0"/>
                  <w:vAlign w:val="center"/>
                </w:tcPr>
                <w:p w14:paraId="1DA364EF">
                  <w:pPr>
                    <w:pStyle w:val="74"/>
                    <w:keepNext w:val="0"/>
                    <w:keepLines w:val="0"/>
                    <w:pageBreakBefore w:val="0"/>
                    <w:widowControl w:val="0"/>
                    <w:wordWrap/>
                    <w:topLinePunct w:val="0"/>
                    <w:bidi w:val="0"/>
                    <w:snapToGrid w:val="0"/>
                    <w:spacing w:before="63" w:beforeLines="20" w:after="63" w:afterLines="2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14:paraId="62710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748" w:type="dxa"/>
                  <w:vMerge w:val="continue"/>
                  <w:tcBorders>
                    <w:tl2br w:val="nil"/>
                    <w:tr2bl w:val="nil"/>
                  </w:tcBorders>
                  <w:noWrap w:val="0"/>
                  <w:vAlign w:val="center"/>
                </w:tcPr>
                <w:p w14:paraId="00841ED8">
                  <w:pPr>
                    <w:pStyle w:val="74"/>
                    <w:keepNext w:val="0"/>
                    <w:keepLines w:val="0"/>
                    <w:pageBreakBefore w:val="0"/>
                    <w:widowControl w:val="0"/>
                    <w:wordWrap/>
                    <w:topLinePunct w:val="0"/>
                    <w:bidi w:val="0"/>
                    <w:snapToGrid w:val="0"/>
                    <w:spacing w:before="63" w:beforeLines="20" w:after="63" w:afterLines="20" w:line="240" w:lineRule="auto"/>
                    <w:ind w:firstLine="0" w:firstLineChars="0"/>
                    <w:rPr>
                      <w:rFonts w:hint="default" w:ascii="Times New Roman" w:hAnsi="Times New Roman" w:cs="Times New Roman"/>
                      <w:color w:val="auto"/>
                      <w:sz w:val="21"/>
                      <w:szCs w:val="21"/>
                    </w:rPr>
                  </w:pPr>
                </w:p>
              </w:tc>
              <w:tc>
                <w:tcPr>
                  <w:tcW w:w="905" w:type="dxa"/>
                  <w:vMerge w:val="continue"/>
                  <w:tcBorders>
                    <w:tl2br w:val="nil"/>
                    <w:tr2bl w:val="nil"/>
                  </w:tcBorders>
                  <w:noWrap w:val="0"/>
                  <w:vAlign w:val="center"/>
                </w:tcPr>
                <w:p w14:paraId="6E0C4C17">
                  <w:pPr>
                    <w:keepNext w:val="0"/>
                    <w:keepLines w:val="0"/>
                    <w:pageBreakBefore w:val="0"/>
                    <w:widowControl w:val="0"/>
                    <w:tabs>
                      <w:tab w:val="left" w:pos="624"/>
                    </w:tabs>
                    <w:wordWrap/>
                    <w:topLinePunct w:val="0"/>
                    <w:bidi w:val="0"/>
                    <w:snapToGrid w:val="0"/>
                    <w:spacing w:before="63" w:beforeLines="20" w:after="63" w:afterLines="20" w:line="240" w:lineRule="auto"/>
                    <w:ind w:firstLine="0" w:firstLineChars="0"/>
                    <w:jc w:val="center"/>
                    <w:rPr>
                      <w:rFonts w:hint="default" w:ascii="Times New Roman" w:hAnsi="Times New Roman" w:cs="Times New Roman"/>
                      <w:color w:val="auto"/>
                      <w:sz w:val="21"/>
                      <w:szCs w:val="21"/>
                    </w:rPr>
                  </w:pPr>
                </w:p>
              </w:tc>
              <w:tc>
                <w:tcPr>
                  <w:tcW w:w="2533" w:type="dxa"/>
                  <w:tcBorders>
                    <w:tl2br w:val="nil"/>
                    <w:tr2bl w:val="nil"/>
                  </w:tcBorders>
                  <w:noWrap w:val="0"/>
                  <w:vAlign w:val="center"/>
                </w:tcPr>
                <w:p w14:paraId="525804D2">
                  <w:pPr>
                    <w:keepNext w:val="0"/>
                    <w:keepLines w:val="0"/>
                    <w:pageBreakBefore w:val="0"/>
                    <w:widowControl w:val="0"/>
                    <w:tabs>
                      <w:tab w:val="left" w:pos="624"/>
                    </w:tabs>
                    <w:wordWrap/>
                    <w:topLinePunct w:val="0"/>
                    <w:bidi w:val="0"/>
                    <w:snapToGrid w:val="0"/>
                    <w:spacing w:before="63" w:beforeLines="20" w:after="63" w:afterLines="20" w:line="240" w:lineRule="auto"/>
                    <w:ind w:firstLine="0" w:firstLineChars="0"/>
                    <w:jc w:val="center"/>
                    <w:rPr>
                      <w:rFonts w:hint="default" w:ascii="Times New Roman" w:hAnsi="Times New Roman" w:cs="Times New Roman"/>
                      <w:color w:val="auto"/>
                      <w:sz w:val="21"/>
                      <w:szCs w:val="21"/>
                      <w:lang w:val="en-US" w:eastAsia="zh-CN" w:bidi="ar-SA"/>
                    </w:rPr>
                  </w:pPr>
                  <w:r>
                    <w:rPr>
                      <w:rFonts w:hint="default" w:ascii="Times New Roman" w:hAnsi="Times New Roman" w:cs="Times New Roman"/>
                      <w:color w:val="auto"/>
                      <w:sz w:val="21"/>
                      <w:szCs w:val="21"/>
                    </w:rPr>
                    <w:t>临时围挡</w:t>
                  </w:r>
                </w:p>
              </w:tc>
              <w:tc>
                <w:tcPr>
                  <w:tcW w:w="1162" w:type="dxa"/>
                  <w:tcBorders>
                    <w:tl2br w:val="nil"/>
                    <w:tr2bl w:val="nil"/>
                  </w:tcBorders>
                  <w:noWrap w:val="0"/>
                  <w:vAlign w:val="center"/>
                </w:tcPr>
                <w:p w14:paraId="3BEC5752">
                  <w:pPr>
                    <w:pStyle w:val="74"/>
                    <w:keepNext w:val="0"/>
                    <w:keepLines w:val="0"/>
                    <w:pageBreakBefore w:val="0"/>
                    <w:widowControl w:val="0"/>
                    <w:wordWrap/>
                    <w:topLinePunct w:val="0"/>
                    <w:bidi w:val="0"/>
                    <w:snapToGrid w:val="0"/>
                    <w:spacing w:before="63" w:beforeLines="20" w:after="63" w:afterLines="2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w:t>
                  </w:r>
                </w:p>
              </w:tc>
              <w:tc>
                <w:tcPr>
                  <w:tcW w:w="1488" w:type="dxa"/>
                  <w:tcBorders>
                    <w:tl2br w:val="nil"/>
                    <w:tr2bl w:val="nil"/>
                  </w:tcBorders>
                  <w:noWrap w:val="0"/>
                  <w:vAlign w:val="center"/>
                </w:tcPr>
                <w:p w14:paraId="1A70697B">
                  <w:pPr>
                    <w:pStyle w:val="74"/>
                    <w:keepNext w:val="0"/>
                    <w:keepLines w:val="0"/>
                    <w:pageBreakBefore w:val="0"/>
                    <w:widowControl w:val="0"/>
                    <w:wordWrap/>
                    <w:topLinePunct w:val="0"/>
                    <w:bidi w:val="0"/>
                    <w:snapToGrid w:val="0"/>
                    <w:spacing w:before="63" w:beforeLines="20" w:after="63" w:afterLines="2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221" w:type="dxa"/>
                  <w:tcBorders>
                    <w:tl2br w:val="nil"/>
                    <w:tr2bl w:val="nil"/>
                  </w:tcBorders>
                  <w:noWrap w:val="0"/>
                  <w:vAlign w:val="center"/>
                </w:tcPr>
                <w:p w14:paraId="7E56EDEA">
                  <w:pPr>
                    <w:pStyle w:val="74"/>
                    <w:keepNext w:val="0"/>
                    <w:keepLines w:val="0"/>
                    <w:pageBreakBefore w:val="0"/>
                    <w:widowControl w:val="0"/>
                    <w:wordWrap/>
                    <w:topLinePunct w:val="0"/>
                    <w:bidi w:val="0"/>
                    <w:snapToGrid w:val="0"/>
                    <w:spacing w:before="63" w:beforeLines="20" w:after="63" w:afterLines="2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14:paraId="15708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748" w:type="dxa"/>
                  <w:vMerge w:val="continue"/>
                  <w:tcBorders>
                    <w:tl2br w:val="nil"/>
                    <w:tr2bl w:val="nil"/>
                  </w:tcBorders>
                  <w:noWrap w:val="0"/>
                  <w:vAlign w:val="center"/>
                </w:tcPr>
                <w:p w14:paraId="4270B430">
                  <w:pPr>
                    <w:pStyle w:val="74"/>
                    <w:keepNext w:val="0"/>
                    <w:keepLines w:val="0"/>
                    <w:pageBreakBefore w:val="0"/>
                    <w:widowControl w:val="0"/>
                    <w:wordWrap/>
                    <w:topLinePunct w:val="0"/>
                    <w:bidi w:val="0"/>
                    <w:snapToGrid w:val="0"/>
                    <w:spacing w:before="63" w:beforeLines="20" w:after="63" w:afterLines="20" w:line="240" w:lineRule="auto"/>
                    <w:ind w:firstLine="0" w:firstLineChars="0"/>
                    <w:rPr>
                      <w:rFonts w:hint="default" w:ascii="Times New Roman" w:hAnsi="Times New Roman" w:cs="Times New Roman"/>
                      <w:color w:val="auto"/>
                      <w:sz w:val="21"/>
                      <w:szCs w:val="21"/>
                    </w:rPr>
                  </w:pPr>
                </w:p>
              </w:tc>
              <w:tc>
                <w:tcPr>
                  <w:tcW w:w="905" w:type="dxa"/>
                  <w:vMerge w:val="restart"/>
                  <w:tcBorders>
                    <w:tl2br w:val="nil"/>
                    <w:tr2bl w:val="nil"/>
                  </w:tcBorders>
                  <w:noWrap w:val="0"/>
                  <w:vAlign w:val="center"/>
                </w:tcPr>
                <w:p w14:paraId="573A52F1">
                  <w:pPr>
                    <w:keepNext w:val="0"/>
                    <w:keepLines w:val="0"/>
                    <w:pageBreakBefore w:val="0"/>
                    <w:widowControl w:val="0"/>
                    <w:tabs>
                      <w:tab w:val="left" w:pos="624"/>
                    </w:tabs>
                    <w:wordWrap/>
                    <w:topLinePunct w:val="0"/>
                    <w:bidi w:val="0"/>
                    <w:snapToGrid w:val="0"/>
                    <w:spacing w:before="63" w:beforeLines="20" w:after="63" w:afterLines="20" w:line="240" w:lineRule="auto"/>
                    <w:ind w:firstLine="0" w:firstLineChars="0"/>
                    <w:jc w:val="center"/>
                    <w:rPr>
                      <w:rFonts w:hint="default" w:ascii="Times New Roman" w:hAnsi="Times New Roman" w:cs="Times New Roman"/>
                      <w:color w:val="auto"/>
                      <w:sz w:val="21"/>
                      <w:szCs w:val="21"/>
                      <w:lang w:val="en-US" w:eastAsia="zh-CN" w:bidi="ar-SA"/>
                    </w:rPr>
                  </w:pPr>
                  <w:r>
                    <w:rPr>
                      <w:rFonts w:hint="default" w:ascii="Times New Roman" w:hAnsi="Times New Roman" w:cs="Times New Roman"/>
                      <w:color w:val="auto"/>
                      <w:sz w:val="21"/>
                      <w:szCs w:val="21"/>
                      <w:lang w:val="en-US" w:eastAsia="zh-CN" w:bidi="ar-SA"/>
                    </w:rPr>
                    <w:t>废水</w:t>
                  </w:r>
                </w:p>
              </w:tc>
              <w:tc>
                <w:tcPr>
                  <w:tcW w:w="2533" w:type="dxa"/>
                  <w:tcBorders>
                    <w:tl2br w:val="nil"/>
                    <w:tr2bl w:val="nil"/>
                  </w:tcBorders>
                  <w:noWrap w:val="0"/>
                  <w:vAlign w:val="center"/>
                </w:tcPr>
                <w:p w14:paraId="3E368543">
                  <w:pPr>
                    <w:keepNext w:val="0"/>
                    <w:keepLines w:val="0"/>
                    <w:pageBreakBefore w:val="0"/>
                    <w:widowControl w:val="0"/>
                    <w:tabs>
                      <w:tab w:val="left" w:pos="624"/>
                    </w:tabs>
                    <w:wordWrap/>
                    <w:topLinePunct w:val="0"/>
                    <w:bidi w:val="0"/>
                    <w:snapToGrid w:val="0"/>
                    <w:spacing w:before="63" w:beforeLines="20" w:after="63" w:afterLines="20" w:line="240" w:lineRule="auto"/>
                    <w:ind w:firstLine="0" w:firstLineChars="0"/>
                    <w:jc w:val="center"/>
                    <w:rPr>
                      <w:rFonts w:hint="default" w:ascii="Times New Roman" w:hAnsi="Times New Roman" w:cs="Times New Roman"/>
                      <w:color w:val="auto"/>
                      <w:sz w:val="21"/>
                      <w:szCs w:val="21"/>
                      <w:lang w:val="en-US" w:eastAsia="zh-CN" w:bidi="ar-SA"/>
                    </w:rPr>
                  </w:pPr>
                  <w:r>
                    <w:rPr>
                      <w:rFonts w:hint="default" w:ascii="Times New Roman" w:hAnsi="Times New Roman" w:cs="Times New Roman"/>
                      <w:color w:val="auto"/>
                      <w:sz w:val="21"/>
                      <w:szCs w:val="21"/>
                    </w:rPr>
                    <w:t>临时沉淀池</w:t>
                  </w:r>
                </w:p>
              </w:tc>
              <w:tc>
                <w:tcPr>
                  <w:tcW w:w="1162" w:type="dxa"/>
                  <w:tcBorders>
                    <w:tl2br w:val="nil"/>
                    <w:tr2bl w:val="nil"/>
                  </w:tcBorders>
                  <w:noWrap w:val="0"/>
                  <w:vAlign w:val="center"/>
                </w:tcPr>
                <w:p w14:paraId="3AFD8E5D">
                  <w:pPr>
                    <w:pStyle w:val="74"/>
                    <w:keepNext w:val="0"/>
                    <w:keepLines w:val="0"/>
                    <w:pageBreakBefore w:val="0"/>
                    <w:widowControl w:val="0"/>
                    <w:wordWrap/>
                    <w:topLinePunct w:val="0"/>
                    <w:bidi w:val="0"/>
                    <w:snapToGrid w:val="0"/>
                    <w:spacing w:before="63" w:beforeLines="20" w:after="63" w:afterLines="2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0.3</w:t>
                  </w:r>
                </w:p>
              </w:tc>
              <w:tc>
                <w:tcPr>
                  <w:tcW w:w="1488" w:type="dxa"/>
                  <w:tcBorders>
                    <w:tl2br w:val="nil"/>
                    <w:tr2bl w:val="nil"/>
                  </w:tcBorders>
                  <w:noWrap w:val="0"/>
                  <w:vAlign w:val="center"/>
                </w:tcPr>
                <w:p w14:paraId="54F803A5">
                  <w:pPr>
                    <w:pStyle w:val="74"/>
                    <w:keepNext w:val="0"/>
                    <w:keepLines w:val="0"/>
                    <w:pageBreakBefore w:val="0"/>
                    <w:widowControl w:val="0"/>
                    <w:wordWrap/>
                    <w:topLinePunct w:val="0"/>
                    <w:bidi w:val="0"/>
                    <w:snapToGrid w:val="0"/>
                    <w:spacing w:before="63" w:beforeLines="20" w:after="63" w:afterLines="2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221" w:type="dxa"/>
                  <w:tcBorders>
                    <w:tl2br w:val="nil"/>
                    <w:tr2bl w:val="nil"/>
                  </w:tcBorders>
                  <w:noWrap w:val="0"/>
                  <w:vAlign w:val="center"/>
                </w:tcPr>
                <w:p w14:paraId="3DEFD226">
                  <w:pPr>
                    <w:pStyle w:val="74"/>
                    <w:keepNext w:val="0"/>
                    <w:keepLines w:val="0"/>
                    <w:pageBreakBefore w:val="0"/>
                    <w:widowControl w:val="0"/>
                    <w:wordWrap/>
                    <w:topLinePunct w:val="0"/>
                    <w:bidi w:val="0"/>
                    <w:snapToGrid w:val="0"/>
                    <w:spacing w:before="63" w:beforeLines="20" w:after="63" w:afterLines="2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14:paraId="627D2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748" w:type="dxa"/>
                  <w:vMerge w:val="continue"/>
                  <w:tcBorders>
                    <w:tl2br w:val="nil"/>
                    <w:tr2bl w:val="nil"/>
                  </w:tcBorders>
                  <w:noWrap w:val="0"/>
                  <w:vAlign w:val="center"/>
                </w:tcPr>
                <w:p w14:paraId="5D653202">
                  <w:pPr>
                    <w:pStyle w:val="74"/>
                    <w:keepNext w:val="0"/>
                    <w:keepLines w:val="0"/>
                    <w:pageBreakBefore w:val="0"/>
                    <w:widowControl w:val="0"/>
                    <w:wordWrap/>
                    <w:topLinePunct w:val="0"/>
                    <w:bidi w:val="0"/>
                    <w:snapToGrid w:val="0"/>
                    <w:spacing w:before="63" w:beforeLines="20" w:after="63" w:afterLines="20" w:line="240" w:lineRule="auto"/>
                    <w:ind w:firstLine="0" w:firstLineChars="0"/>
                    <w:rPr>
                      <w:rFonts w:hint="default" w:ascii="Times New Roman" w:hAnsi="Times New Roman" w:cs="Times New Roman"/>
                      <w:color w:val="auto"/>
                      <w:sz w:val="21"/>
                      <w:szCs w:val="21"/>
                    </w:rPr>
                  </w:pPr>
                </w:p>
              </w:tc>
              <w:tc>
                <w:tcPr>
                  <w:tcW w:w="905" w:type="dxa"/>
                  <w:vMerge w:val="continue"/>
                  <w:tcBorders>
                    <w:tl2br w:val="nil"/>
                    <w:tr2bl w:val="nil"/>
                  </w:tcBorders>
                  <w:noWrap w:val="0"/>
                  <w:vAlign w:val="center"/>
                </w:tcPr>
                <w:p w14:paraId="1DB19988">
                  <w:pPr>
                    <w:keepNext w:val="0"/>
                    <w:keepLines w:val="0"/>
                    <w:pageBreakBefore w:val="0"/>
                    <w:widowControl w:val="0"/>
                    <w:tabs>
                      <w:tab w:val="left" w:pos="624"/>
                    </w:tabs>
                    <w:wordWrap/>
                    <w:topLinePunct w:val="0"/>
                    <w:bidi w:val="0"/>
                    <w:snapToGrid w:val="0"/>
                    <w:spacing w:before="63" w:beforeLines="20" w:after="63" w:afterLines="20" w:line="240" w:lineRule="auto"/>
                    <w:ind w:firstLine="0" w:firstLineChars="0"/>
                    <w:jc w:val="center"/>
                    <w:rPr>
                      <w:rFonts w:hint="default" w:ascii="Times New Roman" w:hAnsi="Times New Roman" w:cs="Times New Roman"/>
                      <w:color w:val="auto"/>
                      <w:sz w:val="21"/>
                      <w:szCs w:val="21"/>
                      <w:lang w:val="en-US" w:eastAsia="zh-CN" w:bidi="ar-SA"/>
                    </w:rPr>
                  </w:pPr>
                </w:p>
              </w:tc>
              <w:tc>
                <w:tcPr>
                  <w:tcW w:w="2533" w:type="dxa"/>
                  <w:tcBorders>
                    <w:tl2br w:val="nil"/>
                    <w:tr2bl w:val="nil"/>
                  </w:tcBorders>
                  <w:noWrap w:val="0"/>
                  <w:vAlign w:val="center"/>
                </w:tcPr>
                <w:p w14:paraId="3619B68F">
                  <w:pPr>
                    <w:keepNext w:val="0"/>
                    <w:keepLines w:val="0"/>
                    <w:pageBreakBefore w:val="0"/>
                    <w:widowControl w:val="0"/>
                    <w:tabs>
                      <w:tab w:val="left" w:pos="624"/>
                    </w:tabs>
                    <w:wordWrap/>
                    <w:topLinePunct w:val="0"/>
                    <w:bidi w:val="0"/>
                    <w:snapToGrid w:val="0"/>
                    <w:spacing w:before="63" w:beforeLines="20" w:after="63" w:afterLines="20" w:line="240" w:lineRule="auto"/>
                    <w:ind w:firstLine="0" w:firstLineChars="0"/>
                    <w:jc w:val="center"/>
                    <w:rPr>
                      <w:rFonts w:hint="default" w:ascii="Times New Roman" w:hAnsi="Times New Roman" w:cs="Times New Roman"/>
                      <w:color w:val="auto"/>
                      <w:sz w:val="21"/>
                      <w:szCs w:val="21"/>
                      <w:lang w:val="en-US" w:eastAsia="zh-CN" w:bidi="ar-SA"/>
                    </w:rPr>
                  </w:pPr>
                  <w:r>
                    <w:rPr>
                      <w:rFonts w:hint="default" w:ascii="Times New Roman" w:hAnsi="Times New Roman" w:cs="Times New Roman"/>
                      <w:color w:val="auto"/>
                      <w:sz w:val="21"/>
                      <w:szCs w:val="21"/>
                    </w:rPr>
                    <w:t>临时排水沟</w:t>
                  </w:r>
                </w:p>
              </w:tc>
              <w:tc>
                <w:tcPr>
                  <w:tcW w:w="1162" w:type="dxa"/>
                  <w:tcBorders>
                    <w:tl2br w:val="nil"/>
                    <w:tr2bl w:val="nil"/>
                  </w:tcBorders>
                  <w:noWrap w:val="0"/>
                  <w:vAlign w:val="center"/>
                </w:tcPr>
                <w:p w14:paraId="0E584D45">
                  <w:pPr>
                    <w:pStyle w:val="74"/>
                    <w:keepNext w:val="0"/>
                    <w:keepLines w:val="0"/>
                    <w:pageBreakBefore w:val="0"/>
                    <w:widowControl w:val="0"/>
                    <w:wordWrap/>
                    <w:topLinePunct w:val="0"/>
                    <w:bidi w:val="0"/>
                    <w:snapToGrid w:val="0"/>
                    <w:spacing w:before="63" w:beforeLines="20" w:after="63" w:afterLines="2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w:t>
                  </w:r>
                </w:p>
              </w:tc>
              <w:tc>
                <w:tcPr>
                  <w:tcW w:w="1488" w:type="dxa"/>
                  <w:tcBorders>
                    <w:tl2br w:val="nil"/>
                    <w:tr2bl w:val="nil"/>
                  </w:tcBorders>
                  <w:noWrap w:val="0"/>
                  <w:vAlign w:val="center"/>
                </w:tcPr>
                <w:p w14:paraId="118F73B0">
                  <w:pPr>
                    <w:pStyle w:val="74"/>
                    <w:keepNext w:val="0"/>
                    <w:keepLines w:val="0"/>
                    <w:pageBreakBefore w:val="0"/>
                    <w:widowControl w:val="0"/>
                    <w:wordWrap/>
                    <w:topLinePunct w:val="0"/>
                    <w:bidi w:val="0"/>
                    <w:snapToGrid w:val="0"/>
                    <w:spacing w:before="63" w:beforeLines="20" w:after="63" w:afterLines="2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221" w:type="dxa"/>
                  <w:tcBorders>
                    <w:tl2br w:val="nil"/>
                    <w:tr2bl w:val="nil"/>
                  </w:tcBorders>
                  <w:noWrap w:val="0"/>
                  <w:vAlign w:val="center"/>
                </w:tcPr>
                <w:p w14:paraId="21A7D5B6">
                  <w:pPr>
                    <w:pStyle w:val="74"/>
                    <w:keepNext w:val="0"/>
                    <w:keepLines w:val="0"/>
                    <w:pageBreakBefore w:val="0"/>
                    <w:widowControl w:val="0"/>
                    <w:wordWrap/>
                    <w:topLinePunct w:val="0"/>
                    <w:bidi w:val="0"/>
                    <w:snapToGrid w:val="0"/>
                    <w:spacing w:before="63" w:beforeLines="20" w:after="63" w:afterLines="2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14:paraId="653F4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748" w:type="dxa"/>
                  <w:vMerge w:val="continue"/>
                  <w:tcBorders>
                    <w:tl2br w:val="nil"/>
                    <w:tr2bl w:val="nil"/>
                  </w:tcBorders>
                  <w:noWrap w:val="0"/>
                  <w:vAlign w:val="center"/>
                </w:tcPr>
                <w:p w14:paraId="61A08A5B">
                  <w:pPr>
                    <w:pStyle w:val="74"/>
                    <w:keepNext w:val="0"/>
                    <w:keepLines w:val="0"/>
                    <w:pageBreakBefore w:val="0"/>
                    <w:widowControl w:val="0"/>
                    <w:wordWrap/>
                    <w:topLinePunct w:val="0"/>
                    <w:bidi w:val="0"/>
                    <w:snapToGrid w:val="0"/>
                    <w:spacing w:before="63" w:beforeLines="20" w:after="63" w:afterLines="20" w:line="240" w:lineRule="auto"/>
                    <w:ind w:firstLine="0" w:firstLineChars="0"/>
                    <w:rPr>
                      <w:rFonts w:hint="default" w:ascii="Times New Roman" w:hAnsi="Times New Roman" w:cs="Times New Roman"/>
                      <w:color w:val="auto"/>
                      <w:sz w:val="21"/>
                      <w:szCs w:val="21"/>
                    </w:rPr>
                  </w:pPr>
                </w:p>
              </w:tc>
              <w:tc>
                <w:tcPr>
                  <w:tcW w:w="905" w:type="dxa"/>
                  <w:tcBorders>
                    <w:tl2br w:val="nil"/>
                    <w:tr2bl w:val="nil"/>
                  </w:tcBorders>
                  <w:noWrap w:val="0"/>
                  <w:vAlign w:val="center"/>
                </w:tcPr>
                <w:p w14:paraId="29E65B2B">
                  <w:pPr>
                    <w:pStyle w:val="74"/>
                    <w:keepNext w:val="0"/>
                    <w:keepLines w:val="0"/>
                    <w:pageBreakBefore w:val="0"/>
                    <w:widowControl w:val="0"/>
                    <w:wordWrap/>
                    <w:topLinePunct w:val="0"/>
                    <w:bidi w:val="0"/>
                    <w:snapToGrid w:val="0"/>
                    <w:spacing w:before="63" w:beforeLines="20" w:after="63" w:afterLines="20" w:line="240" w:lineRule="auto"/>
                    <w:ind w:firstLine="0" w:firstLineChars="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固体废物</w:t>
                  </w:r>
                </w:p>
              </w:tc>
              <w:tc>
                <w:tcPr>
                  <w:tcW w:w="2533" w:type="dxa"/>
                  <w:tcBorders>
                    <w:tl2br w:val="nil"/>
                    <w:tr2bl w:val="nil"/>
                  </w:tcBorders>
                  <w:noWrap w:val="0"/>
                  <w:vAlign w:val="center"/>
                </w:tcPr>
                <w:p w14:paraId="4F67363F">
                  <w:pPr>
                    <w:pStyle w:val="74"/>
                    <w:keepNext w:val="0"/>
                    <w:keepLines w:val="0"/>
                    <w:pageBreakBefore w:val="0"/>
                    <w:widowControl w:val="0"/>
                    <w:wordWrap/>
                    <w:topLinePunct w:val="0"/>
                    <w:bidi w:val="0"/>
                    <w:snapToGrid w:val="0"/>
                    <w:spacing w:before="63" w:beforeLines="20" w:after="63" w:afterLines="20" w:line="240" w:lineRule="auto"/>
                    <w:ind w:firstLine="0" w:firstLineChars="0"/>
                    <w:rPr>
                      <w:rFonts w:hint="default" w:ascii="Times New Roman" w:hAnsi="Times New Roman" w:cs="Times New Roman"/>
                      <w:color w:val="auto"/>
                      <w:sz w:val="21"/>
                      <w:szCs w:val="21"/>
                      <w:lang w:val="en-US" w:eastAsia="zh-CN" w:bidi="ar-SA"/>
                    </w:rPr>
                  </w:pPr>
                  <w:r>
                    <w:rPr>
                      <w:rFonts w:hint="default" w:ascii="Times New Roman" w:hAnsi="Times New Roman" w:cs="Times New Roman"/>
                      <w:color w:val="auto"/>
                      <w:sz w:val="21"/>
                      <w:szCs w:val="21"/>
                    </w:rPr>
                    <w:t>生活垃圾、建筑垃圾</w:t>
                  </w:r>
                  <w:r>
                    <w:rPr>
                      <w:rFonts w:hint="default" w:ascii="Times New Roman" w:hAnsi="Times New Roman" w:cs="Times New Roman"/>
                      <w:color w:val="auto"/>
                      <w:sz w:val="21"/>
                      <w:szCs w:val="21"/>
                    </w:rPr>
                    <w:cr/>
                  </w:r>
                  <w:r>
                    <w:rPr>
                      <w:rFonts w:hint="default" w:ascii="Times New Roman" w:hAnsi="Times New Roman" w:cs="Times New Roman"/>
                      <w:color w:val="auto"/>
                      <w:sz w:val="21"/>
                      <w:szCs w:val="21"/>
                    </w:rPr>
                    <w:t>等清运、处理、处置</w:t>
                  </w:r>
                </w:p>
              </w:tc>
              <w:tc>
                <w:tcPr>
                  <w:tcW w:w="1162" w:type="dxa"/>
                  <w:tcBorders>
                    <w:tl2br w:val="nil"/>
                    <w:tr2bl w:val="nil"/>
                  </w:tcBorders>
                  <w:noWrap w:val="0"/>
                  <w:vAlign w:val="center"/>
                </w:tcPr>
                <w:p w14:paraId="1CD54B5B">
                  <w:pPr>
                    <w:pStyle w:val="74"/>
                    <w:keepNext w:val="0"/>
                    <w:keepLines w:val="0"/>
                    <w:pageBreakBefore w:val="0"/>
                    <w:widowControl w:val="0"/>
                    <w:wordWrap/>
                    <w:topLinePunct w:val="0"/>
                    <w:bidi w:val="0"/>
                    <w:snapToGrid w:val="0"/>
                    <w:spacing w:before="63" w:beforeLines="20" w:after="63" w:afterLines="2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p>
              </w:tc>
              <w:tc>
                <w:tcPr>
                  <w:tcW w:w="1488" w:type="dxa"/>
                  <w:tcBorders>
                    <w:tl2br w:val="nil"/>
                    <w:tr2bl w:val="nil"/>
                  </w:tcBorders>
                  <w:noWrap w:val="0"/>
                  <w:vAlign w:val="center"/>
                </w:tcPr>
                <w:p w14:paraId="5C12D53B">
                  <w:pPr>
                    <w:pStyle w:val="74"/>
                    <w:keepNext w:val="0"/>
                    <w:keepLines w:val="0"/>
                    <w:pageBreakBefore w:val="0"/>
                    <w:widowControl w:val="0"/>
                    <w:wordWrap/>
                    <w:topLinePunct w:val="0"/>
                    <w:bidi w:val="0"/>
                    <w:snapToGrid w:val="0"/>
                    <w:spacing w:before="63" w:beforeLines="20" w:after="63" w:afterLines="2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221" w:type="dxa"/>
                  <w:tcBorders>
                    <w:tl2br w:val="nil"/>
                    <w:tr2bl w:val="nil"/>
                  </w:tcBorders>
                  <w:noWrap w:val="0"/>
                  <w:vAlign w:val="center"/>
                </w:tcPr>
                <w:p w14:paraId="3EF153CE">
                  <w:pPr>
                    <w:pStyle w:val="74"/>
                    <w:keepNext w:val="0"/>
                    <w:keepLines w:val="0"/>
                    <w:pageBreakBefore w:val="0"/>
                    <w:widowControl w:val="0"/>
                    <w:wordWrap/>
                    <w:topLinePunct w:val="0"/>
                    <w:bidi w:val="0"/>
                    <w:snapToGrid w:val="0"/>
                    <w:spacing w:before="63" w:beforeLines="20" w:after="63" w:afterLines="2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14:paraId="5C43F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748" w:type="dxa"/>
                  <w:vMerge w:val="restart"/>
                  <w:tcBorders>
                    <w:tl2br w:val="nil"/>
                    <w:tr2bl w:val="nil"/>
                  </w:tcBorders>
                  <w:noWrap w:val="0"/>
                  <w:vAlign w:val="center"/>
                </w:tcPr>
                <w:p w14:paraId="4D0387BC">
                  <w:pPr>
                    <w:pStyle w:val="74"/>
                    <w:keepNext w:val="0"/>
                    <w:keepLines w:val="0"/>
                    <w:pageBreakBefore w:val="0"/>
                    <w:widowControl w:val="0"/>
                    <w:wordWrap/>
                    <w:topLinePunct w:val="0"/>
                    <w:bidi w:val="0"/>
                    <w:snapToGrid w:val="0"/>
                    <w:spacing w:before="63" w:beforeLines="20" w:after="63" w:afterLines="20"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运营期</w:t>
                  </w:r>
                </w:p>
              </w:tc>
              <w:tc>
                <w:tcPr>
                  <w:tcW w:w="905" w:type="dxa"/>
                  <w:vMerge w:val="restart"/>
                  <w:tcBorders>
                    <w:tl2br w:val="nil"/>
                    <w:tr2bl w:val="nil"/>
                  </w:tcBorders>
                  <w:noWrap w:val="0"/>
                  <w:vAlign w:val="center"/>
                </w:tcPr>
                <w:p w14:paraId="05353706">
                  <w:pPr>
                    <w:pStyle w:val="74"/>
                    <w:keepNext w:val="0"/>
                    <w:keepLines w:val="0"/>
                    <w:pageBreakBefore w:val="0"/>
                    <w:widowControl w:val="0"/>
                    <w:wordWrap/>
                    <w:topLinePunct w:val="0"/>
                    <w:bidi w:val="0"/>
                    <w:snapToGrid w:val="0"/>
                    <w:spacing w:before="63" w:beforeLines="20" w:after="63" w:afterLines="20" w:line="240" w:lineRule="auto"/>
                    <w:ind w:firstLine="0" w:firstLineChars="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废气</w:t>
                  </w:r>
                </w:p>
              </w:tc>
              <w:tc>
                <w:tcPr>
                  <w:tcW w:w="2533" w:type="dxa"/>
                  <w:tcBorders>
                    <w:tl2br w:val="nil"/>
                    <w:tr2bl w:val="nil"/>
                  </w:tcBorders>
                  <w:noWrap w:val="0"/>
                  <w:vAlign w:val="center"/>
                </w:tcPr>
                <w:p w14:paraId="4501F37B">
                  <w:pPr>
                    <w:pStyle w:val="74"/>
                    <w:keepNext w:val="0"/>
                    <w:keepLines w:val="0"/>
                    <w:pageBreakBefore w:val="0"/>
                    <w:widowControl w:val="0"/>
                    <w:wordWrap/>
                    <w:topLinePunct w:val="0"/>
                    <w:bidi w:val="0"/>
                    <w:snapToGrid w:val="0"/>
                    <w:spacing w:before="63" w:beforeLines="20" w:after="63" w:afterLines="20" w:line="240" w:lineRule="auto"/>
                    <w:ind w:firstLine="0" w:firstLineChars="0"/>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布袋除尘器+脱硫塔</w:t>
                  </w:r>
                </w:p>
              </w:tc>
              <w:tc>
                <w:tcPr>
                  <w:tcW w:w="1162" w:type="dxa"/>
                  <w:tcBorders>
                    <w:tl2br w:val="nil"/>
                    <w:tr2bl w:val="nil"/>
                  </w:tcBorders>
                  <w:noWrap w:val="0"/>
                  <w:vAlign w:val="center"/>
                </w:tcPr>
                <w:p w14:paraId="5F9C6FF9">
                  <w:pPr>
                    <w:pStyle w:val="74"/>
                    <w:keepNext w:val="0"/>
                    <w:keepLines w:val="0"/>
                    <w:pageBreakBefore w:val="0"/>
                    <w:widowControl w:val="0"/>
                    <w:wordWrap/>
                    <w:topLinePunct w:val="0"/>
                    <w:bidi w:val="0"/>
                    <w:snapToGrid w:val="0"/>
                    <w:spacing w:before="63" w:beforeLines="20" w:after="63" w:afterLines="2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42</w:t>
                  </w:r>
                </w:p>
              </w:tc>
              <w:tc>
                <w:tcPr>
                  <w:tcW w:w="1488" w:type="dxa"/>
                  <w:tcBorders>
                    <w:tl2br w:val="nil"/>
                    <w:tr2bl w:val="nil"/>
                  </w:tcBorders>
                  <w:noWrap w:val="0"/>
                  <w:vAlign w:val="center"/>
                </w:tcPr>
                <w:p w14:paraId="7E2EC76B">
                  <w:pPr>
                    <w:pStyle w:val="74"/>
                    <w:keepNext w:val="0"/>
                    <w:keepLines w:val="0"/>
                    <w:pageBreakBefore w:val="0"/>
                    <w:widowControl w:val="0"/>
                    <w:wordWrap/>
                    <w:topLinePunct w:val="0"/>
                    <w:bidi w:val="0"/>
                    <w:snapToGrid w:val="0"/>
                    <w:spacing w:before="63" w:beforeLines="20" w:after="63" w:afterLines="2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bidi="ar-SA"/>
                    </w:rPr>
                    <w:t>1</w:t>
                  </w:r>
                  <w:r>
                    <w:rPr>
                      <w:rFonts w:hint="eastAsia" w:ascii="Times New Roman" w:hAnsi="Times New Roman" w:eastAsia="宋体" w:cs="Times New Roman"/>
                      <w:color w:val="auto"/>
                      <w:sz w:val="21"/>
                      <w:szCs w:val="21"/>
                      <w:lang w:val="en-US" w:eastAsia="zh-CN" w:bidi="ar-SA"/>
                    </w:rPr>
                    <w:t>套</w:t>
                  </w:r>
                </w:p>
              </w:tc>
              <w:tc>
                <w:tcPr>
                  <w:tcW w:w="1221" w:type="dxa"/>
                  <w:tcBorders>
                    <w:tl2br w:val="nil"/>
                    <w:tr2bl w:val="nil"/>
                  </w:tcBorders>
                  <w:noWrap w:val="0"/>
                  <w:vAlign w:val="center"/>
                </w:tcPr>
                <w:p w14:paraId="27358FCC">
                  <w:pPr>
                    <w:pStyle w:val="74"/>
                    <w:keepNext w:val="0"/>
                    <w:keepLines w:val="0"/>
                    <w:pageBreakBefore w:val="0"/>
                    <w:widowControl w:val="0"/>
                    <w:wordWrap/>
                    <w:topLinePunct w:val="0"/>
                    <w:bidi w:val="0"/>
                    <w:snapToGrid w:val="0"/>
                    <w:spacing w:before="63" w:beforeLines="20" w:after="63" w:afterLines="2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新增</w:t>
                  </w:r>
                </w:p>
              </w:tc>
            </w:tr>
            <w:tr w14:paraId="05081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8" w:type="dxa"/>
                  <w:vMerge w:val="continue"/>
                  <w:tcBorders>
                    <w:tl2br w:val="nil"/>
                    <w:tr2bl w:val="nil"/>
                  </w:tcBorders>
                  <w:noWrap w:val="0"/>
                  <w:vAlign w:val="center"/>
                </w:tcPr>
                <w:p w14:paraId="5DC3010D">
                  <w:pPr>
                    <w:pStyle w:val="74"/>
                    <w:keepNext w:val="0"/>
                    <w:keepLines w:val="0"/>
                    <w:pageBreakBefore w:val="0"/>
                    <w:widowControl w:val="0"/>
                    <w:wordWrap/>
                    <w:topLinePunct w:val="0"/>
                    <w:bidi w:val="0"/>
                    <w:snapToGrid w:val="0"/>
                    <w:spacing w:before="63" w:beforeLines="20" w:after="63" w:afterLines="20" w:line="240" w:lineRule="auto"/>
                    <w:ind w:firstLine="0" w:firstLineChars="0"/>
                    <w:rPr>
                      <w:rFonts w:hint="default" w:ascii="Times New Roman" w:hAnsi="Times New Roman" w:cs="Times New Roman"/>
                      <w:color w:val="auto"/>
                      <w:sz w:val="21"/>
                      <w:szCs w:val="21"/>
                    </w:rPr>
                  </w:pPr>
                </w:p>
              </w:tc>
              <w:tc>
                <w:tcPr>
                  <w:tcW w:w="905" w:type="dxa"/>
                  <w:vMerge w:val="continue"/>
                  <w:tcBorders>
                    <w:tl2br w:val="nil"/>
                    <w:tr2bl w:val="nil"/>
                  </w:tcBorders>
                  <w:noWrap w:val="0"/>
                  <w:vAlign w:val="center"/>
                </w:tcPr>
                <w:p w14:paraId="7CDCFAF9">
                  <w:pPr>
                    <w:pStyle w:val="74"/>
                    <w:keepNext w:val="0"/>
                    <w:keepLines w:val="0"/>
                    <w:pageBreakBefore w:val="0"/>
                    <w:widowControl w:val="0"/>
                    <w:wordWrap/>
                    <w:topLinePunct w:val="0"/>
                    <w:bidi w:val="0"/>
                    <w:snapToGrid w:val="0"/>
                    <w:spacing w:before="63" w:beforeLines="20" w:after="63" w:afterLines="20" w:line="240" w:lineRule="auto"/>
                    <w:ind w:firstLine="0" w:firstLineChars="0"/>
                    <w:rPr>
                      <w:rFonts w:hint="default" w:ascii="Times New Roman" w:hAnsi="Times New Roman" w:eastAsia="宋体" w:cs="Times New Roman"/>
                      <w:color w:val="auto"/>
                      <w:sz w:val="21"/>
                      <w:szCs w:val="21"/>
                      <w:lang w:eastAsia="zh-CN"/>
                    </w:rPr>
                  </w:pPr>
                </w:p>
              </w:tc>
              <w:tc>
                <w:tcPr>
                  <w:tcW w:w="2533" w:type="dxa"/>
                  <w:tcBorders>
                    <w:tl2br w:val="nil"/>
                    <w:tr2bl w:val="nil"/>
                  </w:tcBorders>
                  <w:noWrap w:val="0"/>
                  <w:vAlign w:val="center"/>
                </w:tcPr>
                <w:p w14:paraId="4E73D82C">
                  <w:pPr>
                    <w:pStyle w:val="74"/>
                    <w:keepNext w:val="0"/>
                    <w:keepLines w:val="0"/>
                    <w:pageBreakBefore w:val="0"/>
                    <w:widowControl w:val="0"/>
                    <w:wordWrap/>
                    <w:topLinePunct w:val="0"/>
                    <w:bidi w:val="0"/>
                    <w:snapToGrid w:val="0"/>
                    <w:spacing w:before="63" w:beforeLines="20" w:after="63" w:afterLines="20" w:line="240" w:lineRule="auto"/>
                    <w:ind w:firstLine="0" w:firstLineChars="0"/>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原料卸车洒水降尘喷雾头</w:t>
                  </w:r>
                </w:p>
              </w:tc>
              <w:tc>
                <w:tcPr>
                  <w:tcW w:w="1162" w:type="dxa"/>
                  <w:tcBorders>
                    <w:tl2br w:val="nil"/>
                    <w:tr2bl w:val="nil"/>
                  </w:tcBorders>
                  <w:noWrap w:val="0"/>
                  <w:vAlign w:val="center"/>
                </w:tcPr>
                <w:p w14:paraId="2A39BA1A">
                  <w:pPr>
                    <w:pStyle w:val="74"/>
                    <w:keepNext w:val="0"/>
                    <w:keepLines w:val="0"/>
                    <w:pageBreakBefore w:val="0"/>
                    <w:widowControl w:val="0"/>
                    <w:wordWrap/>
                    <w:topLinePunct w:val="0"/>
                    <w:bidi w:val="0"/>
                    <w:snapToGrid w:val="0"/>
                    <w:spacing w:before="63" w:beforeLines="20" w:after="63" w:afterLines="20"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1.5</w:t>
                  </w:r>
                </w:p>
              </w:tc>
              <w:tc>
                <w:tcPr>
                  <w:tcW w:w="1488" w:type="dxa"/>
                  <w:tcBorders>
                    <w:tl2br w:val="nil"/>
                    <w:tr2bl w:val="nil"/>
                  </w:tcBorders>
                  <w:noWrap w:val="0"/>
                  <w:vAlign w:val="center"/>
                </w:tcPr>
                <w:p w14:paraId="412BF314">
                  <w:pPr>
                    <w:pStyle w:val="74"/>
                    <w:keepNext w:val="0"/>
                    <w:keepLines w:val="0"/>
                    <w:pageBreakBefore w:val="0"/>
                    <w:widowControl w:val="0"/>
                    <w:wordWrap/>
                    <w:topLinePunct w:val="0"/>
                    <w:bidi w:val="0"/>
                    <w:snapToGrid w:val="0"/>
                    <w:spacing w:before="63" w:beforeLines="20" w:after="63" w:afterLines="20" w:line="240" w:lineRule="auto"/>
                    <w:ind w:firstLine="0" w:firstLineChars="0"/>
                    <w:jc w:val="center"/>
                    <w:rPr>
                      <w:rFonts w:hint="eastAsia" w:ascii="Times New Roman" w:hAnsi="Times New Roman"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1</w:t>
                  </w:r>
                  <w:r>
                    <w:rPr>
                      <w:rFonts w:hint="eastAsia" w:ascii="Times New Roman" w:hAnsi="Times New Roman" w:eastAsia="宋体" w:cs="Times New Roman"/>
                      <w:color w:val="auto"/>
                      <w:sz w:val="21"/>
                      <w:szCs w:val="21"/>
                      <w:lang w:val="en-US" w:eastAsia="zh-CN" w:bidi="ar-SA"/>
                    </w:rPr>
                    <w:t>套</w:t>
                  </w:r>
                </w:p>
              </w:tc>
              <w:tc>
                <w:tcPr>
                  <w:tcW w:w="1221" w:type="dxa"/>
                  <w:tcBorders>
                    <w:tl2br w:val="nil"/>
                    <w:tr2bl w:val="nil"/>
                  </w:tcBorders>
                  <w:noWrap w:val="0"/>
                  <w:vAlign w:val="center"/>
                </w:tcPr>
                <w:p w14:paraId="29837892">
                  <w:pPr>
                    <w:pStyle w:val="74"/>
                    <w:keepNext w:val="0"/>
                    <w:keepLines w:val="0"/>
                    <w:pageBreakBefore w:val="0"/>
                    <w:widowControl w:val="0"/>
                    <w:wordWrap/>
                    <w:topLinePunct w:val="0"/>
                    <w:bidi w:val="0"/>
                    <w:snapToGrid w:val="0"/>
                    <w:spacing w:before="63" w:beforeLines="20" w:after="63" w:afterLines="20"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新增</w:t>
                  </w:r>
                </w:p>
              </w:tc>
            </w:tr>
            <w:tr w14:paraId="75C5E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748" w:type="dxa"/>
                  <w:vMerge w:val="continue"/>
                  <w:tcBorders>
                    <w:tl2br w:val="nil"/>
                    <w:tr2bl w:val="nil"/>
                  </w:tcBorders>
                  <w:noWrap w:val="0"/>
                  <w:vAlign w:val="center"/>
                </w:tcPr>
                <w:p w14:paraId="1C868FA0">
                  <w:pPr>
                    <w:pStyle w:val="74"/>
                    <w:keepNext w:val="0"/>
                    <w:keepLines w:val="0"/>
                    <w:pageBreakBefore w:val="0"/>
                    <w:widowControl w:val="0"/>
                    <w:wordWrap/>
                    <w:topLinePunct w:val="0"/>
                    <w:bidi w:val="0"/>
                    <w:snapToGrid w:val="0"/>
                    <w:spacing w:before="63" w:beforeLines="20" w:after="63" w:afterLines="20" w:line="240" w:lineRule="auto"/>
                    <w:ind w:firstLine="0" w:firstLineChars="0"/>
                    <w:rPr>
                      <w:rFonts w:hint="default" w:ascii="Times New Roman" w:hAnsi="Times New Roman" w:cs="Times New Roman"/>
                      <w:color w:val="auto"/>
                      <w:sz w:val="21"/>
                      <w:szCs w:val="21"/>
                    </w:rPr>
                  </w:pPr>
                </w:p>
              </w:tc>
              <w:tc>
                <w:tcPr>
                  <w:tcW w:w="905" w:type="dxa"/>
                  <w:vMerge w:val="continue"/>
                  <w:tcBorders>
                    <w:tl2br w:val="nil"/>
                    <w:tr2bl w:val="nil"/>
                  </w:tcBorders>
                  <w:noWrap w:val="0"/>
                  <w:vAlign w:val="center"/>
                </w:tcPr>
                <w:p w14:paraId="1423A169">
                  <w:pPr>
                    <w:pStyle w:val="74"/>
                    <w:keepNext w:val="0"/>
                    <w:keepLines w:val="0"/>
                    <w:pageBreakBefore w:val="0"/>
                    <w:widowControl w:val="0"/>
                    <w:wordWrap/>
                    <w:topLinePunct w:val="0"/>
                    <w:bidi w:val="0"/>
                    <w:snapToGrid w:val="0"/>
                    <w:spacing w:before="63" w:beforeLines="20" w:after="63" w:afterLines="20" w:line="240" w:lineRule="auto"/>
                    <w:ind w:firstLine="0" w:firstLineChars="0"/>
                    <w:rPr>
                      <w:rFonts w:hint="default" w:ascii="Times New Roman" w:hAnsi="Times New Roman" w:eastAsia="宋体" w:cs="Times New Roman"/>
                      <w:color w:val="auto"/>
                      <w:sz w:val="21"/>
                      <w:szCs w:val="21"/>
                      <w:lang w:eastAsia="zh-CN"/>
                    </w:rPr>
                  </w:pPr>
                </w:p>
              </w:tc>
              <w:tc>
                <w:tcPr>
                  <w:tcW w:w="2533" w:type="dxa"/>
                  <w:tcBorders>
                    <w:tl2br w:val="nil"/>
                    <w:tr2bl w:val="nil"/>
                  </w:tcBorders>
                  <w:noWrap w:val="0"/>
                  <w:vAlign w:val="center"/>
                </w:tcPr>
                <w:p w14:paraId="271AF95C">
                  <w:pPr>
                    <w:pStyle w:val="74"/>
                    <w:keepNext w:val="0"/>
                    <w:keepLines w:val="0"/>
                    <w:pageBreakBefore w:val="0"/>
                    <w:widowControl w:val="0"/>
                    <w:wordWrap/>
                    <w:topLinePunct w:val="0"/>
                    <w:bidi w:val="0"/>
                    <w:snapToGrid w:val="0"/>
                    <w:spacing w:before="63" w:beforeLines="20" w:after="63" w:afterLines="20" w:line="240" w:lineRule="auto"/>
                    <w:ind w:firstLine="0" w:firstLineChars="0"/>
                    <w:rPr>
                      <w:rFonts w:hint="default" w:cs="Times New Roman"/>
                      <w:color w:val="auto"/>
                      <w:sz w:val="21"/>
                      <w:szCs w:val="21"/>
                      <w:lang w:val="en-US" w:eastAsia="zh-CN" w:bidi="ar-SA"/>
                    </w:rPr>
                  </w:pPr>
                  <w:r>
                    <w:rPr>
                      <w:rFonts w:hint="eastAsia" w:cs="Times New Roman"/>
                      <w:color w:val="auto"/>
                      <w:sz w:val="21"/>
                      <w:szCs w:val="21"/>
                      <w:lang w:val="en-US" w:eastAsia="zh-CN" w:bidi="ar-SA"/>
                    </w:rPr>
                    <w:t>烟气在线监测</w:t>
                  </w:r>
                </w:p>
              </w:tc>
              <w:tc>
                <w:tcPr>
                  <w:tcW w:w="1162" w:type="dxa"/>
                  <w:tcBorders>
                    <w:tl2br w:val="nil"/>
                    <w:tr2bl w:val="nil"/>
                  </w:tcBorders>
                  <w:noWrap w:val="0"/>
                  <w:vAlign w:val="center"/>
                </w:tcPr>
                <w:p w14:paraId="107194BE">
                  <w:pPr>
                    <w:pStyle w:val="74"/>
                    <w:keepNext w:val="0"/>
                    <w:keepLines w:val="0"/>
                    <w:pageBreakBefore w:val="0"/>
                    <w:widowControl w:val="0"/>
                    <w:wordWrap/>
                    <w:topLinePunct w:val="0"/>
                    <w:bidi w:val="0"/>
                    <w:snapToGrid w:val="0"/>
                    <w:spacing w:before="63" w:beforeLines="20" w:after="63" w:afterLines="20"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25</w:t>
                  </w:r>
                </w:p>
              </w:tc>
              <w:tc>
                <w:tcPr>
                  <w:tcW w:w="1488" w:type="dxa"/>
                  <w:tcBorders>
                    <w:tl2br w:val="nil"/>
                    <w:tr2bl w:val="nil"/>
                  </w:tcBorders>
                  <w:noWrap w:val="0"/>
                  <w:vAlign w:val="center"/>
                </w:tcPr>
                <w:p w14:paraId="6966588A">
                  <w:pPr>
                    <w:pStyle w:val="74"/>
                    <w:keepNext w:val="0"/>
                    <w:keepLines w:val="0"/>
                    <w:pageBreakBefore w:val="0"/>
                    <w:widowControl w:val="0"/>
                    <w:wordWrap/>
                    <w:topLinePunct w:val="0"/>
                    <w:bidi w:val="0"/>
                    <w:snapToGrid w:val="0"/>
                    <w:spacing w:before="63" w:beforeLines="20" w:after="63" w:afterLines="20" w:line="240" w:lineRule="auto"/>
                    <w:ind w:firstLine="0" w:firstLineChars="0"/>
                    <w:jc w:val="center"/>
                    <w:rPr>
                      <w:rFonts w:hint="eastAsia" w:ascii="Times New Roman" w:hAnsi="Times New Roman" w:cs="Times New Roman"/>
                      <w:color w:val="auto"/>
                      <w:sz w:val="21"/>
                      <w:szCs w:val="21"/>
                      <w:lang w:val="en-US" w:eastAsia="zh-CN" w:bidi="ar-SA"/>
                    </w:rPr>
                  </w:pPr>
                  <w:r>
                    <w:rPr>
                      <w:rFonts w:hint="eastAsia" w:ascii="Times New Roman" w:hAnsi="Times New Roman" w:cs="Times New Roman"/>
                      <w:color w:val="auto"/>
                      <w:sz w:val="21"/>
                      <w:szCs w:val="21"/>
                      <w:lang w:val="en-US" w:eastAsia="zh-CN" w:bidi="ar-SA"/>
                    </w:rPr>
                    <w:t>1</w:t>
                  </w:r>
                  <w:r>
                    <w:rPr>
                      <w:rFonts w:hint="eastAsia" w:ascii="Times New Roman" w:hAnsi="Times New Roman" w:eastAsia="宋体" w:cs="Times New Roman"/>
                      <w:color w:val="auto"/>
                      <w:sz w:val="21"/>
                      <w:szCs w:val="21"/>
                      <w:lang w:val="en-US" w:eastAsia="zh-CN" w:bidi="ar-SA"/>
                    </w:rPr>
                    <w:t>套</w:t>
                  </w:r>
                </w:p>
              </w:tc>
              <w:tc>
                <w:tcPr>
                  <w:tcW w:w="1221" w:type="dxa"/>
                  <w:tcBorders>
                    <w:tl2br w:val="nil"/>
                    <w:tr2bl w:val="nil"/>
                  </w:tcBorders>
                  <w:noWrap w:val="0"/>
                  <w:vAlign w:val="center"/>
                </w:tcPr>
                <w:p w14:paraId="7F39A680">
                  <w:pPr>
                    <w:pStyle w:val="74"/>
                    <w:keepNext w:val="0"/>
                    <w:keepLines w:val="0"/>
                    <w:pageBreakBefore w:val="0"/>
                    <w:widowControl w:val="0"/>
                    <w:wordWrap/>
                    <w:topLinePunct w:val="0"/>
                    <w:bidi w:val="0"/>
                    <w:snapToGrid w:val="0"/>
                    <w:spacing w:before="63" w:beforeLines="20" w:after="63" w:afterLines="20"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新增</w:t>
                  </w:r>
                </w:p>
              </w:tc>
            </w:tr>
            <w:tr w14:paraId="4D788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748" w:type="dxa"/>
                  <w:vMerge w:val="continue"/>
                  <w:tcBorders>
                    <w:tl2br w:val="nil"/>
                    <w:tr2bl w:val="nil"/>
                  </w:tcBorders>
                  <w:noWrap w:val="0"/>
                  <w:vAlign w:val="center"/>
                </w:tcPr>
                <w:p w14:paraId="25341B75">
                  <w:pPr>
                    <w:pStyle w:val="74"/>
                    <w:keepNext w:val="0"/>
                    <w:keepLines w:val="0"/>
                    <w:pageBreakBefore w:val="0"/>
                    <w:widowControl w:val="0"/>
                    <w:wordWrap/>
                    <w:topLinePunct w:val="0"/>
                    <w:bidi w:val="0"/>
                    <w:snapToGrid w:val="0"/>
                    <w:spacing w:before="63" w:beforeLines="20" w:after="63" w:afterLines="20" w:line="240" w:lineRule="auto"/>
                    <w:ind w:firstLine="0" w:firstLineChars="0"/>
                    <w:rPr>
                      <w:rFonts w:hint="default" w:ascii="Times New Roman" w:hAnsi="Times New Roman" w:cs="Times New Roman"/>
                      <w:color w:val="auto"/>
                      <w:sz w:val="21"/>
                      <w:szCs w:val="21"/>
                    </w:rPr>
                  </w:pPr>
                </w:p>
              </w:tc>
              <w:tc>
                <w:tcPr>
                  <w:tcW w:w="905" w:type="dxa"/>
                  <w:vMerge w:val="restart"/>
                  <w:tcBorders>
                    <w:tl2br w:val="nil"/>
                    <w:tr2bl w:val="nil"/>
                  </w:tcBorders>
                  <w:noWrap w:val="0"/>
                  <w:vAlign w:val="center"/>
                </w:tcPr>
                <w:p w14:paraId="6DBDB55B">
                  <w:pPr>
                    <w:pStyle w:val="74"/>
                    <w:keepNext w:val="0"/>
                    <w:keepLines w:val="0"/>
                    <w:pageBreakBefore w:val="0"/>
                    <w:widowControl w:val="0"/>
                    <w:wordWrap/>
                    <w:topLinePunct w:val="0"/>
                    <w:bidi w:val="0"/>
                    <w:snapToGrid w:val="0"/>
                    <w:spacing w:before="63" w:beforeLines="20" w:after="63" w:afterLines="20" w:line="240" w:lineRule="auto"/>
                    <w:ind w:firstLine="0" w:firstLine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废水</w:t>
                  </w:r>
                </w:p>
              </w:tc>
              <w:tc>
                <w:tcPr>
                  <w:tcW w:w="2533" w:type="dxa"/>
                  <w:tcBorders>
                    <w:tl2br w:val="nil"/>
                    <w:tr2bl w:val="nil"/>
                  </w:tcBorders>
                  <w:noWrap w:val="0"/>
                  <w:vAlign w:val="center"/>
                </w:tcPr>
                <w:p w14:paraId="60E6FC34">
                  <w:pPr>
                    <w:pStyle w:val="74"/>
                    <w:keepNext w:val="0"/>
                    <w:keepLines w:val="0"/>
                    <w:pageBreakBefore w:val="0"/>
                    <w:widowControl w:val="0"/>
                    <w:wordWrap/>
                    <w:topLinePunct w:val="0"/>
                    <w:bidi w:val="0"/>
                    <w:snapToGrid w:val="0"/>
                    <w:spacing w:before="63" w:beforeLines="20" w:after="63" w:afterLines="20" w:line="240" w:lineRule="auto"/>
                    <w:ind w:firstLine="0" w:firstLineChars="0"/>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初期雨水收集池</w:t>
                  </w:r>
                </w:p>
              </w:tc>
              <w:tc>
                <w:tcPr>
                  <w:tcW w:w="1162" w:type="dxa"/>
                  <w:tcBorders>
                    <w:tl2br w:val="nil"/>
                    <w:tr2bl w:val="nil"/>
                  </w:tcBorders>
                  <w:noWrap w:val="0"/>
                  <w:vAlign w:val="center"/>
                </w:tcPr>
                <w:p w14:paraId="5ECAD948">
                  <w:pPr>
                    <w:pStyle w:val="74"/>
                    <w:keepNext w:val="0"/>
                    <w:keepLines w:val="0"/>
                    <w:pageBreakBefore w:val="0"/>
                    <w:widowControl w:val="0"/>
                    <w:wordWrap/>
                    <w:topLinePunct w:val="0"/>
                    <w:bidi w:val="0"/>
                    <w:snapToGrid w:val="0"/>
                    <w:spacing w:before="63" w:beforeLines="20" w:after="63" w:afterLines="20"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1488" w:type="dxa"/>
                  <w:tcBorders>
                    <w:tl2br w:val="nil"/>
                    <w:tr2bl w:val="nil"/>
                  </w:tcBorders>
                  <w:noWrap w:val="0"/>
                  <w:vAlign w:val="center"/>
                </w:tcPr>
                <w:p w14:paraId="16C4936E">
                  <w:pPr>
                    <w:pStyle w:val="74"/>
                    <w:keepNext w:val="0"/>
                    <w:keepLines w:val="0"/>
                    <w:pageBreakBefore w:val="0"/>
                    <w:widowControl w:val="0"/>
                    <w:wordWrap/>
                    <w:topLinePunct w:val="0"/>
                    <w:bidi w:val="0"/>
                    <w:snapToGrid w:val="0"/>
                    <w:spacing w:before="63" w:beforeLines="20" w:after="63" w:afterLines="20" w:line="240" w:lineRule="auto"/>
                    <w:ind w:firstLine="0" w:firstLineChars="0"/>
                    <w:jc w:val="center"/>
                    <w:rPr>
                      <w:rFonts w:hint="default" w:ascii="Times New Roman" w:hAnsi="Times New Roman" w:cs="Times New Roman"/>
                      <w:color w:val="auto"/>
                      <w:sz w:val="21"/>
                      <w:szCs w:val="21"/>
                      <w:lang w:val="en-US" w:eastAsia="zh-CN" w:bidi="ar-SA"/>
                    </w:rPr>
                  </w:pPr>
                  <w:r>
                    <w:rPr>
                      <w:rFonts w:hint="eastAsia" w:cs="Times New Roman"/>
                      <w:color w:val="auto"/>
                      <w:sz w:val="21"/>
                      <w:szCs w:val="21"/>
                      <w:lang w:val="en-US" w:eastAsia="zh-CN" w:bidi="ar-SA"/>
                    </w:rPr>
                    <w:t>1个300m³</w:t>
                  </w:r>
                </w:p>
              </w:tc>
              <w:tc>
                <w:tcPr>
                  <w:tcW w:w="1221" w:type="dxa"/>
                  <w:tcBorders>
                    <w:tl2br w:val="nil"/>
                    <w:tr2bl w:val="nil"/>
                  </w:tcBorders>
                  <w:noWrap w:val="0"/>
                  <w:vAlign w:val="center"/>
                </w:tcPr>
                <w:p w14:paraId="69017260">
                  <w:pPr>
                    <w:keepNext w:val="0"/>
                    <w:keepLines w:val="0"/>
                    <w:pageBreakBefore w:val="0"/>
                    <w:widowControl w:val="0"/>
                    <w:wordWrap/>
                    <w:topLinePunct w:val="0"/>
                    <w:bidi w:val="0"/>
                    <w:snapToGrid w:val="0"/>
                    <w:spacing w:before="63" w:beforeLines="20" w:after="63" w:afterLines="20"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新增</w:t>
                  </w:r>
                </w:p>
              </w:tc>
            </w:tr>
            <w:tr w14:paraId="0F59B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748" w:type="dxa"/>
                  <w:vMerge w:val="continue"/>
                  <w:tcBorders>
                    <w:tl2br w:val="nil"/>
                    <w:tr2bl w:val="nil"/>
                  </w:tcBorders>
                  <w:noWrap w:val="0"/>
                  <w:vAlign w:val="center"/>
                </w:tcPr>
                <w:p w14:paraId="544DE464">
                  <w:pPr>
                    <w:pStyle w:val="74"/>
                    <w:keepNext w:val="0"/>
                    <w:keepLines w:val="0"/>
                    <w:pageBreakBefore w:val="0"/>
                    <w:widowControl w:val="0"/>
                    <w:wordWrap/>
                    <w:topLinePunct w:val="0"/>
                    <w:bidi w:val="0"/>
                    <w:snapToGrid w:val="0"/>
                    <w:spacing w:before="63" w:beforeLines="20" w:after="63" w:afterLines="20" w:line="240" w:lineRule="auto"/>
                    <w:ind w:firstLine="0" w:firstLineChars="0"/>
                    <w:rPr>
                      <w:rFonts w:hint="default" w:ascii="Times New Roman" w:hAnsi="Times New Roman" w:cs="Times New Roman"/>
                      <w:color w:val="auto"/>
                      <w:sz w:val="21"/>
                      <w:szCs w:val="21"/>
                    </w:rPr>
                  </w:pPr>
                </w:p>
              </w:tc>
              <w:tc>
                <w:tcPr>
                  <w:tcW w:w="905" w:type="dxa"/>
                  <w:vMerge w:val="continue"/>
                  <w:tcBorders>
                    <w:tl2br w:val="nil"/>
                    <w:tr2bl w:val="nil"/>
                  </w:tcBorders>
                  <w:noWrap w:val="0"/>
                  <w:vAlign w:val="center"/>
                </w:tcPr>
                <w:p w14:paraId="7672B592">
                  <w:pPr>
                    <w:pStyle w:val="74"/>
                    <w:keepNext w:val="0"/>
                    <w:keepLines w:val="0"/>
                    <w:pageBreakBefore w:val="0"/>
                    <w:widowControl w:val="0"/>
                    <w:wordWrap/>
                    <w:topLinePunct w:val="0"/>
                    <w:bidi w:val="0"/>
                    <w:snapToGrid w:val="0"/>
                    <w:spacing w:before="63" w:beforeLines="20" w:after="63" w:afterLines="20" w:line="240" w:lineRule="auto"/>
                    <w:ind w:firstLine="0" w:firstLineChars="0"/>
                    <w:rPr>
                      <w:rFonts w:hint="eastAsia" w:cs="Times New Roman"/>
                      <w:color w:val="auto"/>
                      <w:sz w:val="21"/>
                      <w:szCs w:val="21"/>
                      <w:lang w:val="en-US" w:eastAsia="zh-CN"/>
                    </w:rPr>
                  </w:pPr>
                </w:p>
              </w:tc>
              <w:tc>
                <w:tcPr>
                  <w:tcW w:w="2533" w:type="dxa"/>
                  <w:tcBorders>
                    <w:tl2br w:val="nil"/>
                    <w:tr2bl w:val="nil"/>
                  </w:tcBorders>
                  <w:noWrap w:val="0"/>
                  <w:vAlign w:val="center"/>
                </w:tcPr>
                <w:p w14:paraId="4263ECCA">
                  <w:pPr>
                    <w:pStyle w:val="74"/>
                    <w:keepNext w:val="0"/>
                    <w:keepLines w:val="0"/>
                    <w:pageBreakBefore w:val="0"/>
                    <w:widowControl w:val="0"/>
                    <w:wordWrap/>
                    <w:topLinePunct w:val="0"/>
                    <w:bidi w:val="0"/>
                    <w:snapToGrid w:val="0"/>
                    <w:spacing w:before="63" w:beforeLines="20" w:after="63" w:afterLines="20" w:line="240" w:lineRule="auto"/>
                    <w:ind w:firstLine="0" w:firstLineChars="0"/>
                    <w:rPr>
                      <w:rFonts w:hint="default" w:cs="Times New Roman"/>
                      <w:color w:val="auto"/>
                      <w:sz w:val="21"/>
                      <w:szCs w:val="21"/>
                      <w:lang w:val="en-US" w:eastAsia="zh-CN" w:bidi="ar-SA"/>
                    </w:rPr>
                  </w:pPr>
                  <w:r>
                    <w:rPr>
                      <w:rFonts w:hint="eastAsia" w:cs="Times New Roman"/>
                      <w:color w:val="auto"/>
                      <w:sz w:val="21"/>
                      <w:szCs w:val="21"/>
                      <w:lang w:val="en-US" w:eastAsia="zh-CN" w:bidi="ar-SA"/>
                    </w:rPr>
                    <w:t>化粪池</w:t>
                  </w:r>
                </w:p>
              </w:tc>
              <w:tc>
                <w:tcPr>
                  <w:tcW w:w="1162" w:type="dxa"/>
                  <w:tcBorders>
                    <w:tl2br w:val="nil"/>
                    <w:tr2bl w:val="nil"/>
                  </w:tcBorders>
                  <w:noWrap w:val="0"/>
                  <w:vAlign w:val="center"/>
                </w:tcPr>
                <w:p w14:paraId="5787D051">
                  <w:pPr>
                    <w:pStyle w:val="74"/>
                    <w:keepNext w:val="0"/>
                    <w:keepLines w:val="0"/>
                    <w:pageBreakBefore w:val="0"/>
                    <w:widowControl w:val="0"/>
                    <w:wordWrap/>
                    <w:topLinePunct w:val="0"/>
                    <w:bidi w:val="0"/>
                    <w:snapToGrid w:val="0"/>
                    <w:spacing w:before="63" w:beforeLines="20" w:after="63" w:afterLines="20"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0</w:t>
                  </w:r>
                </w:p>
              </w:tc>
              <w:tc>
                <w:tcPr>
                  <w:tcW w:w="1488" w:type="dxa"/>
                  <w:tcBorders>
                    <w:tl2br w:val="nil"/>
                    <w:tr2bl w:val="nil"/>
                  </w:tcBorders>
                  <w:noWrap w:val="0"/>
                  <w:vAlign w:val="center"/>
                </w:tcPr>
                <w:p w14:paraId="0834F63A">
                  <w:pPr>
                    <w:pStyle w:val="74"/>
                    <w:keepNext w:val="0"/>
                    <w:keepLines w:val="0"/>
                    <w:pageBreakBefore w:val="0"/>
                    <w:widowControl w:val="0"/>
                    <w:wordWrap/>
                    <w:topLinePunct w:val="0"/>
                    <w:bidi w:val="0"/>
                    <w:snapToGrid w:val="0"/>
                    <w:spacing w:before="63" w:beforeLines="20" w:after="63" w:afterLines="20" w:line="240" w:lineRule="auto"/>
                    <w:ind w:firstLine="0" w:firstLineChars="0"/>
                    <w:jc w:val="center"/>
                    <w:rPr>
                      <w:rFonts w:hint="default" w:cs="Times New Roman"/>
                      <w:color w:val="auto"/>
                      <w:sz w:val="21"/>
                      <w:szCs w:val="21"/>
                      <w:lang w:val="en-US" w:eastAsia="zh-CN" w:bidi="ar-SA"/>
                    </w:rPr>
                  </w:pPr>
                  <w:r>
                    <w:rPr>
                      <w:rFonts w:hint="eastAsia" w:cs="Times New Roman"/>
                      <w:color w:val="auto"/>
                      <w:sz w:val="21"/>
                      <w:szCs w:val="21"/>
                      <w:lang w:val="en-US" w:eastAsia="zh-CN" w:bidi="ar-SA"/>
                    </w:rPr>
                    <w:t>1个10m³</w:t>
                  </w:r>
                </w:p>
              </w:tc>
              <w:tc>
                <w:tcPr>
                  <w:tcW w:w="1221" w:type="dxa"/>
                  <w:tcBorders>
                    <w:tl2br w:val="nil"/>
                    <w:tr2bl w:val="nil"/>
                  </w:tcBorders>
                  <w:noWrap w:val="0"/>
                  <w:vAlign w:val="center"/>
                </w:tcPr>
                <w:p w14:paraId="60FB43D7">
                  <w:pPr>
                    <w:keepNext w:val="0"/>
                    <w:keepLines w:val="0"/>
                    <w:pageBreakBefore w:val="0"/>
                    <w:widowControl w:val="0"/>
                    <w:wordWrap/>
                    <w:topLinePunct w:val="0"/>
                    <w:bidi w:val="0"/>
                    <w:snapToGrid w:val="0"/>
                    <w:spacing w:before="63" w:beforeLines="20" w:after="63" w:afterLines="20"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新增</w:t>
                  </w:r>
                </w:p>
              </w:tc>
            </w:tr>
            <w:tr w14:paraId="2CF3F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748" w:type="dxa"/>
                  <w:vMerge w:val="continue"/>
                  <w:tcBorders>
                    <w:tl2br w:val="nil"/>
                    <w:tr2bl w:val="nil"/>
                  </w:tcBorders>
                  <w:noWrap w:val="0"/>
                  <w:vAlign w:val="center"/>
                </w:tcPr>
                <w:p w14:paraId="569CE153">
                  <w:pPr>
                    <w:keepNext w:val="0"/>
                    <w:keepLines w:val="0"/>
                    <w:pageBreakBefore w:val="0"/>
                    <w:widowControl w:val="0"/>
                    <w:wordWrap/>
                    <w:topLinePunct w:val="0"/>
                    <w:bidi w:val="0"/>
                    <w:snapToGrid w:val="0"/>
                    <w:spacing w:before="63" w:beforeLines="20" w:after="63" w:afterLines="20" w:line="240" w:lineRule="auto"/>
                    <w:ind w:firstLine="0" w:firstLineChars="0"/>
                    <w:jc w:val="left"/>
                    <w:rPr>
                      <w:rFonts w:hint="default" w:ascii="Times New Roman" w:hAnsi="Times New Roman" w:cs="Times New Roman"/>
                      <w:color w:val="auto"/>
                      <w:sz w:val="21"/>
                      <w:szCs w:val="21"/>
                    </w:rPr>
                  </w:pPr>
                </w:p>
              </w:tc>
              <w:tc>
                <w:tcPr>
                  <w:tcW w:w="905" w:type="dxa"/>
                  <w:tcBorders>
                    <w:tl2br w:val="nil"/>
                    <w:tr2bl w:val="nil"/>
                  </w:tcBorders>
                  <w:noWrap w:val="0"/>
                  <w:vAlign w:val="center"/>
                </w:tcPr>
                <w:p w14:paraId="0D891740">
                  <w:pPr>
                    <w:pStyle w:val="74"/>
                    <w:keepNext w:val="0"/>
                    <w:keepLines w:val="0"/>
                    <w:pageBreakBefore w:val="0"/>
                    <w:widowControl w:val="0"/>
                    <w:wordWrap/>
                    <w:topLinePunct w:val="0"/>
                    <w:bidi w:val="0"/>
                    <w:snapToGrid w:val="0"/>
                    <w:spacing w:before="63" w:beforeLines="20" w:after="63" w:afterLines="20" w:line="240" w:lineRule="auto"/>
                    <w:ind w:firstLine="0" w:firstLineChars="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噪声</w:t>
                  </w:r>
                </w:p>
              </w:tc>
              <w:tc>
                <w:tcPr>
                  <w:tcW w:w="2533" w:type="dxa"/>
                  <w:tcBorders>
                    <w:tl2br w:val="nil"/>
                    <w:tr2bl w:val="nil"/>
                  </w:tcBorders>
                  <w:noWrap w:val="0"/>
                  <w:vAlign w:val="center"/>
                </w:tcPr>
                <w:p w14:paraId="2A08F83C">
                  <w:pPr>
                    <w:pStyle w:val="74"/>
                    <w:keepNext w:val="0"/>
                    <w:keepLines w:val="0"/>
                    <w:pageBreakBefore w:val="0"/>
                    <w:widowControl w:val="0"/>
                    <w:wordWrap/>
                    <w:topLinePunct w:val="0"/>
                    <w:bidi w:val="0"/>
                    <w:snapToGrid w:val="0"/>
                    <w:spacing w:before="63" w:beforeLines="20" w:after="63" w:afterLines="20" w:line="240" w:lineRule="auto"/>
                    <w:ind w:firstLine="0" w:firstLineChars="0"/>
                    <w:rPr>
                      <w:rFonts w:hint="default" w:ascii="Times New Roman" w:hAnsi="Times New Roman" w:cs="Times New Roman"/>
                      <w:color w:val="auto"/>
                      <w:sz w:val="21"/>
                      <w:szCs w:val="21"/>
                      <w:lang w:val="en-US" w:eastAsia="zh-CN" w:bidi="ar-SA"/>
                    </w:rPr>
                  </w:pPr>
                  <w:r>
                    <w:rPr>
                      <w:rFonts w:hint="eastAsia" w:cs="Times New Roman"/>
                      <w:color w:val="auto"/>
                      <w:sz w:val="21"/>
                      <w:szCs w:val="21"/>
                      <w:lang w:val="en-US" w:eastAsia="zh-CN" w:bidi="ar-SA"/>
                    </w:rPr>
                    <w:t>厂房隔声、减震垫等</w:t>
                  </w:r>
                </w:p>
              </w:tc>
              <w:tc>
                <w:tcPr>
                  <w:tcW w:w="1162" w:type="dxa"/>
                  <w:tcBorders>
                    <w:tl2br w:val="nil"/>
                    <w:tr2bl w:val="nil"/>
                  </w:tcBorders>
                  <w:noWrap w:val="0"/>
                  <w:vAlign w:val="center"/>
                </w:tcPr>
                <w:p w14:paraId="49AFC6A0">
                  <w:pPr>
                    <w:pStyle w:val="74"/>
                    <w:keepNext w:val="0"/>
                    <w:keepLines w:val="0"/>
                    <w:pageBreakBefore w:val="0"/>
                    <w:widowControl w:val="0"/>
                    <w:wordWrap/>
                    <w:topLinePunct w:val="0"/>
                    <w:bidi w:val="0"/>
                    <w:snapToGrid w:val="0"/>
                    <w:spacing w:before="63" w:beforeLines="20" w:after="63" w:afterLines="2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c>
                <w:tcPr>
                  <w:tcW w:w="1488" w:type="dxa"/>
                  <w:tcBorders>
                    <w:tl2br w:val="nil"/>
                    <w:tr2bl w:val="nil"/>
                  </w:tcBorders>
                  <w:noWrap w:val="0"/>
                  <w:vAlign w:val="center"/>
                </w:tcPr>
                <w:p w14:paraId="191D7976">
                  <w:pPr>
                    <w:pStyle w:val="74"/>
                    <w:keepNext w:val="0"/>
                    <w:keepLines w:val="0"/>
                    <w:pageBreakBefore w:val="0"/>
                    <w:widowControl w:val="0"/>
                    <w:wordWrap/>
                    <w:topLinePunct w:val="0"/>
                    <w:bidi w:val="0"/>
                    <w:snapToGrid w:val="0"/>
                    <w:spacing w:before="63" w:beforeLines="20" w:after="63" w:afterLines="2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221" w:type="dxa"/>
                  <w:tcBorders>
                    <w:tl2br w:val="nil"/>
                    <w:tr2bl w:val="nil"/>
                  </w:tcBorders>
                  <w:noWrap w:val="0"/>
                  <w:vAlign w:val="center"/>
                </w:tcPr>
                <w:p w14:paraId="1840E5C7">
                  <w:pPr>
                    <w:pStyle w:val="74"/>
                    <w:keepNext w:val="0"/>
                    <w:keepLines w:val="0"/>
                    <w:pageBreakBefore w:val="0"/>
                    <w:widowControl w:val="0"/>
                    <w:wordWrap/>
                    <w:topLinePunct w:val="0"/>
                    <w:bidi w:val="0"/>
                    <w:snapToGrid w:val="0"/>
                    <w:spacing w:before="63" w:beforeLines="20" w:after="63" w:afterLines="2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新增</w:t>
                  </w:r>
                </w:p>
              </w:tc>
            </w:tr>
            <w:tr w14:paraId="48663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48" w:type="dxa"/>
                  <w:vMerge w:val="continue"/>
                  <w:tcBorders>
                    <w:tl2br w:val="nil"/>
                    <w:tr2bl w:val="nil"/>
                  </w:tcBorders>
                  <w:noWrap w:val="0"/>
                  <w:vAlign w:val="center"/>
                </w:tcPr>
                <w:p w14:paraId="73BD7DE1">
                  <w:pPr>
                    <w:keepNext w:val="0"/>
                    <w:keepLines w:val="0"/>
                    <w:pageBreakBefore w:val="0"/>
                    <w:widowControl w:val="0"/>
                    <w:wordWrap/>
                    <w:topLinePunct w:val="0"/>
                    <w:bidi w:val="0"/>
                    <w:snapToGrid w:val="0"/>
                    <w:spacing w:before="63" w:beforeLines="20" w:after="63" w:afterLines="20" w:line="240" w:lineRule="auto"/>
                    <w:ind w:firstLine="0" w:firstLineChars="0"/>
                    <w:jc w:val="left"/>
                    <w:rPr>
                      <w:rFonts w:hint="default" w:ascii="Times New Roman" w:hAnsi="Times New Roman" w:cs="Times New Roman"/>
                      <w:color w:val="auto"/>
                      <w:sz w:val="21"/>
                      <w:szCs w:val="21"/>
                    </w:rPr>
                  </w:pPr>
                </w:p>
              </w:tc>
              <w:tc>
                <w:tcPr>
                  <w:tcW w:w="905" w:type="dxa"/>
                  <w:vMerge w:val="restart"/>
                  <w:tcBorders>
                    <w:tl2br w:val="nil"/>
                    <w:tr2bl w:val="nil"/>
                  </w:tcBorders>
                  <w:noWrap w:val="0"/>
                  <w:vAlign w:val="center"/>
                </w:tcPr>
                <w:p w14:paraId="15CEAF86">
                  <w:pPr>
                    <w:pStyle w:val="74"/>
                    <w:keepNext w:val="0"/>
                    <w:keepLines w:val="0"/>
                    <w:pageBreakBefore w:val="0"/>
                    <w:widowControl w:val="0"/>
                    <w:wordWrap/>
                    <w:topLinePunct w:val="0"/>
                    <w:bidi w:val="0"/>
                    <w:snapToGrid w:val="0"/>
                    <w:spacing w:before="63" w:beforeLines="20" w:after="63" w:afterLines="20" w:line="240" w:lineRule="auto"/>
                    <w:ind w:firstLine="0" w:firstLineChars="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固体废物</w:t>
                  </w:r>
                </w:p>
              </w:tc>
              <w:tc>
                <w:tcPr>
                  <w:tcW w:w="2533" w:type="dxa"/>
                  <w:tcBorders>
                    <w:tl2br w:val="nil"/>
                    <w:tr2bl w:val="nil"/>
                  </w:tcBorders>
                  <w:noWrap w:val="0"/>
                  <w:vAlign w:val="center"/>
                </w:tcPr>
                <w:p w14:paraId="3B96D801">
                  <w:pPr>
                    <w:pStyle w:val="74"/>
                    <w:keepNext w:val="0"/>
                    <w:keepLines w:val="0"/>
                    <w:pageBreakBefore w:val="0"/>
                    <w:widowControl w:val="0"/>
                    <w:wordWrap/>
                    <w:topLinePunct w:val="0"/>
                    <w:bidi w:val="0"/>
                    <w:snapToGrid w:val="0"/>
                    <w:spacing w:before="63" w:beforeLines="20" w:after="63" w:afterLines="20" w:line="240" w:lineRule="auto"/>
                    <w:ind w:firstLine="0" w:firstLineChars="0"/>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废料收集桶</w:t>
                  </w:r>
                </w:p>
              </w:tc>
              <w:tc>
                <w:tcPr>
                  <w:tcW w:w="1162" w:type="dxa"/>
                  <w:tcBorders>
                    <w:tl2br w:val="nil"/>
                    <w:tr2bl w:val="nil"/>
                  </w:tcBorders>
                  <w:noWrap w:val="0"/>
                  <w:vAlign w:val="center"/>
                </w:tcPr>
                <w:p w14:paraId="6BEF5B53">
                  <w:pPr>
                    <w:keepNext w:val="0"/>
                    <w:keepLines w:val="0"/>
                    <w:pageBreakBefore w:val="0"/>
                    <w:widowControl w:val="0"/>
                    <w:wordWrap/>
                    <w:topLinePunct w:val="0"/>
                    <w:bidi w:val="0"/>
                    <w:snapToGrid w:val="0"/>
                    <w:spacing w:before="63" w:beforeLines="20" w:after="63" w:afterLines="20"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0.1</w:t>
                  </w:r>
                </w:p>
              </w:tc>
              <w:tc>
                <w:tcPr>
                  <w:tcW w:w="1488" w:type="dxa"/>
                  <w:tcBorders>
                    <w:tl2br w:val="nil"/>
                    <w:tr2bl w:val="nil"/>
                  </w:tcBorders>
                  <w:noWrap w:val="0"/>
                  <w:vAlign w:val="center"/>
                </w:tcPr>
                <w:p w14:paraId="59ED9189">
                  <w:pPr>
                    <w:keepNext w:val="0"/>
                    <w:keepLines w:val="0"/>
                    <w:pageBreakBefore w:val="0"/>
                    <w:widowControl w:val="0"/>
                    <w:wordWrap/>
                    <w:topLinePunct w:val="0"/>
                    <w:bidi w:val="0"/>
                    <w:snapToGrid w:val="0"/>
                    <w:spacing w:before="63" w:beforeLines="20" w:after="63" w:afterLines="20"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若干</w:t>
                  </w:r>
                </w:p>
              </w:tc>
              <w:tc>
                <w:tcPr>
                  <w:tcW w:w="1221" w:type="dxa"/>
                  <w:tcBorders>
                    <w:tl2br w:val="nil"/>
                    <w:tr2bl w:val="nil"/>
                  </w:tcBorders>
                  <w:noWrap w:val="0"/>
                  <w:vAlign w:val="center"/>
                </w:tcPr>
                <w:p w14:paraId="66BCCCC0">
                  <w:pPr>
                    <w:pStyle w:val="74"/>
                    <w:keepNext w:val="0"/>
                    <w:keepLines w:val="0"/>
                    <w:pageBreakBefore w:val="0"/>
                    <w:widowControl w:val="0"/>
                    <w:wordWrap/>
                    <w:topLinePunct w:val="0"/>
                    <w:bidi w:val="0"/>
                    <w:snapToGrid w:val="0"/>
                    <w:spacing w:before="63" w:beforeLines="20" w:after="63" w:afterLines="20" w:line="240" w:lineRule="auto"/>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新增</w:t>
                  </w:r>
                </w:p>
              </w:tc>
            </w:tr>
            <w:tr w14:paraId="6133C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748" w:type="dxa"/>
                  <w:vMerge w:val="continue"/>
                  <w:tcBorders>
                    <w:tl2br w:val="nil"/>
                    <w:tr2bl w:val="nil"/>
                  </w:tcBorders>
                  <w:noWrap w:val="0"/>
                  <w:vAlign w:val="center"/>
                </w:tcPr>
                <w:p w14:paraId="1A4520B4">
                  <w:pPr>
                    <w:keepNext w:val="0"/>
                    <w:keepLines w:val="0"/>
                    <w:pageBreakBefore w:val="0"/>
                    <w:widowControl w:val="0"/>
                    <w:wordWrap/>
                    <w:topLinePunct w:val="0"/>
                    <w:bidi w:val="0"/>
                    <w:snapToGrid w:val="0"/>
                    <w:spacing w:before="63" w:beforeLines="20" w:after="63" w:afterLines="20" w:line="240" w:lineRule="auto"/>
                    <w:ind w:firstLine="0" w:firstLineChars="0"/>
                    <w:jc w:val="left"/>
                    <w:rPr>
                      <w:rFonts w:hint="default" w:ascii="Times New Roman" w:hAnsi="Times New Roman" w:cs="Times New Roman"/>
                      <w:color w:val="auto"/>
                      <w:sz w:val="21"/>
                      <w:szCs w:val="21"/>
                    </w:rPr>
                  </w:pPr>
                </w:p>
              </w:tc>
              <w:tc>
                <w:tcPr>
                  <w:tcW w:w="905" w:type="dxa"/>
                  <w:vMerge w:val="continue"/>
                  <w:tcBorders>
                    <w:tl2br w:val="nil"/>
                    <w:tr2bl w:val="nil"/>
                  </w:tcBorders>
                  <w:noWrap w:val="0"/>
                  <w:vAlign w:val="center"/>
                </w:tcPr>
                <w:p w14:paraId="4D4DD0B4">
                  <w:pPr>
                    <w:pStyle w:val="74"/>
                    <w:keepNext w:val="0"/>
                    <w:keepLines w:val="0"/>
                    <w:pageBreakBefore w:val="0"/>
                    <w:widowControl w:val="0"/>
                    <w:wordWrap/>
                    <w:topLinePunct w:val="0"/>
                    <w:bidi w:val="0"/>
                    <w:snapToGrid w:val="0"/>
                    <w:spacing w:before="63" w:beforeLines="20" w:after="63" w:afterLines="20" w:line="240" w:lineRule="auto"/>
                    <w:ind w:firstLine="0" w:firstLineChars="0"/>
                    <w:rPr>
                      <w:rFonts w:hint="default" w:ascii="Times New Roman" w:hAnsi="Times New Roman" w:cs="Times New Roman"/>
                      <w:color w:val="auto"/>
                      <w:sz w:val="21"/>
                      <w:szCs w:val="21"/>
                      <w:lang w:eastAsia="zh-CN"/>
                    </w:rPr>
                  </w:pPr>
                </w:p>
              </w:tc>
              <w:tc>
                <w:tcPr>
                  <w:tcW w:w="2533" w:type="dxa"/>
                  <w:tcBorders>
                    <w:tl2br w:val="nil"/>
                    <w:tr2bl w:val="nil"/>
                  </w:tcBorders>
                  <w:noWrap w:val="0"/>
                  <w:vAlign w:val="center"/>
                </w:tcPr>
                <w:p w14:paraId="682587D7">
                  <w:pPr>
                    <w:pStyle w:val="74"/>
                    <w:keepNext w:val="0"/>
                    <w:keepLines w:val="0"/>
                    <w:pageBreakBefore w:val="0"/>
                    <w:widowControl w:val="0"/>
                    <w:wordWrap/>
                    <w:topLinePunct w:val="0"/>
                    <w:bidi w:val="0"/>
                    <w:snapToGrid w:val="0"/>
                    <w:spacing w:before="63" w:beforeLines="20" w:after="63" w:afterLines="20" w:line="240" w:lineRule="auto"/>
                    <w:ind w:firstLine="0" w:firstLineChars="0"/>
                    <w:rPr>
                      <w:rFonts w:hint="default" w:cs="Times New Roman"/>
                      <w:color w:val="auto"/>
                      <w:sz w:val="21"/>
                      <w:szCs w:val="21"/>
                      <w:lang w:val="en-US" w:eastAsia="zh-CN" w:bidi="ar-SA"/>
                    </w:rPr>
                  </w:pPr>
                  <w:r>
                    <w:rPr>
                      <w:rFonts w:hint="eastAsia" w:cs="Times New Roman"/>
                      <w:color w:val="auto"/>
                      <w:sz w:val="21"/>
                      <w:szCs w:val="21"/>
                      <w:lang w:val="en-US" w:eastAsia="zh-CN" w:bidi="ar-SA"/>
                    </w:rPr>
                    <w:t>危废贮存库</w:t>
                  </w:r>
                </w:p>
              </w:tc>
              <w:tc>
                <w:tcPr>
                  <w:tcW w:w="1162" w:type="dxa"/>
                  <w:tcBorders>
                    <w:tl2br w:val="nil"/>
                    <w:tr2bl w:val="nil"/>
                  </w:tcBorders>
                  <w:noWrap w:val="0"/>
                  <w:vAlign w:val="center"/>
                </w:tcPr>
                <w:p w14:paraId="24C93442">
                  <w:pPr>
                    <w:keepNext w:val="0"/>
                    <w:keepLines w:val="0"/>
                    <w:pageBreakBefore w:val="0"/>
                    <w:widowControl w:val="0"/>
                    <w:wordWrap/>
                    <w:topLinePunct w:val="0"/>
                    <w:bidi w:val="0"/>
                    <w:snapToGrid w:val="0"/>
                    <w:spacing w:before="63" w:beforeLines="20" w:after="63" w:afterLines="20"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4</w:t>
                  </w:r>
                </w:p>
              </w:tc>
              <w:tc>
                <w:tcPr>
                  <w:tcW w:w="1488" w:type="dxa"/>
                  <w:tcBorders>
                    <w:tl2br w:val="nil"/>
                    <w:tr2bl w:val="nil"/>
                  </w:tcBorders>
                  <w:noWrap w:val="0"/>
                  <w:vAlign w:val="center"/>
                </w:tcPr>
                <w:p w14:paraId="4FB72B44">
                  <w:pPr>
                    <w:keepNext w:val="0"/>
                    <w:keepLines w:val="0"/>
                    <w:pageBreakBefore w:val="0"/>
                    <w:widowControl w:val="0"/>
                    <w:wordWrap/>
                    <w:topLinePunct w:val="0"/>
                    <w:bidi w:val="0"/>
                    <w:snapToGrid w:val="0"/>
                    <w:spacing w:before="63" w:beforeLines="20" w:after="63" w:afterLines="20" w:line="240" w:lineRule="auto"/>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1221" w:type="dxa"/>
                  <w:tcBorders>
                    <w:tl2br w:val="nil"/>
                    <w:tr2bl w:val="nil"/>
                  </w:tcBorders>
                  <w:noWrap w:val="0"/>
                  <w:vAlign w:val="center"/>
                </w:tcPr>
                <w:p w14:paraId="45911B93">
                  <w:pPr>
                    <w:pStyle w:val="74"/>
                    <w:keepNext w:val="0"/>
                    <w:keepLines w:val="0"/>
                    <w:pageBreakBefore w:val="0"/>
                    <w:widowControl w:val="0"/>
                    <w:wordWrap/>
                    <w:topLinePunct w:val="0"/>
                    <w:bidi w:val="0"/>
                    <w:snapToGrid w:val="0"/>
                    <w:spacing w:before="63" w:beforeLines="20" w:after="63" w:afterLines="20" w:line="240" w:lineRule="auto"/>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新增</w:t>
                  </w:r>
                </w:p>
              </w:tc>
            </w:tr>
            <w:tr w14:paraId="37EB3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748" w:type="dxa"/>
                  <w:vMerge w:val="continue"/>
                  <w:tcBorders>
                    <w:tl2br w:val="nil"/>
                    <w:tr2bl w:val="nil"/>
                  </w:tcBorders>
                  <w:noWrap w:val="0"/>
                  <w:vAlign w:val="center"/>
                </w:tcPr>
                <w:p w14:paraId="51585536">
                  <w:pPr>
                    <w:keepNext w:val="0"/>
                    <w:keepLines w:val="0"/>
                    <w:pageBreakBefore w:val="0"/>
                    <w:widowControl w:val="0"/>
                    <w:wordWrap/>
                    <w:topLinePunct w:val="0"/>
                    <w:bidi w:val="0"/>
                    <w:snapToGrid w:val="0"/>
                    <w:spacing w:before="63" w:beforeLines="20" w:after="63" w:afterLines="20" w:line="240" w:lineRule="auto"/>
                    <w:ind w:firstLine="0" w:firstLineChars="0"/>
                    <w:jc w:val="left"/>
                    <w:rPr>
                      <w:rFonts w:hint="default" w:ascii="Times New Roman" w:hAnsi="Times New Roman" w:cs="Times New Roman"/>
                      <w:color w:val="auto"/>
                      <w:sz w:val="21"/>
                      <w:szCs w:val="21"/>
                    </w:rPr>
                  </w:pPr>
                </w:p>
              </w:tc>
              <w:tc>
                <w:tcPr>
                  <w:tcW w:w="905" w:type="dxa"/>
                  <w:tcBorders>
                    <w:tl2br w:val="nil"/>
                    <w:tr2bl w:val="nil"/>
                  </w:tcBorders>
                  <w:noWrap w:val="0"/>
                  <w:vAlign w:val="center"/>
                </w:tcPr>
                <w:p w14:paraId="6CD04FF7">
                  <w:pPr>
                    <w:pStyle w:val="74"/>
                    <w:keepNext w:val="0"/>
                    <w:keepLines w:val="0"/>
                    <w:pageBreakBefore w:val="0"/>
                    <w:widowControl w:val="0"/>
                    <w:wordWrap/>
                    <w:topLinePunct w:val="0"/>
                    <w:bidi w:val="0"/>
                    <w:snapToGrid w:val="0"/>
                    <w:spacing w:before="63" w:beforeLines="20" w:after="63" w:afterLines="20" w:line="240" w:lineRule="auto"/>
                    <w:ind w:firstLine="0" w:firstLineChars="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防渗措施</w:t>
                  </w:r>
                </w:p>
              </w:tc>
              <w:tc>
                <w:tcPr>
                  <w:tcW w:w="2533" w:type="dxa"/>
                  <w:tcBorders>
                    <w:tl2br w:val="nil"/>
                    <w:tr2bl w:val="nil"/>
                  </w:tcBorders>
                  <w:noWrap w:val="0"/>
                  <w:vAlign w:val="center"/>
                </w:tcPr>
                <w:p w14:paraId="466FFCA5">
                  <w:pPr>
                    <w:pStyle w:val="74"/>
                    <w:keepNext w:val="0"/>
                    <w:keepLines w:val="0"/>
                    <w:pageBreakBefore w:val="0"/>
                    <w:widowControl w:val="0"/>
                    <w:wordWrap/>
                    <w:topLinePunct w:val="0"/>
                    <w:bidi w:val="0"/>
                    <w:snapToGrid w:val="0"/>
                    <w:spacing w:before="63" w:beforeLines="20" w:after="63" w:afterLines="20" w:line="240" w:lineRule="auto"/>
                    <w:ind w:firstLine="0" w:firstLineChars="0"/>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脱硫塔沉淀池和循环水池重点防渗措施</w:t>
                  </w:r>
                </w:p>
              </w:tc>
              <w:tc>
                <w:tcPr>
                  <w:tcW w:w="1162" w:type="dxa"/>
                  <w:tcBorders>
                    <w:tl2br w:val="nil"/>
                    <w:tr2bl w:val="nil"/>
                  </w:tcBorders>
                  <w:noWrap w:val="0"/>
                  <w:vAlign w:val="center"/>
                </w:tcPr>
                <w:p w14:paraId="7E217E9A">
                  <w:pPr>
                    <w:keepNext w:val="0"/>
                    <w:keepLines w:val="0"/>
                    <w:pageBreakBefore w:val="0"/>
                    <w:widowControl w:val="0"/>
                    <w:wordWrap/>
                    <w:topLinePunct w:val="0"/>
                    <w:bidi w:val="0"/>
                    <w:snapToGrid w:val="0"/>
                    <w:spacing w:before="63" w:beforeLines="20" w:after="63" w:afterLines="2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c>
                <w:tcPr>
                  <w:tcW w:w="1488" w:type="dxa"/>
                  <w:tcBorders>
                    <w:tl2br w:val="nil"/>
                    <w:tr2bl w:val="nil"/>
                  </w:tcBorders>
                  <w:noWrap w:val="0"/>
                  <w:vAlign w:val="center"/>
                </w:tcPr>
                <w:p w14:paraId="2F6D2A5F">
                  <w:pPr>
                    <w:keepNext w:val="0"/>
                    <w:keepLines w:val="0"/>
                    <w:pageBreakBefore w:val="0"/>
                    <w:widowControl w:val="0"/>
                    <w:wordWrap/>
                    <w:topLinePunct w:val="0"/>
                    <w:bidi w:val="0"/>
                    <w:snapToGrid w:val="0"/>
                    <w:spacing w:before="63" w:beforeLines="20" w:after="63" w:afterLines="2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221" w:type="dxa"/>
                  <w:tcBorders>
                    <w:tl2br w:val="nil"/>
                    <w:tr2bl w:val="nil"/>
                  </w:tcBorders>
                  <w:noWrap w:val="0"/>
                  <w:vAlign w:val="center"/>
                </w:tcPr>
                <w:p w14:paraId="64CE0EBF">
                  <w:pPr>
                    <w:pStyle w:val="74"/>
                    <w:keepNext w:val="0"/>
                    <w:keepLines w:val="0"/>
                    <w:pageBreakBefore w:val="0"/>
                    <w:widowControl w:val="0"/>
                    <w:wordWrap/>
                    <w:topLinePunct w:val="0"/>
                    <w:bidi w:val="0"/>
                    <w:snapToGrid w:val="0"/>
                    <w:spacing w:before="63" w:beforeLines="20" w:after="63" w:afterLines="2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新增</w:t>
                  </w:r>
                </w:p>
              </w:tc>
            </w:tr>
            <w:tr w14:paraId="77D25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4186" w:type="dxa"/>
                  <w:gridSpan w:val="3"/>
                  <w:tcBorders>
                    <w:tl2br w:val="nil"/>
                    <w:tr2bl w:val="nil"/>
                  </w:tcBorders>
                  <w:noWrap w:val="0"/>
                  <w:vAlign w:val="center"/>
                </w:tcPr>
                <w:p w14:paraId="2246D45D">
                  <w:pPr>
                    <w:pStyle w:val="74"/>
                    <w:keepNext w:val="0"/>
                    <w:keepLines w:val="0"/>
                    <w:pageBreakBefore w:val="0"/>
                    <w:widowControl w:val="0"/>
                    <w:wordWrap/>
                    <w:topLinePunct w:val="0"/>
                    <w:bidi w:val="0"/>
                    <w:snapToGrid w:val="0"/>
                    <w:spacing w:before="63" w:beforeLines="20" w:after="63" w:afterLines="20" w:line="240" w:lineRule="auto"/>
                    <w:ind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合计</w:t>
                  </w:r>
                </w:p>
              </w:tc>
              <w:tc>
                <w:tcPr>
                  <w:tcW w:w="1162" w:type="dxa"/>
                  <w:tcBorders>
                    <w:tl2br w:val="nil"/>
                    <w:tr2bl w:val="nil"/>
                  </w:tcBorders>
                  <w:noWrap w:val="0"/>
                  <w:vAlign w:val="center"/>
                </w:tcPr>
                <w:p w14:paraId="29C6A901">
                  <w:pPr>
                    <w:pStyle w:val="74"/>
                    <w:keepNext w:val="0"/>
                    <w:keepLines w:val="0"/>
                    <w:pageBreakBefore w:val="0"/>
                    <w:widowControl w:val="0"/>
                    <w:wordWrap/>
                    <w:topLinePunct w:val="0"/>
                    <w:bidi w:val="0"/>
                    <w:snapToGrid w:val="0"/>
                    <w:spacing w:before="63" w:beforeLines="20" w:after="63" w:afterLines="20" w:line="240" w:lineRule="auto"/>
                    <w:ind w:firstLine="0" w:firstLine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85</w:t>
                  </w:r>
                </w:p>
              </w:tc>
              <w:tc>
                <w:tcPr>
                  <w:tcW w:w="1488" w:type="dxa"/>
                  <w:tcBorders>
                    <w:tl2br w:val="nil"/>
                    <w:tr2bl w:val="nil"/>
                  </w:tcBorders>
                  <w:noWrap w:val="0"/>
                  <w:vAlign w:val="center"/>
                </w:tcPr>
                <w:p w14:paraId="1D2D0E11">
                  <w:pPr>
                    <w:pStyle w:val="74"/>
                    <w:keepNext w:val="0"/>
                    <w:keepLines w:val="0"/>
                    <w:pageBreakBefore w:val="0"/>
                    <w:widowControl w:val="0"/>
                    <w:wordWrap/>
                    <w:topLinePunct w:val="0"/>
                    <w:bidi w:val="0"/>
                    <w:snapToGrid w:val="0"/>
                    <w:spacing w:before="63" w:beforeLines="20" w:after="63" w:afterLines="20" w:line="240" w:lineRule="auto"/>
                    <w:ind w:firstLine="0" w:firstLine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221" w:type="dxa"/>
                  <w:tcBorders>
                    <w:tl2br w:val="nil"/>
                    <w:tr2bl w:val="nil"/>
                  </w:tcBorders>
                  <w:noWrap w:val="0"/>
                  <w:vAlign w:val="center"/>
                </w:tcPr>
                <w:p w14:paraId="117D1951">
                  <w:pPr>
                    <w:pStyle w:val="74"/>
                    <w:keepNext w:val="0"/>
                    <w:keepLines w:val="0"/>
                    <w:pageBreakBefore w:val="0"/>
                    <w:widowControl w:val="0"/>
                    <w:wordWrap/>
                    <w:topLinePunct w:val="0"/>
                    <w:bidi w:val="0"/>
                    <w:snapToGrid w:val="0"/>
                    <w:spacing w:before="63" w:beforeLines="20" w:after="63" w:afterLines="20"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bl>
          <w:p w14:paraId="561E02A4">
            <w:pPr>
              <w:bidi w:val="0"/>
              <w:jc w:val="left"/>
              <w:rPr>
                <w:lang w:val="en-US" w:eastAsia="zh-CN"/>
              </w:rPr>
            </w:pPr>
          </w:p>
        </w:tc>
      </w:tr>
      <w:tr w14:paraId="5AA691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1" w:hRule="atLeast"/>
          <w:jc w:val="center"/>
        </w:trPr>
        <w:tc>
          <w:tcPr>
            <w:tcW w:w="675" w:type="dxa"/>
            <w:noWrap w:val="0"/>
            <w:vAlign w:val="center"/>
          </w:tcPr>
          <w:p w14:paraId="50C2BF14">
            <w:pPr>
              <w:pStyle w:val="25"/>
              <w:adjustRightInd w:val="0"/>
              <w:snapToGrid w:val="0"/>
              <w:spacing w:before="0" w:beforeAutospacing="0" w:after="0" w:afterAutospacing="0"/>
              <w:jc w:val="center"/>
              <w:rPr>
                <w:rFonts w:cs="宋体"/>
                <w:color w:val="auto"/>
                <w:sz w:val="21"/>
                <w:szCs w:val="21"/>
              </w:rPr>
            </w:pPr>
            <w:r>
              <w:rPr>
                <w:rFonts w:hint="eastAsia" w:cs="宋体"/>
                <w:color w:val="auto"/>
                <w:sz w:val="21"/>
                <w:szCs w:val="21"/>
              </w:rPr>
              <w:t>工艺流程和产排污环节</w:t>
            </w:r>
          </w:p>
        </w:tc>
        <w:tc>
          <w:tcPr>
            <w:tcW w:w="8309" w:type="dxa"/>
            <w:noWrap w:val="0"/>
            <w:vAlign w:val="top"/>
          </w:tcPr>
          <w:p w14:paraId="3756EEBD">
            <w:pPr>
              <w:pStyle w:val="45"/>
              <w:bidi w:val="0"/>
              <w:rPr>
                <w:rFonts w:hint="default"/>
                <w:color w:val="auto"/>
                <w:lang w:val="en-US" w:eastAsia="zh-CN"/>
              </w:rPr>
            </w:pPr>
            <w:r>
              <w:rPr>
                <w:rFonts w:hint="eastAsia"/>
                <w:color w:val="auto"/>
                <w:lang w:val="en-US" w:eastAsia="zh-CN"/>
              </w:rPr>
              <w:t>2.11 工艺流程及产污节点简述</w:t>
            </w:r>
          </w:p>
          <w:p w14:paraId="54875923">
            <w:pPr>
              <w:pStyle w:val="45"/>
              <w:bidi w:val="0"/>
              <w:rPr>
                <w:rFonts w:hint="default"/>
                <w:color w:val="auto"/>
                <w:lang w:val="en-US" w:eastAsia="zh-CN"/>
              </w:rPr>
            </w:pPr>
            <w:r>
              <w:rPr>
                <w:rFonts w:hint="eastAsia"/>
                <w:color w:val="auto"/>
                <w:lang w:val="en-US" w:eastAsia="zh-CN"/>
              </w:rPr>
              <w:t>2.11.1 施工期</w:t>
            </w:r>
          </w:p>
          <w:p w14:paraId="1BCB8906">
            <w:pPr>
              <w:pStyle w:val="38"/>
              <w:bidi w:val="0"/>
              <w:rPr>
                <w:rFonts w:hint="eastAsia"/>
                <w:color w:val="auto"/>
                <w:lang w:val="en-US" w:eastAsia="zh-CN"/>
              </w:rPr>
            </w:pPr>
            <w:r>
              <w:rPr>
                <w:rFonts w:hint="eastAsia"/>
                <w:color w:val="auto"/>
                <w:lang w:val="en-US" w:eastAsia="zh-CN"/>
              </w:rPr>
              <w:t>本项目现有土窑已退出，施工期主要建设内容为场地平整、梭式窑建设、生产车间建设、厂房装修改造、设备安装等。项目厂房为钢结构，不需要进行大型土建工程。施工期对环境的影响具有瞬时性，工程结束后施工产生的扬尘、噪声等对环境影响即随之消失的特点。项目施工期工艺流程及产污节点如图所示。</w:t>
            </w:r>
          </w:p>
          <w:p w14:paraId="25C29EA3">
            <w:pPr>
              <w:pStyle w:val="41"/>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both"/>
              <w:textAlignment w:val="auto"/>
              <w:rPr>
                <w:rFonts w:hint="eastAsia"/>
                <w:color w:val="auto"/>
                <w:lang w:val="en-US" w:eastAsia="zh-CN"/>
              </w:rPr>
            </w:pPr>
            <w:r>
              <w:rPr>
                <w:rFonts w:hint="eastAsia"/>
                <w:color w:val="auto"/>
                <w:lang w:val="en-US" w:eastAsia="zh-CN"/>
              </w:rPr>
              <w:drawing>
                <wp:inline distT="0" distB="0" distL="114300" distR="114300">
                  <wp:extent cx="5138420" cy="2494915"/>
                  <wp:effectExtent l="0" t="0" r="5080" b="635"/>
                  <wp:docPr id="5" name="图片 5" descr="dd85dfcf45172681cd68dce95f5859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d85dfcf45172681cd68dce95f58597f"/>
                          <pic:cNvPicPr>
                            <a:picLocks noChangeAspect="1"/>
                          </pic:cNvPicPr>
                        </pic:nvPicPr>
                        <pic:blipFill>
                          <a:blip r:embed="rId20"/>
                          <a:stretch>
                            <a:fillRect/>
                          </a:stretch>
                        </pic:blipFill>
                        <pic:spPr>
                          <a:xfrm>
                            <a:off x="0" y="0"/>
                            <a:ext cx="5138420" cy="2494915"/>
                          </a:xfrm>
                          <a:prstGeom prst="rect">
                            <a:avLst/>
                          </a:prstGeom>
                        </pic:spPr>
                      </pic:pic>
                    </a:graphicData>
                  </a:graphic>
                </wp:inline>
              </w:drawing>
            </w:r>
          </w:p>
          <w:p w14:paraId="71933BF5">
            <w:pPr>
              <w:pStyle w:val="41"/>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color w:val="auto"/>
                <w:lang w:val="en-US" w:eastAsia="zh-CN"/>
              </w:rPr>
            </w:pPr>
            <w:r>
              <w:rPr>
                <w:rFonts w:hint="eastAsia"/>
                <w:color w:val="auto"/>
                <w:lang w:val="en-US" w:eastAsia="zh-CN"/>
              </w:rPr>
              <w:t>图2-9  施工期工艺流程及产污节点图</w:t>
            </w:r>
          </w:p>
          <w:p w14:paraId="172AF0DA">
            <w:pPr>
              <w:pStyle w:val="38"/>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color w:val="auto"/>
              </w:rPr>
            </w:pPr>
            <w:r>
              <w:rPr>
                <w:rFonts w:hint="default"/>
                <w:color w:val="auto"/>
              </w:rPr>
              <w:t>产污节点：</w:t>
            </w:r>
          </w:p>
          <w:p w14:paraId="52E0D7CF">
            <w:pPr>
              <w:pStyle w:val="38"/>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color w:val="auto"/>
              </w:rPr>
            </w:pPr>
            <w:r>
              <w:rPr>
                <w:rFonts w:hint="default"/>
                <w:color w:val="auto"/>
              </w:rPr>
              <w:t>（1）施工期废水</w:t>
            </w:r>
          </w:p>
          <w:p w14:paraId="702ED08E">
            <w:pPr>
              <w:pStyle w:val="38"/>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color w:val="auto"/>
              </w:rPr>
            </w:pPr>
            <w:r>
              <w:rPr>
                <w:rFonts w:hint="default"/>
                <w:color w:val="auto"/>
              </w:rPr>
              <w:t>项目施工期主要水污染源为施工人员</w:t>
            </w:r>
            <w:r>
              <w:rPr>
                <w:rFonts w:hint="default"/>
                <w:color w:val="auto"/>
                <w:lang w:eastAsia="zh-CN"/>
              </w:rPr>
              <w:t>生活污水</w:t>
            </w:r>
            <w:r>
              <w:rPr>
                <w:rFonts w:hint="eastAsia"/>
                <w:color w:val="auto"/>
                <w:lang w:eastAsia="zh-CN"/>
              </w:rPr>
              <w:t>、</w:t>
            </w:r>
            <w:r>
              <w:rPr>
                <w:rFonts w:hint="eastAsia"/>
                <w:color w:val="auto"/>
                <w:lang w:val="en-US" w:eastAsia="zh-CN"/>
              </w:rPr>
              <w:t>施工废水和雨季地表径流水</w:t>
            </w:r>
            <w:r>
              <w:rPr>
                <w:rFonts w:hint="default"/>
                <w:color w:val="auto"/>
              </w:rPr>
              <w:t>。</w:t>
            </w:r>
          </w:p>
          <w:p w14:paraId="6A2CAC39">
            <w:pPr>
              <w:pStyle w:val="38"/>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color w:val="auto"/>
              </w:rPr>
            </w:pPr>
            <w:r>
              <w:rPr>
                <w:rFonts w:hint="default"/>
                <w:color w:val="auto"/>
              </w:rPr>
              <w:t>（2）施工期废气</w:t>
            </w:r>
          </w:p>
          <w:p w14:paraId="15B50D1B">
            <w:pPr>
              <w:pStyle w:val="38"/>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color w:val="auto"/>
              </w:rPr>
            </w:pPr>
            <w:r>
              <w:rPr>
                <w:rFonts w:hint="default"/>
                <w:color w:val="auto"/>
              </w:rPr>
              <w:t>项目施工期主要大气污染源为施工扬尘、汽车运输时产生的粉尘</w:t>
            </w:r>
            <w:r>
              <w:rPr>
                <w:rFonts w:hint="eastAsia"/>
                <w:color w:val="auto"/>
                <w:lang w:val="en-US" w:eastAsia="zh-CN"/>
              </w:rPr>
              <w:t>及施工机械产生的废气</w:t>
            </w:r>
            <w:r>
              <w:rPr>
                <w:rFonts w:hint="default"/>
                <w:color w:val="auto"/>
              </w:rPr>
              <w:t>。</w:t>
            </w:r>
          </w:p>
          <w:p w14:paraId="6D275A73">
            <w:pPr>
              <w:pStyle w:val="38"/>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color w:val="auto"/>
              </w:rPr>
            </w:pPr>
            <w:r>
              <w:rPr>
                <w:rFonts w:hint="default"/>
                <w:color w:val="auto"/>
              </w:rPr>
              <w:t>（3）施工期噪声</w:t>
            </w:r>
          </w:p>
          <w:p w14:paraId="4CF58231">
            <w:pPr>
              <w:pStyle w:val="38"/>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color w:val="auto"/>
              </w:rPr>
            </w:pPr>
            <w:r>
              <w:rPr>
                <w:rFonts w:hint="default"/>
                <w:color w:val="auto"/>
              </w:rPr>
              <w:t>施工期产生的噪声主要是运输车辆产生的噪声、施工时产生的噪声。</w:t>
            </w:r>
          </w:p>
          <w:p w14:paraId="7A57AECD">
            <w:pPr>
              <w:pStyle w:val="38"/>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color w:val="auto"/>
              </w:rPr>
            </w:pPr>
            <w:r>
              <w:rPr>
                <w:rFonts w:hint="default"/>
                <w:color w:val="auto"/>
              </w:rPr>
              <w:t>（4）施工期固体废物</w:t>
            </w:r>
          </w:p>
          <w:p w14:paraId="169F3BAB">
            <w:pPr>
              <w:pStyle w:val="38"/>
              <w:keepNext w:val="0"/>
              <w:keepLines w:val="0"/>
              <w:pageBreakBefore w:val="0"/>
              <w:widowControl w:val="0"/>
              <w:kinsoku/>
              <w:wordWrap/>
              <w:overflowPunct/>
              <w:topLinePunct w:val="0"/>
              <w:autoSpaceDE/>
              <w:autoSpaceDN/>
              <w:bidi w:val="0"/>
              <w:adjustRightInd/>
              <w:snapToGrid/>
              <w:spacing w:line="288" w:lineRule="auto"/>
              <w:textAlignment w:val="auto"/>
              <w:rPr>
                <w:rFonts w:hint="default"/>
                <w:color w:val="auto"/>
              </w:rPr>
            </w:pPr>
            <w:r>
              <w:rPr>
                <w:rFonts w:hint="default"/>
                <w:color w:val="auto"/>
              </w:rPr>
              <w:t>项目建设施工期间产生的固体废物主要为员工生活垃圾</w:t>
            </w:r>
            <w:r>
              <w:rPr>
                <w:rFonts w:hint="eastAsia"/>
                <w:color w:val="auto"/>
                <w:lang w:eastAsia="zh-CN"/>
              </w:rPr>
              <w:t>、</w:t>
            </w:r>
            <w:r>
              <w:rPr>
                <w:rFonts w:hint="eastAsia"/>
                <w:color w:val="auto"/>
                <w:lang w:val="en-US" w:eastAsia="zh-CN"/>
              </w:rPr>
              <w:t>开挖的土石方、建筑垃圾</w:t>
            </w:r>
            <w:r>
              <w:rPr>
                <w:rFonts w:hint="default"/>
                <w:color w:val="auto"/>
              </w:rPr>
              <w:t>。产污节点见下表。</w:t>
            </w:r>
          </w:p>
          <w:p w14:paraId="5D2CC4D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2" w:firstLineChars="20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表2-</w:t>
            </w:r>
            <w:r>
              <w:rPr>
                <w:rFonts w:hint="eastAsia" w:cs="Times New Roman"/>
                <w:b/>
                <w:bCs/>
                <w:color w:val="auto"/>
                <w:kern w:val="2"/>
                <w:sz w:val="21"/>
                <w:szCs w:val="21"/>
                <w:lang w:val="en-US" w:eastAsia="zh-CN" w:bidi="ar-SA"/>
              </w:rPr>
              <w:t>10</w:t>
            </w:r>
            <w:r>
              <w:rPr>
                <w:rFonts w:hint="default" w:ascii="Times New Roman" w:hAnsi="Times New Roman" w:eastAsia="宋体" w:cs="Times New Roman"/>
                <w:b/>
                <w:bCs/>
                <w:color w:val="auto"/>
                <w:kern w:val="2"/>
                <w:sz w:val="21"/>
                <w:szCs w:val="21"/>
                <w:lang w:val="en-US" w:eastAsia="zh-CN" w:bidi="ar-SA"/>
              </w:rPr>
              <w:t xml:space="preserve">  施工期主要污染工序一览表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1950"/>
              <w:gridCol w:w="1937"/>
              <w:gridCol w:w="3090"/>
            </w:tblGrid>
            <w:tr w14:paraId="4C21F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82" w:type="pct"/>
                  <w:tcBorders>
                    <w:top w:val="single" w:color="auto" w:sz="4" w:space="0"/>
                    <w:left w:val="single" w:color="auto" w:sz="4" w:space="0"/>
                    <w:bottom w:val="single" w:color="auto" w:sz="4" w:space="0"/>
                    <w:right w:val="single" w:color="auto" w:sz="4" w:space="0"/>
                  </w:tcBorders>
                  <w:noWrap w:val="0"/>
                  <w:vAlign w:val="center"/>
                </w:tcPr>
                <w:p w14:paraId="3C789D06">
                  <w:pPr>
                    <w:keepNext w:val="0"/>
                    <w:keepLines w:val="0"/>
                    <w:pageBreakBefore w:val="0"/>
                    <w:widowControl/>
                    <w:suppressLineNumbers w:val="0"/>
                    <w:kinsoku/>
                    <w:wordWrap/>
                    <w:overflowPunct/>
                    <w:topLinePunct w:val="0"/>
                    <w:autoSpaceDE/>
                    <w:autoSpaceDN/>
                    <w:bidi w:val="0"/>
                    <w:adjustRightInd/>
                    <w:snapToGrid w:val="0"/>
                    <w:spacing w:before="63" w:beforeLines="20" w:beforeAutospacing="0" w:after="63" w:afterLines="20" w:afterAutospacing="0" w:line="240" w:lineRule="auto"/>
                    <w:ind w:left="0" w:right="0"/>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污染类别</w:t>
                  </w:r>
                </w:p>
              </w:tc>
              <w:tc>
                <w:tcPr>
                  <w:tcW w:w="1206" w:type="pct"/>
                  <w:tcBorders>
                    <w:top w:val="single" w:color="auto" w:sz="4" w:space="0"/>
                    <w:left w:val="nil"/>
                    <w:bottom w:val="single" w:color="auto" w:sz="4" w:space="0"/>
                    <w:right w:val="single" w:color="auto" w:sz="4" w:space="0"/>
                  </w:tcBorders>
                  <w:noWrap w:val="0"/>
                  <w:vAlign w:val="center"/>
                </w:tcPr>
                <w:p w14:paraId="6FDBA110">
                  <w:pPr>
                    <w:keepNext w:val="0"/>
                    <w:keepLines w:val="0"/>
                    <w:pageBreakBefore w:val="0"/>
                    <w:widowControl/>
                    <w:suppressLineNumbers w:val="0"/>
                    <w:kinsoku/>
                    <w:wordWrap/>
                    <w:overflowPunct/>
                    <w:topLinePunct w:val="0"/>
                    <w:autoSpaceDE/>
                    <w:autoSpaceDN/>
                    <w:bidi w:val="0"/>
                    <w:adjustRightInd/>
                    <w:snapToGrid w:val="0"/>
                    <w:spacing w:before="63" w:beforeLines="20" w:beforeAutospacing="0" w:after="63" w:afterLines="20" w:afterAutospacing="0" w:line="240" w:lineRule="auto"/>
                    <w:ind w:left="0" w:right="0"/>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污染源名称</w:t>
                  </w:r>
                </w:p>
              </w:tc>
              <w:tc>
                <w:tcPr>
                  <w:tcW w:w="1198" w:type="pct"/>
                  <w:tcBorders>
                    <w:top w:val="single" w:color="auto" w:sz="4" w:space="0"/>
                    <w:left w:val="nil"/>
                    <w:bottom w:val="single" w:color="auto" w:sz="4" w:space="0"/>
                    <w:right w:val="single" w:color="auto" w:sz="4" w:space="0"/>
                  </w:tcBorders>
                  <w:noWrap w:val="0"/>
                  <w:vAlign w:val="center"/>
                </w:tcPr>
                <w:p w14:paraId="77D2695A">
                  <w:pPr>
                    <w:keepNext w:val="0"/>
                    <w:keepLines w:val="0"/>
                    <w:pageBreakBefore w:val="0"/>
                    <w:widowControl/>
                    <w:suppressLineNumbers w:val="0"/>
                    <w:kinsoku/>
                    <w:wordWrap/>
                    <w:overflowPunct/>
                    <w:topLinePunct w:val="0"/>
                    <w:autoSpaceDE/>
                    <w:autoSpaceDN/>
                    <w:bidi w:val="0"/>
                    <w:adjustRightInd/>
                    <w:snapToGrid w:val="0"/>
                    <w:spacing w:before="63" w:beforeLines="20" w:beforeAutospacing="0" w:after="63" w:afterLines="20" w:afterAutospacing="0" w:line="240" w:lineRule="auto"/>
                    <w:ind w:left="0" w:right="0"/>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产生工序</w:t>
                  </w:r>
                </w:p>
              </w:tc>
              <w:tc>
                <w:tcPr>
                  <w:tcW w:w="1912" w:type="pct"/>
                  <w:tcBorders>
                    <w:top w:val="single" w:color="auto" w:sz="4" w:space="0"/>
                    <w:left w:val="nil"/>
                    <w:bottom w:val="single" w:color="auto" w:sz="4" w:space="0"/>
                    <w:right w:val="single" w:color="auto" w:sz="4" w:space="0"/>
                  </w:tcBorders>
                  <w:noWrap w:val="0"/>
                  <w:vAlign w:val="center"/>
                </w:tcPr>
                <w:p w14:paraId="58C8E106">
                  <w:pPr>
                    <w:keepNext w:val="0"/>
                    <w:keepLines w:val="0"/>
                    <w:pageBreakBefore w:val="0"/>
                    <w:widowControl/>
                    <w:suppressLineNumbers w:val="0"/>
                    <w:kinsoku/>
                    <w:wordWrap/>
                    <w:overflowPunct/>
                    <w:topLinePunct w:val="0"/>
                    <w:autoSpaceDE/>
                    <w:autoSpaceDN/>
                    <w:bidi w:val="0"/>
                    <w:adjustRightInd/>
                    <w:snapToGrid w:val="0"/>
                    <w:spacing w:before="63" w:beforeLines="20" w:beforeAutospacing="0" w:after="63" w:afterLines="20" w:afterAutospacing="0" w:line="240" w:lineRule="auto"/>
                    <w:ind w:left="0" w:right="0"/>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主要污染因子</w:t>
                  </w:r>
                </w:p>
              </w:tc>
            </w:tr>
            <w:tr w14:paraId="2A2F2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82" w:type="pct"/>
                  <w:vMerge w:val="restart"/>
                  <w:tcBorders>
                    <w:top w:val="single" w:color="auto" w:sz="4" w:space="0"/>
                    <w:left w:val="single" w:color="auto" w:sz="4" w:space="0"/>
                    <w:right w:val="single" w:color="auto" w:sz="4" w:space="0"/>
                  </w:tcBorders>
                  <w:noWrap w:val="0"/>
                  <w:vAlign w:val="center"/>
                </w:tcPr>
                <w:p w14:paraId="4D4D047B">
                  <w:pPr>
                    <w:keepNext w:val="0"/>
                    <w:keepLines w:val="0"/>
                    <w:pageBreakBefore w:val="0"/>
                    <w:widowControl/>
                    <w:suppressLineNumbers w:val="0"/>
                    <w:kinsoku/>
                    <w:wordWrap/>
                    <w:overflowPunct/>
                    <w:topLinePunct w:val="0"/>
                    <w:autoSpaceDE/>
                    <w:autoSpaceDN/>
                    <w:bidi w:val="0"/>
                    <w:adjustRightInd/>
                    <w:snapToGrid w:val="0"/>
                    <w:spacing w:before="63" w:beforeLines="20" w:beforeAutospacing="0" w:after="63" w:afterLines="20" w:afterAutospacing="0" w:line="240" w:lineRule="auto"/>
                    <w:ind w:left="0" w:right="0"/>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废气</w:t>
                  </w:r>
                </w:p>
              </w:tc>
              <w:tc>
                <w:tcPr>
                  <w:tcW w:w="1206" w:type="pct"/>
                  <w:tcBorders>
                    <w:top w:val="single" w:color="auto" w:sz="4" w:space="0"/>
                    <w:left w:val="nil"/>
                    <w:bottom w:val="single" w:color="auto" w:sz="4" w:space="0"/>
                    <w:right w:val="single" w:color="auto" w:sz="4" w:space="0"/>
                  </w:tcBorders>
                  <w:noWrap w:val="0"/>
                  <w:vAlign w:val="center"/>
                </w:tcPr>
                <w:p w14:paraId="11439D18">
                  <w:pPr>
                    <w:keepNext w:val="0"/>
                    <w:keepLines w:val="0"/>
                    <w:pageBreakBefore w:val="0"/>
                    <w:widowControl/>
                    <w:suppressLineNumbers w:val="0"/>
                    <w:kinsoku/>
                    <w:wordWrap/>
                    <w:overflowPunct/>
                    <w:topLinePunct w:val="0"/>
                    <w:autoSpaceDE/>
                    <w:autoSpaceDN/>
                    <w:bidi w:val="0"/>
                    <w:adjustRightInd/>
                    <w:snapToGrid w:val="0"/>
                    <w:spacing w:before="63" w:beforeLines="20" w:beforeAutospacing="0" w:after="63" w:afterLines="20" w:afterAutospacing="0" w:line="240" w:lineRule="auto"/>
                    <w:ind w:left="0" w:right="0"/>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施工扬尘</w:t>
                  </w:r>
                </w:p>
              </w:tc>
              <w:tc>
                <w:tcPr>
                  <w:tcW w:w="1198" w:type="pct"/>
                  <w:tcBorders>
                    <w:top w:val="single" w:color="auto" w:sz="4" w:space="0"/>
                    <w:left w:val="nil"/>
                    <w:bottom w:val="single" w:color="auto" w:sz="4" w:space="0"/>
                    <w:right w:val="single" w:color="auto" w:sz="4" w:space="0"/>
                  </w:tcBorders>
                  <w:noWrap w:val="0"/>
                  <w:vAlign w:val="center"/>
                </w:tcPr>
                <w:p w14:paraId="12542C28">
                  <w:pPr>
                    <w:keepNext w:val="0"/>
                    <w:keepLines w:val="0"/>
                    <w:pageBreakBefore w:val="0"/>
                    <w:widowControl/>
                    <w:suppressLineNumbers w:val="0"/>
                    <w:kinsoku/>
                    <w:wordWrap/>
                    <w:overflowPunct/>
                    <w:topLinePunct w:val="0"/>
                    <w:autoSpaceDE/>
                    <w:autoSpaceDN/>
                    <w:bidi w:val="0"/>
                    <w:adjustRightInd/>
                    <w:snapToGrid w:val="0"/>
                    <w:spacing w:before="63" w:beforeLines="20" w:beforeAutospacing="0" w:after="63" w:afterLines="20" w:afterAutospacing="0" w:line="240" w:lineRule="auto"/>
                    <w:ind w:left="0" w:right="0"/>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施工过程</w:t>
                  </w:r>
                </w:p>
              </w:tc>
              <w:tc>
                <w:tcPr>
                  <w:tcW w:w="1912" w:type="pct"/>
                  <w:tcBorders>
                    <w:top w:val="single" w:color="auto" w:sz="4" w:space="0"/>
                    <w:left w:val="nil"/>
                    <w:bottom w:val="single" w:color="auto" w:sz="4" w:space="0"/>
                    <w:right w:val="single" w:color="auto" w:sz="4" w:space="0"/>
                  </w:tcBorders>
                  <w:noWrap w:val="0"/>
                  <w:vAlign w:val="center"/>
                </w:tcPr>
                <w:p w14:paraId="08497E14">
                  <w:pPr>
                    <w:keepNext w:val="0"/>
                    <w:keepLines w:val="0"/>
                    <w:pageBreakBefore w:val="0"/>
                    <w:widowControl/>
                    <w:suppressLineNumbers w:val="0"/>
                    <w:kinsoku/>
                    <w:wordWrap/>
                    <w:overflowPunct/>
                    <w:topLinePunct w:val="0"/>
                    <w:autoSpaceDE/>
                    <w:autoSpaceDN/>
                    <w:bidi w:val="0"/>
                    <w:adjustRightInd/>
                    <w:snapToGrid w:val="0"/>
                    <w:spacing w:before="63" w:beforeLines="20" w:beforeAutospacing="0" w:after="63" w:afterLines="20" w:afterAutospacing="0" w:line="240" w:lineRule="auto"/>
                    <w:ind w:left="0" w:right="0"/>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TSP</w:t>
                  </w:r>
                </w:p>
              </w:tc>
            </w:tr>
            <w:tr w14:paraId="36990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682" w:type="pct"/>
                  <w:vMerge w:val="continue"/>
                  <w:tcBorders>
                    <w:left w:val="single" w:color="auto" w:sz="4" w:space="0"/>
                    <w:bottom w:val="single" w:color="auto" w:sz="4" w:space="0"/>
                    <w:right w:val="single" w:color="auto" w:sz="4" w:space="0"/>
                  </w:tcBorders>
                  <w:noWrap w:val="0"/>
                  <w:vAlign w:val="center"/>
                </w:tcPr>
                <w:p w14:paraId="61E5A39C">
                  <w:pPr>
                    <w:keepNext w:val="0"/>
                    <w:keepLines w:val="0"/>
                    <w:pageBreakBefore w:val="0"/>
                    <w:widowControl/>
                    <w:suppressLineNumbers w:val="0"/>
                    <w:kinsoku/>
                    <w:wordWrap/>
                    <w:overflowPunct/>
                    <w:topLinePunct w:val="0"/>
                    <w:autoSpaceDE/>
                    <w:autoSpaceDN/>
                    <w:bidi w:val="0"/>
                    <w:adjustRightInd/>
                    <w:snapToGrid w:val="0"/>
                    <w:spacing w:before="63" w:beforeLines="20" w:beforeAutospacing="0" w:after="63" w:afterLines="20" w:afterAutospacing="0" w:line="240" w:lineRule="auto"/>
                    <w:ind w:left="0" w:right="0"/>
                    <w:jc w:val="center"/>
                    <w:textAlignment w:val="bottom"/>
                    <w:rPr>
                      <w:rFonts w:hint="default" w:ascii="Times New Roman" w:hAnsi="Times New Roman" w:eastAsia="宋体" w:cs="Times New Roman"/>
                      <w:color w:val="auto"/>
                      <w:kern w:val="0"/>
                      <w:sz w:val="21"/>
                      <w:szCs w:val="21"/>
                      <w:lang w:val="en-US" w:eastAsia="zh-CN" w:bidi="ar"/>
                    </w:rPr>
                  </w:pPr>
                </w:p>
              </w:tc>
              <w:tc>
                <w:tcPr>
                  <w:tcW w:w="1206" w:type="pct"/>
                  <w:tcBorders>
                    <w:top w:val="single" w:color="auto" w:sz="4" w:space="0"/>
                    <w:left w:val="nil"/>
                    <w:bottom w:val="single" w:color="auto" w:sz="4" w:space="0"/>
                    <w:right w:val="single" w:color="auto" w:sz="4" w:space="0"/>
                  </w:tcBorders>
                  <w:noWrap w:val="0"/>
                  <w:vAlign w:val="center"/>
                </w:tcPr>
                <w:p w14:paraId="71284865">
                  <w:pPr>
                    <w:keepNext w:val="0"/>
                    <w:keepLines w:val="0"/>
                    <w:pageBreakBefore w:val="0"/>
                    <w:widowControl/>
                    <w:suppressLineNumbers w:val="0"/>
                    <w:kinsoku/>
                    <w:wordWrap/>
                    <w:overflowPunct/>
                    <w:topLinePunct w:val="0"/>
                    <w:autoSpaceDE/>
                    <w:autoSpaceDN/>
                    <w:bidi w:val="0"/>
                    <w:adjustRightInd/>
                    <w:snapToGrid w:val="0"/>
                    <w:spacing w:before="63" w:beforeLines="20" w:beforeAutospacing="0" w:after="63" w:afterLines="20" w:afterAutospacing="0" w:line="240" w:lineRule="auto"/>
                    <w:ind w:left="0" w:right="0"/>
                    <w:jc w:val="center"/>
                    <w:textAlignment w:val="bottom"/>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施工机械废气</w:t>
                  </w:r>
                </w:p>
              </w:tc>
              <w:tc>
                <w:tcPr>
                  <w:tcW w:w="1198" w:type="pct"/>
                  <w:tcBorders>
                    <w:top w:val="single" w:color="auto" w:sz="4" w:space="0"/>
                    <w:left w:val="nil"/>
                    <w:bottom w:val="single" w:color="auto" w:sz="4" w:space="0"/>
                    <w:right w:val="single" w:color="auto" w:sz="4" w:space="0"/>
                  </w:tcBorders>
                  <w:noWrap w:val="0"/>
                  <w:vAlign w:val="center"/>
                </w:tcPr>
                <w:p w14:paraId="489B7EB3">
                  <w:pPr>
                    <w:keepNext w:val="0"/>
                    <w:keepLines w:val="0"/>
                    <w:pageBreakBefore w:val="0"/>
                    <w:widowControl/>
                    <w:suppressLineNumbers w:val="0"/>
                    <w:kinsoku/>
                    <w:wordWrap/>
                    <w:overflowPunct/>
                    <w:topLinePunct w:val="0"/>
                    <w:autoSpaceDE/>
                    <w:autoSpaceDN/>
                    <w:bidi w:val="0"/>
                    <w:adjustRightInd/>
                    <w:snapToGrid w:val="0"/>
                    <w:spacing w:before="63" w:beforeLines="20" w:beforeAutospacing="0" w:after="63" w:afterLines="20" w:afterAutospacing="0" w:line="240" w:lineRule="auto"/>
                    <w:ind w:left="0" w:right="0"/>
                    <w:jc w:val="center"/>
                    <w:textAlignment w:val="bottom"/>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施工机械运行过程</w:t>
                  </w:r>
                </w:p>
              </w:tc>
              <w:tc>
                <w:tcPr>
                  <w:tcW w:w="1912" w:type="pct"/>
                  <w:tcBorders>
                    <w:top w:val="single" w:color="auto" w:sz="4" w:space="0"/>
                    <w:left w:val="nil"/>
                    <w:bottom w:val="single" w:color="auto" w:sz="4" w:space="0"/>
                    <w:right w:val="single" w:color="auto" w:sz="4" w:space="0"/>
                  </w:tcBorders>
                  <w:noWrap w:val="0"/>
                  <w:vAlign w:val="center"/>
                </w:tcPr>
                <w:p w14:paraId="1C939132">
                  <w:pPr>
                    <w:keepNext w:val="0"/>
                    <w:keepLines w:val="0"/>
                    <w:pageBreakBefore w:val="0"/>
                    <w:widowControl/>
                    <w:suppressLineNumbers w:val="0"/>
                    <w:kinsoku/>
                    <w:wordWrap/>
                    <w:overflowPunct/>
                    <w:topLinePunct w:val="0"/>
                    <w:autoSpaceDE/>
                    <w:autoSpaceDN/>
                    <w:bidi w:val="0"/>
                    <w:adjustRightInd/>
                    <w:snapToGrid w:val="0"/>
                    <w:spacing w:before="63" w:beforeLines="20" w:beforeAutospacing="0" w:after="63" w:afterLines="20" w:afterAutospacing="0" w:line="240" w:lineRule="auto"/>
                    <w:ind w:left="0" w:right="0"/>
                    <w:jc w:val="center"/>
                    <w:textAlignment w:val="bottom"/>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非甲烷总烃、二氧化硫、氮氧化物</w:t>
                  </w:r>
                </w:p>
              </w:tc>
            </w:tr>
            <w:tr w14:paraId="09882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682" w:type="pct"/>
                  <w:vMerge w:val="restart"/>
                  <w:tcBorders>
                    <w:top w:val="nil"/>
                    <w:left w:val="single" w:color="auto" w:sz="4" w:space="0"/>
                    <w:bottom w:val="single" w:color="auto" w:sz="4" w:space="0"/>
                    <w:right w:val="single" w:color="auto" w:sz="4" w:space="0"/>
                  </w:tcBorders>
                  <w:noWrap w:val="0"/>
                  <w:vAlign w:val="center"/>
                </w:tcPr>
                <w:p w14:paraId="13EC1240">
                  <w:pPr>
                    <w:keepNext w:val="0"/>
                    <w:keepLines w:val="0"/>
                    <w:pageBreakBefore w:val="0"/>
                    <w:widowControl/>
                    <w:suppressLineNumbers w:val="0"/>
                    <w:kinsoku/>
                    <w:wordWrap/>
                    <w:overflowPunct/>
                    <w:topLinePunct w:val="0"/>
                    <w:autoSpaceDE/>
                    <w:autoSpaceDN/>
                    <w:bidi w:val="0"/>
                    <w:adjustRightInd/>
                    <w:snapToGrid w:val="0"/>
                    <w:spacing w:before="63" w:beforeLines="20" w:beforeAutospacing="0" w:after="63" w:afterLines="20" w:afterAutospacing="0" w:line="240" w:lineRule="auto"/>
                    <w:ind w:left="0" w:right="0"/>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废水</w:t>
                  </w:r>
                </w:p>
              </w:tc>
              <w:tc>
                <w:tcPr>
                  <w:tcW w:w="1206" w:type="pct"/>
                  <w:tcBorders>
                    <w:top w:val="single" w:color="auto" w:sz="4" w:space="0"/>
                    <w:left w:val="nil"/>
                    <w:bottom w:val="single" w:color="auto" w:sz="4" w:space="0"/>
                    <w:right w:val="single" w:color="auto" w:sz="4" w:space="0"/>
                  </w:tcBorders>
                  <w:noWrap w:val="0"/>
                  <w:vAlign w:val="center"/>
                </w:tcPr>
                <w:p w14:paraId="3818BDD6">
                  <w:pPr>
                    <w:keepNext w:val="0"/>
                    <w:keepLines w:val="0"/>
                    <w:pageBreakBefore w:val="0"/>
                    <w:widowControl/>
                    <w:suppressLineNumbers w:val="0"/>
                    <w:kinsoku/>
                    <w:wordWrap/>
                    <w:overflowPunct/>
                    <w:topLinePunct w:val="0"/>
                    <w:autoSpaceDE/>
                    <w:autoSpaceDN/>
                    <w:bidi w:val="0"/>
                    <w:adjustRightInd/>
                    <w:snapToGrid w:val="0"/>
                    <w:spacing w:before="63" w:beforeLines="20" w:beforeAutospacing="0" w:after="63" w:afterLines="20" w:afterAutospacing="0" w:line="240" w:lineRule="auto"/>
                    <w:ind w:left="0" w:right="0"/>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生活污水</w:t>
                  </w:r>
                </w:p>
              </w:tc>
              <w:tc>
                <w:tcPr>
                  <w:tcW w:w="1198" w:type="pct"/>
                  <w:tcBorders>
                    <w:top w:val="single" w:color="auto" w:sz="4" w:space="0"/>
                    <w:left w:val="nil"/>
                    <w:bottom w:val="single" w:color="auto" w:sz="4" w:space="0"/>
                    <w:right w:val="single" w:color="auto" w:sz="4" w:space="0"/>
                  </w:tcBorders>
                  <w:noWrap w:val="0"/>
                  <w:vAlign w:val="center"/>
                </w:tcPr>
                <w:p w14:paraId="24A2B111">
                  <w:pPr>
                    <w:keepNext w:val="0"/>
                    <w:keepLines w:val="0"/>
                    <w:pageBreakBefore w:val="0"/>
                    <w:widowControl/>
                    <w:suppressLineNumbers w:val="0"/>
                    <w:kinsoku/>
                    <w:wordWrap/>
                    <w:overflowPunct/>
                    <w:topLinePunct w:val="0"/>
                    <w:autoSpaceDE/>
                    <w:autoSpaceDN/>
                    <w:bidi w:val="0"/>
                    <w:adjustRightInd/>
                    <w:snapToGrid w:val="0"/>
                    <w:spacing w:before="63" w:beforeLines="20" w:beforeAutospacing="0" w:after="63" w:afterLines="20" w:afterAutospacing="0" w:line="240" w:lineRule="auto"/>
                    <w:ind w:left="0" w:right="0"/>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施工人员生活</w:t>
                  </w:r>
                </w:p>
              </w:tc>
              <w:tc>
                <w:tcPr>
                  <w:tcW w:w="1912" w:type="pct"/>
                  <w:tcBorders>
                    <w:top w:val="single" w:color="auto" w:sz="4" w:space="0"/>
                    <w:left w:val="nil"/>
                    <w:bottom w:val="single" w:color="auto" w:sz="4" w:space="0"/>
                    <w:right w:val="single" w:color="auto" w:sz="4" w:space="0"/>
                  </w:tcBorders>
                  <w:noWrap w:val="0"/>
                  <w:vAlign w:val="center"/>
                </w:tcPr>
                <w:p w14:paraId="137E6039">
                  <w:pPr>
                    <w:keepNext w:val="0"/>
                    <w:keepLines w:val="0"/>
                    <w:pageBreakBefore w:val="0"/>
                    <w:widowControl/>
                    <w:suppressLineNumbers w:val="0"/>
                    <w:kinsoku/>
                    <w:wordWrap/>
                    <w:overflowPunct/>
                    <w:topLinePunct w:val="0"/>
                    <w:autoSpaceDE/>
                    <w:autoSpaceDN/>
                    <w:bidi w:val="0"/>
                    <w:adjustRightInd/>
                    <w:snapToGrid w:val="0"/>
                    <w:spacing w:before="63" w:beforeLines="20" w:beforeAutospacing="0" w:after="63" w:afterLines="20" w:afterAutospacing="0" w:line="240" w:lineRule="auto"/>
                    <w:ind w:left="0" w:right="0"/>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COD</w:t>
                  </w:r>
                  <w:r>
                    <w:rPr>
                      <w:rFonts w:hint="default" w:ascii="Times New Roman" w:hAnsi="Times New Roman" w:eastAsia="宋体" w:cs="Times New Roman"/>
                      <w:color w:val="auto"/>
                      <w:kern w:val="0"/>
                      <w:sz w:val="21"/>
                      <w:szCs w:val="21"/>
                      <w:vertAlign w:val="subscript"/>
                      <w:lang w:val="en-US" w:eastAsia="zh-CN" w:bidi="ar"/>
                    </w:rPr>
                    <w:t>Cr</w:t>
                  </w:r>
                  <w:r>
                    <w:rPr>
                      <w:rFonts w:hint="default" w:ascii="Times New Roman" w:hAnsi="Times New Roman" w:eastAsia="宋体" w:cs="Times New Roman"/>
                      <w:color w:val="auto"/>
                      <w:kern w:val="0"/>
                      <w:sz w:val="21"/>
                      <w:szCs w:val="21"/>
                      <w:lang w:val="en-US" w:eastAsia="zh-CN" w:bidi="ar"/>
                    </w:rPr>
                    <w:t>、NH</w:t>
                  </w:r>
                  <w:r>
                    <w:rPr>
                      <w:rFonts w:hint="default" w:ascii="Times New Roman" w:hAnsi="Times New Roman" w:eastAsia="宋体" w:cs="Times New Roman"/>
                      <w:color w:val="auto"/>
                      <w:kern w:val="0"/>
                      <w:sz w:val="21"/>
                      <w:szCs w:val="21"/>
                      <w:vertAlign w:val="subscript"/>
                      <w:lang w:val="en-US" w:eastAsia="zh-CN" w:bidi="ar"/>
                    </w:rPr>
                    <w:t>3</w:t>
                  </w:r>
                  <w:r>
                    <w:rPr>
                      <w:rFonts w:hint="default" w:ascii="Times New Roman" w:hAnsi="Times New Roman" w:eastAsia="宋体" w:cs="Times New Roman"/>
                      <w:color w:val="auto"/>
                      <w:kern w:val="0"/>
                      <w:sz w:val="21"/>
                      <w:szCs w:val="21"/>
                      <w:lang w:val="en-US" w:eastAsia="zh-CN" w:bidi="ar"/>
                    </w:rPr>
                    <w:t>-N、SS等</w:t>
                  </w:r>
                </w:p>
              </w:tc>
            </w:tr>
            <w:tr w14:paraId="01E3C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3" w:hRule="atLeast"/>
                <w:jc w:val="center"/>
              </w:trPr>
              <w:tc>
                <w:tcPr>
                  <w:tcW w:w="682" w:type="pct"/>
                  <w:vMerge w:val="continue"/>
                  <w:tcBorders>
                    <w:top w:val="nil"/>
                    <w:left w:val="single" w:color="auto" w:sz="4" w:space="0"/>
                    <w:bottom w:val="single" w:color="auto" w:sz="4" w:space="0"/>
                    <w:right w:val="single" w:color="auto" w:sz="4" w:space="0"/>
                  </w:tcBorders>
                  <w:noWrap w:val="0"/>
                  <w:vAlign w:val="center"/>
                </w:tcPr>
                <w:p w14:paraId="41E60ACF">
                  <w:pPr>
                    <w:keepNext w:val="0"/>
                    <w:keepLines w:val="0"/>
                    <w:pageBreakBefore w:val="0"/>
                    <w:widowControl/>
                    <w:suppressLineNumbers w:val="0"/>
                    <w:kinsoku/>
                    <w:wordWrap/>
                    <w:overflowPunct/>
                    <w:topLinePunct w:val="0"/>
                    <w:autoSpaceDE/>
                    <w:autoSpaceDN/>
                    <w:bidi w:val="0"/>
                    <w:adjustRightInd/>
                    <w:snapToGrid w:val="0"/>
                    <w:spacing w:before="63" w:beforeLines="20" w:beforeAutospacing="0" w:after="63" w:afterLines="20" w:afterAutospacing="0" w:line="240" w:lineRule="auto"/>
                    <w:ind w:left="0" w:right="0"/>
                    <w:jc w:val="center"/>
                    <w:textAlignment w:val="bottom"/>
                    <w:rPr>
                      <w:rFonts w:hint="default" w:ascii="Times New Roman" w:hAnsi="Times New Roman" w:eastAsia="宋体" w:cs="Times New Roman"/>
                      <w:color w:val="auto"/>
                      <w:kern w:val="0"/>
                      <w:sz w:val="21"/>
                      <w:szCs w:val="21"/>
                      <w:lang w:val="en-US" w:eastAsia="zh-CN" w:bidi="ar"/>
                    </w:rPr>
                  </w:pPr>
                </w:p>
              </w:tc>
              <w:tc>
                <w:tcPr>
                  <w:tcW w:w="1206" w:type="pct"/>
                  <w:tcBorders>
                    <w:top w:val="single" w:color="auto" w:sz="4" w:space="0"/>
                    <w:left w:val="nil"/>
                    <w:bottom w:val="single" w:color="auto" w:sz="4" w:space="0"/>
                    <w:right w:val="single" w:color="auto" w:sz="4" w:space="0"/>
                  </w:tcBorders>
                  <w:noWrap w:val="0"/>
                  <w:vAlign w:val="center"/>
                </w:tcPr>
                <w:p w14:paraId="4016FAA8">
                  <w:pPr>
                    <w:keepNext w:val="0"/>
                    <w:keepLines w:val="0"/>
                    <w:pageBreakBefore w:val="0"/>
                    <w:widowControl/>
                    <w:suppressLineNumbers w:val="0"/>
                    <w:kinsoku/>
                    <w:wordWrap/>
                    <w:overflowPunct/>
                    <w:topLinePunct w:val="0"/>
                    <w:autoSpaceDE/>
                    <w:autoSpaceDN/>
                    <w:bidi w:val="0"/>
                    <w:adjustRightInd/>
                    <w:snapToGrid w:val="0"/>
                    <w:spacing w:before="63" w:beforeLines="20" w:beforeAutospacing="0" w:after="63" w:afterLines="20" w:afterAutospacing="0" w:line="240" w:lineRule="auto"/>
                    <w:ind w:left="0" w:right="0"/>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工地废水</w:t>
                  </w:r>
                </w:p>
              </w:tc>
              <w:tc>
                <w:tcPr>
                  <w:tcW w:w="1198" w:type="pct"/>
                  <w:tcBorders>
                    <w:top w:val="single" w:color="auto" w:sz="4" w:space="0"/>
                    <w:left w:val="nil"/>
                    <w:bottom w:val="single" w:color="auto" w:sz="4" w:space="0"/>
                    <w:right w:val="single" w:color="auto" w:sz="4" w:space="0"/>
                  </w:tcBorders>
                  <w:noWrap w:val="0"/>
                  <w:vAlign w:val="center"/>
                </w:tcPr>
                <w:p w14:paraId="1AB948DA">
                  <w:pPr>
                    <w:keepNext w:val="0"/>
                    <w:keepLines w:val="0"/>
                    <w:pageBreakBefore w:val="0"/>
                    <w:widowControl/>
                    <w:suppressLineNumbers w:val="0"/>
                    <w:kinsoku/>
                    <w:wordWrap/>
                    <w:overflowPunct/>
                    <w:topLinePunct w:val="0"/>
                    <w:autoSpaceDE/>
                    <w:autoSpaceDN/>
                    <w:bidi w:val="0"/>
                    <w:adjustRightInd/>
                    <w:snapToGrid w:val="0"/>
                    <w:spacing w:before="63" w:beforeLines="20" w:beforeAutospacing="0" w:after="63" w:afterLines="20" w:afterAutospacing="0" w:line="240" w:lineRule="auto"/>
                    <w:ind w:left="0" w:right="0"/>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施工过程</w:t>
                  </w:r>
                </w:p>
              </w:tc>
              <w:tc>
                <w:tcPr>
                  <w:tcW w:w="1912" w:type="pct"/>
                  <w:tcBorders>
                    <w:top w:val="single" w:color="auto" w:sz="4" w:space="0"/>
                    <w:left w:val="nil"/>
                    <w:bottom w:val="single" w:color="auto" w:sz="4" w:space="0"/>
                    <w:right w:val="single" w:color="auto" w:sz="4" w:space="0"/>
                  </w:tcBorders>
                  <w:noWrap w:val="0"/>
                  <w:vAlign w:val="center"/>
                </w:tcPr>
                <w:p w14:paraId="4178FF2C">
                  <w:pPr>
                    <w:keepNext w:val="0"/>
                    <w:keepLines w:val="0"/>
                    <w:pageBreakBefore w:val="0"/>
                    <w:widowControl/>
                    <w:suppressLineNumbers w:val="0"/>
                    <w:kinsoku/>
                    <w:wordWrap/>
                    <w:overflowPunct/>
                    <w:topLinePunct w:val="0"/>
                    <w:autoSpaceDE/>
                    <w:autoSpaceDN/>
                    <w:bidi w:val="0"/>
                    <w:adjustRightInd/>
                    <w:snapToGrid w:val="0"/>
                    <w:spacing w:before="63" w:beforeLines="20" w:beforeAutospacing="0" w:after="63" w:afterLines="20" w:afterAutospacing="0" w:line="240" w:lineRule="auto"/>
                    <w:ind w:left="0" w:right="0"/>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SS</w:t>
                  </w:r>
                </w:p>
              </w:tc>
            </w:tr>
            <w:tr w14:paraId="3001A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82" w:type="pct"/>
                  <w:tcBorders>
                    <w:top w:val="single" w:color="auto" w:sz="4" w:space="0"/>
                    <w:left w:val="single" w:color="auto" w:sz="4" w:space="0"/>
                    <w:bottom w:val="single" w:color="auto" w:sz="4" w:space="0"/>
                    <w:right w:val="single" w:color="auto" w:sz="4" w:space="0"/>
                  </w:tcBorders>
                  <w:noWrap w:val="0"/>
                  <w:vAlign w:val="center"/>
                </w:tcPr>
                <w:p w14:paraId="5AB4E160">
                  <w:pPr>
                    <w:keepNext w:val="0"/>
                    <w:keepLines w:val="0"/>
                    <w:pageBreakBefore w:val="0"/>
                    <w:widowControl/>
                    <w:suppressLineNumbers w:val="0"/>
                    <w:kinsoku/>
                    <w:wordWrap/>
                    <w:overflowPunct/>
                    <w:topLinePunct w:val="0"/>
                    <w:autoSpaceDE/>
                    <w:autoSpaceDN/>
                    <w:bidi w:val="0"/>
                    <w:adjustRightInd/>
                    <w:snapToGrid w:val="0"/>
                    <w:spacing w:before="63" w:beforeLines="20" w:beforeAutospacing="0" w:after="63" w:afterLines="20" w:afterAutospacing="0" w:line="240" w:lineRule="auto"/>
                    <w:ind w:left="0" w:right="0"/>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噪声</w:t>
                  </w:r>
                </w:p>
              </w:tc>
              <w:tc>
                <w:tcPr>
                  <w:tcW w:w="1206" w:type="pct"/>
                  <w:tcBorders>
                    <w:top w:val="single" w:color="auto" w:sz="4" w:space="0"/>
                    <w:left w:val="nil"/>
                    <w:bottom w:val="single" w:color="auto" w:sz="4" w:space="0"/>
                    <w:right w:val="single" w:color="auto" w:sz="4" w:space="0"/>
                  </w:tcBorders>
                  <w:noWrap w:val="0"/>
                  <w:vAlign w:val="center"/>
                </w:tcPr>
                <w:p w14:paraId="4B551303">
                  <w:pPr>
                    <w:keepNext w:val="0"/>
                    <w:keepLines w:val="0"/>
                    <w:pageBreakBefore w:val="0"/>
                    <w:widowControl/>
                    <w:suppressLineNumbers w:val="0"/>
                    <w:kinsoku/>
                    <w:wordWrap/>
                    <w:overflowPunct/>
                    <w:topLinePunct w:val="0"/>
                    <w:autoSpaceDE/>
                    <w:autoSpaceDN/>
                    <w:bidi w:val="0"/>
                    <w:adjustRightInd/>
                    <w:snapToGrid w:val="0"/>
                    <w:spacing w:before="63" w:beforeLines="20" w:beforeAutospacing="0" w:after="63" w:afterLines="20" w:afterAutospacing="0" w:line="240" w:lineRule="auto"/>
                    <w:ind w:left="0" w:right="0"/>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生产设备噪声</w:t>
                  </w:r>
                </w:p>
              </w:tc>
              <w:tc>
                <w:tcPr>
                  <w:tcW w:w="1198" w:type="pct"/>
                  <w:tcBorders>
                    <w:top w:val="single" w:color="auto" w:sz="4" w:space="0"/>
                    <w:left w:val="nil"/>
                    <w:bottom w:val="single" w:color="auto" w:sz="4" w:space="0"/>
                    <w:right w:val="single" w:color="auto" w:sz="4" w:space="0"/>
                  </w:tcBorders>
                  <w:noWrap w:val="0"/>
                  <w:vAlign w:val="center"/>
                </w:tcPr>
                <w:p w14:paraId="1328EA56">
                  <w:pPr>
                    <w:keepNext w:val="0"/>
                    <w:keepLines w:val="0"/>
                    <w:pageBreakBefore w:val="0"/>
                    <w:widowControl/>
                    <w:suppressLineNumbers w:val="0"/>
                    <w:kinsoku/>
                    <w:wordWrap/>
                    <w:overflowPunct/>
                    <w:topLinePunct w:val="0"/>
                    <w:autoSpaceDE/>
                    <w:autoSpaceDN/>
                    <w:bidi w:val="0"/>
                    <w:adjustRightInd/>
                    <w:snapToGrid w:val="0"/>
                    <w:spacing w:before="63" w:beforeLines="20" w:beforeAutospacing="0" w:after="63" w:afterLines="20" w:afterAutospacing="0" w:line="240" w:lineRule="auto"/>
                    <w:ind w:left="0" w:right="0"/>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施工过程</w:t>
                  </w:r>
                </w:p>
              </w:tc>
              <w:tc>
                <w:tcPr>
                  <w:tcW w:w="1912" w:type="pct"/>
                  <w:tcBorders>
                    <w:top w:val="single" w:color="auto" w:sz="4" w:space="0"/>
                    <w:left w:val="nil"/>
                    <w:bottom w:val="single" w:color="auto" w:sz="4" w:space="0"/>
                    <w:right w:val="single" w:color="auto" w:sz="4" w:space="0"/>
                  </w:tcBorders>
                  <w:noWrap w:val="0"/>
                  <w:vAlign w:val="center"/>
                </w:tcPr>
                <w:p w14:paraId="0F4F2DA1">
                  <w:pPr>
                    <w:keepNext w:val="0"/>
                    <w:keepLines w:val="0"/>
                    <w:pageBreakBefore w:val="0"/>
                    <w:widowControl/>
                    <w:suppressLineNumbers w:val="0"/>
                    <w:kinsoku/>
                    <w:wordWrap/>
                    <w:overflowPunct/>
                    <w:topLinePunct w:val="0"/>
                    <w:autoSpaceDE/>
                    <w:autoSpaceDN/>
                    <w:bidi w:val="0"/>
                    <w:adjustRightInd/>
                    <w:snapToGrid w:val="0"/>
                    <w:spacing w:before="63" w:beforeLines="20" w:beforeAutospacing="0" w:after="63" w:afterLines="20" w:afterAutospacing="0" w:line="240" w:lineRule="auto"/>
                    <w:ind w:left="0" w:right="0"/>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噪声</w:t>
                  </w:r>
                </w:p>
              </w:tc>
            </w:tr>
            <w:tr w14:paraId="58008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6" w:hRule="atLeast"/>
                <w:jc w:val="center"/>
              </w:trPr>
              <w:tc>
                <w:tcPr>
                  <w:tcW w:w="682" w:type="pct"/>
                  <w:vMerge w:val="restart"/>
                  <w:tcBorders>
                    <w:top w:val="nil"/>
                    <w:left w:val="single" w:color="auto" w:sz="4" w:space="0"/>
                    <w:right w:val="single" w:color="auto" w:sz="4" w:space="0"/>
                  </w:tcBorders>
                  <w:noWrap w:val="0"/>
                  <w:vAlign w:val="center"/>
                </w:tcPr>
                <w:p w14:paraId="3B55F7D3">
                  <w:pPr>
                    <w:keepNext w:val="0"/>
                    <w:keepLines w:val="0"/>
                    <w:pageBreakBefore w:val="0"/>
                    <w:widowControl/>
                    <w:suppressLineNumbers w:val="0"/>
                    <w:kinsoku/>
                    <w:wordWrap/>
                    <w:overflowPunct/>
                    <w:topLinePunct w:val="0"/>
                    <w:autoSpaceDE/>
                    <w:autoSpaceDN/>
                    <w:bidi w:val="0"/>
                    <w:adjustRightInd/>
                    <w:snapToGrid w:val="0"/>
                    <w:spacing w:before="63" w:beforeLines="20" w:beforeAutospacing="0" w:after="63" w:afterLines="20" w:afterAutospacing="0" w:line="240" w:lineRule="auto"/>
                    <w:ind w:left="0" w:right="0"/>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固废</w:t>
                  </w:r>
                </w:p>
              </w:tc>
              <w:tc>
                <w:tcPr>
                  <w:tcW w:w="1206" w:type="pct"/>
                  <w:tcBorders>
                    <w:top w:val="single" w:color="auto" w:sz="4" w:space="0"/>
                    <w:left w:val="nil"/>
                    <w:bottom w:val="single" w:color="auto" w:sz="4" w:space="0"/>
                    <w:right w:val="single" w:color="auto" w:sz="4" w:space="0"/>
                  </w:tcBorders>
                  <w:noWrap w:val="0"/>
                  <w:vAlign w:val="center"/>
                </w:tcPr>
                <w:p w14:paraId="107E8701">
                  <w:pPr>
                    <w:keepNext w:val="0"/>
                    <w:keepLines w:val="0"/>
                    <w:pageBreakBefore w:val="0"/>
                    <w:widowControl/>
                    <w:suppressLineNumbers w:val="0"/>
                    <w:kinsoku/>
                    <w:wordWrap/>
                    <w:overflowPunct/>
                    <w:topLinePunct w:val="0"/>
                    <w:autoSpaceDE/>
                    <w:autoSpaceDN/>
                    <w:bidi w:val="0"/>
                    <w:adjustRightInd/>
                    <w:snapToGrid w:val="0"/>
                    <w:spacing w:before="63" w:beforeLines="20" w:beforeAutospacing="0" w:after="63" w:afterLines="20" w:afterAutospacing="0" w:line="240" w:lineRule="auto"/>
                    <w:ind w:left="0" w:right="0"/>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生活固废</w:t>
                  </w:r>
                </w:p>
              </w:tc>
              <w:tc>
                <w:tcPr>
                  <w:tcW w:w="1198" w:type="pct"/>
                  <w:tcBorders>
                    <w:top w:val="single" w:color="auto" w:sz="4" w:space="0"/>
                    <w:left w:val="nil"/>
                    <w:bottom w:val="single" w:color="auto" w:sz="4" w:space="0"/>
                    <w:right w:val="single" w:color="auto" w:sz="4" w:space="0"/>
                  </w:tcBorders>
                  <w:noWrap w:val="0"/>
                  <w:vAlign w:val="center"/>
                </w:tcPr>
                <w:p w14:paraId="317C2E86">
                  <w:pPr>
                    <w:keepNext w:val="0"/>
                    <w:keepLines w:val="0"/>
                    <w:pageBreakBefore w:val="0"/>
                    <w:widowControl/>
                    <w:suppressLineNumbers w:val="0"/>
                    <w:kinsoku/>
                    <w:wordWrap/>
                    <w:overflowPunct/>
                    <w:topLinePunct w:val="0"/>
                    <w:autoSpaceDE/>
                    <w:autoSpaceDN/>
                    <w:bidi w:val="0"/>
                    <w:adjustRightInd/>
                    <w:snapToGrid w:val="0"/>
                    <w:spacing w:before="63" w:beforeLines="20" w:beforeAutospacing="0" w:after="63" w:afterLines="20" w:afterAutospacing="0" w:line="240" w:lineRule="auto"/>
                    <w:ind w:left="0" w:right="0"/>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施工人员生活</w:t>
                  </w:r>
                </w:p>
              </w:tc>
              <w:tc>
                <w:tcPr>
                  <w:tcW w:w="1912" w:type="pct"/>
                  <w:tcBorders>
                    <w:top w:val="single" w:color="auto" w:sz="4" w:space="0"/>
                    <w:left w:val="nil"/>
                    <w:bottom w:val="single" w:color="auto" w:sz="4" w:space="0"/>
                    <w:right w:val="single" w:color="auto" w:sz="4" w:space="0"/>
                  </w:tcBorders>
                  <w:noWrap w:val="0"/>
                  <w:vAlign w:val="center"/>
                </w:tcPr>
                <w:p w14:paraId="6B19E3ED">
                  <w:pPr>
                    <w:keepNext w:val="0"/>
                    <w:keepLines w:val="0"/>
                    <w:pageBreakBefore w:val="0"/>
                    <w:widowControl/>
                    <w:suppressLineNumbers w:val="0"/>
                    <w:kinsoku/>
                    <w:wordWrap/>
                    <w:overflowPunct/>
                    <w:topLinePunct w:val="0"/>
                    <w:autoSpaceDE/>
                    <w:autoSpaceDN/>
                    <w:bidi w:val="0"/>
                    <w:adjustRightInd/>
                    <w:snapToGrid w:val="0"/>
                    <w:spacing w:before="63" w:beforeLines="20" w:beforeAutospacing="0" w:after="63" w:afterLines="20" w:afterAutospacing="0" w:line="240" w:lineRule="auto"/>
                    <w:ind w:left="0" w:right="0"/>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生活垃圾</w:t>
                  </w:r>
                </w:p>
              </w:tc>
            </w:tr>
            <w:tr w14:paraId="3411D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6" w:hRule="atLeast"/>
                <w:jc w:val="center"/>
              </w:trPr>
              <w:tc>
                <w:tcPr>
                  <w:tcW w:w="682" w:type="pct"/>
                  <w:vMerge w:val="continue"/>
                  <w:tcBorders>
                    <w:left w:val="single" w:color="auto" w:sz="4" w:space="0"/>
                    <w:right w:val="single" w:color="auto" w:sz="4" w:space="0"/>
                  </w:tcBorders>
                  <w:noWrap w:val="0"/>
                  <w:vAlign w:val="center"/>
                </w:tcPr>
                <w:p w14:paraId="258B94C2">
                  <w:pPr>
                    <w:keepNext w:val="0"/>
                    <w:keepLines w:val="0"/>
                    <w:pageBreakBefore w:val="0"/>
                    <w:widowControl/>
                    <w:suppressLineNumbers w:val="0"/>
                    <w:kinsoku/>
                    <w:wordWrap/>
                    <w:overflowPunct/>
                    <w:topLinePunct w:val="0"/>
                    <w:autoSpaceDE/>
                    <w:autoSpaceDN/>
                    <w:bidi w:val="0"/>
                    <w:adjustRightInd/>
                    <w:snapToGrid w:val="0"/>
                    <w:spacing w:before="63" w:beforeLines="20" w:beforeAutospacing="0" w:after="63" w:afterLines="20" w:afterAutospacing="0" w:line="240" w:lineRule="auto"/>
                    <w:ind w:left="0" w:right="0"/>
                    <w:jc w:val="center"/>
                    <w:textAlignment w:val="bottom"/>
                    <w:rPr>
                      <w:rFonts w:hint="default" w:ascii="Times New Roman" w:hAnsi="Times New Roman" w:eastAsia="宋体" w:cs="Times New Roman"/>
                      <w:color w:val="auto"/>
                      <w:kern w:val="0"/>
                      <w:sz w:val="21"/>
                      <w:szCs w:val="21"/>
                      <w:lang w:val="en-US" w:eastAsia="zh-CN" w:bidi="ar"/>
                    </w:rPr>
                  </w:pPr>
                </w:p>
              </w:tc>
              <w:tc>
                <w:tcPr>
                  <w:tcW w:w="1206" w:type="pct"/>
                  <w:tcBorders>
                    <w:top w:val="single" w:color="auto" w:sz="4" w:space="0"/>
                    <w:left w:val="nil"/>
                    <w:bottom w:val="single" w:color="auto" w:sz="4" w:space="0"/>
                    <w:right w:val="single" w:color="auto" w:sz="4" w:space="0"/>
                  </w:tcBorders>
                  <w:noWrap w:val="0"/>
                  <w:vAlign w:val="center"/>
                </w:tcPr>
                <w:p w14:paraId="19CD116C">
                  <w:pPr>
                    <w:keepNext w:val="0"/>
                    <w:keepLines w:val="0"/>
                    <w:pageBreakBefore w:val="0"/>
                    <w:widowControl/>
                    <w:suppressLineNumbers w:val="0"/>
                    <w:kinsoku/>
                    <w:wordWrap/>
                    <w:overflowPunct/>
                    <w:topLinePunct w:val="0"/>
                    <w:autoSpaceDE/>
                    <w:autoSpaceDN/>
                    <w:bidi w:val="0"/>
                    <w:adjustRightInd/>
                    <w:snapToGrid w:val="0"/>
                    <w:spacing w:before="63" w:beforeLines="20" w:beforeAutospacing="0" w:after="63" w:afterLines="20" w:afterAutospacing="0" w:line="240" w:lineRule="auto"/>
                    <w:ind w:left="0" w:right="0"/>
                    <w:jc w:val="center"/>
                    <w:textAlignment w:val="bottom"/>
                    <w:rPr>
                      <w:rFonts w:hint="default" w:ascii="Times New Roman" w:hAnsi="Times New Roman" w:eastAsia="宋体" w:cs="Times New Roman"/>
                      <w:color w:val="auto"/>
                      <w:kern w:val="0"/>
                      <w:sz w:val="21"/>
                      <w:szCs w:val="21"/>
                      <w:lang w:val="en-US" w:eastAsia="zh-CN" w:bidi="ar"/>
                    </w:rPr>
                  </w:pPr>
                  <w:r>
                    <w:rPr>
                      <w:rFonts w:hint="eastAsia"/>
                      <w:color w:val="auto"/>
                      <w:lang w:val="en-US" w:eastAsia="zh-CN"/>
                    </w:rPr>
                    <w:t>开挖的土石方</w:t>
                  </w:r>
                </w:p>
              </w:tc>
              <w:tc>
                <w:tcPr>
                  <w:tcW w:w="1198" w:type="pct"/>
                  <w:tcBorders>
                    <w:top w:val="single" w:color="auto" w:sz="4" w:space="0"/>
                    <w:left w:val="nil"/>
                    <w:bottom w:val="single" w:color="auto" w:sz="4" w:space="0"/>
                    <w:right w:val="single" w:color="auto" w:sz="4" w:space="0"/>
                  </w:tcBorders>
                  <w:noWrap w:val="0"/>
                  <w:vAlign w:val="center"/>
                </w:tcPr>
                <w:p w14:paraId="099D7788">
                  <w:pPr>
                    <w:keepNext w:val="0"/>
                    <w:keepLines w:val="0"/>
                    <w:pageBreakBefore w:val="0"/>
                    <w:widowControl/>
                    <w:suppressLineNumbers w:val="0"/>
                    <w:kinsoku/>
                    <w:wordWrap/>
                    <w:overflowPunct/>
                    <w:topLinePunct w:val="0"/>
                    <w:autoSpaceDE/>
                    <w:autoSpaceDN/>
                    <w:bidi w:val="0"/>
                    <w:adjustRightInd/>
                    <w:snapToGrid w:val="0"/>
                    <w:spacing w:before="63" w:beforeLines="20" w:beforeAutospacing="0" w:after="63" w:afterLines="20" w:afterAutospacing="0" w:line="240" w:lineRule="auto"/>
                    <w:ind w:left="0" w:right="0"/>
                    <w:jc w:val="center"/>
                    <w:textAlignment w:val="bottom"/>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基础施工</w:t>
                  </w:r>
                </w:p>
              </w:tc>
              <w:tc>
                <w:tcPr>
                  <w:tcW w:w="1912" w:type="pct"/>
                  <w:tcBorders>
                    <w:top w:val="single" w:color="auto" w:sz="4" w:space="0"/>
                    <w:left w:val="nil"/>
                    <w:bottom w:val="single" w:color="auto" w:sz="4" w:space="0"/>
                    <w:right w:val="single" w:color="auto" w:sz="4" w:space="0"/>
                  </w:tcBorders>
                  <w:noWrap w:val="0"/>
                  <w:vAlign w:val="center"/>
                </w:tcPr>
                <w:p w14:paraId="41048048">
                  <w:pPr>
                    <w:keepNext w:val="0"/>
                    <w:keepLines w:val="0"/>
                    <w:pageBreakBefore w:val="0"/>
                    <w:widowControl/>
                    <w:suppressLineNumbers w:val="0"/>
                    <w:kinsoku/>
                    <w:wordWrap/>
                    <w:overflowPunct/>
                    <w:topLinePunct w:val="0"/>
                    <w:autoSpaceDE/>
                    <w:autoSpaceDN/>
                    <w:bidi w:val="0"/>
                    <w:adjustRightInd/>
                    <w:snapToGrid w:val="0"/>
                    <w:spacing w:before="63" w:beforeLines="20" w:beforeAutospacing="0" w:after="63" w:afterLines="20" w:afterAutospacing="0" w:line="240" w:lineRule="auto"/>
                    <w:ind w:left="0" w:right="0"/>
                    <w:jc w:val="center"/>
                    <w:textAlignment w:val="bottom"/>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土石方</w:t>
                  </w:r>
                </w:p>
              </w:tc>
            </w:tr>
            <w:tr w14:paraId="74A4B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atLeast"/>
                <w:jc w:val="center"/>
              </w:trPr>
              <w:tc>
                <w:tcPr>
                  <w:tcW w:w="682" w:type="pct"/>
                  <w:vMerge w:val="continue"/>
                  <w:tcBorders>
                    <w:left w:val="single" w:color="auto" w:sz="4" w:space="0"/>
                    <w:right w:val="single" w:color="auto" w:sz="4" w:space="0"/>
                  </w:tcBorders>
                  <w:noWrap w:val="0"/>
                  <w:vAlign w:val="center"/>
                </w:tcPr>
                <w:p w14:paraId="13915DB0">
                  <w:pPr>
                    <w:keepNext w:val="0"/>
                    <w:keepLines w:val="0"/>
                    <w:pageBreakBefore w:val="0"/>
                    <w:widowControl/>
                    <w:suppressLineNumbers w:val="0"/>
                    <w:kinsoku/>
                    <w:wordWrap/>
                    <w:overflowPunct/>
                    <w:topLinePunct w:val="0"/>
                    <w:autoSpaceDE/>
                    <w:autoSpaceDN/>
                    <w:bidi w:val="0"/>
                    <w:adjustRightInd/>
                    <w:snapToGrid w:val="0"/>
                    <w:spacing w:before="63" w:beforeLines="20" w:beforeAutospacing="0" w:after="63" w:afterLines="20" w:afterAutospacing="0" w:line="240" w:lineRule="auto"/>
                    <w:ind w:left="0" w:right="0"/>
                    <w:jc w:val="center"/>
                    <w:textAlignment w:val="bottom"/>
                    <w:rPr>
                      <w:rFonts w:hint="default" w:ascii="Times New Roman" w:hAnsi="Times New Roman" w:eastAsia="宋体" w:cs="Times New Roman"/>
                      <w:color w:val="auto"/>
                      <w:kern w:val="0"/>
                      <w:sz w:val="21"/>
                      <w:szCs w:val="21"/>
                      <w:lang w:val="en-US" w:eastAsia="zh-CN" w:bidi="ar"/>
                    </w:rPr>
                  </w:pPr>
                </w:p>
              </w:tc>
              <w:tc>
                <w:tcPr>
                  <w:tcW w:w="1206" w:type="pct"/>
                  <w:tcBorders>
                    <w:top w:val="single" w:color="auto" w:sz="4" w:space="0"/>
                    <w:left w:val="nil"/>
                    <w:bottom w:val="single" w:color="auto" w:sz="4" w:space="0"/>
                    <w:right w:val="single" w:color="auto" w:sz="4" w:space="0"/>
                  </w:tcBorders>
                  <w:noWrap w:val="0"/>
                  <w:vAlign w:val="center"/>
                </w:tcPr>
                <w:p w14:paraId="7AD047F5">
                  <w:pPr>
                    <w:keepNext w:val="0"/>
                    <w:keepLines w:val="0"/>
                    <w:pageBreakBefore w:val="0"/>
                    <w:widowControl/>
                    <w:suppressLineNumbers w:val="0"/>
                    <w:kinsoku/>
                    <w:wordWrap/>
                    <w:overflowPunct/>
                    <w:topLinePunct w:val="0"/>
                    <w:autoSpaceDE/>
                    <w:autoSpaceDN/>
                    <w:bidi w:val="0"/>
                    <w:adjustRightInd/>
                    <w:snapToGrid w:val="0"/>
                    <w:spacing w:before="63" w:beforeLines="20" w:beforeAutospacing="0" w:after="63" w:afterLines="20" w:afterAutospacing="0" w:line="240" w:lineRule="auto"/>
                    <w:ind w:left="0" w:right="0"/>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建筑垃圾</w:t>
                  </w:r>
                </w:p>
              </w:tc>
              <w:tc>
                <w:tcPr>
                  <w:tcW w:w="1198" w:type="pct"/>
                  <w:tcBorders>
                    <w:top w:val="single" w:color="auto" w:sz="4" w:space="0"/>
                    <w:left w:val="nil"/>
                    <w:bottom w:val="single" w:color="auto" w:sz="4" w:space="0"/>
                    <w:right w:val="single" w:color="auto" w:sz="4" w:space="0"/>
                  </w:tcBorders>
                  <w:noWrap w:val="0"/>
                  <w:vAlign w:val="center"/>
                </w:tcPr>
                <w:p w14:paraId="798A5279">
                  <w:pPr>
                    <w:keepNext w:val="0"/>
                    <w:keepLines w:val="0"/>
                    <w:pageBreakBefore w:val="0"/>
                    <w:widowControl/>
                    <w:suppressLineNumbers w:val="0"/>
                    <w:kinsoku/>
                    <w:wordWrap/>
                    <w:overflowPunct/>
                    <w:topLinePunct w:val="0"/>
                    <w:autoSpaceDE/>
                    <w:autoSpaceDN/>
                    <w:bidi w:val="0"/>
                    <w:adjustRightInd/>
                    <w:snapToGrid w:val="0"/>
                    <w:spacing w:before="63" w:beforeLines="20" w:beforeAutospacing="0" w:after="63" w:afterLines="20" w:afterAutospacing="0" w:line="240" w:lineRule="auto"/>
                    <w:ind w:left="0" w:right="0"/>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施工过程</w:t>
                  </w:r>
                </w:p>
              </w:tc>
              <w:tc>
                <w:tcPr>
                  <w:tcW w:w="1912" w:type="pct"/>
                  <w:tcBorders>
                    <w:top w:val="single" w:color="auto" w:sz="4" w:space="0"/>
                    <w:left w:val="nil"/>
                    <w:bottom w:val="single" w:color="auto" w:sz="4" w:space="0"/>
                    <w:right w:val="single" w:color="auto" w:sz="4" w:space="0"/>
                  </w:tcBorders>
                  <w:noWrap w:val="0"/>
                  <w:vAlign w:val="center"/>
                </w:tcPr>
                <w:p w14:paraId="4B37E6C3">
                  <w:pPr>
                    <w:keepNext w:val="0"/>
                    <w:keepLines w:val="0"/>
                    <w:pageBreakBefore w:val="0"/>
                    <w:widowControl/>
                    <w:suppressLineNumbers w:val="0"/>
                    <w:kinsoku/>
                    <w:wordWrap/>
                    <w:overflowPunct/>
                    <w:topLinePunct w:val="0"/>
                    <w:autoSpaceDE/>
                    <w:autoSpaceDN/>
                    <w:bidi w:val="0"/>
                    <w:adjustRightInd/>
                    <w:snapToGrid w:val="0"/>
                    <w:spacing w:before="63" w:beforeLines="20" w:beforeAutospacing="0" w:after="63" w:afterLines="20" w:afterAutospacing="0" w:line="240" w:lineRule="auto"/>
                    <w:ind w:left="0" w:right="0"/>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建材等建筑垃圾</w:t>
                  </w:r>
                </w:p>
              </w:tc>
            </w:tr>
          </w:tbl>
          <w:p w14:paraId="3D240DD2">
            <w:pPr>
              <w:pStyle w:val="45"/>
              <w:bidi w:val="0"/>
              <w:rPr>
                <w:rFonts w:hint="default"/>
                <w:color w:val="auto"/>
                <w:lang w:val="en-US" w:eastAsia="zh-CN"/>
              </w:rPr>
            </w:pPr>
            <w:r>
              <w:rPr>
                <w:rFonts w:hint="eastAsia"/>
                <w:color w:val="auto"/>
                <w:lang w:val="en-US" w:eastAsia="zh-CN"/>
              </w:rPr>
              <w:t>2.11.2 运营期</w:t>
            </w:r>
          </w:p>
          <w:p w14:paraId="08722A53">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both"/>
              <w:textAlignment w:val="auto"/>
              <w:rPr>
                <w:b w:val="0"/>
                <w:bCs w:val="0"/>
                <w:color w:val="auto"/>
                <w:sz w:val="21"/>
                <w:szCs w:val="21"/>
                <w:highlight w:val="none"/>
              </w:rPr>
            </w:pPr>
            <w:r>
              <w:rPr>
                <w:rFonts w:hint="eastAsia"/>
                <w:b w:val="0"/>
                <w:bCs w:val="0"/>
                <w:color w:val="auto"/>
                <w:sz w:val="21"/>
                <w:szCs w:val="21"/>
                <w:highlight w:val="none"/>
                <w:lang w:val="en-US" w:eastAsia="zh-CN"/>
              </w:rPr>
              <w:t>本项目砖、瓦生产工艺一致，</w:t>
            </w:r>
            <w:r>
              <w:rPr>
                <w:rFonts w:hint="eastAsia"/>
                <w:b w:val="0"/>
                <w:bCs w:val="0"/>
                <w:color w:val="auto"/>
                <w:sz w:val="21"/>
                <w:szCs w:val="21"/>
                <w:highlight w:val="none"/>
              </w:rPr>
              <w:t>主要是：原料</w:t>
            </w:r>
            <w:r>
              <w:rPr>
                <w:rFonts w:hint="eastAsia" w:ascii="Times New Roman" w:hAnsi="Times New Roman" w:eastAsia="宋体" w:cs="Times New Roman"/>
                <w:b w:val="0"/>
                <w:bCs w:val="0"/>
                <w:color w:val="auto"/>
                <w:kern w:val="0"/>
                <w:sz w:val="21"/>
                <w:szCs w:val="21"/>
                <w:highlight w:val="none"/>
                <w:lang w:eastAsia="zh-CN"/>
              </w:rPr>
              <w:t>入场</w:t>
            </w:r>
            <w:r>
              <w:rPr>
                <w:rFonts w:hint="eastAsia"/>
                <w:b w:val="0"/>
                <w:bCs w:val="0"/>
                <w:color w:val="auto"/>
                <w:sz w:val="21"/>
                <w:szCs w:val="21"/>
                <w:highlight w:val="none"/>
                <w:lang w:eastAsia="zh-CN"/>
              </w:rPr>
              <w:t>→陈化→搅拌→对辊→</w:t>
            </w:r>
            <w:r>
              <w:rPr>
                <w:rFonts w:hint="eastAsia"/>
                <w:b w:val="0"/>
                <w:bCs w:val="0"/>
                <w:color w:val="auto"/>
                <w:sz w:val="21"/>
                <w:szCs w:val="21"/>
                <w:highlight w:val="none"/>
                <w:lang w:val="en-US" w:eastAsia="zh-CN"/>
              </w:rPr>
              <w:t>制坯、修坯</w:t>
            </w:r>
            <w:r>
              <w:rPr>
                <w:rFonts w:hint="eastAsia"/>
                <w:b w:val="0"/>
                <w:bCs w:val="0"/>
                <w:color w:val="auto"/>
                <w:sz w:val="21"/>
                <w:szCs w:val="21"/>
                <w:highlight w:val="none"/>
                <w:lang w:eastAsia="zh-CN"/>
              </w:rPr>
              <w:t>→</w:t>
            </w:r>
            <w:r>
              <w:rPr>
                <w:rFonts w:hint="eastAsia"/>
                <w:b w:val="0"/>
                <w:bCs w:val="0"/>
                <w:color w:val="auto"/>
                <w:sz w:val="21"/>
                <w:szCs w:val="21"/>
                <w:highlight w:val="none"/>
                <w:lang w:val="en-US" w:eastAsia="zh-CN"/>
              </w:rPr>
              <w:t>晾晒</w:t>
            </w:r>
            <w:r>
              <w:rPr>
                <w:rFonts w:hint="eastAsia"/>
                <w:b w:val="0"/>
                <w:bCs w:val="0"/>
                <w:color w:val="auto"/>
                <w:sz w:val="21"/>
                <w:szCs w:val="21"/>
                <w:highlight w:val="none"/>
                <w:lang w:eastAsia="zh-CN"/>
              </w:rPr>
              <w:t>→</w:t>
            </w:r>
            <w:r>
              <w:rPr>
                <w:rFonts w:hint="eastAsia"/>
                <w:b w:val="0"/>
                <w:bCs w:val="0"/>
                <w:color w:val="auto"/>
                <w:sz w:val="21"/>
                <w:szCs w:val="21"/>
                <w:highlight w:val="none"/>
                <w:lang w:val="en-US" w:eastAsia="zh-CN"/>
              </w:rPr>
              <w:t>焙烧</w:t>
            </w:r>
            <w:r>
              <w:rPr>
                <w:rFonts w:hint="eastAsia"/>
                <w:b w:val="0"/>
                <w:bCs w:val="0"/>
                <w:color w:val="auto"/>
                <w:sz w:val="21"/>
                <w:szCs w:val="21"/>
                <w:highlight w:val="none"/>
                <w:lang w:eastAsia="zh-CN"/>
              </w:rPr>
              <w:t>→检查→</w:t>
            </w:r>
            <w:r>
              <w:rPr>
                <w:rFonts w:hint="eastAsia"/>
                <w:b w:val="0"/>
                <w:bCs w:val="0"/>
                <w:color w:val="auto"/>
                <w:sz w:val="21"/>
                <w:szCs w:val="21"/>
                <w:highlight w:val="none"/>
              </w:rPr>
              <w:t>成品。</w:t>
            </w:r>
          </w:p>
          <w:p w14:paraId="67DBBF3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2" w:firstLineChars="200"/>
              <w:jc w:val="both"/>
              <w:textAlignment w:val="auto"/>
              <w:rPr>
                <w:rFonts w:hint="default"/>
                <w:b/>
                <w:bCs/>
                <w:color w:val="auto"/>
                <w:sz w:val="21"/>
                <w:szCs w:val="21"/>
                <w:highlight w:val="none"/>
                <w:lang w:val="en-US" w:eastAsia="zh-CN"/>
              </w:rPr>
            </w:pPr>
            <w:r>
              <w:rPr>
                <w:rFonts w:hint="eastAsia"/>
                <w:b/>
                <w:bCs/>
                <w:color w:val="auto"/>
                <w:sz w:val="21"/>
                <w:szCs w:val="21"/>
                <w:highlight w:val="none"/>
                <w:lang w:val="en-US" w:eastAsia="zh-CN"/>
              </w:rPr>
              <w:t>（1）原料进厂、陈化</w:t>
            </w:r>
          </w:p>
          <w:p w14:paraId="19422540">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eastAsia="宋体"/>
                <w:color w:val="auto"/>
                <w:sz w:val="21"/>
                <w:szCs w:val="21"/>
                <w:highlight w:val="none"/>
                <w:lang w:val="en-US" w:eastAsia="zh-CN"/>
              </w:rPr>
            </w:pPr>
            <w:r>
              <w:rPr>
                <w:rFonts w:hint="eastAsia" w:cs="Times New Roman"/>
                <w:b w:val="0"/>
                <w:bCs/>
                <w:i w:val="0"/>
                <w:iCs w:val="0"/>
                <w:caps w:val="0"/>
                <w:color w:val="auto"/>
                <w:spacing w:val="0"/>
                <w:sz w:val="21"/>
                <w:szCs w:val="21"/>
                <w:shd w:val="clear" w:fill="FFFFFF"/>
                <w:lang w:val="en-US" w:eastAsia="zh-CN"/>
              </w:rPr>
              <w:t>建筑基坑弃土</w:t>
            </w:r>
            <w:r>
              <w:rPr>
                <w:rFonts w:hint="eastAsia"/>
                <w:color w:val="auto"/>
                <w:sz w:val="21"/>
                <w:szCs w:val="21"/>
                <w:lang w:eastAsia="zh-CN"/>
              </w:rPr>
              <w:t>运输进厂，</w:t>
            </w:r>
            <w:r>
              <w:rPr>
                <w:rFonts w:hint="eastAsia" w:cs="Times New Roman"/>
                <w:color w:val="auto"/>
                <w:kern w:val="0"/>
                <w:sz w:val="21"/>
                <w:szCs w:val="21"/>
                <w:highlight w:val="none"/>
                <w:lang w:val="en-US" w:eastAsia="zh-CN"/>
              </w:rPr>
              <w:t>堆放于</w:t>
            </w:r>
            <w:r>
              <w:rPr>
                <w:rFonts w:hint="eastAsia"/>
                <w:color w:val="auto"/>
                <w:sz w:val="21"/>
                <w:szCs w:val="21"/>
                <w:lang w:val="en-US" w:eastAsia="zh-CN"/>
              </w:rPr>
              <w:t>原料车间</w:t>
            </w:r>
            <w:r>
              <w:rPr>
                <w:rFonts w:hint="eastAsia"/>
                <w:color w:val="auto"/>
                <w:sz w:val="21"/>
                <w:szCs w:val="21"/>
                <w:highlight w:val="none"/>
                <w:lang w:val="en-US" w:eastAsia="zh-CN"/>
              </w:rPr>
              <w:t>内。</w:t>
            </w:r>
            <w:r>
              <w:rPr>
                <w:rFonts w:hint="default" w:ascii="Times New Roman" w:hAnsi="Times New Roman" w:cs="Times New Roman"/>
                <w:color w:val="auto"/>
                <w:spacing w:val="10"/>
                <w:sz w:val="21"/>
                <w:szCs w:val="21"/>
                <w:lang w:eastAsia="zh-CN"/>
              </w:rPr>
              <w:t>厂区所用</w:t>
            </w:r>
            <w:r>
              <w:rPr>
                <w:rFonts w:hint="eastAsia" w:cs="Times New Roman"/>
                <w:b w:val="0"/>
                <w:bCs/>
                <w:i w:val="0"/>
                <w:iCs w:val="0"/>
                <w:caps w:val="0"/>
                <w:color w:val="auto"/>
                <w:spacing w:val="0"/>
                <w:sz w:val="21"/>
                <w:szCs w:val="21"/>
                <w:shd w:val="clear" w:fill="FFFFFF"/>
                <w:lang w:val="en-US" w:eastAsia="zh-CN"/>
              </w:rPr>
              <w:t>建筑基坑弃土</w:t>
            </w:r>
            <w:r>
              <w:rPr>
                <w:rFonts w:hint="default" w:ascii="Times New Roman" w:hAnsi="Times New Roman" w:cs="Times New Roman"/>
                <w:color w:val="auto"/>
                <w:spacing w:val="10"/>
                <w:sz w:val="21"/>
                <w:szCs w:val="21"/>
                <w:lang w:eastAsia="zh-CN"/>
              </w:rPr>
              <w:t>颗粒相对细小，粒度≤2mm。</w:t>
            </w:r>
          </w:p>
          <w:p w14:paraId="0A28099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2" w:firstLineChars="200"/>
              <w:jc w:val="both"/>
              <w:textAlignment w:val="auto"/>
              <w:rPr>
                <w:rFonts w:hint="eastAsia" w:eastAsia="宋体"/>
                <w:b/>
                <w:bCs/>
                <w:color w:val="auto"/>
                <w:sz w:val="21"/>
                <w:szCs w:val="21"/>
                <w:highlight w:val="none"/>
                <w:lang w:val="en-US" w:eastAsia="zh-CN"/>
              </w:rPr>
            </w:pPr>
            <w:r>
              <w:rPr>
                <w:rFonts w:hint="eastAsia"/>
                <w:b/>
                <w:bCs/>
                <w:color w:val="auto"/>
                <w:sz w:val="21"/>
                <w:szCs w:val="21"/>
                <w:highlight w:val="none"/>
                <w:lang w:val="en-US" w:eastAsia="zh-CN"/>
              </w:rPr>
              <w:t>（2）搅拌、对辊</w:t>
            </w:r>
          </w:p>
          <w:p w14:paraId="24015ACE">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color w:val="auto"/>
                <w:sz w:val="21"/>
                <w:szCs w:val="21"/>
                <w:lang w:val="en-US" w:eastAsia="zh-CN"/>
              </w:rPr>
            </w:pPr>
            <w:r>
              <w:rPr>
                <w:rFonts w:hint="eastAsia"/>
                <w:color w:val="auto"/>
                <w:sz w:val="21"/>
                <w:szCs w:val="21"/>
                <w:lang w:val="en-US" w:eastAsia="zh-CN"/>
              </w:rPr>
              <w:t>陈化后</w:t>
            </w:r>
            <w:r>
              <w:rPr>
                <w:rFonts w:hint="eastAsia" w:cs="Times New Roman"/>
                <w:b w:val="0"/>
                <w:bCs/>
                <w:i w:val="0"/>
                <w:iCs w:val="0"/>
                <w:caps w:val="0"/>
                <w:color w:val="auto"/>
                <w:spacing w:val="0"/>
                <w:sz w:val="21"/>
                <w:szCs w:val="21"/>
                <w:shd w:val="clear" w:fill="FFFFFF"/>
                <w:lang w:val="en-US" w:eastAsia="zh-CN"/>
              </w:rPr>
              <w:t>建筑基坑弃土</w:t>
            </w:r>
            <w:r>
              <w:rPr>
                <w:rFonts w:hint="default"/>
                <w:color w:val="auto"/>
                <w:sz w:val="21"/>
                <w:szCs w:val="21"/>
                <w:lang w:val="en-US" w:eastAsia="zh-CN"/>
              </w:rPr>
              <w:t>由</w:t>
            </w:r>
            <w:r>
              <w:rPr>
                <w:rFonts w:hint="eastAsia"/>
                <w:color w:val="auto"/>
                <w:sz w:val="21"/>
                <w:szCs w:val="21"/>
                <w:lang w:val="en-US" w:eastAsia="zh-CN"/>
              </w:rPr>
              <w:t>转载机</w:t>
            </w:r>
            <w:r>
              <w:rPr>
                <w:rFonts w:hint="default"/>
                <w:color w:val="auto"/>
                <w:sz w:val="21"/>
                <w:szCs w:val="21"/>
                <w:lang w:val="en-US" w:eastAsia="zh-CN"/>
              </w:rPr>
              <w:t>送至皮带输送机，</w:t>
            </w:r>
            <w:r>
              <w:rPr>
                <w:rFonts w:hint="eastAsia"/>
                <w:color w:val="auto"/>
                <w:sz w:val="21"/>
                <w:szCs w:val="21"/>
                <w:lang w:val="en-US" w:eastAsia="zh-CN"/>
              </w:rPr>
              <w:t>经</w:t>
            </w:r>
            <w:r>
              <w:rPr>
                <w:rFonts w:hint="default"/>
                <w:color w:val="auto"/>
                <w:sz w:val="21"/>
                <w:szCs w:val="21"/>
                <w:lang w:val="en-US" w:eastAsia="zh-CN"/>
              </w:rPr>
              <w:t>皮带输送机送入搅拌机</w:t>
            </w:r>
            <w:r>
              <w:rPr>
                <w:rFonts w:hint="eastAsia"/>
                <w:color w:val="auto"/>
                <w:sz w:val="21"/>
                <w:szCs w:val="21"/>
                <w:lang w:val="en-US" w:eastAsia="zh-CN"/>
              </w:rPr>
              <w:t>，搅拌过程</w:t>
            </w:r>
            <w:r>
              <w:rPr>
                <w:rFonts w:hint="default"/>
                <w:color w:val="auto"/>
                <w:sz w:val="21"/>
                <w:szCs w:val="21"/>
                <w:lang w:val="en-US" w:eastAsia="zh-CN"/>
              </w:rPr>
              <w:t>加水混合，</w:t>
            </w:r>
            <w:r>
              <w:rPr>
                <w:rFonts w:hint="eastAsia"/>
                <w:color w:val="auto"/>
                <w:sz w:val="21"/>
                <w:szCs w:val="21"/>
                <w:lang w:val="en-US" w:eastAsia="zh-CN"/>
              </w:rPr>
              <w:t>加水量</w:t>
            </w:r>
            <w:r>
              <w:rPr>
                <w:rFonts w:hint="default"/>
                <w:color w:val="auto"/>
                <w:sz w:val="21"/>
                <w:szCs w:val="21"/>
                <w:lang w:val="en-US" w:eastAsia="zh-CN"/>
              </w:rPr>
              <w:t>约按原料</w:t>
            </w:r>
            <w:r>
              <w:rPr>
                <w:rFonts w:hint="eastAsia"/>
                <w:color w:val="auto"/>
                <w:sz w:val="21"/>
                <w:szCs w:val="21"/>
                <w:lang w:val="en-US" w:eastAsia="zh-CN"/>
              </w:rPr>
              <w:t>：水为4:1的</w:t>
            </w:r>
            <w:r>
              <w:rPr>
                <w:rFonts w:hint="default"/>
                <w:color w:val="auto"/>
                <w:sz w:val="21"/>
                <w:szCs w:val="21"/>
                <w:lang w:val="en-US" w:eastAsia="zh-CN"/>
              </w:rPr>
              <w:t>比例加</w:t>
            </w:r>
            <w:r>
              <w:rPr>
                <w:rFonts w:hint="eastAsia"/>
                <w:color w:val="auto"/>
                <w:sz w:val="21"/>
                <w:szCs w:val="21"/>
                <w:lang w:val="en-US" w:eastAsia="zh-CN"/>
              </w:rPr>
              <w:t>入，经搅拌机将</w:t>
            </w:r>
            <w:r>
              <w:rPr>
                <w:rFonts w:hint="eastAsia" w:cs="Times New Roman"/>
                <w:b w:val="0"/>
                <w:bCs/>
                <w:i w:val="0"/>
                <w:iCs w:val="0"/>
                <w:caps w:val="0"/>
                <w:color w:val="auto"/>
                <w:spacing w:val="0"/>
                <w:sz w:val="21"/>
                <w:szCs w:val="21"/>
                <w:shd w:val="clear" w:fill="FFFFFF"/>
                <w:lang w:val="en-US" w:eastAsia="zh-CN"/>
              </w:rPr>
              <w:t>建筑基坑弃土</w:t>
            </w:r>
            <w:r>
              <w:rPr>
                <w:rFonts w:hint="eastAsia"/>
                <w:color w:val="auto"/>
                <w:sz w:val="21"/>
                <w:szCs w:val="21"/>
                <w:lang w:val="en-US" w:eastAsia="zh-CN"/>
              </w:rPr>
              <w:t>、水</w:t>
            </w:r>
            <w:r>
              <w:rPr>
                <w:rFonts w:hint="default"/>
                <w:color w:val="auto"/>
                <w:sz w:val="21"/>
                <w:szCs w:val="21"/>
                <w:lang w:val="en-US" w:eastAsia="zh-CN"/>
              </w:rPr>
              <w:t>混合</w:t>
            </w:r>
            <w:r>
              <w:rPr>
                <w:rFonts w:hint="eastAsia"/>
                <w:color w:val="auto"/>
                <w:sz w:val="21"/>
                <w:szCs w:val="21"/>
                <w:lang w:val="en-US" w:eastAsia="zh-CN"/>
              </w:rPr>
              <w:t>均匀</w:t>
            </w:r>
            <w:r>
              <w:rPr>
                <w:rFonts w:hint="default"/>
                <w:color w:val="auto"/>
                <w:sz w:val="21"/>
                <w:szCs w:val="21"/>
                <w:lang w:val="en-US" w:eastAsia="zh-CN"/>
              </w:rPr>
              <w:t>，再通过皮带输送机送入对辊机</w:t>
            </w:r>
            <w:r>
              <w:rPr>
                <w:rFonts w:hint="eastAsia"/>
                <w:color w:val="auto"/>
                <w:sz w:val="21"/>
                <w:szCs w:val="21"/>
                <w:lang w:val="en-US" w:eastAsia="zh-CN"/>
              </w:rPr>
              <w:t>，经破碎、挤压后，使泥料更加均匀、细腻，提高泥料质量。</w:t>
            </w:r>
          </w:p>
          <w:p w14:paraId="708F877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2" w:firstLineChars="200"/>
              <w:jc w:val="both"/>
              <w:textAlignment w:val="auto"/>
              <w:rPr>
                <w:rFonts w:hint="default"/>
                <w:b/>
                <w:bCs/>
                <w:color w:val="auto"/>
                <w:sz w:val="21"/>
                <w:szCs w:val="21"/>
                <w:highlight w:val="none"/>
                <w:lang w:val="en-US" w:eastAsia="zh-CN"/>
              </w:rPr>
            </w:pPr>
            <w:r>
              <w:rPr>
                <w:rFonts w:hint="eastAsia"/>
                <w:b/>
                <w:bCs/>
                <w:color w:val="auto"/>
                <w:sz w:val="21"/>
                <w:szCs w:val="21"/>
                <w:highlight w:val="none"/>
                <w:lang w:val="en-US" w:eastAsia="zh-CN"/>
              </w:rPr>
              <w:t>（3）制坯、修坯</w:t>
            </w:r>
          </w:p>
          <w:p w14:paraId="3E8F03AD">
            <w:pPr>
              <w:keepNext w:val="0"/>
              <w:keepLines w:val="0"/>
              <w:pageBreakBefore w:val="0"/>
              <w:widowControl w:val="0"/>
              <w:kinsoku/>
              <w:wordWrap/>
              <w:overflowPunct/>
              <w:topLinePunct w:val="0"/>
              <w:autoSpaceDE/>
              <w:autoSpaceDN/>
              <w:bidi w:val="0"/>
              <w:adjustRightInd/>
              <w:snapToGrid w:val="0"/>
              <w:spacing w:line="360" w:lineRule="auto"/>
              <w:ind w:firstLine="460" w:firstLineChars="200"/>
              <w:textAlignment w:val="auto"/>
              <w:rPr>
                <w:rFonts w:hint="eastAsia"/>
                <w:color w:val="auto"/>
                <w:sz w:val="21"/>
                <w:szCs w:val="21"/>
                <w:lang w:val="en-US" w:eastAsia="zh-CN"/>
              </w:rPr>
            </w:pPr>
            <w:r>
              <w:rPr>
                <w:rFonts w:hint="default" w:ascii="Times New Roman" w:hAnsi="Times New Roman" w:cs="Times New Roman"/>
                <w:color w:val="auto"/>
                <w:spacing w:val="10"/>
                <w:sz w:val="21"/>
                <w:szCs w:val="21"/>
                <w:lang w:eastAsia="zh-CN"/>
              </w:rPr>
              <w:t>经过对辊后的</w:t>
            </w:r>
            <w:r>
              <w:rPr>
                <w:rFonts w:hint="eastAsia" w:cs="Times New Roman"/>
                <w:b w:val="0"/>
                <w:bCs/>
                <w:i w:val="0"/>
                <w:iCs w:val="0"/>
                <w:caps w:val="0"/>
                <w:color w:val="auto"/>
                <w:spacing w:val="0"/>
                <w:sz w:val="21"/>
                <w:szCs w:val="21"/>
                <w:shd w:val="clear" w:fill="FFFFFF"/>
                <w:lang w:val="en-US" w:eastAsia="zh-CN"/>
              </w:rPr>
              <w:t>建筑基坑弃土</w:t>
            </w:r>
            <w:r>
              <w:rPr>
                <w:rFonts w:hint="default" w:ascii="Times New Roman" w:hAnsi="Times New Roman" w:cs="Times New Roman"/>
                <w:color w:val="auto"/>
                <w:spacing w:val="10"/>
                <w:sz w:val="21"/>
                <w:szCs w:val="21"/>
                <w:lang w:eastAsia="zh-CN"/>
              </w:rPr>
              <w:t>送入</w:t>
            </w:r>
            <w:r>
              <w:rPr>
                <w:rFonts w:hint="eastAsia"/>
                <w:color w:val="auto"/>
                <w:sz w:val="21"/>
                <w:szCs w:val="21"/>
                <w:lang w:val="en-US" w:eastAsia="zh-CN"/>
              </w:rPr>
              <w:t>进入真空成型机，</w:t>
            </w:r>
            <w:r>
              <w:rPr>
                <w:rFonts w:hint="default" w:ascii="Times New Roman" w:hAnsi="Times New Roman" w:cs="Times New Roman"/>
                <w:color w:val="auto"/>
                <w:spacing w:val="10"/>
                <w:sz w:val="21"/>
                <w:szCs w:val="21"/>
                <w:lang w:eastAsia="zh-CN"/>
              </w:rPr>
              <w:t>挤出成型，挤出的泥条经自动切割机切割成所要求尺寸的砖瓦坯，再送入自动压瓦机压制成型</w:t>
            </w:r>
            <w:r>
              <w:rPr>
                <w:rFonts w:hint="default"/>
                <w:color w:val="auto"/>
                <w:sz w:val="21"/>
                <w:szCs w:val="21"/>
                <w:lang w:val="en-US" w:eastAsia="zh-CN"/>
              </w:rPr>
              <w:t>。</w:t>
            </w:r>
            <w:r>
              <w:rPr>
                <w:rFonts w:hint="eastAsia"/>
                <w:color w:val="auto"/>
                <w:sz w:val="21"/>
                <w:szCs w:val="21"/>
                <w:lang w:val="en-US" w:eastAsia="zh-CN"/>
              </w:rPr>
              <w:t>或根据产品规格选择不同磨具，磨具中涂刷适量润滑油，将</w:t>
            </w:r>
            <w:r>
              <w:rPr>
                <w:rFonts w:hint="default" w:ascii="Times New Roman" w:hAnsi="Times New Roman" w:cs="Times New Roman"/>
                <w:color w:val="auto"/>
                <w:spacing w:val="10"/>
                <w:sz w:val="21"/>
                <w:szCs w:val="21"/>
                <w:lang w:eastAsia="zh-CN"/>
              </w:rPr>
              <w:t>自动切割机切割</w:t>
            </w:r>
            <w:r>
              <w:rPr>
                <w:rFonts w:hint="eastAsia" w:cs="Times New Roman"/>
                <w:color w:val="auto"/>
                <w:spacing w:val="10"/>
                <w:sz w:val="21"/>
                <w:szCs w:val="21"/>
                <w:lang w:eastAsia="zh-CN"/>
              </w:rPr>
              <w:t>好</w:t>
            </w:r>
            <w:r>
              <w:rPr>
                <w:rFonts w:hint="default"/>
                <w:color w:val="auto"/>
                <w:sz w:val="21"/>
                <w:szCs w:val="21"/>
                <w:lang w:val="en-US" w:eastAsia="zh-CN"/>
              </w:rPr>
              <w:t>的砖瓦坯</w:t>
            </w:r>
            <w:r>
              <w:rPr>
                <w:rFonts w:hint="eastAsia"/>
                <w:color w:val="auto"/>
                <w:sz w:val="21"/>
                <w:szCs w:val="21"/>
                <w:lang w:val="en-US" w:eastAsia="zh-CN"/>
              </w:rPr>
              <w:t>放入模具，人工压坯成型，脱模后观察坯料是否完整，对有缺陷或不美观坯料进行人工修坯</w:t>
            </w:r>
            <w:r>
              <w:rPr>
                <w:rFonts w:hint="eastAsia" w:cs="Times New Roman"/>
                <w:color w:val="auto"/>
                <w:spacing w:val="10"/>
                <w:sz w:val="21"/>
                <w:szCs w:val="21"/>
                <w:lang w:eastAsia="zh-CN"/>
              </w:rPr>
              <w:t>。</w:t>
            </w:r>
          </w:p>
          <w:p w14:paraId="03E87495">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2" w:firstLineChars="200"/>
              <w:jc w:val="both"/>
              <w:textAlignment w:val="auto"/>
              <w:rPr>
                <w:rFonts w:hint="default"/>
                <w:b/>
                <w:bCs/>
                <w:color w:val="auto"/>
                <w:sz w:val="21"/>
                <w:szCs w:val="21"/>
                <w:highlight w:val="none"/>
                <w:lang w:val="en-US" w:eastAsia="zh-CN"/>
              </w:rPr>
            </w:pPr>
            <w:r>
              <w:rPr>
                <w:rFonts w:hint="eastAsia"/>
                <w:b/>
                <w:bCs/>
                <w:color w:val="auto"/>
                <w:sz w:val="21"/>
                <w:szCs w:val="21"/>
                <w:highlight w:val="none"/>
                <w:lang w:val="en-US" w:eastAsia="zh-CN"/>
              </w:rPr>
              <w:t>（4）晾干</w:t>
            </w:r>
          </w:p>
          <w:p w14:paraId="0C6A0AE7">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jc w:val="both"/>
              <w:textAlignment w:val="auto"/>
              <w:rPr>
                <w:rFonts w:hint="default"/>
                <w:color w:val="auto"/>
                <w:sz w:val="21"/>
                <w:szCs w:val="21"/>
                <w:highlight w:val="none"/>
                <w:lang w:val="en-US" w:eastAsia="zh-CN"/>
              </w:rPr>
            </w:pPr>
            <w:r>
              <w:rPr>
                <w:rFonts w:hint="default"/>
                <w:color w:val="auto"/>
                <w:sz w:val="21"/>
                <w:szCs w:val="21"/>
                <w:lang w:val="en-US" w:eastAsia="zh-CN"/>
              </w:rPr>
              <w:t>成型砖瓦坯经人力推车运至</w:t>
            </w:r>
            <w:r>
              <w:rPr>
                <w:rFonts w:hint="eastAsia"/>
                <w:color w:val="auto"/>
                <w:sz w:val="21"/>
                <w:szCs w:val="21"/>
                <w:lang w:val="en-US" w:eastAsia="zh-CN"/>
              </w:rPr>
              <w:t>晾干车间</w:t>
            </w:r>
            <w:r>
              <w:rPr>
                <w:rFonts w:hint="default"/>
                <w:color w:val="auto"/>
                <w:sz w:val="21"/>
                <w:szCs w:val="21"/>
                <w:lang w:val="en-US" w:eastAsia="zh-CN"/>
              </w:rPr>
              <w:t>自然</w:t>
            </w:r>
            <w:r>
              <w:rPr>
                <w:rFonts w:hint="eastAsia"/>
                <w:color w:val="auto"/>
                <w:sz w:val="21"/>
                <w:szCs w:val="21"/>
                <w:lang w:val="en-US" w:eastAsia="zh-CN"/>
              </w:rPr>
              <w:t>晾</w:t>
            </w:r>
            <w:r>
              <w:rPr>
                <w:rFonts w:hint="default"/>
                <w:color w:val="auto"/>
                <w:sz w:val="21"/>
                <w:szCs w:val="21"/>
                <w:lang w:val="en-US" w:eastAsia="zh-CN"/>
              </w:rPr>
              <w:t>干，</w:t>
            </w:r>
            <w:r>
              <w:rPr>
                <w:rFonts w:hint="eastAsia"/>
                <w:color w:val="auto"/>
                <w:sz w:val="21"/>
                <w:szCs w:val="21"/>
                <w:lang w:val="en-US" w:eastAsia="zh-CN"/>
              </w:rPr>
              <w:t>晾干后送至</w:t>
            </w:r>
            <w:r>
              <w:rPr>
                <w:rFonts w:hint="default"/>
                <w:color w:val="auto"/>
                <w:sz w:val="21"/>
                <w:szCs w:val="21"/>
                <w:lang w:val="en-US" w:eastAsia="zh-CN"/>
              </w:rPr>
              <w:t>待烧</w:t>
            </w:r>
            <w:r>
              <w:rPr>
                <w:rFonts w:hint="eastAsia"/>
                <w:color w:val="auto"/>
                <w:sz w:val="21"/>
                <w:szCs w:val="21"/>
                <w:lang w:val="en-US" w:eastAsia="zh-CN"/>
              </w:rPr>
              <w:t>车间待焙烧。</w:t>
            </w:r>
            <w:r>
              <w:rPr>
                <w:rFonts w:hint="eastAsia"/>
                <w:color w:val="auto"/>
                <w:sz w:val="21"/>
                <w:szCs w:val="21"/>
                <w:highlight w:val="none"/>
                <w:lang w:val="en-US" w:eastAsia="zh-CN"/>
              </w:rPr>
              <w:t>其中砖晾干时间约30天，瓦晾干时间约15天。</w:t>
            </w:r>
          </w:p>
          <w:p w14:paraId="351D2D35">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2" w:firstLineChars="200"/>
              <w:jc w:val="both"/>
              <w:textAlignment w:val="auto"/>
              <w:rPr>
                <w:rFonts w:hint="eastAsia" w:eastAsia="宋体"/>
                <w:b/>
                <w:bCs/>
                <w:color w:val="auto"/>
                <w:sz w:val="21"/>
                <w:szCs w:val="21"/>
                <w:highlight w:val="none"/>
                <w:lang w:val="en-US" w:eastAsia="zh-CN"/>
              </w:rPr>
            </w:pPr>
            <w:r>
              <w:rPr>
                <w:rFonts w:hint="eastAsia"/>
                <w:b/>
                <w:bCs/>
                <w:color w:val="auto"/>
                <w:sz w:val="21"/>
                <w:szCs w:val="21"/>
                <w:highlight w:val="none"/>
                <w:lang w:val="en-US" w:eastAsia="zh-CN"/>
              </w:rPr>
              <w:t>（5）焙烧</w:t>
            </w:r>
          </w:p>
          <w:p w14:paraId="1BB54F26">
            <w:pPr>
              <w:pStyle w:val="38"/>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 w:val="21"/>
                <w:szCs w:val="21"/>
                <w:highlight w:val="none"/>
                <w:lang w:val="en-US" w:eastAsia="zh-CN"/>
              </w:rPr>
            </w:pPr>
            <w:r>
              <w:rPr>
                <w:rFonts w:hint="eastAsia"/>
                <w:color w:val="auto"/>
                <w:sz w:val="21"/>
                <w:szCs w:val="21"/>
                <w:highlight w:val="none"/>
                <w:lang w:val="en-US" w:eastAsia="zh-CN"/>
              </w:rPr>
              <w:t>本项目采用梭式窑进行焙烧。</w:t>
            </w:r>
            <w:r>
              <w:rPr>
                <w:rFonts w:hint="default"/>
                <w:color w:val="auto"/>
                <w:sz w:val="21"/>
                <w:szCs w:val="21"/>
                <w:lang w:val="en-US" w:eastAsia="zh-CN"/>
              </w:rPr>
              <w:t>梭式窑</w:t>
            </w:r>
            <w:r>
              <w:rPr>
                <w:rFonts w:hint="eastAsia"/>
                <w:color w:val="auto"/>
                <w:sz w:val="21"/>
                <w:szCs w:val="21"/>
                <w:lang w:val="en-US" w:eastAsia="zh-CN"/>
              </w:rPr>
              <w:t>：</w:t>
            </w:r>
            <w:r>
              <w:rPr>
                <w:rFonts w:hint="default"/>
                <w:color w:val="auto"/>
                <w:sz w:val="21"/>
                <w:szCs w:val="21"/>
                <w:lang w:val="en-US" w:eastAsia="zh-CN"/>
              </w:rPr>
              <w:t>是间歇烧成的窑，跟火柴盒的结构类似，窑车推进窑内烧成，烧完了再往相反的方向拉出来，卸下烧好的陶瓷，窑车如同梭子，故而称为梭式窑。梭式窑的生产系统由燃料供给及燃烧设备、</w:t>
            </w:r>
            <w:r>
              <w:rPr>
                <w:rFonts w:hint="eastAsia"/>
                <w:color w:val="auto"/>
                <w:sz w:val="21"/>
                <w:szCs w:val="21"/>
                <w:lang w:val="en-US" w:eastAsia="zh-CN"/>
              </w:rPr>
              <w:t>循环</w:t>
            </w:r>
            <w:r>
              <w:rPr>
                <w:rFonts w:hint="default"/>
                <w:color w:val="auto"/>
                <w:sz w:val="21"/>
                <w:szCs w:val="21"/>
                <w:lang w:val="en-US" w:eastAsia="zh-CN"/>
              </w:rPr>
              <w:t>风机和排烟风机等组成。梭式窑的窑体为矩形，窑顶采用平吊顶结构，窑体均采用耐火材料。</w:t>
            </w:r>
            <w:r>
              <w:rPr>
                <w:rFonts w:hint="eastAsia"/>
                <w:color w:val="auto"/>
                <w:sz w:val="21"/>
                <w:szCs w:val="21"/>
                <w:lang w:val="en-US" w:eastAsia="zh-CN"/>
              </w:rPr>
              <w:t>燃料</w:t>
            </w:r>
            <w:r>
              <w:rPr>
                <w:rFonts w:hint="default"/>
                <w:color w:val="auto"/>
                <w:sz w:val="21"/>
                <w:szCs w:val="21"/>
                <w:lang w:val="en-US" w:eastAsia="zh-CN"/>
              </w:rPr>
              <w:t>采用</w:t>
            </w:r>
            <w:r>
              <w:rPr>
                <w:rFonts w:hint="eastAsia"/>
                <w:color w:val="auto"/>
                <w:sz w:val="21"/>
                <w:szCs w:val="21"/>
                <w:lang w:val="en-US" w:eastAsia="zh-CN"/>
              </w:rPr>
              <w:t>煤。</w:t>
            </w:r>
          </w:p>
          <w:p w14:paraId="18ECDA9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2" w:firstLineChars="200"/>
              <w:jc w:val="both"/>
              <w:textAlignment w:val="auto"/>
              <w:rPr>
                <w:rFonts w:hint="eastAsia" w:eastAsia="宋体"/>
                <w:b/>
                <w:bCs/>
                <w:color w:val="auto"/>
                <w:sz w:val="21"/>
                <w:szCs w:val="21"/>
                <w:highlight w:val="none"/>
                <w:lang w:eastAsia="zh-CN"/>
              </w:rPr>
            </w:pPr>
            <w:r>
              <w:rPr>
                <w:rFonts w:hint="eastAsia" w:ascii="Times New Roman" w:hAnsi="Times New Roman" w:eastAsia="宋体" w:cs="黑体"/>
                <w:b/>
                <w:bCs/>
                <w:color w:val="auto"/>
                <w:kern w:val="2"/>
                <w:sz w:val="21"/>
                <w:szCs w:val="21"/>
                <w:highlight w:val="none"/>
                <w:lang w:val="en-US" w:eastAsia="zh-CN" w:bidi="ar-SA"/>
              </w:rPr>
              <w:t>（</w:t>
            </w:r>
            <w:r>
              <w:rPr>
                <w:rFonts w:hint="eastAsia" w:cs="黑体"/>
                <w:b/>
                <w:bCs/>
                <w:color w:val="auto"/>
                <w:kern w:val="2"/>
                <w:sz w:val="21"/>
                <w:szCs w:val="21"/>
                <w:highlight w:val="none"/>
                <w:lang w:val="en-US" w:eastAsia="zh-CN" w:bidi="ar-SA"/>
              </w:rPr>
              <w:t>6</w:t>
            </w:r>
            <w:r>
              <w:rPr>
                <w:rFonts w:hint="eastAsia" w:ascii="Times New Roman" w:hAnsi="Times New Roman" w:eastAsia="宋体" w:cs="黑体"/>
                <w:b/>
                <w:bCs/>
                <w:color w:val="auto"/>
                <w:kern w:val="2"/>
                <w:sz w:val="21"/>
                <w:szCs w:val="21"/>
                <w:highlight w:val="none"/>
                <w:lang w:val="en-US" w:eastAsia="zh-CN" w:bidi="ar-SA"/>
              </w:rPr>
              <w:t>）</w:t>
            </w:r>
            <w:r>
              <w:rPr>
                <w:rFonts w:hint="eastAsia"/>
                <w:b/>
                <w:bCs/>
                <w:color w:val="auto"/>
                <w:sz w:val="21"/>
                <w:szCs w:val="21"/>
                <w:highlight w:val="none"/>
              </w:rPr>
              <w:t>检</w:t>
            </w:r>
            <w:r>
              <w:rPr>
                <w:rFonts w:hint="eastAsia"/>
                <w:b/>
                <w:bCs/>
                <w:color w:val="auto"/>
                <w:sz w:val="21"/>
                <w:szCs w:val="21"/>
                <w:highlight w:val="none"/>
                <w:lang w:eastAsia="zh-CN"/>
              </w:rPr>
              <w:t>查、成品</w:t>
            </w:r>
          </w:p>
          <w:p w14:paraId="04A3DE34">
            <w:pPr>
              <w:keepNext w:val="0"/>
              <w:keepLines w:val="0"/>
              <w:pageBreakBefore w:val="0"/>
              <w:widowControl w:val="0"/>
              <w:kinsoku/>
              <w:wordWrap/>
              <w:overflowPunct/>
              <w:topLinePunct w:val="0"/>
              <w:autoSpaceDE/>
              <w:autoSpaceDN/>
              <w:bidi w:val="0"/>
              <w:adjustRightInd/>
              <w:snapToGrid w:val="0"/>
              <w:spacing w:line="360" w:lineRule="auto"/>
              <w:ind w:firstLine="460" w:firstLineChars="200"/>
              <w:textAlignment w:val="auto"/>
              <w:rPr>
                <w:rFonts w:hint="eastAsia" w:ascii="Times New Roman" w:hAnsi="Times New Roman" w:eastAsia="宋体" w:cs="Times New Roman"/>
                <w:color w:val="auto"/>
                <w:spacing w:val="10"/>
                <w:sz w:val="21"/>
                <w:szCs w:val="21"/>
                <w:lang w:eastAsia="zh-CN"/>
              </w:rPr>
            </w:pPr>
            <w:r>
              <w:rPr>
                <w:rFonts w:hint="default" w:ascii="Times New Roman" w:hAnsi="Times New Roman" w:cs="Times New Roman"/>
                <w:color w:val="auto"/>
                <w:spacing w:val="10"/>
                <w:sz w:val="21"/>
                <w:szCs w:val="21"/>
                <w:lang w:eastAsia="zh-CN"/>
              </w:rPr>
              <w:t>烧成冷却后，人工检查进行目测、分检，挑出次品（根据</w:t>
            </w:r>
            <w:r>
              <w:rPr>
                <w:rFonts w:hint="eastAsia" w:cs="Times New Roman"/>
                <w:color w:val="auto"/>
                <w:spacing w:val="10"/>
                <w:sz w:val="21"/>
                <w:szCs w:val="21"/>
                <w:lang w:val="en-US" w:eastAsia="zh-CN"/>
              </w:rPr>
              <w:t>业主提供的</w:t>
            </w:r>
            <w:r>
              <w:rPr>
                <w:rFonts w:hint="default" w:ascii="Times New Roman" w:hAnsi="Times New Roman" w:cs="Times New Roman"/>
                <w:color w:val="auto"/>
                <w:spacing w:val="10"/>
                <w:sz w:val="21"/>
                <w:szCs w:val="21"/>
                <w:lang w:eastAsia="zh-CN"/>
              </w:rPr>
              <w:t>生产经验，有</w:t>
            </w:r>
            <w:r>
              <w:rPr>
                <w:rFonts w:hint="eastAsia" w:cs="Times New Roman"/>
                <w:color w:val="auto"/>
                <w:spacing w:val="10"/>
                <w:sz w:val="21"/>
                <w:szCs w:val="21"/>
                <w:lang w:val="en-US" w:eastAsia="zh-CN"/>
              </w:rPr>
              <w:t>1</w:t>
            </w:r>
            <w:r>
              <w:rPr>
                <w:rFonts w:hint="default" w:ascii="Times New Roman" w:hAnsi="Times New Roman" w:cs="Times New Roman"/>
                <w:color w:val="auto"/>
                <w:spacing w:val="10"/>
                <w:sz w:val="21"/>
                <w:szCs w:val="21"/>
                <w:lang w:eastAsia="zh-CN"/>
              </w:rPr>
              <w:t>%的生产次品），</w:t>
            </w:r>
            <w:r>
              <w:rPr>
                <w:rFonts w:hint="eastAsia" w:cs="Times New Roman"/>
                <w:color w:val="auto"/>
                <w:spacing w:val="10"/>
                <w:sz w:val="21"/>
                <w:szCs w:val="21"/>
                <w:lang w:eastAsia="zh-CN"/>
              </w:rPr>
              <w:t>成品</w:t>
            </w:r>
            <w:r>
              <w:rPr>
                <w:rFonts w:hint="default" w:ascii="Times New Roman" w:hAnsi="Times New Roman" w:cs="Times New Roman"/>
                <w:color w:val="auto"/>
                <w:spacing w:val="10"/>
                <w:sz w:val="21"/>
                <w:szCs w:val="21"/>
                <w:lang w:eastAsia="zh-CN"/>
              </w:rPr>
              <w:t>按规格分别</w:t>
            </w:r>
            <w:r>
              <w:rPr>
                <w:rFonts w:hint="eastAsia" w:cs="Times New Roman"/>
                <w:color w:val="auto"/>
                <w:spacing w:val="10"/>
                <w:sz w:val="21"/>
                <w:szCs w:val="21"/>
                <w:lang w:eastAsia="zh-CN"/>
              </w:rPr>
              <w:t>放入成品区</w:t>
            </w:r>
            <w:r>
              <w:rPr>
                <w:rFonts w:hint="default" w:ascii="Times New Roman" w:hAnsi="Times New Roman" w:cs="Times New Roman"/>
                <w:color w:val="auto"/>
                <w:spacing w:val="10"/>
                <w:sz w:val="21"/>
                <w:szCs w:val="21"/>
                <w:lang w:eastAsia="zh-CN"/>
              </w:rPr>
              <w:t>进行堆放，生产的次品</w:t>
            </w:r>
            <w:r>
              <w:rPr>
                <w:rFonts w:hint="eastAsia" w:cs="Times New Roman"/>
                <w:b w:val="0"/>
                <w:bCs/>
                <w:color w:val="auto"/>
                <w:sz w:val="21"/>
                <w:szCs w:val="21"/>
                <w:lang w:eastAsia="zh-CN"/>
              </w:rPr>
              <w:t>先堆存于</w:t>
            </w:r>
            <w:r>
              <w:rPr>
                <w:rFonts w:hint="eastAsia"/>
                <w:b w:val="0"/>
                <w:bCs/>
                <w:color w:val="auto"/>
                <w:sz w:val="21"/>
                <w:szCs w:val="21"/>
                <w:lang w:val="en-US" w:eastAsia="zh-CN"/>
              </w:rPr>
              <w:t>原料车间</w:t>
            </w:r>
            <w:r>
              <w:rPr>
                <w:rFonts w:hint="eastAsia"/>
                <w:b w:val="0"/>
                <w:bCs/>
                <w:color w:val="auto"/>
                <w:sz w:val="21"/>
                <w:szCs w:val="21"/>
                <w:lang w:eastAsia="zh-CN"/>
              </w:rPr>
              <w:t>，</w:t>
            </w:r>
            <w:r>
              <w:rPr>
                <w:rFonts w:hint="eastAsia"/>
                <w:b w:val="0"/>
                <w:bCs/>
                <w:color w:val="auto"/>
                <w:sz w:val="21"/>
                <w:szCs w:val="21"/>
                <w:lang w:val="en-US" w:eastAsia="zh-CN"/>
              </w:rPr>
              <w:t>后续作为原料返回对辊破碎</w:t>
            </w:r>
            <w:r>
              <w:rPr>
                <w:rFonts w:hint="eastAsia" w:cs="Times New Roman"/>
                <w:b w:val="0"/>
                <w:bCs/>
                <w:color w:val="auto"/>
                <w:sz w:val="21"/>
                <w:szCs w:val="21"/>
                <w:lang w:eastAsia="zh-CN"/>
              </w:rPr>
              <w:t>。</w:t>
            </w:r>
          </w:p>
          <w:p w14:paraId="2CBB73CD">
            <w:pPr>
              <w:pStyle w:val="38"/>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eastAsia="宋体"/>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lang w:val="en-US" w:eastAsia="zh-CN"/>
              </w:rPr>
              <w:t>生产工艺流程和</w:t>
            </w:r>
            <w:r>
              <w:rPr>
                <w:rFonts w:hint="eastAsia"/>
                <w:color w:val="auto"/>
                <w:lang w:eastAsia="zh-CN"/>
              </w:rPr>
              <w:t>产污节点</w:t>
            </w:r>
          </w:p>
          <w:p w14:paraId="35FDDA13">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both"/>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生产工艺流程图如下图：</w:t>
            </w:r>
          </w:p>
          <w:p w14:paraId="677EA4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rPr>
            </w:pPr>
            <w:r>
              <w:drawing>
                <wp:inline distT="0" distB="0" distL="114300" distR="114300">
                  <wp:extent cx="5137150" cy="6694170"/>
                  <wp:effectExtent l="0" t="0" r="6350" b="1143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21"/>
                          <a:stretch>
                            <a:fillRect/>
                          </a:stretch>
                        </pic:blipFill>
                        <pic:spPr>
                          <a:xfrm>
                            <a:off x="0" y="0"/>
                            <a:ext cx="5137150" cy="6694170"/>
                          </a:xfrm>
                          <a:prstGeom prst="rect">
                            <a:avLst/>
                          </a:prstGeom>
                          <a:noFill/>
                          <a:ln>
                            <a:noFill/>
                          </a:ln>
                        </pic:spPr>
                      </pic:pic>
                    </a:graphicData>
                  </a:graphic>
                </wp:inline>
              </w:drawing>
            </w:r>
          </w:p>
          <w:p w14:paraId="56E43EE5">
            <w:pPr>
              <w:pStyle w:val="41"/>
              <w:keepNext w:val="0"/>
              <w:keepLines w:val="0"/>
              <w:pageBreakBefore w:val="0"/>
              <w:widowControl w:val="0"/>
              <w:kinsoku/>
              <w:wordWrap/>
              <w:overflowPunct/>
              <w:topLinePunct w:val="0"/>
              <w:autoSpaceDE/>
              <w:autoSpaceDN/>
              <w:bidi w:val="0"/>
              <w:snapToGrid w:val="0"/>
              <w:spacing w:line="240" w:lineRule="auto"/>
              <w:textAlignment w:val="auto"/>
              <w:rPr>
                <w:rFonts w:hint="default"/>
                <w:color w:val="auto"/>
                <w:lang w:val="en-US" w:eastAsia="zh-CN"/>
              </w:rPr>
            </w:pPr>
            <w:r>
              <w:rPr>
                <w:rFonts w:hint="eastAsia"/>
                <w:color w:val="auto"/>
                <w:lang w:eastAsia="zh-CN"/>
              </w:rPr>
              <w:t>图</w:t>
            </w:r>
            <w:r>
              <w:rPr>
                <w:rFonts w:hint="eastAsia"/>
                <w:color w:val="auto"/>
                <w:lang w:val="en-US" w:eastAsia="zh-CN"/>
              </w:rPr>
              <w:t>2-11  项目</w:t>
            </w:r>
            <w:r>
              <w:rPr>
                <w:rFonts w:hint="eastAsia"/>
                <w:color w:val="auto"/>
                <w:lang w:eastAsia="zh-CN"/>
              </w:rPr>
              <w:t>生产工艺流程及产污节点图</w:t>
            </w:r>
          </w:p>
          <w:p w14:paraId="1C5E2249">
            <w:pPr>
              <w:pStyle w:val="38"/>
              <w:bidi w:val="0"/>
              <w:rPr>
                <w:rFonts w:hint="eastAsia" w:eastAsia="宋体"/>
                <w:color w:val="auto"/>
                <w:lang w:eastAsia="zh-CN"/>
              </w:rPr>
            </w:pPr>
            <w:r>
              <w:rPr>
                <w:rFonts w:hint="eastAsia"/>
                <w:color w:val="auto"/>
                <w:lang w:eastAsia="zh-CN"/>
              </w:rPr>
              <w:t>项目运营期产污节点及污染因子见下表。</w:t>
            </w:r>
          </w:p>
          <w:p w14:paraId="4B1CFB92">
            <w:pPr>
              <w:pStyle w:val="41"/>
              <w:bidi w:val="0"/>
              <w:rPr>
                <w:rFonts w:hint="default"/>
                <w:color w:val="auto"/>
                <w:lang w:val="en-US" w:eastAsia="zh-CN"/>
              </w:rPr>
            </w:pPr>
            <w:r>
              <w:rPr>
                <w:rFonts w:hint="eastAsia"/>
                <w:color w:val="auto"/>
                <w:lang w:eastAsia="zh-CN"/>
              </w:rPr>
              <w:t>表</w:t>
            </w:r>
            <w:r>
              <w:rPr>
                <w:rFonts w:hint="eastAsia"/>
                <w:color w:val="auto"/>
                <w:lang w:val="en-US" w:eastAsia="zh-CN"/>
              </w:rPr>
              <w:t xml:space="preserve">2-12  </w:t>
            </w:r>
            <w:r>
              <w:rPr>
                <w:rFonts w:hint="eastAsia"/>
                <w:color w:val="auto"/>
                <w:lang w:eastAsia="zh-CN"/>
              </w:rPr>
              <w:t>项目运营期产污节点及污染因子一览表</w:t>
            </w:r>
          </w:p>
          <w:tbl>
            <w:tblPr>
              <w:tblStyle w:val="30"/>
              <w:tblW w:w="81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375"/>
              <w:gridCol w:w="1583"/>
              <w:gridCol w:w="1620"/>
              <w:gridCol w:w="1410"/>
              <w:gridCol w:w="2272"/>
            </w:tblGrid>
            <w:tr w14:paraId="5CC9C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69" w:type="dxa"/>
                  <w:vMerge w:val="restart"/>
                  <w:vAlign w:val="center"/>
                </w:tcPr>
                <w:p w14:paraId="2B0AD9D3">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类别</w:t>
                  </w:r>
                </w:p>
              </w:tc>
              <w:tc>
                <w:tcPr>
                  <w:tcW w:w="1958" w:type="dxa"/>
                  <w:gridSpan w:val="2"/>
                  <w:vAlign w:val="center"/>
                </w:tcPr>
                <w:p w14:paraId="1BCE103A">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污染源</w:t>
                  </w:r>
                </w:p>
              </w:tc>
              <w:tc>
                <w:tcPr>
                  <w:tcW w:w="1620" w:type="dxa"/>
                  <w:vMerge w:val="restart"/>
                  <w:vAlign w:val="center"/>
                </w:tcPr>
                <w:p w14:paraId="37D0C4E8">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产污环节</w:t>
                  </w:r>
                </w:p>
              </w:tc>
              <w:tc>
                <w:tcPr>
                  <w:tcW w:w="1410" w:type="dxa"/>
                  <w:vMerge w:val="restart"/>
                  <w:vAlign w:val="center"/>
                </w:tcPr>
                <w:p w14:paraId="2CB43ABC">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主要组成</w:t>
                  </w:r>
                </w:p>
              </w:tc>
              <w:tc>
                <w:tcPr>
                  <w:tcW w:w="2272" w:type="dxa"/>
                  <w:vMerge w:val="restart"/>
                  <w:vAlign w:val="center"/>
                </w:tcPr>
                <w:p w14:paraId="1A90ADDE">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治理措施</w:t>
                  </w:r>
                </w:p>
              </w:tc>
            </w:tr>
            <w:tr w14:paraId="48D9E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869" w:type="dxa"/>
                  <w:vMerge w:val="continue"/>
                  <w:vAlign w:val="center"/>
                </w:tcPr>
                <w:p w14:paraId="057923C6">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p>
              </w:tc>
              <w:tc>
                <w:tcPr>
                  <w:tcW w:w="1958" w:type="dxa"/>
                  <w:gridSpan w:val="2"/>
                  <w:vAlign w:val="center"/>
                </w:tcPr>
                <w:p w14:paraId="2148C9D3">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名称</w:t>
                  </w:r>
                </w:p>
              </w:tc>
              <w:tc>
                <w:tcPr>
                  <w:tcW w:w="1620" w:type="dxa"/>
                  <w:vMerge w:val="continue"/>
                  <w:vAlign w:val="center"/>
                </w:tcPr>
                <w:p w14:paraId="245338AD">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
                      <w:bCs/>
                      <w:color w:val="auto"/>
                      <w:sz w:val="21"/>
                      <w:szCs w:val="21"/>
                      <w:vertAlign w:val="baseline"/>
                    </w:rPr>
                  </w:pPr>
                </w:p>
              </w:tc>
              <w:tc>
                <w:tcPr>
                  <w:tcW w:w="1410" w:type="dxa"/>
                  <w:vMerge w:val="continue"/>
                  <w:vAlign w:val="center"/>
                </w:tcPr>
                <w:p w14:paraId="26711ED6">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
                      <w:bCs/>
                      <w:color w:val="auto"/>
                      <w:sz w:val="21"/>
                      <w:szCs w:val="21"/>
                      <w:vertAlign w:val="baseline"/>
                    </w:rPr>
                  </w:pPr>
                </w:p>
              </w:tc>
              <w:tc>
                <w:tcPr>
                  <w:tcW w:w="2272" w:type="dxa"/>
                  <w:vMerge w:val="continue"/>
                  <w:vAlign w:val="center"/>
                </w:tcPr>
                <w:p w14:paraId="31AF73CF">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b/>
                      <w:bCs/>
                      <w:color w:val="auto"/>
                      <w:sz w:val="21"/>
                      <w:szCs w:val="21"/>
                      <w:vertAlign w:val="baseline"/>
                    </w:rPr>
                  </w:pPr>
                </w:p>
              </w:tc>
            </w:tr>
            <w:tr w14:paraId="6D9C9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jc w:val="center"/>
              </w:trPr>
              <w:tc>
                <w:tcPr>
                  <w:tcW w:w="869" w:type="dxa"/>
                  <w:vMerge w:val="restart"/>
                  <w:vAlign w:val="center"/>
                </w:tcPr>
                <w:p w14:paraId="70DAFF2D">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废气</w:t>
                  </w:r>
                </w:p>
              </w:tc>
              <w:tc>
                <w:tcPr>
                  <w:tcW w:w="1958" w:type="dxa"/>
                  <w:gridSpan w:val="2"/>
                  <w:vAlign w:val="center"/>
                </w:tcPr>
                <w:p w14:paraId="7B031071">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烧制废气G</w:t>
                  </w:r>
                </w:p>
              </w:tc>
              <w:tc>
                <w:tcPr>
                  <w:tcW w:w="1620" w:type="dxa"/>
                  <w:vAlign w:val="center"/>
                </w:tcPr>
                <w:p w14:paraId="7F03EA6E">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烧制</w:t>
                  </w:r>
                  <w:r>
                    <w:rPr>
                      <w:rFonts w:hint="eastAsia" w:cs="Times New Roman"/>
                      <w:color w:val="auto"/>
                      <w:sz w:val="21"/>
                      <w:szCs w:val="21"/>
                      <w:vertAlign w:val="baseline"/>
                      <w:lang w:val="en-US" w:eastAsia="zh-CN"/>
                    </w:rPr>
                    <w:t>（返青）</w:t>
                  </w:r>
                </w:p>
              </w:tc>
              <w:tc>
                <w:tcPr>
                  <w:tcW w:w="1410" w:type="dxa"/>
                  <w:vAlign w:val="center"/>
                </w:tcPr>
                <w:p w14:paraId="0405AB99">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颗粒物、SO</w:t>
                  </w:r>
                  <w:r>
                    <w:rPr>
                      <w:rFonts w:hint="eastAsia" w:cs="Times New Roman"/>
                      <w:color w:val="auto"/>
                      <w:sz w:val="21"/>
                      <w:szCs w:val="21"/>
                      <w:vertAlign w:val="subscript"/>
                      <w:lang w:val="en-US" w:eastAsia="zh-CN"/>
                    </w:rPr>
                    <w:t>2</w:t>
                  </w:r>
                  <w:r>
                    <w:rPr>
                      <w:rFonts w:hint="eastAsia" w:cs="Times New Roman"/>
                      <w:color w:val="auto"/>
                      <w:sz w:val="21"/>
                      <w:szCs w:val="21"/>
                      <w:vertAlign w:val="baseline"/>
                      <w:lang w:val="en-US" w:eastAsia="zh-CN"/>
                    </w:rPr>
                    <w:t>、NOx、氟化物</w:t>
                  </w:r>
                </w:p>
              </w:tc>
              <w:tc>
                <w:tcPr>
                  <w:tcW w:w="2272" w:type="dxa"/>
                  <w:vAlign w:val="center"/>
                </w:tcPr>
                <w:p w14:paraId="33191274">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经布袋除尘+脱硫塔处理后，通过15m高排气筒（DA001）排放</w:t>
                  </w:r>
                </w:p>
              </w:tc>
            </w:tr>
            <w:tr w14:paraId="67128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69" w:type="dxa"/>
                  <w:vMerge w:val="continue"/>
                  <w:vAlign w:val="center"/>
                </w:tcPr>
                <w:p w14:paraId="52420901">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958" w:type="dxa"/>
                  <w:gridSpan w:val="2"/>
                  <w:vAlign w:val="center"/>
                </w:tcPr>
                <w:p w14:paraId="3C04E203">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卸车废气T</w:t>
                  </w:r>
                </w:p>
              </w:tc>
              <w:tc>
                <w:tcPr>
                  <w:tcW w:w="1620" w:type="dxa"/>
                  <w:vAlign w:val="center"/>
                </w:tcPr>
                <w:p w14:paraId="02683C03">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原料车间卸车</w:t>
                  </w:r>
                </w:p>
              </w:tc>
              <w:tc>
                <w:tcPr>
                  <w:tcW w:w="1410" w:type="dxa"/>
                  <w:vAlign w:val="center"/>
                </w:tcPr>
                <w:p w14:paraId="1D90837B">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颗粒物</w:t>
                  </w:r>
                </w:p>
              </w:tc>
              <w:tc>
                <w:tcPr>
                  <w:tcW w:w="2272" w:type="dxa"/>
                  <w:vAlign w:val="center"/>
                </w:tcPr>
                <w:p w14:paraId="670FEB2F">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封闭车间，洒水降尘</w:t>
                  </w:r>
                </w:p>
              </w:tc>
            </w:tr>
            <w:tr w14:paraId="433EB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869" w:type="dxa"/>
                  <w:vAlign w:val="center"/>
                </w:tcPr>
                <w:p w14:paraId="0A0B57A0">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噪声</w:t>
                  </w:r>
                </w:p>
              </w:tc>
              <w:tc>
                <w:tcPr>
                  <w:tcW w:w="1958" w:type="dxa"/>
                  <w:gridSpan w:val="2"/>
                  <w:vAlign w:val="center"/>
                </w:tcPr>
                <w:p w14:paraId="42180FC8">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生产噪声</w:t>
                  </w:r>
                  <w:r>
                    <w:rPr>
                      <w:rFonts w:hint="eastAsia" w:ascii="Times New Roman" w:hAnsi="Times New Roman" w:eastAsia="宋体" w:cs="Times New Roman"/>
                      <w:color w:val="auto"/>
                      <w:sz w:val="21"/>
                      <w:szCs w:val="21"/>
                      <w:vertAlign w:val="baseline"/>
                      <w:lang w:val="en-US" w:eastAsia="zh-CN"/>
                    </w:rPr>
                    <w:t>N1-N6</w:t>
                  </w:r>
                </w:p>
              </w:tc>
              <w:tc>
                <w:tcPr>
                  <w:tcW w:w="1620" w:type="dxa"/>
                  <w:vAlign w:val="center"/>
                </w:tcPr>
                <w:p w14:paraId="190DA304">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设备运行过程</w:t>
                  </w:r>
                </w:p>
              </w:tc>
              <w:tc>
                <w:tcPr>
                  <w:tcW w:w="1410" w:type="dxa"/>
                  <w:vAlign w:val="center"/>
                </w:tcPr>
                <w:p w14:paraId="37582658">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机械噪声</w:t>
                  </w:r>
                </w:p>
              </w:tc>
              <w:tc>
                <w:tcPr>
                  <w:tcW w:w="2272" w:type="dxa"/>
                  <w:vAlign w:val="center"/>
                </w:tcPr>
                <w:p w14:paraId="6464BAE6">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rPr>
                  </w:pPr>
                  <w:r>
                    <w:rPr>
                      <w:rFonts w:hint="eastAsia" w:ascii="Times New Roman" w:hAnsi="Times New Roman" w:eastAsia="宋体" w:cs="Times New Roman"/>
                      <w:color w:val="auto"/>
                      <w:sz w:val="21"/>
                      <w:szCs w:val="21"/>
                      <w:vertAlign w:val="baseline"/>
                      <w:lang w:val="en-US" w:eastAsia="zh-CN"/>
                    </w:rPr>
                    <w:t>减震垫、厂房隔声、消声器等</w:t>
                  </w:r>
                  <w:r>
                    <w:rPr>
                      <w:rFonts w:hint="eastAsia" w:cs="Times New Roman"/>
                      <w:color w:val="auto"/>
                      <w:sz w:val="21"/>
                      <w:szCs w:val="21"/>
                      <w:vertAlign w:val="baseline"/>
                      <w:lang w:val="en-US" w:eastAsia="zh-CN"/>
                    </w:rPr>
                    <w:t>。</w:t>
                  </w:r>
                </w:p>
              </w:tc>
            </w:tr>
            <w:tr w14:paraId="486E1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69" w:type="dxa"/>
                  <w:vMerge w:val="restart"/>
                  <w:vAlign w:val="center"/>
                </w:tcPr>
                <w:p w14:paraId="76E0E0C3">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废水</w:t>
                  </w:r>
                </w:p>
              </w:tc>
              <w:tc>
                <w:tcPr>
                  <w:tcW w:w="1958" w:type="dxa"/>
                  <w:gridSpan w:val="2"/>
                  <w:vAlign w:val="center"/>
                </w:tcPr>
                <w:p w14:paraId="100AE681">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生产废水</w:t>
                  </w:r>
                </w:p>
              </w:tc>
              <w:tc>
                <w:tcPr>
                  <w:tcW w:w="1620" w:type="dxa"/>
                  <w:vAlign w:val="center"/>
                </w:tcPr>
                <w:p w14:paraId="361036FF">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脱硫塔循环水废水</w:t>
                  </w:r>
                </w:p>
              </w:tc>
              <w:tc>
                <w:tcPr>
                  <w:tcW w:w="1410" w:type="dxa"/>
                  <w:vAlign w:val="center"/>
                </w:tcPr>
                <w:p w14:paraId="05FA8511">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SS等</w:t>
                  </w:r>
                </w:p>
              </w:tc>
              <w:tc>
                <w:tcPr>
                  <w:tcW w:w="2272" w:type="dxa"/>
                  <w:vAlign w:val="center"/>
                </w:tcPr>
                <w:p w14:paraId="5823941F">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经沉淀后循环使用</w:t>
                  </w:r>
                </w:p>
              </w:tc>
            </w:tr>
            <w:tr w14:paraId="3495E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69" w:type="dxa"/>
                  <w:vMerge w:val="continue"/>
                  <w:vAlign w:val="center"/>
                </w:tcPr>
                <w:p w14:paraId="543EBD62">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cs="Times New Roman"/>
                      <w:color w:val="auto"/>
                      <w:sz w:val="21"/>
                      <w:szCs w:val="21"/>
                      <w:vertAlign w:val="baseline"/>
                      <w:lang w:val="en-US" w:eastAsia="zh-CN"/>
                    </w:rPr>
                  </w:pPr>
                </w:p>
              </w:tc>
              <w:tc>
                <w:tcPr>
                  <w:tcW w:w="1958" w:type="dxa"/>
                  <w:gridSpan w:val="2"/>
                  <w:vAlign w:val="center"/>
                </w:tcPr>
                <w:p w14:paraId="5EDB7819">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生活污水</w:t>
                  </w:r>
                </w:p>
              </w:tc>
              <w:tc>
                <w:tcPr>
                  <w:tcW w:w="1620" w:type="dxa"/>
                  <w:vAlign w:val="center"/>
                </w:tcPr>
                <w:p w14:paraId="7C49A4A8">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员工生活</w:t>
                  </w:r>
                </w:p>
              </w:tc>
              <w:tc>
                <w:tcPr>
                  <w:tcW w:w="1410" w:type="dxa"/>
                  <w:vAlign w:val="center"/>
                </w:tcPr>
                <w:p w14:paraId="60F40485">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氨氮COD、BOD</w:t>
                  </w:r>
                  <w:r>
                    <w:rPr>
                      <w:rFonts w:hint="eastAsia" w:cs="Times New Roman"/>
                      <w:color w:val="auto"/>
                      <w:sz w:val="21"/>
                      <w:szCs w:val="21"/>
                      <w:vertAlign w:val="subscript"/>
                      <w:lang w:val="en-US" w:eastAsia="zh-CN"/>
                    </w:rPr>
                    <w:t>5</w:t>
                  </w:r>
                  <w:r>
                    <w:rPr>
                      <w:rFonts w:hint="eastAsia" w:cs="Times New Roman"/>
                      <w:color w:val="auto"/>
                      <w:sz w:val="21"/>
                      <w:szCs w:val="21"/>
                      <w:vertAlign w:val="baseline"/>
                      <w:lang w:val="en-US" w:eastAsia="zh-CN"/>
                    </w:rPr>
                    <w:t>等</w:t>
                  </w:r>
                </w:p>
              </w:tc>
              <w:tc>
                <w:tcPr>
                  <w:tcW w:w="2272" w:type="dxa"/>
                  <w:vAlign w:val="center"/>
                </w:tcPr>
                <w:p w14:paraId="772C863C">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经化粪池处理后，</w:t>
                  </w:r>
                  <w:r>
                    <w:rPr>
                      <w:rFonts w:hint="eastAsia"/>
                      <w:b w:val="0"/>
                      <w:bCs/>
                      <w:color w:val="auto"/>
                      <w:sz w:val="21"/>
                      <w:szCs w:val="21"/>
                      <w:lang w:val="en-US" w:eastAsia="zh-CN"/>
                    </w:rPr>
                    <w:t>委托环卫车辆运送至华宁北控环保水务有限公司管理运营的华宁县城污水处理厂处理</w:t>
                  </w:r>
                </w:p>
              </w:tc>
            </w:tr>
            <w:tr w14:paraId="3E971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69" w:type="dxa"/>
                  <w:vMerge w:val="restart"/>
                  <w:vAlign w:val="center"/>
                </w:tcPr>
                <w:p w14:paraId="781B3B6A">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固体废弃物</w:t>
                  </w:r>
                </w:p>
              </w:tc>
              <w:tc>
                <w:tcPr>
                  <w:tcW w:w="1958" w:type="dxa"/>
                  <w:gridSpan w:val="2"/>
                  <w:vAlign w:val="center"/>
                </w:tcPr>
                <w:p w14:paraId="5DA6CDD8">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切条废料S1</w:t>
                  </w:r>
                </w:p>
              </w:tc>
              <w:tc>
                <w:tcPr>
                  <w:tcW w:w="1620" w:type="dxa"/>
                  <w:vAlign w:val="center"/>
                </w:tcPr>
                <w:p w14:paraId="085C983E">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切条</w:t>
                  </w:r>
                </w:p>
              </w:tc>
              <w:tc>
                <w:tcPr>
                  <w:tcW w:w="1410" w:type="dxa"/>
                  <w:vAlign w:val="center"/>
                </w:tcPr>
                <w:p w14:paraId="1A7636D8">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b w:val="0"/>
                      <w:bCs/>
                      <w:i w:val="0"/>
                      <w:iCs w:val="0"/>
                      <w:caps w:val="0"/>
                      <w:color w:val="auto"/>
                      <w:spacing w:val="0"/>
                      <w:sz w:val="21"/>
                      <w:szCs w:val="21"/>
                      <w:shd w:val="clear" w:fill="FFFFFF"/>
                      <w:lang w:val="en-US" w:eastAsia="zh-CN"/>
                    </w:rPr>
                    <w:t>建筑基坑弃土</w:t>
                  </w:r>
                </w:p>
              </w:tc>
              <w:tc>
                <w:tcPr>
                  <w:tcW w:w="2272" w:type="dxa"/>
                  <w:vAlign w:val="center"/>
                </w:tcPr>
                <w:p w14:paraId="575F2FE4">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lang w:eastAsia="zh-CN"/>
                    </w:rPr>
                    <w:t>先堆存于</w:t>
                  </w:r>
                  <w:r>
                    <w:rPr>
                      <w:rFonts w:hint="eastAsia" w:cs="Times New Roman"/>
                      <w:color w:val="auto"/>
                      <w:sz w:val="21"/>
                      <w:szCs w:val="21"/>
                      <w:lang w:val="en-US" w:eastAsia="zh-CN"/>
                    </w:rPr>
                    <w:t>陈化车间</w:t>
                  </w:r>
                  <w:r>
                    <w:rPr>
                      <w:rFonts w:hint="eastAsia" w:cs="Times New Roman"/>
                      <w:color w:val="auto"/>
                      <w:sz w:val="21"/>
                      <w:szCs w:val="21"/>
                      <w:lang w:eastAsia="zh-CN"/>
                    </w:rPr>
                    <w:t>，后</w:t>
                  </w:r>
                  <w:r>
                    <w:rPr>
                      <w:rFonts w:hint="eastAsia" w:cs="Times New Roman"/>
                      <w:color w:val="auto"/>
                      <w:sz w:val="21"/>
                      <w:szCs w:val="21"/>
                      <w:lang w:val="en-US" w:eastAsia="zh-CN"/>
                    </w:rPr>
                    <w:t>作为</w:t>
                  </w:r>
                  <w:r>
                    <w:rPr>
                      <w:rFonts w:hint="eastAsia" w:cs="Times New Roman"/>
                      <w:color w:val="auto"/>
                      <w:sz w:val="21"/>
                      <w:szCs w:val="21"/>
                      <w:lang w:eastAsia="zh-CN"/>
                    </w:rPr>
                    <w:t>原料使用</w:t>
                  </w:r>
                  <w:r>
                    <w:rPr>
                      <w:rFonts w:hint="eastAsia" w:cs="Times New Roman"/>
                      <w:color w:val="auto"/>
                      <w:sz w:val="21"/>
                      <w:szCs w:val="21"/>
                    </w:rPr>
                    <w:t>。</w:t>
                  </w:r>
                </w:p>
              </w:tc>
            </w:tr>
            <w:tr w14:paraId="6FF20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69" w:type="dxa"/>
                  <w:vMerge w:val="continue"/>
                  <w:vAlign w:val="center"/>
                </w:tcPr>
                <w:p w14:paraId="35DE0918">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958" w:type="dxa"/>
                  <w:gridSpan w:val="2"/>
                  <w:vAlign w:val="center"/>
                </w:tcPr>
                <w:p w14:paraId="1F9F1F37">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修坯废料S2</w:t>
                  </w:r>
                </w:p>
              </w:tc>
              <w:tc>
                <w:tcPr>
                  <w:tcW w:w="1620" w:type="dxa"/>
                  <w:vAlign w:val="center"/>
                </w:tcPr>
                <w:p w14:paraId="660066F0">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修坯</w:t>
                  </w:r>
                </w:p>
              </w:tc>
              <w:tc>
                <w:tcPr>
                  <w:tcW w:w="1410" w:type="dxa"/>
                  <w:vAlign w:val="center"/>
                </w:tcPr>
                <w:p w14:paraId="136E63AE">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ind w:left="0" w:leftChars="0" w:firstLine="0" w:firstLineChars="0"/>
                    <w:jc w:val="center"/>
                    <w:textAlignment w:val="auto"/>
                    <w:rPr>
                      <w:rFonts w:hint="eastAsia" w:cs="Times New Roman"/>
                      <w:b w:val="0"/>
                      <w:bCs/>
                      <w:i w:val="0"/>
                      <w:iCs w:val="0"/>
                      <w:caps w:val="0"/>
                      <w:color w:val="auto"/>
                      <w:spacing w:val="0"/>
                      <w:sz w:val="21"/>
                      <w:szCs w:val="21"/>
                      <w:shd w:val="clear" w:fill="FFFFFF"/>
                      <w:lang w:val="en-US" w:eastAsia="zh-CN"/>
                    </w:rPr>
                  </w:pPr>
                  <w:r>
                    <w:rPr>
                      <w:rFonts w:hint="eastAsia" w:cs="Times New Roman"/>
                      <w:b w:val="0"/>
                      <w:bCs/>
                      <w:i w:val="0"/>
                      <w:iCs w:val="0"/>
                      <w:caps w:val="0"/>
                      <w:color w:val="auto"/>
                      <w:spacing w:val="0"/>
                      <w:sz w:val="21"/>
                      <w:szCs w:val="21"/>
                      <w:shd w:val="clear" w:fill="FFFFFF"/>
                      <w:lang w:val="en-US" w:eastAsia="zh-CN"/>
                    </w:rPr>
                    <w:t>建筑基坑弃土</w:t>
                  </w:r>
                </w:p>
              </w:tc>
              <w:tc>
                <w:tcPr>
                  <w:tcW w:w="2272" w:type="dxa"/>
                  <w:vAlign w:val="center"/>
                </w:tcPr>
                <w:p w14:paraId="020CE271">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textAlignment w:val="auto"/>
                    <w:rPr>
                      <w:rFonts w:hint="eastAsia" w:cs="Times New Roman"/>
                      <w:color w:val="auto"/>
                      <w:sz w:val="21"/>
                      <w:szCs w:val="21"/>
                      <w:lang w:eastAsia="zh-CN"/>
                    </w:rPr>
                  </w:pPr>
                  <w:r>
                    <w:rPr>
                      <w:rFonts w:hint="eastAsia" w:cs="Times New Roman"/>
                      <w:color w:val="auto"/>
                      <w:sz w:val="21"/>
                      <w:szCs w:val="21"/>
                      <w:lang w:eastAsia="zh-CN"/>
                    </w:rPr>
                    <w:t>先堆存于</w:t>
                  </w:r>
                  <w:r>
                    <w:rPr>
                      <w:rFonts w:hint="eastAsia" w:cs="Times New Roman"/>
                      <w:color w:val="auto"/>
                      <w:sz w:val="21"/>
                      <w:szCs w:val="21"/>
                      <w:lang w:val="en-US" w:eastAsia="zh-CN"/>
                    </w:rPr>
                    <w:t>陈化车间</w:t>
                  </w:r>
                  <w:r>
                    <w:rPr>
                      <w:rFonts w:hint="eastAsia" w:cs="Times New Roman"/>
                      <w:color w:val="auto"/>
                      <w:sz w:val="21"/>
                      <w:szCs w:val="21"/>
                      <w:lang w:eastAsia="zh-CN"/>
                    </w:rPr>
                    <w:t>，后</w:t>
                  </w:r>
                  <w:r>
                    <w:rPr>
                      <w:rFonts w:hint="eastAsia" w:cs="Times New Roman"/>
                      <w:color w:val="auto"/>
                      <w:sz w:val="21"/>
                      <w:szCs w:val="21"/>
                      <w:lang w:val="en-US" w:eastAsia="zh-CN"/>
                    </w:rPr>
                    <w:t>作为</w:t>
                  </w:r>
                  <w:r>
                    <w:rPr>
                      <w:rFonts w:hint="eastAsia" w:cs="Times New Roman"/>
                      <w:color w:val="auto"/>
                      <w:sz w:val="21"/>
                      <w:szCs w:val="21"/>
                      <w:lang w:eastAsia="zh-CN"/>
                    </w:rPr>
                    <w:t>原料使用</w:t>
                  </w:r>
                  <w:r>
                    <w:rPr>
                      <w:rFonts w:hint="eastAsia" w:cs="Times New Roman"/>
                      <w:color w:val="auto"/>
                      <w:sz w:val="21"/>
                      <w:szCs w:val="21"/>
                    </w:rPr>
                    <w:t>。</w:t>
                  </w:r>
                </w:p>
              </w:tc>
            </w:tr>
            <w:tr w14:paraId="1A952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869" w:type="dxa"/>
                  <w:vMerge w:val="continue"/>
                  <w:vAlign w:val="center"/>
                </w:tcPr>
                <w:p w14:paraId="4242F09C">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75" w:type="dxa"/>
                  <w:vMerge w:val="restart"/>
                  <w:vAlign w:val="center"/>
                </w:tcPr>
                <w:p w14:paraId="1B76B33F">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S3</w:t>
                  </w:r>
                </w:p>
              </w:tc>
              <w:tc>
                <w:tcPr>
                  <w:tcW w:w="1583" w:type="dxa"/>
                  <w:vAlign w:val="center"/>
                </w:tcPr>
                <w:p w14:paraId="62EF3D04">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脱硫渣</w:t>
                  </w:r>
                </w:p>
              </w:tc>
              <w:tc>
                <w:tcPr>
                  <w:tcW w:w="1620" w:type="dxa"/>
                  <w:vAlign w:val="center"/>
                </w:tcPr>
                <w:p w14:paraId="77F88C50">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脱硫塔循环水</w:t>
                  </w:r>
                </w:p>
              </w:tc>
              <w:tc>
                <w:tcPr>
                  <w:tcW w:w="1410" w:type="dxa"/>
                  <w:vAlign w:val="center"/>
                </w:tcPr>
                <w:p w14:paraId="1A6B8878">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泥渣、SS</w:t>
                  </w:r>
                </w:p>
              </w:tc>
              <w:tc>
                <w:tcPr>
                  <w:tcW w:w="2272" w:type="dxa"/>
                  <w:vAlign w:val="center"/>
                </w:tcPr>
                <w:p w14:paraId="45B27636">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textAlignment w:val="auto"/>
                    <w:rPr>
                      <w:rFonts w:hint="eastAsia" w:eastAsia="宋体" w:cs="Times New Roman"/>
                      <w:color w:val="auto"/>
                      <w:sz w:val="21"/>
                      <w:szCs w:val="21"/>
                      <w:vertAlign w:val="baseline"/>
                      <w:lang w:val="en-US" w:eastAsia="zh-CN"/>
                    </w:rPr>
                  </w:pPr>
                  <w:r>
                    <w:rPr>
                      <w:rFonts w:hint="eastAsia" w:ascii="Times New Roman" w:hAnsi="Times New Roman" w:eastAsia="宋体" w:cs="Times New Roman"/>
                      <w:color w:val="auto"/>
                      <w:kern w:val="2"/>
                      <w:sz w:val="21"/>
                      <w:szCs w:val="21"/>
                      <w:lang w:val="en-US" w:eastAsia="zh-CN" w:bidi="ar-SA"/>
                    </w:rPr>
                    <w:t>清出后暂存于陈化库，委托免烧砖单位清运处置</w:t>
                  </w:r>
                  <w:r>
                    <w:rPr>
                      <w:rFonts w:hint="eastAsia" w:cs="Times New Roman"/>
                      <w:color w:val="auto"/>
                      <w:sz w:val="21"/>
                      <w:szCs w:val="21"/>
                    </w:rPr>
                    <w:t>。</w:t>
                  </w:r>
                </w:p>
              </w:tc>
            </w:tr>
            <w:tr w14:paraId="11B16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869" w:type="dxa"/>
                  <w:vMerge w:val="continue"/>
                  <w:vAlign w:val="center"/>
                </w:tcPr>
                <w:p w14:paraId="4BAEB8AD">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375" w:type="dxa"/>
                  <w:vMerge w:val="continue"/>
                  <w:vAlign w:val="center"/>
                </w:tcPr>
                <w:p w14:paraId="763918A3">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cs="Times New Roman"/>
                      <w:color w:val="auto"/>
                      <w:sz w:val="21"/>
                      <w:szCs w:val="21"/>
                      <w:vertAlign w:val="baseline"/>
                      <w:lang w:val="en-US" w:eastAsia="zh-CN"/>
                    </w:rPr>
                  </w:pPr>
                </w:p>
              </w:tc>
              <w:tc>
                <w:tcPr>
                  <w:tcW w:w="1583" w:type="dxa"/>
                  <w:vAlign w:val="center"/>
                </w:tcPr>
                <w:p w14:paraId="245676EB">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布袋除尘灰</w:t>
                  </w:r>
                </w:p>
              </w:tc>
              <w:tc>
                <w:tcPr>
                  <w:tcW w:w="1620" w:type="dxa"/>
                  <w:vAlign w:val="center"/>
                </w:tcPr>
                <w:p w14:paraId="405C2F64">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烟气除尘</w:t>
                  </w:r>
                </w:p>
              </w:tc>
              <w:tc>
                <w:tcPr>
                  <w:tcW w:w="1410" w:type="dxa"/>
                  <w:vAlign w:val="center"/>
                </w:tcPr>
                <w:p w14:paraId="4C400A8E">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除尘灰</w:t>
                  </w:r>
                </w:p>
              </w:tc>
              <w:tc>
                <w:tcPr>
                  <w:tcW w:w="2272" w:type="dxa"/>
                  <w:vAlign w:val="center"/>
                </w:tcPr>
                <w:p w14:paraId="40662534">
                  <w:pPr>
                    <w:keepNext w:val="0"/>
                    <w:keepLines w:val="0"/>
                    <w:pageBreakBefore w:val="0"/>
                    <w:widowControl w:val="0"/>
                    <w:kinsoku/>
                    <w:wordWrap/>
                    <w:overflowPunct/>
                    <w:topLinePunct w:val="0"/>
                    <w:autoSpaceDE/>
                    <w:autoSpaceDN/>
                    <w:bidi w:val="0"/>
                    <w:adjustRightInd/>
                    <w:snapToGrid w:val="0"/>
                    <w:spacing w:before="63" w:beforeLines="20" w:after="63" w:afterLines="20" w:line="240" w:lineRule="auto"/>
                    <w:ind w:firstLine="0" w:firstLineChars="0"/>
                    <w:textAlignment w:val="auto"/>
                    <w:rPr>
                      <w:rFonts w:hint="eastAsia" w:cs="Times New Roman"/>
                      <w:color w:val="auto"/>
                      <w:sz w:val="21"/>
                      <w:szCs w:val="21"/>
                      <w:lang w:eastAsia="zh-CN"/>
                    </w:rPr>
                  </w:pPr>
                  <w:r>
                    <w:rPr>
                      <w:rFonts w:hint="eastAsia" w:cs="Times New Roman"/>
                      <w:color w:val="auto"/>
                      <w:sz w:val="21"/>
                      <w:szCs w:val="21"/>
                      <w:lang w:eastAsia="zh-CN"/>
                    </w:rPr>
                    <w:t>先堆存于</w:t>
                  </w:r>
                  <w:r>
                    <w:rPr>
                      <w:rFonts w:hint="eastAsia" w:cs="Times New Roman"/>
                      <w:color w:val="auto"/>
                      <w:sz w:val="21"/>
                      <w:szCs w:val="21"/>
                      <w:lang w:val="en-US" w:eastAsia="zh-CN"/>
                    </w:rPr>
                    <w:t>陈化车间</w:t>
                  </w:r>
                  <w:r>
                    <w:rPr>
                      <w:rFonts w:hint="eastAsia" w:cs="Times New Roman"/>
                      <w:color w:val="auto"/>
                      <w:sz w:val="21"/>
                      <w:szCs w:val="21"/>
                      <w:lang w:eastAsia="zh-CN"/>
                    </w:rPr>
                    <w:t>，后</w:t>
                  </w:r>
                  <w:r>
                    <w:rPr>
                      <w:rFonts w:hint="eastAsia" w:cs="Times New Roman"/>
                      <w:color w:val="auto"/>
                      <w:sz w:val="21"/>
                      <w:szCs w:val="21"/>
                      <w:lang w:val="en-US" w:eastAsia="zh-CN"/>
                    </w:rPr>
                    <w:t>作为</w:t>
                  </w:r>
                  <w:r>
                    <w:rPr>
                      <w:rFonts w:hint="eastAsia" w:cs="Times New Roman"/>
                      <w:color w:val="auto"/>
                      <w:sz w:val="21"/>
                      <w:szCs w:val="21"/>
                      <w:lang w:eastAsia="zh-CN"/>
                    </w:rPr>
                    <w:t>原料使用</w:t>
                  </w:r>
                  <w:r>
                    <w:rPr>
                      <w:rFonts w:hint="eastAsia" w:cs="Times New Roman"/>
                      <w:color w:val="auto"/>
                      <w:sz w:val="21"/>
                      <w:szCs w:val="21"/>
                    </w:rPr>
                    <w:t>。</w:t>
                  </w:r>
                </w:p>
              </w:tc>
            </w:tr>
            <w:tr w14:paraId="6303A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69" w:type="dxa"/>
                  <w:vMerge w:val="continue"/>
                  <w:vAlign w:val="center"/>
                </w:tcPr>
                <w:p w14:paraId="1C344C48">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958" w:type="dxa"/>
                  <w:gridSpan w:val="2"/>
                  <w:vAlign w:val="center"/>
                </w:tcPr>
                <w:p w14:paraId="7B74DB31">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残次品S4</w:t>
                  </w:r>
                </w:p>
              </w:tc>
              <w:tc>
                <w:tcPr>
                  <w:tcW w:w="1620" w:type="dxa"/>
                  <w:vAlign w:val="center"/>
                </w:tcPr>
                <w:p w14:paraId="28182654">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检验</w:t>
                  </w:r>
                </w:p>
              </w:tc>
              <w:tc>
                <w:tcPr>
                  <w:tcW w:w="1410" w:type="dxa"/>
                  <w:vAlign w:val="center"/>
                </w:tcPr>
                <w:p w14:paraId="4E2AECB8">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废砖瓦</w:t>
                  </w:r>
                </w:p>
              </w:tc>
              <w:tc>
                <w:tcPr>
                  <w:tcW w:w="2272" w:type="dxa"/>
                  <w:vAlign w:val="center"/>
                </w:tcPr>
                <w:p w14:paraId="6623D418">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回用于生产</w:t>
                  </w:r>
                </w:p>
              </w:tc>
            </w:tr>
            <w:tr w14:paraId="12BA1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869" w:type="dxa"/>
                  <w:vMerge w:val="continue"/>
                  <w:vAlign w:val="center"/>
                </w:tcPr>
                <w:p w14:paraId="334D7C58">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958" w:type="dxa"/>
                  <w:gridSpan w:val="2"/>
                  <w:vAlign w:val="center"/>
                </w:tcPr>
                <w:p w14:paraId="47CB3442">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煤渣S5</w:t>
                  </w:r>
                </w:p>
              </w:tc>
              <w:tc>
                <w:tcPr>
                  <w:tcW w:w="1620" w:type="dxa"/>
                  <w:vAlign w:val="center"/>
                </w:tcPr>
                <w:p w14:paraId="5C31E099">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窑内燃烧</w:t>
                  </w:r>
                </w:p>
              </w:tc>
              <w:tc>
                <w:tcPr>
                  <w:tcW w:w="1410" w:type="dxa"/>
                  <w:vAlign w:val="center"/>
                </w:tcPr>
                <w:p w14:paraId="719B6E1B">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煤渣</w:t>
                  </w:r>
                </w:p>
              </w:tc>
              <w:tc>
                <w:tcPr>
                  <w:tcW w:w="2272" w:type="dxa"/>
                  <w:vAlign w:val="center"/>
                </w:tcPr>
                <w:p w14:paraId="11285C67">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回用于生产</w:t>
                  </w:r>
                </w:p>
              </w:tc>
            </w:tr>
            <w:tr w14:paraId="108D0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869" w:type="dxa"/>
                  <w:vAlign w:val="center"/>
                </w:tcPr>
                <w:p w14:paraId="4DC1D1E9">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危险废物</w:t>
                  </w:r>
                </w:p>
              </w:tc>
              <w:tc>
                <w:tcPr>
                  <w:tcW w:w="1958" w:type="dxa"/>
                  <w:gridSpan w:val="2"/>
                  <w:vAlign w:val="center"/>
                </w:tcPr>
                <w:p w14:paraId="68EB0C37">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废润滑油S6</w:t>
                  </w:r>
                </w:p>
              </w:tc>
              <w:tc>
                <w:tcPr>
                  <w:tcW w:w="1620" w:type="dxa"/>
                  <w:vAlign w:val="center"/>
                </w:tcPr>
                <w:p w14:paraId="6DAC7E8B">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设备检维修</w:t>
                  </w:r>
                </w:p>
              </w:tc>
              <w:tc>
                <w:tcPr>
                  <w:tcW w:w="1410" w:type="dxa"/>
                  <w:vAlign w:val="center"/>
                </w:tcPr>
                <w:p w14:paraId="0D46D8D4">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矿物油</w:t>
                  </w:r>
                </w:p>
              </w:tc>
              <w:tc>
                <w:tcPr>
                  <w:tcW w:w="2272" w:type="dxa"/>
                  <w:vAlign w:val="center"/>
                </w:tcPr>
                <w:p w14:paraId="20C5F4A5">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暂存于危废贮存库，委托具有资质的单位清运处置。</w:t>
                  </w:r>
                </w:p>
              </w:tc>
            </w:tr>
            <w:tr w14:paraId="337DC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869" w:type="dxa"/>
                  <w:vAlign w:val="center"/>
                </w:tcPr>
                <w:p w14:paraId="5FEBAF89">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生活垃圾</w:t>
                  </w:r>
                </w:p>
              </w:tc>
              <w:tc>
                <w:tcPr>
                  <w:tcW w:w="1958" w:type="dxa"/>
                  <w:gridSpan w:val="2"/>
                  <w:vAlign w:val="center"/>
                </w:tcPr>
                <w:p w14:paraId="5679DA1C">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生活垃圾S7</w:t>
                  </w:r>
                </w:p>
              </w:tc>
              <w:tc>
                <w:tcPr>
                  <w:tcW w:w="1620" w:type="dxa"/>
                  <w:vAlign w:val="center"/>
                </w:tcPr>
                <w:p w14:paraId="7DD944FC">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员工生活</w:t>
                  </w:r>
                </w:p>
              </w:tc>
              <w:tc>
                <w:tcPr>
                  <w:tcW w:w="1410" w:type="dxa"/>
                  <w:vAlign w:val="center"/>
                </w:tcPr>
                <w:p w14:paraId="79A7F885">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2272" w:type="dxa"/>
                  <w:vAlign w:val="center"/>
                </w:tcPr>
                <w:p w14:paraId="712EB422">
                  <w:pPr>
                    <w:keepNext w:val="0"/>
                    <w:keepLines w:val="0"/>
                    <w:pageBreakBefore w:val="0"/>
                    <w:widowControl w:val="0"/>
                    <w:numPr>
                      <w:ilvl w:val="0"/>
                      <w:numId w:val="0"/>
                    </w:numPr>
                    <w:kinsoku/>
                    <w:wordWrap/>
                    <w:overflowPunct/>
                    <w:topLinePunct w:val="0"/>
                    <w:autoSpaceDE/>
                    <w:autoSpaceDN/>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kern w:val="2"/>
                      <w:sz w:val="21"/>
                      <w:szCs w:val="21"/>
                      <w:lang w:val="en-US" w:eastAsia="zh-CN" w:bidi="ar-SA"/>
                    </w:rPr>
                    <w:t>委托环卫部门清运处置</w:t>
                  </w:r>
                </w:p>
              </w:tc>
            </w:tr>
          </w:tbl>
          <w:p w14:paraId="22317274">
            <w:pPr>
              <w:rPr>
                <w:color w:val="auto"/>
              </w:rPr>
            </w:pPr>
          </w:p>
        </w:tc>
      </w:tr>
      <w:tr w14:paraId="10CCF0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94" w:hRule="atLeast"/>
          <w:jc w:val="center"/>
        </w:trPr>
        <w:tc>
          <w:tcPr>
            <w:tcW w:w="675" w:type="dxa"/>
            <w:noWrap w:val="0"/>
            <w:vAlign w:val="center"/>
          </w:tcPr>
          <w:p w14:paraId="10456009">
            <w:pPr>
              <w:pStyle w:val="25"/>
              <w:adjustRightInd w:val="0"/>
              <w:snapToGrid w:val="0"/>
              <w:spacing w:before="0" w:beforeAutospacing="0" w:after="0" w:afterAutospacing="0"/>
              <w:jc w:val="center"/>
              <w:rPr>
                <w:rFonts w:cs="宋体"/>
                <w:color w:val="auto"/>
                <w:sz w:val="21"/>
                <w:szCs w:val="21"/>
              </w:rPr>
            </w:pPr>
            <w:r>
              <w:rPr>
                <w:rFonts w:hint="eastAsia" w:cs="宋体"/>
                <w:bCs/>
                <w:color w:val="auto"/>
                <w:kern w:val="2"/>
                <w:sz w:val="21"/>
                <w:szCs w:val="21"/>
              </w:rPr>
              <w:t>与项目有关的原有环境污染问题</w:t>
            </w:r>
          </w:p>
        </w:tc>
        <w:tc>
          <w:tcPr>
            <w:tcW w:w="8309" w:type="dxa"/>
            <w:noWrap w:val="0"/>
            <w:vAlign w:val="center"/>
          </w:tcPr>
          <w:p w14:paraId="2BD8726C">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2" w:firstLineChars="200"/>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1、原有项目环保手续履行问题</w:t>
            </w:r>
          </w:p>
          <w:p w14:paraId="2874373D">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textAlignment w:val="auto"/>
              <w:rPr>
                <w:rFonts w:hint="eastAsia" w:cs="Times New Roman"/>
                <w:color w:val="auto"/>
                <w:sz w:val="21"/>
                <w:szCs w:val="21"/>
                <w:lang w:val="en-US" w:eastAsia="zh-CN"/>
              </w:rPr>
            </w:pPr>
            <w:r>
              <w:rPr>
                <w:rFonts w:hint="eastAsia" w:cs="Times New Roman"/>
                <w:color w:val="auto"/>
                <w:sz w:val="21"/>
                <w:szCs w:val="21"/>
                <w:lang w:val="en-US" w:eastAsia="zh-CN"/>
              </w:rPr>
              <w:t>华宁县白塔山陶器厂（新厂）位于云南省玉溪市华宁县</w:t>
            </w:r>
            <w:r>
              <w:rPr>
                <w:rFonts w:hint="default" w:ascii="Times New Roman" w:hAnsi="Times New Roman" w:cs="Times New Roman"/>
                <w:color w:val="auto"/>
                <w:sz w:val="21"/>
                <w:szCs w:val="21"/>
                <w:lang w:val="en-US" w:eastAsia="zh-CN"/>
              </w:rPr>
              <w:t>宁州街道上村社区松树地</w:t>
            </w:r>
            <w:r>
              <w:rPr>
                <w:rFonts w:hint="eastAsia" w:cs="Times New Roman"/>
                <w:color w:val="auto"/>
                <w:sz w:val="21"/>
                <w:szCs w:val="21"/>
                <w:lang w:val="en-US" w:eastAsia="zh-CN"/>
              </w:rPr>
              <w:t>，</w:t>
            </w:r>
            <w:r>
              <w:rPr>
                <w:rFonts w:hint="default" w:ascii="Times New Roman" w:hAnsi="Times New Roman" w:eastAsia="宋体" w:cs="Times New Roman"/>
                <w:color w:val="auto"/>
                <w:kern w:val="2"/>
                <w:sz w:val="21"/>
                <w:szCs w:val="21"/>
                <w:lang w:val="en-US" w:eastAsia="zh-CN" w:bidi="ar-SA"/>
              </w:rPr>
              <w:t>于</w:t>
            </w:r>
            <w:r>
              <w:rPr>
                <w:rFonts w:hint="eastAsia" w:cs="Times New Roman"/>
                <w:color w:val="auto"/>
                <w:kern w:val="2"/>
                <w:sz w:val="21"/>
                <w:szCs w:val="21"/>
                <w:lang w:val="en-US" w:eastAsia="zh-CN" w:bidi="ar-SA"/>
              </w:rPr>
              <w:t>2018年底建成年产</w:t>
            </w:r>
            <w:r>
              <w:rPr>
                <w:rFonts w:hint="eastAsia" w:cs="Times New Roman"/>
                <w:color w:val="auto"/>
                <w:kern w:val="2"/>
                <w:sz w:val="21"/>
                <w:szCs w:val="21"/>
                <w:lang w:val="en-US" w:eastAsia="zh-CN" w:bidi="ar-SA"/>
              </w:rPr>
              <w:t>900万件陶瓷器的产能。</w:t>
            </w:r>
            <w:r>
              <w:rPr>
                <w:rFonts w:hint="default" w:ascii="Times New Roman" w:hAnsi="Times New Roman" w:eastAsia="宋体" w:cs="Times New Roman"/>
                <w:color w:val="auto"/>
                <w:kern w:val="2"/>
                <w:sz w:val="21"/>
                <w:szCs w:val="21"/>
                <w:lang w:val="en-US" w:eastAsia="zh-CN" w:bidi="ar-SA"/>
              </w:rPr>
              <w:t>于20</w:t>
            </w:r>
            <w:r>
              <w:rPr>
                <w:rFonts w:hint="eastAsia" w:cs="Times New Roman"/>
                <w:color w:val="auto"/>
                <w:kern w:val="2"/>
                <w:sz w:val="21"/>
                <w:szCs w:val="21"/>
                <w:lang w:val="en-US" w:eastAsia="zh-CN" w:bidi="ar-SA"/>
              </w:rPr>
              <w:t>20</w:t>
            </w:r>
            <w:r>
              <w:rPr>
                <w:rFonts w:hint="default" w:ascii="Times New Roman" w:hAnsi="Times New Roman" w:eastAsia="宋体" w:cs="Times New Roman"/>
                <w:color w:val="auto"/>
                <w:kern w:val="2"/>
                <w:sz w:val="21"/>
                <w:szCs w:val="21"/>
                <w:lang w:val="en-US" w:eastAsia="zh-CN" w:bidi="ar-SA"/>
              </w:rPr>
              <w:t>年</w:t>
            </w:r>
            <w:r>
              <w:rPr>
                <w:rFonts w:hint="eastAsia" w:cs="Times New Roman"/>
                <w:color w:val="auto"/>
                <w:kern w:val="2"/>
                <w:sz w:val="21"/>
                <w:szCs w:val="21"/>
                <w:lang w:val="en-US" w:eastAsia="zh-CN" w:bidi="ar-SA"/>
              </w:rPr>
              <w:t>7</w:t>
            </w:r>
            <w:r>
              <w:rPr>
                <w:rFonts w:hint="default" w:ascii="Times New Roman" w:hAnsi="Times New Roman" w:eastAsia="宋体" w:cs="Times New Roman"/>
                <w:color w:val="auto"/>
                <w:kern w:val="2"/>
                <w:sz w:val="21"/>
                <w:szCs w:val="21"/>
                <w:lang w:val="en-US" w:eastAsia="zh-CN" w:bidi="ar-SA"/>
              </w:rPr>
              <w:t>月</w:t>
            </w:r>
            <w:r>
              <w:rPr>
                <w:rFonts w:hint="eastAsia" w:cs="Times New Roman"/>
                <w:color w:val="auto"/>
                <w:kern w:val="2"/>
                <w:sz w:val="21"/>
                <w:szCs w:val="21"/>
                <w:lang w:val="en-US" w:eastAsia="zh-CN" w:bidi="ar-SA"/>
              </w:rPr>
              <w:t>20日被华宁县环境监测大队查处，在未办理环境影响评价手续的情况下，擅自开工建设，建有厂房和3座土窑；2020年10月9日玉溪市生态环境局华宁分局对华宁县白塔山陶器厂下达《行政处罚决定书》，文号：华环罚[2020]8号，停止厂房建设并罚款15万元整；华宁县白塔山陶器厂于2020年10月22日缴纳罚款15万元整</w:t>
            </w:r>
            <w:r>
              <w:rPr>
                <w:rFonts w:hint="eastAsia" w:cs="Times New Roman"/>
                <w:color w:val="auto"/>
                <w:sz w:val="21"/>
                <w:szCs w:val="21"/>
                <w:lang w:val="en-US" w:eastAsia="zh-CN"/>
              </w:rPr>
              <w:t>。</w:t>
            </w:r>
          </w:p>
          <w:p w14:paraId="00362A4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textAlignment w:val="auto"/>
              <w:rPr>
                <w:rFonts w:hint="eastAsia" w:cs="Times New Roman"/>
                <w:color w:val="auto"/>
                <w:sz w:val="21"/>
                <w:szCs w:val="21"/>
                <w:lang w:val="en-US" w:eastAsia="zh-CN"/>
              </w:rPr>
            </w:pPr>
            <w:r>
              <w:rPr>
                <w:rFonts w:hint="eastAsia" w:cs="Times New Roman"/>
                <w:color w:val="auto"/>
                <w:kern w:val="2"/>
                <w:sz w:val="21"/>
                <w:szCs w:val="21"/>
                <w:lang w:val="en-US" w:eastAsia="zh-CN" w:bidi="ar-SA"/>
              </w:rPr>
              <w:t>根据</w:t>
            </w:r>
            <w:r>
              <w:rPr>
                <w:rFonts w:hint="eastAsia" w:ascii="Times New Roman" w:hAnsi="Times New Roman" w:eastAsia="宋体" w:cs="Times New Roman"/>
                <w:color w:val="auto"/>
                <w:kern w:val="2"/>
                <w:sz w:val="21"/>
                <w:szCs w:val="21"/>
                <w:lang w:val="en-US" w:eastAsia="zh-CN" w:bidi="ar-SA"/>
              </w:rPr>
              <w:t>2022年10月2日华宁县人民政府办公室发布的《华宁县人民政府办公室关于印发华宁县青砖瓦生产企业整治工作方案的通知》（华政办通〔2022〕38号），</w:t>
            </w:r>
            <w:r>
              <w:rPr>
                <w:rFonts w:hint="eastAsia" w:cs="Times New Roman"/>
                <w:color w:val="auto"/>
                <w:sz w:val="21"/>
                <w:szCs w:val="21"/>
                <w:lang w:val="en-US" w:eastAsia="zh-CN"/>
              </w:rPr>
              <w:t>华宁县白塔山陶器厂（老厂）已经依法关闭退出</w:t>
            </w:r>
            <w:r>
              <w:rPr>
                <w:rFonts w:hint="eastAsia" w:cs="Times New Roman"/>
                <w:color w:val="auto"/>
                <w:kern w:val="2"/>
                <w:sz w:val="21"/>
                <w:szCs w:val="21"/>
                <w:lang w:val="en-US" w:eastAsia="zh-CN" w:bidi="ar-SA"/>
              </w:rPr>
              <w:t>；</w:t>
            </w:r>
            <w:r>
              <w:rPr>
                <w:rFonts w:hint="eastAsia" w:cs="Times New Roman"/>
                <w:color w:val="auto"/>
                <w:sz w:val="21"/>
                <w:szCs w:val="21"/>
                <w:lang w:val="en-US" w:eastAsia="zh-CN"/>
              </w:rPr>
              <w:t>华宁县白塔山陶器厂（新厂）</w:t>
            </w:r>
            <w:r>
              <w:rPr>
                <w:rFonts w:hint="eastAsia" w:cs="Times New Roman"/>
                <w:color w:val="auto"/>
                <w:kern w:val="2"/>
                <w:sz w:val="21"/>
                <w:szCs w:val="21"/>
                <w:lang w:val="en-US" w:eastAsia="zh-CN" w:bidi="ar-SA"/>
              </w:rPr>
              <w:t>属于需要巩固提升的青砖瓦企业，</w:t>
            </w:r>
            <w:r>
              <w:rPr>
                <w:rFonts w:hint="eastAsia" w:ascii="Times New Roman" w:hAnsi="Times New Roman" w:eastAsia="宋体" w:cs="Times New Roman"/>
                <w:color w:val="auto"/>
                <w:kern w:val="2"/>
                <w:sz w:val="21"/>
                <w:szCs w:val="21"/>
                <w:lang w:val="en-US" w:eastAsia="zh-CN" w:bidi="ar-SA"/>
              </w:rPr>
              <w:t>需按照要求安装环保设施设备并正常运行，确保排放达标后方可生产，</w:t>
            </w:r>
            <w:r>
              <w:rPr>
                <w:rFonts w:hint="eastAsia" w:cs="Times New Roman"/>
                <w:color w:val="auto"/>
                <w:kern w:val="2"/>
                <w:sz w:val="21"/>
                <w:szCs w:val="21"/>
                <w:lang w:val="en-US" w:eastAsia="zh-CN" w:bidi="ar-SA"/>
              </w:rPr>
              <w:t>产能为900万件建筑用陶器，</w:t>
            </w:r>
            <w:r>
              <w:rPr>
                <w:rFonts w:hint="eastAsia"/>
                <w:b w:val="0"/>
                <w:bCs/>
                <w:color w:val="auto"/>
                <w:sz w:val="21"/>
                <w:szCs w:val="21"/>
                <w:lang w:val="en-US" w:eastAsia="zh-CN"/>
              </w:rPr>
              <w:t>项目性质为改建</w:t>
            </w:r>
            <w:r>
              <w:rPr>
                <w:rFonts w:hint="eastAsia" w:cs="Times New Roman"/>
                <w:color w:val="auto"/>
                <w:kern w:val="2"/>
                <w:sz w:val="21"/>
                <w:szCs w:val="21"/>
                <w:lang w:val="en-US" w:eastAsia="zh-CN" w:bidi="ar-SA"/>
              </w:rPr>
              <w:t>；2025年6月17日</w:t>
            </w:r>
            <w:r>
              <w:rPr>
                <w:rFonts w:hint="default" w:ascii="Times New Roman" w:hAnsi="Times New Roman" w:eastAsia="宋体" w:cs="Times New Roman"/>
                <w:color w:val="auto"/>
                <w:kern w:val="2"/>
                <w:sz w:val="21"/>
                <w:szCs w:val="21"/>
                <w:lang w:val="en-US" w:eastAsia="zh-CN" w:bidi="ar-SA"/>
              </w:rPr>
              <w:t>受</w:t>
            </w:r>
            <w:r>
              <w:rPr>
                <w:rFonts w:hint="eastAsia" w:cs="Times New Roman"/>
                <w:color w:val="auto"/>
                <w:kern w:val="2"/>
                <w:sz w:val="21"/>
                <w:szCs w:val="21"/>
                <w:lang w:val="en-US" w:eastAsia="zh-CN" w:bidi="ar-SA"/>
              </w:rPr>
              <w:t>华宁县白塔山陶器厂</w:t>
            </w:r>
            <w:r>
              <w:rPr>
                <w:rFonts w:hint="default" w:ascii="Times New Roman" w:hAnsi="Times New Roman" w:eastAsia="宋体" w:cs="Times New Roman"/>
                <w:color w:val="auto"/>
                <w:kern w:val="2"/>
                <w:sz w:val="21"/>
                <w:szCs w:val="21"/>
                <w:lang w:val="en-US" w:eastAsia="zh-CN" w:bidi="ar-SA"/>
              </w:rPr>
              <w:t>委托，</w:t>
            </w:r>
            <w:r>
              <w:rPr>
                <w:color w:val="auto"/>
                <w:sz w:val="21"/>
                <w:szCs w:val="21"/>
              </w:rPr>
              <w:t>我方</w:t>
            </w:r>
            <w:r>
              <w:rPr>
                <w:rFonts w:hint="eastAsia"/>
                <w:color w:val="auto"/>
                <w:sz w:val="21"/>
                <w:szCs w:val="21"/>
                <w:lang w:val="en-US" w:eastAsia="zh-CN"/>
              </w:rPr>
              <w:t>编制单位</w:t>
            </w:r>
            <w:r>
              <w:rPr>
                <w:rFonts w:hint="eastAsia"/>
                <w:color w:val="auto"/>
                <w:sz w:val="21"/>
                <w:szCs w:val="21"/>
              </w:rPr>
              <w:t>在</w:t>
            </w:r>
            <w:r>
              <w:rPr>
                <w:color w:val="auto"/>
                <w:sz w:val="21"/>
                <w:szCs w:val="21"/>
              </w:rPr>
              <w:t>进行了现场踏勘、环境状况调查、资料收集以及认真分析工程内容等工作基础上，编制</w:t>
            </w:r>
            <w:r>
              <w:rPr>
                <w:rFonts w:hint="eastAsia"/>
                <w:color w:val="auto"/>
                <w:sz w:val="21"/>
                <w:szCs w:val="21"/>
              </w:rPr>
              <w:t>完成</w:t>
            </w:r>
            <w:r>
              <w:rPr>
                <w:color w:val="auto"/>
                <w:sz w:val="21"/>
                <w:szCs w:val="21"/>
              </w:rPr>
              <w:t>了本项目环境影响报告表，作为建设项目环境保护文件上报</w:t>
            </w:r>
            <w:r>
              <w:rPr>
                <w:rFonts w:hint="eastAsia"/>
                <w:color w:val="auto"/>
                <w:sz w:val="21"/>
                <w:szCs w:val="21"/>
              </w:rPr>
              <w:t>生态环境</w:t>
            </w:r>
            <w:r>
              <w:rPr>
                <w:color w:val="auto"/>
                <w:sz w:val="21"/>
                <w:szCs w:val="21"/>
              </w:rPr>
              <w:t>行政管理部门审批</w:t>
            </w:r>
            <w:r>
              <w:rPr>
                <w:rFonts w:hint="default" w:ascii="Times New Roman" w:hAnsi="Times New Roman" w:eastAsia="宋体" w:cs="Times New Roman"/>
                <w:color w:val="auto"/>
                <w:kern w:val="2"/>
                <w:sz w:val="21"/>
                <w:szCs w:val="21"/>
                <w:lang w:val="en-US" w:eastAsia="zh-CN" w:bidi="ar-SA"/>
              </w:rPr>
              <w:t>。</w:t>
            </w:r>
          </w:p>
          <w:p w14:paraId="6E011ADA">
            <w:pPr>
              <w:keepNext w:val="0"/>
              <w:keepLines w:val="0"/>
              <w:pageBreakBefore w:val="0"/>
              <w:widowControl w:val="0"/>
              <w:numPr>
                <w:ilvl w:val="0"/>
                <w:numId w:val="2"/>
              </w:numPr>
              <w:kinsoku/>
              <w:wordWrap/>
              <w:overflowPunct/>
              <w:topLinePunct w:val="0"/>
              <w:autoSpaceDE/>
              <w:autoSpaceDN/>
              <w:bidi w:val="0"/>
              <w:adjustRightInd/>
              <w:snapToGrid w:val="0"/>
              <w:spacing w:line="360" w:lineRule="auto"/>
              <w:ind w:firstLine="422" w:firstLineChars="200"/>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原有建设内容</w:t>
            </w:r>
          </w:p>
          <w:p w14:paraId="6E94E235">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jc w:val="both"/>
              <w:textAlignment w:val="auto"/>
              <w:rPr>
                <w:rFonts w:hint="default" w:cs="Times New Roman"/>
                <w:color w:val="auto"/>
                <w:sz w:val="21"/>
                <w:szCs w:val="21"/>
                <w:lang w:val="en-US" w:eastAsia="zh-CN"/>
              </w:rPr>
            </w:pPr>
            <w:r>
              <w:rPr>
                <w:rFonts w:hint="eastAsia" w:cs="Times New Roman"/>
                <w:color w:val="auto"/>
                <w:sz w:val="21"/>
                <w:szCs w:val="21"/>
                <w:lang w:val="en-US" w:eastAsia="zh-CN"/>
              </w:rPr>
              <w:t>现有项目建设内容见下表：</w:t>
            </w:r>
          </w:p>
          <w:p w14:paraId="7BEAFDC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center"/>
              <w:textAlignment w:val="auto"/>
              <w:rPr>
                <w:rFonts w:hint="default" w:cs="Times New Roman"/>
                <w:b/>
                <w:bCs/>
                <w:color w:val="auto"/>
                <w:sz w:val="21"/>
                <w:szCs w:val="21"/>
                <w:lang w:val="en-US" w:eastAsia="zh-CN"/>
              </w:rPr>
            </w:pPr>
            <w:r>
              <w:rPr>
                <w:rFonts w:hint="eastAsia" w:cs="Times New Roman"/>
                <w:b/>
                <w:bCs/>
                <w:color w:val="auto"/>
                <w:sz w:val="21"/>
                <w:szCs w:val="21"/>
                <w:lang w:val="en-US" w:eastAsia="zh-CN"/>
              </w:rPr>
              <w:t>表2-13现有建设内容一览表</w:t>
            </w:r>
          </w:p>
          <w:tbl>
            <w:tblPr>
              <w:tblStyle w:val="29"/>
              <w:tblW w:w="80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04"/>
              <w:gridCol w:w="346"/>
              <w:gridCol w:w="605"/>
              <w:gridCol w:w="6491"/>
            </w:tblGrid>
            <w:tr w14:paraId="3A280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0" w:hRule="atLeast"/>
                <w:jc w:val="center"/>
              </w:trPr>
              <w:tc>
                <w:tcPr>
                  <w:tcW w:w="604" w:type="dxa"/>
                  <w:noWrap/>
                  <w:vAlign w:val="center"/>
                </w:tcPr>
                <w:p w14:paraId="550C4D09">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名称</w:t>
                  </w:r>
                </w:p>
              </w:tc>
              <w:tc>
                <w:tcPr>
                  <w:tcW w:w="951" w:type="dxa"/>
                  <w:gridSpan w:val="2"/>
                  <w:noWrap/>
                  <w:vAlign w:val="center"/>
                </w:tcPr>
                <w:p w14:paraId="2991A698">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项目内容</w:t>
                  </w:r>
                </w:p>
              </w:tc>
              <w:tc>
                <w:tcPr>
                  <w:tcW w:w="6491" w:type="dxa"/>
                  <w:noWrap/>
                  <w:vAlign w:val="center"/>
                </w:tcPr>
                <w:p w14:paraId="6C8D9D26">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sz w:val="21"/>
                      <w:szCs w:val="21"/>
                      <w:lang w:val="en-US"/>
                    </w:rPr>
                  </w:pPr>
                  <w:r>
                    <w:rPr>
                      <w:rFonts w:hint="eastAsia" w:cs="Times New Roman"/>
                      <w:color w:val="auto"/>
                      <w:kern w:val="0"/>
                      <w:sz w:val="21"/>
                      <w:szCs w:val="21"/>
                      <w:lang w:val="en-US" w:eastAsia="zh-CN" w:bidi="ar"/>
                    </w:rPr>
                    <w:t>现有内容</w:t>
                  </w:r>
                </w:p>
              </w:tc>
            </w:tr>
            <w:tr w14:paraId="45F19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42" w:hRule="atLeast"/>
                <w:jc w:val="center"/>
              </w:trPr>
              <w:tc>
                <w:tcPr>
                  <w:tcW w:w="604" w:type="dxa"/>
                  <w:vMerge w:val="restart"/>
                  <w:noWrap/>
                  <w:vAlign w:val="center"/>
                </w:tcPr>
                <w:p w14:paraId="1D308B94">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主体</w:t>
                  </w:r>
                </w:p>
                <w:p w14:paraId="1A2B5F3D">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工程</w:t>
                  </w:r>
                </w:p>
              </w:tc>
              <w:tc>
                <w:tcPr>
                  <w:tcW w:w="951" w:type="dxa"/>
                  <w:gridSpan w:val="2"/>
                  <w:noWrap/>
                  <w:vAlign w:val="center"/>
                </w:tcPr>
                <w:p w14:paraId="67094847">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制坯</w:t>
                  </w:r>
                  <w:r>
                    <w:rPr>
                      <w:rFonts w:hint="default" w:ascii="Times New Roman" w:hAnsi="Times New Roman" w:eastAsia="宋体" w:cs="Times New Roman"/>
                      <w:color w:val="auto"/>
                      <w:sz w:val="21"/>
                      <w:szCs w:val="21"/>
                      <w:lang w:val="en-US" w:eastAsia="zh-CN"/>
                    </w:rPr>
                    <w:t>车间</w:t>
                  </w:r>
                </w:p>
              </w:tc>
              <w:tc>
                <w:tcPr>
                  <w:tcW w:w="6491" w:type="dxa"/>
                  <w:noWrap/>
                  <w:vAlign w:val="center"/>
                </w:tcPr>
                <w:p w14:paraId="50DB084F">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ind w:firstLine="420" w:firstLineChars="200"/>
                    <w:jc w:val="both"/>
                    <w:textAlignment w:val="bottom"/>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制坯</w:t>
                  </w:r>
                  <w:r>
                    <w:rPr>
                      <w:color w:val="auto"/>
                      <w:kern w:val="0"/>
                      <w:szCs w:val="21"/>
                      <w:lang w:bidi="ar"/>
                    </w:rPr>
                    <w:t>车间</w:t>
                  </w:r>
                  <w:r>
                    <w:rPr>
                      <w:rFonts w:hint="eastAsia"/>
                      <w:color w:val="auto"/>
                      <w:kern w:val="0"/>
                      <w:szCs w:val="21"/>
                      <w:lang w:val="en-US" w:eastAsia="zh-CN" w:bidi="ar"/>
                    </w:rPr>
                    <w:t>高12m，占地面积为1460㎡，为三面围挡设有顶棚的钢结构厂房，从西至东依次</w:t>
                  </w:r>
                  <w:r>
                    <w:rPr>
                      <w:color w:val="auto"/>
                      <w:kern w:val="0"/>
                      <w:szCs w:val="21"/>
                      <w:lang w:bidi="ar"/>
                    </w:rPr>
                    <w:t>安装</w:t>
                  </w:r>
                  <w:r>
                    <w:rPr>
                      <w:rFonts w:hint="eastAsia"/>
                      <w:color w:val="auto"/>
                      <w:kern w:val="0"/>
                      <w:szCs w:val="21"/>
                      <w:lang w:val="en-US" w:eastAsia="zh-CN" w:bidi="ar"/>
                    </w:rPr>
                    <w:t>2台对辊破碎机</w:t>
                  </w:r>
                  <w:r>
                    <w:rPr>
                      <w:rFonts w:hint="eastAsia"/>
                      <w:color w:val="auto"/>
                      <w:kern w:val="0"/>
                      <w:szCs w:val="21"/>
                      <w:lang w:eastAsia="zh-CN" w:bidi="ar"/>
                    </w:rPr>
                    <w:t>、</w:t>
                  </w:r>
                  <w:r>
                    <w:rPr>
                      <w:rFonts w:hint="eastAsia"/>
                      <w:color w:val="auto"/>
                      <w:kern w:val="0"/>
                      <w:szCs w:val="21"/>
                      <w:lang w:val="en-US" w:eastAsia="zh-CN" w:bidi="ar"/>
                    </w:rPr>
                    <w:t>4台真空成型机、4台自动分切机</w:t>
                  </w:r>
                  <w:r>
                    <w:rPr>
                      <w:color w:val="auto"/>
                      <w:kern w:val="0"/>
                      <w:sz w:val="21"/>
                      <w:szCs w:val="21"/>
                      <w:lang w:bidi="ar"/>
                    </w:rPr>
                    <w:t>。</w:t>
                  </w:r>
                </w:p>
              </w:tc>
            </w:tr>
            <w:tr w14:paraId="1AE79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42" w:hRule="atLeast"/>
                <w:jc w:val="center"/>
              </w:trPr>
              <w:tc>
                <w:tcPr>
                  <w:tcW w:w="604" w:type="dxa"/>
                  <w:vMerge w:val="continue"/>
                  <w:noWrap/>
                  <w:vAlign w:val="center"/>
                </w:tcPr>
                <w:p w14:paraId="08937E6A">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kern w:val="0"/>
                      <w:sz w:val="21"/>
                      <w:szCs w:val="21"/>
                      <w:lang w:val="en-US" w:eastAsia="zh-CN" w:bidi="ar"/>
                    </w:rPr>
                  </w:pPr>
                </w:p>
              </w:tc>
              <w:tc>
                <w:tcPr>
                  <w:tcW w:w="951" w:type="dxa"/>
                  <w:gridSpan w:val="2"/>
                  <w:noWrap/>
                  <w:vAlign w:val="center"/>
                </w:tcPr>
                <w:p w14:paraId="68EAD31C">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cs="Times New Roman"/>
                      <w:color w:val="auto"/>
                      <w:sz w:val="21"/>
                      <w:szCs w:val="21"/>
                      <w:lang w:val="en-US" w:eastAsia="zh-CN"/>
                    </w:rPr>
                  </w:pPr>
                  <w:r>
                    <w:rPr>
                      <w:rFonts w:hint="eastAsia" w:cs="Times New Roman"/>
                      <w:color w:val="auto"/>
                      <w:sz w:val="21"/>
                      <w:szCs w:val="21"/>
                      <w:lang w:val="en-US" w:eastAsia="zh-CN"/>
                    </w:rPr>
                    <w:t>晾干车间</w:t>
                  </w:r>
                </w:p>
              </w:tc>
              <w:tc>
                <w:tcPr>
                  <w:tcW w:w="6491" w:type="dxa"/>
                  <w:noWrap/>
                  <w:vAlign w:val="center"/>
                </w:tcPr>
                <w:p w14:paraId="00087C82">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ind w:firstLine="420" w:firstLineChars="200"/>
                    <w:jc w:val="both"/>
                    <w:textAlignment w:val="bottom"/>
                    <w:rPr>
                      <w:rFonts w:hint="default"/>
                      <w:color w:val="auto"/>
                      <w:kern w:val="0"/>
                      <w:sz w:val="21"/>
                      <w:szCs w:val="21"/>
                      <w:lang w:val="en-US" w:eastAsia="zh-CN" w:bidi="ar"/>
                    </w:rPr>
                  </w:pPr>
                  <w:r>
                    <w:rPr>
                      <w:rFonts w:hint="eastAsia"/>
                      <w:color w:val="auto"/>
                      <w:kern w:val="0"/>
                      <w:sz w:val="21"/>
                      <w:szCs w:val="21"/>
                      <w:lang w:val="en-US" w:eastAsia="zh-CN" w:bidi="ar"/>
                    </w:rPr>
                    <w:t>晾干车间高12m，占地面积为1270㎡，为一面围挡设有顶棚的钢结构厂房，将完成分切的坯体至于通风的晾干车间进行晾干。</w:t>
                  </w:r>
                </w:p>
              </w:tc>
            </w:tr>
            <w:tr w14:paraId="57ABD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42" w:hRule="atLeast"/>
                <w:jc w:val="center"/>
              </w:trPr>
              <w:tc>
                <w:tcPr>
                  <w:tcW w:w="604" w:type="dxa"/>
                  <w:vMerge w:val="continue"/>
                  <w:noWrap/>
                  <w:vAlign w:val="center"/>
                </w:tcPr>
                <w:p w14:paraId="125EB1A6">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kern w:val="0"/>
                      <w:sz w:val="21"/>
                      <w:szCs w:val="21"/>
                      <w:lang w:val="en-US" w:eastAsia="zh-CN" w:bidi="ar"/>
                    </w:rPr>
                  </w:pPr>
                </w:p>
              </w:tc>
              <w:tc>
                <w:tcPr>
                  <w:tcW w:w="951" w:type="dxa"/>
                  <w:gridSpan w:val="2"/>
                  <w:noWrap/>
                  <w:vAlign w:val="center"/>
                </w:tcPr>
                <w:p w14:paraId="671B288B">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cs="Times New Roman"/>
                      <w:color w:val="auto"/>
                      <w:sz w:val="21"/>
                      <w:szCs w:val="21"/>
                      <w:lang w:val="en-US" w:eastAsia="zh-CN"/>
                    </w:rPr>
                  </w:pPr>
                  <w:r>
                    <w:rPr>
                      <w:rFonts w:hint="eastAsia" w:cs="Times New Roman"/>
                      <w:color w:val="auto"/>
                      <w:sz w:val="21"/>
                      <w:szCs w:val="21"/>
                      <w:lang w:val="en-US" w:eastAsia="zh-CN"/>
                    </w:rPr>
                    <w:t>待烧车间</w:t>
                  </w:r>
                </w:p>
              </w:tc>
              <w:tc>
                <w:tcPr>
                  <w:tcW w:w="6491" w:type="dxa"/>
                  <w:noWrap/>
                  <w:vAlign w:val="center"/>
                </w:tcPr>
                <w:p w14:paraId="250486F5">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ind w:firstLine="420" w:firstLineChars="200"/>
                    <w:jc w:val="both"/>
                    <w:textAlignment w:val="bottom"/>
                    <w:rPr>
                      <w:rFonts w:hint="default"/>
                      <w:color w:val="auto"/>
                      <w:kern w:val="0"/>
                      <w:sz w:val="21"/>
                      <w:szCs w:val="21"/>
                      <w:lang w:val="en-US" w:eastAsia="zh-CN" w:bidi="ar"/>
                    </w:rPr>
                  </w:pPr>
                  <w:r>
                    <w:rPr>
                      <w:rFonts w:hint="eastAsia"/>
                      <w:color w:val="auto"/>
                      <w:kern w:val="0"/>
                      <w:sz w:val="21"/>
                      <w:szCs w:val="21"/>
                      <w:lang w:val="en-US" w:eastAsia="zh-CN" w:bidi="ar"/>
                    </w:rPr>
                    <w:t>待烧车间高12m，占地面积为1580㎡，为三面围挡设有顶棚的钢结构厂房，暂存晾干的坯体</w:t>
                  </w:r>
                  <w:r>
                    <w:rPr>
                      <w:rFonts w:hint="eastAsia" w:cs="Times New Roman"/>
                      <w:color w:val="auto"/>
                      <w:kern w:val="0"/>
                      <w:sz w:val="21"/>
                      <w:szCs w:val="21"/>
                      <w:lang w:val="en-US" w:eastAsia="zh-CN" w:bidi="ar"/>
                    </w:rPr>
                    <w:t>。</w:t>
                  </w:r>
                </w:p>
              </w:tc>
            </w:tr>
            <w:tr w14:paraId="2F8D4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42" w:hRule="atLeast"/>
                <w:jc w:val="center"/>
              </w:trPr>
              <w:tc>
                <w:tcPr>
                  <w:tcW w:w="604" w:type="dxa"/>
                  <w:vMerge w:val="continue"/>
                  <w:noWrap/>
                  <w:vAlign w:val="center"/>
                </w:tcPr>
                <w:p w14:paraId="12D68664">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sz w:val="21"/>
                      <w:szCs w:val="21"/>
                    </w:rPr>
                  </w:pPr>
                </w:p>
              </w:tc>
              <w:tc>
                <w:tcPr>
                  <w:tcW w:w="951" w:type="dxa"/>
                  <w:gridSpan w:val="2"/>
                  <w:noWrap/>
                  <w:vAlign w:val="center"/>
                </w:tcPr>
                <w:p w14:paraId="0B43F033">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val="en-US" w:eastAsia="zh-CN"/>
                    </w:rPr>
                    <w:t>烧成车间</w:t>
                  </w:r>
                </w:p>
              </w:tc>
              <w:tc>
                <w:tcPr>
                  <w:tcW w:w="6491" w:type="dxa"/>
                  <w:noWrap/>
                  <w:vAlign w:val="center"/>
                </w:tcPr>
                <w:p w14:paraId="72847C64">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ind w:firstLine="420" w:firstLineChars="200"/>
                    <w:jc w:val="both"/>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烧成车间</w:t>
                  </w:r>
                  <w:r>
                    <w:rPr>
                      <w:rFonts w:hint="eastAsia"/>
                      <w:color w:val="auto"/>
                      <w:kern w:val="0"/>
                      <w:sz w:val="21"/>
                      <w:szCs w:val="21"/>
                      <w:lang w:val="en-US" w:eastAsia="zh-CN" w:bidi="ar"/>
                    </w:rPr>
                    <w:t>高12m，占地面积为1200㎡</w:t>
                  </w:r>
                  <w:r>
                    <w:rPr>
                      <w:rFonts w:hint="eastAsia" w:cs="Times New Roman"/>
                      <w:color w:val="auto"/>
                      <w:kern w:val="0"/>
                      <w:sz w:val="21"/>
                      <w:szCs w:val="21"/>
                      <w:lang w:val="en-US" w:eastAsia="zh-CN" w:bidi="ar"/>
                    </w:rPr>
                    <w:t>，</w:t>
                  </w:r>
                  <w:r>
                    <w:rPr>
                      <w:rFonts w:hint="eastAsia"/>
                      <w:color w:val="auto"/>
                      <w:kern w:val="0"/>
                      <w:sz w:val="21"/>
                      <w:szCs w:val="21"/>
                      <w:lang w:val="en-US" w:eastAsia="zh-CN" w:bidi="ar"/>
                    </w:rPr>
                    <w:t>为三面围挡设有顶棚的钢结构厂房，</w:t>
                  </w:r>
                  <w:r>
                    <w:rPr>
                      <w:rFonts w:hint="eastAsia" w:cs="Times New Roman"/>
                      <w:color w:val="auto"/>
                      <w:kern w:val="0"/>
                      <w:sz w:val="21"/>
                      <w:szCs w:val="21"/>
                      <w:lang w:val="en-US" w:eastAsia="zh-CN" w:bidi="ar"/>
                    </w:rPr>
                    <w:t>设置</w:t>
                  </w:r>
                  <w:r>
                    <w:rPr>
                      <w:rFonts w:hint="eastAsia" w:cs="Times New Roman"/>
                      <w:color w:val="auto"/>
                      <w:kern w:val="2"/>
                      <w:sz w:val="21"/>
                      <w:szCs w:val="21"/>
                      <w:lang w:val="en-US" w:eastAsia="zh-CN" w:bidi="ar-SA"/>
                    </w:rPr>
                    <w:t>3座土窑</w:t>
                  </w:r>
                  <w:r>
                    <w:rPr>
                      <w:rFonts w:hint="default" w:ascii="Times New Roman" w:hAnsi="Times New Roman" w:eastAsia="宋体" w:cs="Times New Roman"/>
                      <w:color w:val="auto"/>
                      <w:kern w:val="0"/>
                      <w:sz w:val="21"/>
                      <w:szCs w:val="21"/>
                      <w:lang w:val="en-US" w:eastAsia="zh-CN" w:bidi="ar"/>
                    </w:rPr>
                    <w:t>，</w:t>
                  </w:r>
                  <w:r>
                    <w:rPr>
                      <w:rFonts w:hint="eastAsia" w:cs="Times New Roman"/>
                      <w:color w:val="auto"/>
                      <w:kern w:val="0"/>
                      <w:sz w:val="21"/>
                      <w:szCs w:val="21"/>
                      <w:lang w:val="en-US" w:eastAsia="zh-CN" w:bidi="ar"/>
                    </w:rPr>
                    <w:t>用于烧成仿古砖、瓦</w:t>
                  </w:r>
                  <w:r>
                    <w:rPr>
                      <w:rFonts w:hint="default" w:ascii="Times New Roman" w:hAnsi="Times New Roman" w:eastAsia="宋体" w:cs="Times New Roman"/>
                      <w:color w:val="auto"/>
                      <w:kern w:val="0"/>
                      <w:sz w:val="21"/>
                      <w:szCs w:val="21"/>
                      <w:lang w:val="en-US" w:eastAsia="zh-CN" w:bidi="ar"/>
                    </w:rPr>
                    <w:t>。</w:t>
                  </w:r>
                </w:p>
              </w:tc>
            </w:tr>
            <w:tr w14:paraId="5CA9A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42" w:hRule="atLeast"/>
                <w:jc w:val="center"/>
              </w:trPr>
              <w:tc>
                <w:tcPr>
                  <w:tcW w:w="604" w:type="dxa"/>
                  <w:vMerge w:val="restart"/>
                  <w:noWrap/>
                  <w:vAlign w:val="center"/>
                </w:tcPr>
                <w:p w14:paraId="7FEFF299">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储运工程</w:t>
                  </w:r>
                </w:p>
              </w:tc>
              <w:tc>
                <w:tcPr>
                  <w:tcW w:w="951" w:type="dxa"/>
                  <w:gridSpan w:val="2"/>
                  <w:noWrap/>
                  <w:vAlign w:val="center"/>
                </w:tcPr>
                <w:p w14:paraId="49E373EB">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eastAsia" w:cs="Times New Roman"/>
                      <w:color w:val="auto"/>
                      <w:sz w:val="21"/>
                      <w:szCs w:val="21"/>
                      <w:lang w:val="en-US" w:eastAsia="zh-CN"/>
                    </w:rPr>
                  </w:pPr>
                  <w:r>
                    <w:rPr>
                      <w:rFonts w:hint="eastAsia" w:cs="Times New Roman"/>
                      <w:color w:val="auto"/>
                      <w:sz w:val="21"/>
                      <w:szCs w:val="21"/>
                      <w:lang w:val="en-US" w:eastAsia="zh-CN"/>
                    </w:rPr>
                    <w:t>成品车间</w:t>
                  </w:r>
                </w:p>
              </w:tc>
              <w:tc>
                <w:tcPr>
                  <w:tcW w:w="6491" w:type="dxa"/>
                  <w:noWrap/>
                  <w:vAlign w:val="center"/>
                </w:tcPr>
                <w:p w14:paraId="08160E6E">
                  <w:pPr>
                    <w:keepNext w:val="0"/>
                    <w:keepLines w:val="0"/>
                    <w:pageBreakBefore w:val="0"/>
                    <w:widowControl/>
                    <w:kinsoku/>
                    <w:wordWrap/>
                    <w:overflowPunct/>
                    <w:topLinePunct w:val="0"/>
                    <w:bidi w:val="0"/>
                    <w:snapToGrid w:val="0"/>
                    <w:spacing w:before="63" w:beforeLines="20" w:after="63" w:afterLines="20"/>
                    <w:ind w:firstLine="420" w:firstLineChars="200"/>
                    <w:textAlignment w:val="bottom"/>
                    <w:rPr>
                      <w:rFonts w:hint="default"/>
                      <w:color w:val="auto"/>
                      <w:kern w:val="0"/>
                      <w:sz w:val="21"/>
                      <w:szCs w:val="21"/>
                      <w:lang w:val="en-US" w:bidi="ar"/>
                    </w:rPr>
                  </w:pPr>
                  <w:r>
                    <w:rPr>
                      <w:rFonts w:hint="eastAsia"/>
                      <w:color w:val="auto"/>
                      <w:kern w:val="0"/>
                      <w:sz w:val="21"/>
                      <w:szCs w:val="21"/>
                      <w:lang w:val="en-US" w:eastAsia="zh-CN" w:bidi="ar"/>
                    </w:rPr>
                    <w:t>成品车间高12m，占地面积为2000㎡，为三面围挡设有顶棚的钢结构厂房，用于暂存完成烧结的合格砖瓦。</w:t>
                  </w:r>
                </w:p>
              </w:tc>
            </w:tr>
            <w:tr w14:paraId="029B5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0" w:hRule="atLeast"/>
                <w:jc w:val="center"/>
              </w:trPr>
              <w:tc>
                <w:tcPr>
                  <w:tcW w:w="604" w:type="dxa"/>
                  <w:vMerge w:val="continue"/>
                  <w:noWrap/>
                  <w:vAlign w:val="center"/>
                </w:tcPr>
                <w:p w14:paraId="50F4196C">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sz w:val="21"/>
                      <w:szCs w:val="21"/>
                    </w:rPr>
                  </w:pPr>
                </w:p>
              </w:tc>
              <w:tc>
                <w:tcPr>
                  <w:tcW w:w="951" w:type="dxa"/>
                  <w:gridSpan w:val="2"/>
                  <w:shd w:val="clear" w:color="auto" w:fill="auto"/>
                  <w:noWrap/>
                  <w:vAlign w:val="center"/>
                </w:tcPr>
                <w:p w14:paraId="248B9BD7">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陈化车间</w:t>
                  </w:r>
                </w:p>
              </w:tc>
              <w:tc>
                <w:tcPr>
                  <w:tcW w:w="6491" w:type="dxa"/>
                  <w:shd w:val="clear" w:color="auto" w:fill="auto"/>
                  <w:noWrap/>
                  <w:vAlign w:val="center"/>
                </w:tcPr>
                <w:p w14:paraId="4EDB4E0F">
                  <w:pPr>
                    <w:keepNext w:val="0"/>
                    <w:keepLines w:val="0"/>
                    <w:pageBreakBefore w:val="0"/>
                    <w:widowControl/>
                    <w:kinsoku/>
                    <w:wordWrap/>
                    <w:overflowPunct/>
                    <w:topLinePunct w:val="0"/>
                    <w:bidi w:val="0"/>
                    <w:snapToGrid w:val="0"/>
                    <w:spacing w:before="63" w:beforeLines="20" w:after="63" w:afterLines="20"/>
                    <w:ind w:firstLine="420" w:firstLineChars="200"/>
                    <w:textAlignment w:val="bottom"/>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陈化车间</w:t>
                  </w:r>
                  <w:r>
                    <w:rPr>
                      <w:rFonts w:hint="eastAsia"/>
                      <w:color w:val="auto"/>
                      <w:kern w:val="0"/>
                      <w:sz w:val="21"/>
                      <w:szCs w:val="21"/>
                      <w:lang w:val="en-US" w:eastAsia="zh-CN" w:bidi="ar"/>
                    </w:rPr>
                    <w:t>高12m，占地面积为1150㎡，为三面围挡设有顶棚的钢结构厂房，厂房东侧设置2台搅拌机，原料</w:t>
                  </w:r>
                  <w:r>
                    <w:rPr>
                      <w:rFonts w:hint="eastAsia"/>
                      <w:color w:val="auto"/>
                      <w:sz w:val="21"/>
                      <w:szCs w:val="21"/>
                      <w:lang w:val="en-US" w:eastAsia="zh-CN"/>
                    </w:rPr>
                    <w:t>通过输送系统输送至搅拌机内，进行搅拌，提高原料的均匀性，搅拌完成后的原料在车间内暂存</w:t>
                  </w:r>
                  <w:r>
                    <w:rPr>
                      <w:rFonts w:hint="eastAsia"/>
                      <w:color w:val="auto"/>
                      <w:kern w:val="0"/>
                      <w:sz w:val="21"/>
                      <w:szCs w:val="21"/>
                      <w:lang w:val="en-US" w:eastAsia="zh-CN" w:bidi="ar"/>
                    </w:rPr>
                    <w:t>，使原料</w:t>
                  </w:r>
                  <w:r>
                    <w:rPr>
                      <w:rFonts w:hint="eastAsia"/>
                      <w:color w:val="auto"/>
                      <w:sz w:val="21"/>
                      <w:szCs w:val="21"/>
                      <w:highlight w:val="none"/>
                      <w:lang w:val="en-US" w:eastAsia="zh-CN"/>
                    </w:rPr>
                    <w:t>水分均化，提高可塑性</w:t>
                  </w:r>
                  <w:r>
                    <w:rPr>
                      <w:color w:val="auto"/>
                      <w:kern w:val="0"/>
                      <w:sz w:val="21"/>
                      <w:szCs w:val="21"/>
                      <w:lang w:bidi="ar"/>
                    </w:rPr>
                    <w:t>。</w:t>
                  </w:r>
                </w:p>
              </w:tc>
            </w:tr>
            <w:tr w14:paraId="7D52A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1" w:hRule="atLeast"/>
                <w:jc w:val="center"/>
              </w:trPr>
              <w:tc>
                <w:tcPr>
                  <w:tcW w:w="604" w:type="dxa"/>
                  <w:vMerge w:val="continue"/>
                  <w:noWrap/>
                  <w:vAlign w:val="center"/>
                </w:tcPr>
                <w:p w14:paraId="0724B1B5">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kern w:val="0"/>
                      <w:sz w:val="21"/>
                      <w:szCs w:val="21"/>
                      <w:lang w:val="en-US" w:eastAsia="zh-CN" w:bidi="ar"/>
                    </w:rPr>
                  </w:pPr>
                </w:p>
              </w:tc>
              <w:tc>
                <w:tcPr>
                  <w:tcW w:w="951" w:type="dxa"/>
                  <w:gridSpan w:val="2"/>
                  <w:noWrap/>
                  <w:vAlign w:val="center"/>
                </w:tcPr>
                <w:p w14:paraId="74897E27">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原料车间</w:t>
                  </w:r>
                </w:p>
              </w:tc>
              <w:tc>
                <w:tcPr>
                  <w:tcW w:w="6491" w:type="dxa"/>
                  <w:noWrap/>
                  <w:vAlign w:val="center"/>
                </w:tcPr>
                <w:p w14:paraId="35952A4F">
                  <w:pPr>
                    <w:keepNext w:val="0"/>
                    <w:keepLines w:val="0"/>
                    <w:pageBreakBefore w:val="0"/>
                    <w:widowControl/>
                    <w:kinsoku/>
                    <w:wordWrap/>
                    <w:overflowPunct/>
                    <w:topLinePunct w:val="0"/>
                    <w:bidi w:val="0"/>
                    <w:snapToGrid w:val="0"/>
                    <w:spacing w:before="63" w:beforeLines="20" w:after="63" w:afterLines="20"/>
                    <w:ind w:firstLine="420" w:firstLineChars="200"/>
                    <w:textAlignment w:val="bottom"/>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原料车间</w:t>
                  </w:r>
                  <w:r>
                    <w:rPr>
                      <w:rFonts w:hint="eastAsia"/>
                      <w:color w:val="auto"/>
                      <w:kern w:val="0"/>
                      <w:sz w:val="21"/>
                      <w:szCs w:val="21"/>
                      <w:lang w:val="en-US" w:eastAsia="zh-CN" w:bidi="ar"/>
                    </w:rPr>
                    <w:t>高12m，占地面积为405㎡，为三面围挡设有顶棚的钢结构厂房，主要用于暂存原料</w:t>
                  </w:r>
                  <w:r>
                    <w:rPr>
                      <w:rFonts w:hint="eastAsia" w:cs="Times New Roman"/>
                      <w:color w:val="auto"/>
                      <w:kern w:val="0"/>
                      <w:sz w:val="21"/>
                      <w:szCs w:val="21"/>
                      <w:lang w:val="en-US" w:eastAsia="zh-CN" w:bidi="ar"/>
                    </w:rPr>
                    <w:t>。</w:t>
                  </w:r>
                </w:p>
              </w:tc>
            </w:tr>
            <w:tr w14:paraId="004D1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0" w:hRule="atLeast"/>
                <w:jc w:val="center"/>
              </w:trPr>
              <w:tc>
                <w:tcPr>
                  <w:tcW w:w="604" w:type="dxa"/>
                  <w:vMerge w:val="restart"/>
                  <w:noWrap/>
                  <w:vAlign w:val="center"/>
                </w:tcPr>
                <w:p w14:paraId="5E48E2BC">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公用</w:t>
                  </w:r>
                </w:p>
                <w:p w14:paraId="5EC96058">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工程</w:t>
                  </w:r>
                </w:p>
              </w:tc>
              <w:tc>
                <w:tcPr>
                  <w:tcW w:w="951" w:type="dxa"/>
                  <w:gridSpan w:val="2"/>
                  <w:noWrap/>
                  <w:vAlign w:val="center"/>
                </w:tcPr>
                <w:p w14:paraId="6987CCA1">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sz w:val="21"/>
                      <w:szCs w:val="21"/>
                    </w:rPr>
                  </w:pPr>
                  <w:r>
                    <w:rPr>
                      <w:rFonts w:hint="eastAsia" w:cs="Times New Roman"/>
                      <w:color w:val="auto"/>
                      <w:kern w:val="0"/>
                      <w:sz w:val="21"/>
                      <w:szCs w:val="21"/>
                      <w:lang w:val="en-US" w:eastAsia="zh-CN" w:bidi="ar"/>
                    </w:rPr>
                    <w:t>配电室</w:t>
                  </w:r>
                </w:p>
              </w:tc>
              <w:tc>
                <w:tcPr>
                  <w:tcW w:w="6491" w:type="dxa"/>
                  <w:noWrap/>
                  <w:vAlign w:val="center"/>
                </w:tcPr>
                <w:p w14:paraId="3033F107">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ind w:firstLine="420" w:firstLineChars="200"/>
                    <w:jc w:val="both"/>
                    <w:textAlignment w:val="bottom"/>
                    <w:rPr>
                      <w:rFonts w:hint="default" w:ascii="Times New Roman" w:hAnsi="Times New Roman" w:eastAsia="宋体" w:cs="Times New Roman"/>
                      <w:color w:val="auto"/>
                      <w:sz w:val="21"/>
                      <w:szCs w:val="21"/>
                    </w:rPr>
                  </w:pPr>
                  <w:r>
                    <w:rPr>
                      <w:rFonts w:hint="eastAsia" w:cs="Times New Roman"/>
                      <w:color w:val="auto"/>
                      <w:kern w:val="0"/>
                      <w:sz w:val="21"/>
                      <w:szCs w:val="21"/>
                      <w:lang w:val="en-US" w:eastAsia="zh-CN" w:bidi="ar"/>
                    </w:rPr>
                    <w:t>设置</w:t>
                  </w:r>
                  <w:r>
                    <w:rPr>
                      <w:rFonts w:hint="default" w:ascii="Times New Roman" w:hAnsi="Times New Roman" w:eastAsia="宋体" w:cs="Times New Roman"/>
                      <w:color w:val="auto"/>
                      <w:kern w:val="0"/>
                      <w:sz w:val="21"/>
                      <w:szCs w:val="21"/>
                      <w:lang w:val="en-US" w:eastAsia="zh-CN" w:bidi="ar"/>
                    </w:rPr>
                    <w:t>20㎡的配电室，</w:t>
                  </w:r>
                  <w:r>
                    <w:rPr>
                      <w:rFonts w:hint="eastAsia" w:cs="Times New Roman"/>
                      <w:color w:val="auto"/>
                      <w:kern w:val="0"/>
                      <w:sz w:val="21"/>
                      <w:szCs w:val="21"/>
                      <w:lang w:val="en-US" w:eastAsia="zh-CN" w:bidi="ar"/>
                    </w:rPr>
                    <w:t>从附近变压器</w:t>
                  </w:r>
                  <w:r>
                    <w:rPr>
                      <w:rFonts w:hint="default" w:ascii="Times New Roman" w:hAnsi="Times New Roman" w:eastAsia="宋体" w:cs="Times New Roman"/>
                      <w:color w:val="auto"/>
                      <w:kern w:val="0"/>
                      <w:sz w:val="21"/>
                      <w:szCs w:val="21"/>
                      <w:lang w:val="en-US" w:eastAsia="zh-CN" w:bidi="ar"/>
                    </w:rPr>
                    <w:t>接线，电力由当地市政供电系统供给。</w:t>
                  </w:r>
                </w:p>
              </w:tc>
            </w:tr>
            <w:tr w14:paraId="5FFE8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0" w:hRule="atLeast"/>
                <w:jc w:val="center"/>
              </w:trPr>
              <w:tc>
                <w:tcPr>
                  <w:tcW w:w="604" w:type="dxa"/>
                  <w:vMerge w:val="continue"/>
                  <w:noWrap/>
                  <w:vAlign w:val="center"/>
                </w:tcPr>
                <w:p w14:paraId="7B1B6507">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kern w:val="0"/>
                      <w:sz w:val="21"/>
                      <w:szCs w:val="21"/>
                      <w:lang w:val="en-US" w:eastAsia="zh-CN" w:bidi="ar"/>
                    </w:rPr>
                  </w:pPr>
                </w:p>
              </w:tc>
              <w:tc>
                <w:tcPr>
                  <w:tcW w:w="951" w:type="dxa"/>
                  <w:gridSpan w:val="2"/>
                  <w:noWrap/>
                  <w:vAlign w:val="center"/>
                </w:tcPr>
                <w:p w14:paraId="09834637">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办公区</w:t>
                  </w:r>
                </w:p>
              </w:tc>
              <w:tc>
                <w:tcPr>
                  <w:tcW w:w="6491" w:type="dxa"/>
                  <w:noWrap/>
                  <w:vAlign w:val="center"/>
                </w:tcPr>
                <w:p w14:paraId="49154B3A">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ind w:firstLine="420" w:firstLineChars="200"/>
                    <w:jc w:val="both"/>
                    <w:textAlignment w:val="bottom"/>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为一层砖混结构，占地面积为110㎡，设置门卫室、办公室、接待室、财务室、辅料间各一间，每间占地面积为20平方米，卫生间占地面积为10㎡。</w:t>
                  </w:r>
                </w:p>
              </w:tc>
            </w:tr>
            <w:tr w14:paraId="713B5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0" w:hRule="atLeast"/>
                <w:jc w:val="center"/>
              </w:trPr>
              <w:tc>
                <w:tcPr>
                  <w:tcW w:w="604" w:type="dxa"/>
                  <w:vMerge w:val="continue"/>
                  <w:noWrap/>
                  <w:vAlign w:val="center"/>
                </w:tcPr>
                <w:p w14:paraId="2BA2BEB1">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kern w:val="0"/>
                      <w:sz w:val="21"/>
                      <w:szCs w:val="21"/>
                      <w:lang w:val="en-US" w:eastAsia="zh-CN" w:bidi="ar"/>
                    </w:rPr>
                  </w:pPr>
                </w:p>
              </w:tc>
              <w:tc>
                <w:tcPr>
                  <w:tcW w:w="951" w:type="dxa"/>
                  <w:gridSpan w:val="2"/>
                  <w:noWrap/>
                  <w:vAlign w:val="center"/>
                </w:tcPr>
                <w:p w14:paraId="6C617D11">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道路、停车区</w:t>
                  </w:r>
                </w:p>
              </w:tc>
              <w:tc>
                <w:tcPr>
                  <w:tcW w:w="6491" w:type="dxa"/>
                  <w:noWrap/>
                  <w:vAlign w:val="center"/>
                </w:tcPr>
                <w:p w14:paraId="67F2D42D">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ind w:firstLine="420" w:firstLineChars="200"/>
                    <w:jc w:val="both"/>
                    <w:textAlignment w:val="bottom"/>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部分道路已完成硬化，。</w:t>
                  </w:r>
                </w:p>
              </w:tc>
            </w:tr>
            <w:tr w14:paraId="7384C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0" w:hRule="atLeast"/>
                <w:jc w:val="center"/>
              </w:trPr>
              <w:tc>
                <w:tcPr>
                  <w:tcW w:w="604" w:type="dxa"/>
                  <w:vMerge w:val="continue"/>
                  <w:noWrap/>
                  <w:vAlign w:val="center"/>
                </w:tcPr>
                <w:p w14:paraId="5E121043">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kern w:val="0"/>
                      <w:sz w:val="21"/>
                      <w:szCs w:val="21"/>
                      <w:lang w:val="en-US" w:eastAsia="zh-CN" w:bidi="ar"/>
                    </w:rPr>
                  </w:pPr>
                </w:p>
              </w:tc>
              <w:tc>
                <w:tcPr>
                  <w:tcW w:w="951" w:type="dxa"/>
                  <w:gridSpan w:val="2"/>
                  <w:noWrap/>
                  <w:vAlign w:val="center"/>
                </w:tcPr>
                <w:p w14:paraId="619F6BC5">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供水系统</w:t>
                  </w:r>
                </w:p>
              </w:tc>
              <w:tc>
                <w:tcPr>
                  <w:tcW w:w="6491" w:type="dxa"/>
                  <w:noWrap/>
                  <w:vAlign w:val="center"/>
                </w:tcPr>
                <w:p w14:paraId="1020D871">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ind w:firstLine="420" w:firstLineChars="200"/>
                    <w:jc w:val="both"/>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本项目生产用水及生活用水由上村社区白龙潭供给。</w:t>
                  </w:r>
                </w:p>
              </w:tc>
            </w:tr>
            <w:tr w14:paraId="6BEB0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27" w:hRule="atLeast"/>
                <w:jc w:val="center"/>
              </w:trPr>
              <w:tc>
                <w:tcPr>
                  <w:tcW w:w="604" w:type="dxa"/>
                  <w:vMerge w:val="restart"/>
                  <w:noWrap/>
                  <w:vAlign w:val="center"/>
                </w:tcPr>
                <w:p w14:paraId="267E3073">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环保</w:t>
                  </w:r>
                </w:p>
                <w:p w14:paraId="3CF6767F">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工程</w:t>
                  </w:r>
                </w:p>
              </w:tc>
              <w:tc>
                <w:tcPr>
                  <w:tcW w:w="346" w:type="dxa"/>
                  <w:noWrap/>
                  <w:vAlign w:val="center"/>
                </w:tcPr>
                <w:p w14:paraId="0A8EB7A9">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废气</w:t>
                  </w:r>
                </w:p>
              </w:tc>
              <w:tc>
                <w:tcPr>
                  <w:tcW w:w="605" w:type="dxa"/>
                  <w:noWrap/>
                  <w:vAlign w:val="center"/>
                </w:tcPr>
                <w:p w14:paraId="5055EC7F">
                  <w:pPr>
                    <w:pStyle w:val="42"/>
                    <w:keepNext w:val="0"/>
                    <w:keepLines w:val="0"/>
                    <w:pageBreakBefore w:val="0"/>
                    <w:widowControl w:val="0"/>
                    <w:kinsoku/>
                    <w:wordWrap/>
                    <w:overflowPunct/>
                    <w:topLinePunct w:val="0"/>
                    <w:autoSpaceDE w:val="0"/>
                    <w:autoSpaceDN w:val="0"/>
                    <w:bidi w:val="0"/>
                    <w:adjustRightInd w:val="0"/>
                    <w:snapToGrid w:val="0"/>
                    <w:spacing w:before="63" w:beforeLines="20" w:after="63" w:afterLines="20" w:line="240" w:lineRule="auto"/>
                    <w:jc w:val="center"/>
                    <w:textAlignment w:val="auto"/>
                    <w:rPr>
                      <w:rFonts w:hint="default" w:ascii="Times New Roman" w:hAnsi="Times New Roman" w:eastAsia="宋体" w:cs="Times New Roman"/>
                      <w:color w:val="auto"/>
                      <w:kern w:val="0"/>
                      <w:sz w:val="21"/>
                      <w:szCs w:val="21"/>
                      <w:lang w:val="en-US" w:eastAsia="zh-CN" w:bidi="ar"/>
                    </w:rPr>
                  </w:pPr>
                  <w:r>
                    <w:rPr>
                      <w:rFonts w:hint="eastAsia" w:ascii="Times New Roman" w:cs="Times New Roman"/>
                      <w:b w:val="0"/>
                      <w:bCs w:val="0"/>
                      <w:color w:val="auto"/>
                      <w:sz w:val="21"/>
                      <w:szCs w:val="21"/>
                      <w:lang w:val="en-US" w:eastAsia="zh-CN"/>
                    </w:rPr>
                    <w:t>烧成</w:t>
                  </w:r>
                  <w:r>
                    <w:rPr>
                      <w:rFonts w:hint="default" w:ascii="Times New Roman" w:hAnsi="Times New Roman" w:eastAsia="宋体" w:cs="Times New Roman"/>
                      <w:b w:val="0"/>
                      <w:bCs w:val="0"/>
                      <w:color w:val="auto"/>
                      <w:sz w:val="21"/>
                      <w:szCs w:val="21"/>
                    </w:rPr>
                    <w:t>废气</w:t>
                  </w:r>
                  <w:r>
                    <w:rPr>
                      <w:rFonts w:hint="default" w:ascii="Times New Roman" w:hAnsi="Times New Roman" w:eastAsia="宋体" w:cs="Times New Roman"/>
                      <w:b w:val="0"/>
                      <w:bCs w:val="0"/>
                      <w:color w:val="auto"/>
                      <w:sz w:val="21"/>
                      <w:szCs w:val="21"/>
                      <w:lang w:val="en-US" w:eastAsia="zh-CN"/>
                    </w:rPr>
                    <w:t>排放口</w:t>
                  </w:r>
                </w:p>
              </w:tc>
              <w:tc>
                <w:tcPr>
                  <w:tcW w:w="6491" w:type="dxa"/>
                  <w:noWrap/>
                  <w:vAlign w:val="center"/>
                </w:tcPr>
                <w:p w14:paraId="416BB69C">
                  <w:pPr>
                    <w:keepNext w:val="0"/>
                    <w:keepLines w:val="0"/>
                    <w:pageBreakBefore w:val="0"/>
                    <w:widowControl w:val="0"/>
                    <w:kinsoku/>
                    <w:wordWrap/>
                    <w:overflowPunct/>
                    <w:topLinePunct w:val="0"/>
                    <w:bidi w:val="0"/>
                    <w:adjustRightInd w:val="0"/>
                    <w:snapToGrid w:val="0"/>
                    <w:spacing w:before="63" w:beforeLines="20" w:after="63" w:afterLines="20" w:line="240" w:lineRule="auto"/>
                    <w:ind w:firstLine="420" w:firstLineChars="200"/>
                    <w:jc w:val="both"/>
                    <w:textAlignment w:val="auto"/>
                    <w:rPr>
                      <w:rFonts w:hint="default" w:ascii="Times New Roman" w:hAnsi="Times New Roman" w:eastAsia="宋体" w:cs="Times New Roman"/>
                      <w:color w:val="auto"/>
                      <w:sz w:val="21"/>
                      <w:szCs w:val="21"/>
                      <w:lang w:val="en-US"/>
                    </w:rPr>
                  </w:pPr>
                  <w:r>
                    <w:rPr>
                      <w:rFonts w:hint="eastAsia" w:cs="Times New Roman"/>
                      <w:bCs/>
                      <w:color w:val="auto"/>
                      <w:sz w:val="21"/>
                      <w:szCs w:val="21"/>
                      <w:vertAlign w:val="baseline"/>
                      <w:lang w:val="en-US" w:eastAsia="zh-CN"/>
                    </w:rPr>
                    <w:t>3个土窑废气未设置排放口，未进行生产，按无组织排放</w:t>
                  </w:r>
                  <w:r>
                    <w:rPr>
                      <w:rFonts w:hint="eastAsia" w:ascii="Times New Roman" w:hAnsi="Times New Roman" w:eastAsia="宋体" w:cs="Times New Roman"/>
                      <w:bCs/>
                      <w:color w:val="auto"/>
                      <w:sz w:val="21"/>
                      <w:szCs w:val="21"/>
                      <w:vertAlign w:val="baseline"/>
                      <w:lang w:val="en-US" w:eastAsia="zh-CN"/>
                    </w:rPr>
                    <w:t>。</w:t>
                  </w:r>
                </w:p>
              </w:tc>
            </w:tr>
            <w:tr w14:paraId="40E35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45" w:hRule="atLeast"/>
                <w:jc w:val="center"/>
              </w:trPr>
              <w:tc>
                <w:tcPr>
                  <w:tcW w:w="604" w:type="dxa"/>
                  <w:vMerge w:val="continue"/>
                  <w:noWrap/>
                  <w:vAlign w:val="center"/>
                </w:tcPr>
                <w:p w14:paraId="3CEA8545">
                  <w:pPr>
                    <w:keepNext w:val="0"/>
                    <w:keepLines w:val="0"/>
                    <w:pageBreakBefore w:val="0"/>
                    <w:kinsoku/>
                    <w:wordWrap/>
                    <w:overflowPunct/>
                    <w:topLinePunct w:val="0"/>
                    <w:autoSpaceDE/>
                    <w:autoSpaceDN/>
                    <w:bidi w:val="0"/>
                    <w:adjustRightInd/>
                    <w:snapToGrid w:val="0"/>
                    <w:spacing w:before="63" w:beforeLines="20" w:after="63" w:afterLines="20"/>
                    <w:jc w:val="center"/>
                    <w:rPr>
                      <w:rFonts w:hint="default" w:ascii="Times New Roman" w:hAnsi="Times New Roman" w:eastAsia="宋体" w:cs="Times New Roman"/>
                      <w:color w:val="auto"/>
                      <w:sz w:val="21"/>
                      <w:szCs w:val="21"/>
                    </w:rPr>
                  </w:pPr>
                </w:p>
              </w:tc>
              <w:tc>
                <w:tcPr>
                  <w:tcW w:w="951" w:type="dxa"/>
                  <w:gridSpan w:val="2"/>
                  <w:noWrap/>
                  <w:vAlign w:val="center"/>
                </w:tcPr>
                <w:p w14:paraId="03F29B4A">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sz w:val="21"/>
                      <w:szCs w:val="21"/>
                    </w:rPr>
                  </w:pPr>
                  <w:r>
                    <w:rPr>
                      <w:rFonts w:hint="eastAsia"/>
                      <w:color w:val="auto"/>
                      <w:kern w:val="0"/>
                      <w:sz w:val="21"/>
                      <w:szCs w:val="21"/>
                      <w:lang w:val="en-US" w:eastAsia="zh-CN" w:bidi="ar"/>
                    </w:rPr>
                    <w:t>初期雨水</w:t>
                  </w:r>
                </w:p>
              </w:tc>
              <w:tc>
                <w:tcPr>
                  <w:tcW w:w="6491" w:type="dxa"/>
                  <w:noWrap/>
                  <w:vAlign w:val="center"/>
                </w:tcPr>
                <w:p w14:paraId="40589C38">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ind w:firstLine="420" w:firstLineChars="200"/>
                    <w:jc w:val="both"/>
                    <w:textAlignment w:val="bottom"/>
                    <w:rPr>
                      <w:rFonts w:hint="default" w:ascii="Times New Roman" w:hAnsi="Times New Roman" w:eastAsia="宋体" w:cs="Times New Roman"/>
                      <w:color w:val="auto"/>
                      <w:sz w:val="21"/>
                      <w:szCs w:val="21"/>
                      <w:lang w:val="en-US"/>
                    </w:rPr>
                  </w:pPr>
                  <w:r>
                    <w:rPr>
                      <w:rFonts w:hint="eastAsia"/>
                      <w:color w:val="auto"/>
                      <w:kern w:val="0"/>
                      <w:sz w:val="21"/>
                      <w:szCs w:val="21"/>
                      <w:lang w:bidi="ar"/>
                    </w:rPr>
                    <w:t>厂区</w:t>
                  </w:r>
                  <w:r>
                    <w:rPr>
                      <w:rFonts w:hint="eastAsia"/>
                      <w:color w:val="auto"/>
                      <w:kern w:val="0"/>
                      <w:sz w:val="21"/>
                      <w:szCs w:val="21"/>
                      <w:lang w:val="en-US" w:eastAsia="zh-CN" w:bidi="ar"/>
                    </w:rPr>
                    <w:t>已建设部分</w:t>
                  </w:r>
                  <w:r>
                    <w:rPr>
                      <w:color w:val="auto"/>
                      <w:kern w:val="0"/>
                      <w:sz w:val="21"/>
                      <w:szCs w:val="21"/>
                      <w:lang w:bidi="ar"/>
                    </w:rPr>
                    <w:t>雨污分流</w:t>
                  </w:r>
                  <w:r>
                    <w:rPr>
                      <w:rFonts w:hint="eastAsia"/>
                      <w:color w:val="auto"/>
                      <w:kern w:val="0"/>
                      <w:sz w:val="21"/>
                      <w:szCs w:val="21"/>
                      <w:lang w:bidi="ar"/>
                    </w:rPr>
                    <w:t>系统</w:t>
                  </w:r>
                  <w:r>
                    <w:rPr>
                      <w:color w:val="auto"/>
                      <w:kern w:val="0"/>
                      <w:sz w:val="21"/>
                      <w:szCs w:val="21"/>
                      <w:lang w:bidi="ar"/>
                    </w:rPr>
                    <w:t>，雨水</w:t>
                  </w:r>
                  <w:r>
                    <w:rPr>
                      <w:rFonts w:hint="eastAsia"/>
                      <w:color w:val="auto"/>
                      <w:kern w:val="0"/>
                      <w:sz w:val="21"/>
                      <w:szCs w:val="21"/>
                      <w:lang w:val="en-US" w:eastAsia="zh-CN" w:bidi="ar"/>
                    </w:rPr>
                    <w:t>经厂内截流沟渠流至初期雨水收集池，初期预售收集完成后，切换雨水阀，雨水通过厂外沟渠后排入白龙河，下游汇入龙洞河。项目地势西北为最低处，设置300m³的初期雨水收集池，初期雨水收集沉淀后回用于生产不外排。</w:t>
                  </w:r>
                </w:p>
              </w:tc>
            </w:tr>
            <w:tr w14:paraId="1B61E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45" w:hRule="atLeast"/>
                <w:jc w:val="center"/>
              </w:trPr>
              <w:tc>
                <w:tcPr>
                  <w:tcW w:w="604" w:type="dxa"/>
                  <w:vMerge w:val="continue"/>
                  <w:noWrap/>
                  <w:vAlign w:val="center"/>
                </w:tcPr>
                <w:p w14:paraId="58762CD9">
                  <w:pPr>
                    <w:keepNext w:val="0"/>
                    <w:keepLines w:val="0"/>
                    <w:pageBreakBefore w:val="0"/>
                    <w:kinsoku/>
                    <w:wordWrap/>
                    <w:overflowPunct/>
                    <w:topLinePunct w:val="0"/>
                    <w:autoSpaceDE/>
                    <w:autoSpaceDN/>
                    <w:bidi w:val="0"/>
                    <w:adjustRightInd/>
                    <w:snapToGrid w:val="0"/>
                    <w:spacing w:before="63" w:beforeLines="20" w:after="63" w:afterLines="20"/>
                    <w:jc w:val="center"/>
                    <w:rPr>
                      <w:rFonts w:hint="default" w:ascii="Times New Roman" w:hAnsi="Times New Roman" w:eastAsia="宋体" w:cs="Times New Roman"/>
                      <w:color w:val="auto"/>
                      <w:sz w:val="21"/>
                      <w:szCs w:val="21"/>
                    </w:rPr>
                  </w:pPr>
                </w:p>
              </w:tc>
              <w:tc>
                <w:tcPr>
                  <w:tcW w:w="951" w:type="dxa"/>
                  <w:gridSpan w:val="2"/>
                  <w:noWrap/>
                  <w:vAlign w:val="center"/>
                </w:tcPr>
                <w:p w14:paraId="2D2645D6">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jc w:val="center"/>
                    <w:textAlignment w:val="bottom"/>
                    <w:rPr>
                      <w:rFonts w:hint="default" w:ascii="Times New Roman" w:hAnsi="Times New Roman" w:eastAsia="宋体" w:cs="Times New Roman"/>
                      <w:color w:val="auto"/>
                      <w:kern w:val="0"/>
                      <w:sz w:val="21"/>
                      <w:szCs w:val="21"/>
                      <w:lang w:val="en-US" w:eastAsia="zh-CN" w:bidi="ar"/>
                    </w:rPr>
                  </w:pPr>
                  <w:r>
                    <w:rPr>
                      <w:rFonts w:hint="eastAsia"/>
                      <w:color w:val="auto"/>
                      <w:kern w:val="0"/>
                      <w:sz w:val="21"/>
                      <w:szCs w:val="21"/>
                      <w:lang w:val="en-US" w:eastAsia="zh-CN" w:bidi="ar"/>
                    </w:rPr>
                    <w:t>生活污水</w:t>
                  </w:r>
                </w:p>
              </w:tc>
              <w:tc>
                <w:tcPr>
                  <w:tcW w:w="6491" w:type="dxa"/>
                  <w:noWrap/>
                  <w:vAlign w:val="center"/>
                </w:tcPr>
                <w:p w14:paraId="263F8EEC">
                  <w:pPr>
                    <w:keepNext w:val="0"/>
                    <w:keepLines w:val="0"/>
                    <w:pageBreakBefore w:val="0"/>
                    <w:widowControl/>
                    <w:suppressLineNumbers w:val="0"/>
                    <w:kinsoku/>
                    <w:wordWrap/>
                    <w:overflowPunct/>
                    <w:topLinePunct w:val="0"/>
                    <w:autoSpaceDE/>
                    <w:autoSpaceDN/>
                    <w:bidi w:val="0"/>
                    <w:adjustRightInd/>
                    <w:snapToGrid w:val="0"/>
                    <w:spacing w:before="63" w:beforeLines="20" w:after="63" w:afterLines="20" w:line="240" w:lineRule="auto"/>
                    <w:ind w:firstLine="420" w:firstLineChars="200"/>
                    <w:jc w:val="both"/>
                    <w:textAlignment w:val="bottom"/>
                    <w:rPr>
                      <w:rFonts w:hint="default"/>
                      <w:color w:val="auto"/>
                      <w:kern w:val="0"/>
                      <w:sz w:val="21"/>
                      <w:szCs w:val="21"/>
                      <w:lang w:val="en-US" w:bidi="ar"/>
                    </w:rPr>
                  </w:pPr>
                  <w:r>
                    <w:rPr>
                      <w:rFonts w:hint="eastAsia"/>
                      <w:color w:val="auto"/>
                      <w:kern w:val="0"/>
                      <w:szCs w:val="21"/>
                      <w:lang w:val="en-US" w:eastAsia="zh-CN" w:bidi="ar"/>
                    </w:rPr>
                    <w:t>10m³的化粪池处理后回用于绿化。</w:t>
                  </w:r>
                </w:p>
              </w:tc>
            </w:tr>
          </w:tbl>
          <w:p w14:paraId="5544B324">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rFonts w:hint="default"/>
                <w:b/>
                <w:bCs/>
                <w:color w:val="auto"/>
                <w:sz w:val="21"/>
                <w:szCs w:val="21"/>
                <w:highlight w:val="none"/>
                <w:lang w:val="en-US" w:eastAsia="zh-CN"/>
              </w:rPr>
            </w:pPr>
            <w:r>
              <w:rPr>
                <w:rFonts w:hint="eastAsia"/>
                <w:b/>
                <w:bCs/>
                <w:color w:val="auto"/>
                <w:sz w:val="21"/>
                <w:szCs w:val="21"/>
                <w:highlight w:val="none"/>
                <w:lang w:val="en-US" w:eastAsia="zh-CN"/>
              </w:rPr>
              <w:t>3、原有项目产品方案</w:t>
            </w:r>
          </w:p>
          <w:p w14:paraId="558AEBEA">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color w:val="auto"/>
                <w:sz w:val="21"/>
                <w:szCs w:val="21"/>
                <w:highlight w:val="none"/>
                <w:lang w:val="en-US" w:eastAsia="zh-CN"/>
              </w:rPr>
            </w:pPr>
            <w:r>
              <w:rPr>
                <w:rFonts w:hint="eastAsia"/>
                <w:b w:val="0"/>
                <w:bCs w:val="0"/>
                <w:color w:val="auto"/>
                <w:sz w:val="21"/>
                <w:szCs w:val="21"/>
                <w:lang w:val="en-US" w:eastAsia="zh-CN"/>
              </w:rPr>
              <w:t>根据企业提供的数据，</w:t>
            </w:r>
            <w:r>
              <w:rPr>
                <w:rFonts w:hint="eastAsia" w:cs="Times New Roman"/>
                <w:color w:val="auto"/>
                <w:sz w:val="21"/>
                <w:szCs w:val="21"/>
                <w:lang w:val="en-US" w:eastAsia="zh-CN"/>
              </w:rPr>
              <w:t>年产青砖瓦合计900万块，改建前后产能不变。</w:t>
            </w:r>
          </w:p>
          <w:p w14:paraId="22F29017">
            <w:pPr>
              <w:pStyle w:val="41"/>
              <w:keepNext w:val="0"/>
              <w:keepLines w:val="0"/>
              <w:pageBreakBefore w:val="0"/>
              <w:widowControl w:val="0"/>
              <w:kinsoku/>
              <w:wordWrap/>
              <w:overflowPunct/>
              <w:topLinePunct w:val="0"/>
              <w:autoSpaceDE/>
              <w:autoSpaceDN/>
              <w:bidi w:val="0"/>
              <w:adjustRightInd/>
              <w:snapToGrid w:val="0"/>
              <w:spacing w:line="360" w:lineRule="auto"/>
              <w:textAlignment w:val="auto"/>
              <w:rPr>
                <w:color w:val="auto"/>
                <w:sz w:val="21"/>
                <w:szCs w:val="21"/>
              </w:rPr>
            </w:pPr>
            <w:r>
              <w:rPr>
                <w:color w:val="auto"/>
                <w:sz w:val="21"/>
                <w:szCs w:val="21"/>
              </w:rPr>
              <w:t>表2-</w:t>
            </w:r>
            <w:r>
              <w:rPr>
                <w:rFonts w:hint="eastAsia"/>
                <w:color w:val="auto"/>
                <w:sz w:val="21"/>
                <w:szCs w:val="21"/>
                <w:lang w:val="en-US" w:eastAsia="zh-CN"/>
              </w:rPr>
              <w:t>16</w:t>
            </w:r>
            <w:r>
              <w:rPr>
                <w:color w:val="auto"/>
                <w:sz w:val="21"/>
                <w:szCs w:val="21"/>
              </w:rPr>
              <w:t xml:space="preserve"> 产品方案及产量一览表</w:t>
            </w:r>
          </w:p>
          <w:tbl>
            <w:tblPr>
              <w:tblStyle w:val="30"/>
              <w:tblW w:w="81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1684"/>
              <w:gridCol w:w="851"/>
              <w:gridCol w:w="1680"/>
              <w:gridCol w:w="2910"/>
            </w:tblGrid>
            <w:tr w14:paraId="46FD7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dxa"/>
                  <w:noWrap w:val="0"/>
                  <w:vAlign w:val="center"/>
                </w:tcPr>
                <w:p w14:paraId="29C8013F">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序号</w:t>
                  </w:r>
                </w:p>
              </w:tc>
              <w:tc>
                <w:tcPr>
                  <w:tcW w:w="1684" w:type="dxa"/>
                  <w:noWrap w:val="0"/>
                  <w:vAlign w:val="center"/>
                </w:tcPr>
                <w:p w14:paraId="283E0A3F">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产品名称</w:t>
                  </w:r>
                </w:p>
              </w:tc>
              <w:tc>
                <w:tcPr>
                  <w:tcW w:w="851" w:type="dxa"/>
                  <w:noWrap w:val="0"/>
                  <w:vAlign w:val="center"/>
                </w:tcPr>
                <w:p w14:paraId="214A7696">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单位</w:t>
                  </w:r>
                </w:p>
              </w:tc>
              <w:tc>
                <w:tcPr>
                  <w:tcW w:w="1680" w:type="dxa"/>
                  <w:noWrap w:val="0"/>
                  <w:vAlign w:val="center"/>
                </w:tcPr>
                <w:p w14:paraId="4D5016AB">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产能</w:t>
                  </w:r>
                </w:p>
              </w:tc>
              <w:tc>
                <w:tcPr>
                  <w:tcW w:w="2910" w:type="dxa"/>
                  <w:noWrap w:val="0"/>
                  <w:vAlign w:val="center"/>
                </w:tcPr>
                <w:p w14:paraId="2EF95E45">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备注</w:t>
                  </w:r>
                </w:p>
              </w:tc>
            </w:tr>
            <w:tr w14:paraId="7044C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dxa"/>
                  <w:noWrap w:val="0"/>
                  <w:vAlign w:val="center"/>
                </w:tcPr>
                <w:p w14:paraId="51BD01A4">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1</w:t>
                  </w:r>
                </w:p>
              </w:tc>
              <w:tc>
                <w:tcPr>
                  <w:tcW w:w="1684" w:type="dxa"/>
                  <w:noWrap w:val="0"/>
                  <w:vAlign w:val="center"/>
                </w:tcPr>
                <w:p w14:paraId="75D1F8EB">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仿古砖</w:t>
                  </w:r>
                </w:p>
              </w:tc>
              <w:tc>
                <w:tcPr>
                  <w:tcW w:w="851" w:type="dxa"/>
                  <w:noWrap w:val="0"/>
                  <w:vAlign w:val="center"/>
                </w:tcPr>
                <w:p w14:paraId="6AA57E32">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块</w:t>
                  </w:r>
                </w:p>
              </w:tc>
              <w:tc>
                <w:tcPr>
                  <w:tcW w:w="1680" w:type="dxa"/>
                  <w:noWrap w:val="0"/>
                  <w:vAlign w:val="center"/>
                </w:tcPr>
                <w:p w14:paraId="1BE3005A">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35</w:t>
                  </w:r>
                  <w:r>
                    <w:rPr>
                      <w:rFonts w:hint="default" w:ascii="Times New Roman" w:hAnsi="Times New Roman" w:eastAsia="宋体" w:cs="Times New Roman"/>
                      <w:bCs/>
                      <w:color w:val="auto"/>
                      <w:sz w:val="21"/>
                      <w:szCs w:val="21"/>
                      <w:vertAlign w:val="baseline"/>
                      <w:lang w:val="en-US" w:eastAsia="zh-CN"/>
                    </w:rPr>
                    <w:t>0万</w:t>
                  </w:r>
                </w:p>
              </w:tc>
              <w:tc>
                <w:tcPr>
                  <w:tcW w:w="2910" w:type="dxa"/>
                  <w:noWrap w:val="0"/>
                  <w:vAlign w:val="center"/>
                </w:tcPr>
                <w:p w14:paraId="36F08B46">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单块砖重量平均为2.5kg（</w:t>
                  </w:r>
                  <w:r>
                    <w:rPr>
                      <w:rFonts w:hint="eastAsia" w:cs="Times New Roman"/>
                      <w:color w:val="auto"/>
                      <w:kern w:val="2"/>
                      <w:sz w:val="21"/>
                      <w:szCs w:val="21"/>
                      <w:lang w:val="en-US" w:eastAsia="zh-CN" w:bidi="ar-SA"/>
                    </w:rPr>
                    <w:t>按干重计</w:t>
                  </w:r>
                  <w:r>
                    <w:rPr>
                      <w:rFonts w:hint="eastAsia" w:cs="Times New Roman"/>
                      <w:bCs/>
                      <w:color w:val="auto"/>
                      <w:sz w:val="21"/>
                      <w:szCs w:val="21"/>
                      <w:vertAlign w:val="baseline"/>
                      <w:lang w:val="en-US" w:eastAsia="zh-CN"/>
                    </w:rPr>
                    <w:t>）</w:t>
                  </w:r>
                </w:p>
              </w:tc>
            </w:tr>
            <w:tr w14:paraId="5A6EC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2" w:type="dxa"/>
                  <w:noWrap w:val="0"/>
                  <w:vAlign w:val="center"/>
                </w:tcPr>
                <w:p w14:paraId="19A04553">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2</w:t>
                  </w:r>
                </w:p>
              </w:tc>
              <w:tc>
                <w:tcPr>
                  <w:tcW w:w="1684" w:type="dxa"/>
                  <w:noWrap w:val="0"/>
                  <w:vAlign w:val="center"/>
                </w:tcPr>
                <w:p w14:paraId="0A803E43">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仿古瓦</w:t>
                  </w:r>
                </w:p>
              </w:tc>
              <w:tc>
                <w:tcPr>
                  <w:tcW w:w="851" w:type="dxa"/>
                  <w:noWrap w:val="0"/>
                  <w:vAlign w:val="center"/>
                </w:tcPr>
                <w:p w14:paraId="0C249EC3">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块</w:t>
                  </w:r>
                </w:p>
              </w:tc>
              <w:tc>
                <w:tcPr>
                  <w:tcW w:w="1680" w:type="dxa"/>
                  <w:noWrap w:val="0"/>
                  <w:vAlign w:val="center"/>
                </w:tcPr>
                <w:p w14:paraId="583566CB">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default" w:ascii="Times New Roman" w:hAnsi="Times New Roman" w:eastAsia="宋体" w:cs="Times New Roman"/>
                      <w:bCs/>
                      <w:color w:val="auto"/>
                      <w:sz w:val="21"/>
                      <w:szCs w:val="21"/>
                      <w:vertAlign w:val="baseline"/>
                      <w:lang w:val="en-US" w:eastAsia="zh-CN"/>
                    </w:rPr>
                    <w:t>5</w:t>
                  </w:r>
                  <w:r>
                    <w:rPr>
                      <w:rFonts w:hint="eastAsia" w:cs="Times New Roman"/>
                      <w:bCs/>
                      <w:color w:val="auto"/>
                      <w:sz w:val="21"/>
                      <w:szCs w:val="21"/>
                      <w:vertAlign w:val="baseline"/>
                      <w:lang w:val="en-US" w:eastAsia="zh-CN"/>
                    </w:rPr>
                    <w:t>5</w:t>
                  </w:r>
                  <w:r>
                    <w:rPr>
                      <w:rFonts w:hint="default" w:ascii="Times New Roman" w:hAnsi="Times New Roman" w:eastAsia="宋体" w:cs="Times New Roman"/>
                      <w:bCs/>
                      <w:color w:val="auto"/>
                      <w:sz w:val="21"/>
                      <w:szCs w:val="21"/>
                      <w:vertAlign w:val="baseline"/>
                      <w:lang w:val="en-US" w:eastAsia="zh-CN"/>
                    </w:rPr>
                    <w:t>0万</w:t>
                  </w:r>
                </w:p>
              </w:tc>
              <w:tc>
                <w:tcPr>
                  <w:tcW w:w="2910" w:type="dxa"/>
                  <w:noWrap w:val="0"/>
                  <w:vAlign w:val="center"/>
                </w:tcPr>
                <w:p w14:paraId="29765F45">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单块瓦重量平均为1kg（</w:t>
                  </w:r>
                  <w:r>
                    <w:rPr>
                      <w:rFonts w:hint="eastAsia" w:cs="Times New Roman"/>
                      <w:color w:val="auto"/>
                      <w:kern w:val="2"/>
                      <w:sz w:val="21"/>
                      <w:szCs w:val="21"/>
                      <w:lang w:val="en-US" w:eastAsia="zh-CN" w:bidi="ar-SA"/>
                    </w:rPr>
                    <w:t>按干重计</w:t>
                  </w:r>
                  <w:r>
                    <w:rPr>
                      <w:rFonts w:hint="eastAsia" w:cs="Times New Roman"/>
                      <w:bCs/>
                      <w:color w:val="auto"/>
                      <w:sz w:val="21"/>
                      <w:szCs w:val="21"/>
                      <w:vertAlign w:val="baseline"/>
                      <w:lang w:val="en-US" w:eastAsia="zh-CN"/>
                    </w:rPr>
                    <w:t>）</w:t>
                  </w:r>
                </w:p>
              </w:tc>
            </w:tr>
            <w:tr w14:paraId="45EA0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27" w:type="dxa"/>
                  <w:gridSpan w:val="3"/>
                  <w:noWrap w:val="0"/>
                  <w:vAlign w:val="center"/>
                </w:tcPr>
                <w:p w14:paraId="0868ED0B">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合计</w:t>
                  </w:r>
                </w:p>
              </w:tc>
              <w:tc>
                <w:tcPr>
                  <w:tcW w:w="1680" w:type="dxa"/>
                  <w:noWrap w:val="0"/>
                  <w:vAlign w:val="center"/>
                </w:tcPr>
                <w:p w14:paraId="0D2DB1A5">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900万</w:t>
                  </w:r>
                </w:p>
              </w:tc>
              <w:tc>
                <w:tcPr>
                  <w:tcW w:w="2910" w:type="dxa"/>
                  <w:noWrap w:val="0"/>
                  <w:vAlign w:val="center"/>
                </w:tcPr>
                <w:p w14:paraId="6B227623">
                  <w:pPr>
                    <w:keepNext w:val="0"/>
                    <w:keepLines w:val="0"/>
                    <w:pageBreakBefore w:val="0"/>
                    <w:widowControl w:val="0"/>
                    <w:kinsoku/>
                    <w:wordWrap/>
                    <w:overflowPunct/>
                    <w:topLinePunct w:val="0"/>
                    <w:autoSpaceDE/>
                    <w:autoSpaceDN/>
                    <w:bidi w:val="0"/>
                    <w:adjustRightInd w:val="0"/>
                    <w:snapToGrid w:val="0"/>
                    <w:spacing w:before="63" w:beforeLines="20" w:after="63" w:afterLines="20"/>
                    <w:jc w:val="center"/>
                    <w:textAlignment w:val="auto"/>
                    <w:rPr>
                      <w:rFonts w:hint="default"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w:t>
                  </w:r>
                </w:p>
              </w:tc>
            </w:tr>
            <w:tr w14:paraId="70C73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8117" w:type="dxa"/>
                  <w:gridSpan w:val="5"/>
                  <w:noWrap w:val="0"/>
                  <w:vAlign w:val="center"/>
                </w:tcPr>
                <w:p w14:paraId="78E7EFD8">
                  <w:pPr>
                    <w:keepNext w:val="0"/>
                    <w:keepLines w:val="0"/>
                    <w:pageBreakBefore w:val="0"/>
                    <w:widowControl w:val="0"/>
                    <w:kinsoku/>
                    <w:wordWrap/>
                    <w:overflowPunct/>
                    <w:topLinePunct w:val="0"/>
                    <w:autoSpaceDE/>
                    <w:autoSpaceDN/>
                    <w:bidi w:val="0"/>
                    <w:adjustRightInd w:val="0"/>
                    <w:snapToGrid w:val="0"/>
                    <w:spacing w:before="63" w:beforeLines="20" w:after="63" w:afterLines="20"/>
                    <w:jc w:val="left"/>
                    <w:textAlignment w:val="auto"/>
                    <w:rPr>
                      <w:rFonts w:hint="default" w:ascii="Times New Roman" w:hAnsi="Times New Roman" w:eastAsia="宋体" w:cs="Times New Roman"/>
                      <w:bCs/>
                      <w:color w:val="auto"/>
                      <w:sz w:val="21"/>
                      <w:szCs w:val="21"/>
                      <w:vertAlign w:val="baseline"/>
                      <w:lang w:val="en-US" w:eastAsia="zh-CN"/>
                    </w:rPr>
                  </w:pPr>
                  <w:r>
                    <w:rPr>
                      <w:rFonts w:hint="eastAsia" w:cs="Times New Roman"/>
                      <w:bCs/>
                      <w:color w:val="auto"/>
                      <w:sz w:val="21"/>
                      <w:szCs w:val="21"/>
                      <w:vertAlign w:val="baseline"/>
                      <w:lang w:val="en-US" w:eastAsia="zh-CN"/>
                    </w:rPr>
                    <w:t>注：根据《排污许可证申请与核发技术规范 陶瓷砖瓦工业》(HJ954—2018)中附录E，本项目烧结砖瓦合计约为570万标砖。</w:t>
                  </w:r>
                </w:p>
              </w:tc>
            </w:tr>
          </w:tbl>
          <w:p w14:paraId="290D07DB">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rFonts w:hint="default"/>
                <w:b/>
                <w:bCs/>
                <w:color w:val="auto"/>
                <w:sz w:val="21"/>
                <w:szCs w:val="21"/>
                <w:highlight w:val="none"/>
                <w:lang w:val="en-US" w:eastAsia="zh-CN"/>
              </w:rPr>
            </w:pPr>
            <w:r>
              <w:rPr>
                <w:rFonts w:hint="eastAsia"/>
                <w:b/>
                <w:bCs/>
                <w:color w:val="auto"/>
                <w:sz w:val="21"/>
                <w:szCs w:val="21"/>
                <w:highlight w:val="none"/>
                <w:lang w:val="en-US" w:eastAsia="zh-CN"/>
              </w:rPr>
              <w:t>4、原有项目主要设备</w:t>
            </w:r>
          </w:p>
          <w:p w14:paraId="76FB0EF3">
            <w:pPr>
              <w:pStyle w:val="41"/>
              <w:bidi w:val="0"/>
              <w:jc w:val="both"/>
              <w:rPr>
                <w:rFonts w:hint="default" w:eastAsia="宋体"/>
                <w:b w:val="0"/>
                <w:bCs w:val="0"/>
                <w:color w:val="auto"/>
                <w:lang w:val="en-US" w:eastAsia="zh-CN"/>
              </w:rPr>
            </w:pPr>
            <w:r>
              <w:rPr>
                <w:rFonts w:hint="eastAsia"/>
                <w:b w:val="0"/>
                <w:bCs w:val="0"/>
                <w:color w:val="auto"/>
                <w:lang w:val="en-US" w:eastAsia="zh-CN"/>
              </w:rPr>
              <w:t>原有项目设备一览表如下：</w:t>
            </w:r>
          </w:p>
          <w:p w14:paraId="7CDBB974">
            <w:pPr>
              <w:pStyle w:val="41"/>
              <w:bidi w:val="0"/>
              <w:rPr>
                <w:rFonts w:hint="default"/>
                <w:color w:val="auto"/>
              </w:rPr>
            </w:pPr>
            <w:r>
              <w:rPr>
                <w:rFonts w:hint="default"/>
                <w:color w:val="auto"/>
              </w:rPr>
              <w:t>表</w:t>
            </w:r>
            <w:r>
              <w:rPr>
                <w:rFonts w:hint="eastAsia"/>
                <w:color w:val="auto"/>
                <w:lang w:val="en-US" w:eastAsia="zh-CN"/>
              </w:rPr>
              <w:t>2-17</w:t>
            </w:r>
            <w:r>
              <w:rPr>
                <w:rFonts w:hint="default"/>
                <w:color w:val="auto"/>
                <w:lang w:val="en-US" w:eastAsia="zh-CN"/>
              </w:rPr>
              <w:t xml:space="preserve">  </w:t>
            </w:r>
            <w:r>
              <w:rPr>
                <w:rFonts w:hint="default"/>
                <w:color w:val="auto"/>
              </w:rPr>
              <w:t>项目主要设备一览表</w:t>
            </w:r>
          </w:p>
          <w:tbl>
            <w:tblPr>
              <w:tblStyle w:val="30"/>
              <w:tblW w:w="80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276"/>
              <w:gridCol w:w="1763"/>
              <w:gridCol w:w="1108"/>
              <w:gridCol w:w="1968"/>
              <w:gridCol w:w="1209"/>
            </w:tblGrid>
            <w:tr w14:paraId="498A9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759" w:type="dxa"/>
                  <w:vAlign w:val="center"/>
                </w:tcPr>
                <w:p w14:paraId="4B86C0A4">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eastAsia" w:eastAsia="宋体"/>
                      <w:color w:val="auto"/>
                      <w:lang w:val="en-US" w:eastAsia="zh-CN"/>
                    </w:rPr>
                  </w:pPr>
                  <w:r>
                    <w:rPr>
                      <w:rFonts w:hint="eastAsia"/>
                      <w:color w:val="auto"/>
                      <w:lang w:val="en-US" w:eastAsia="zh-CN"/>
                    </w:rPr>
                    <w:t>序号</w:t>
                  </w:r>
                </w:p>
              </w:tc>
              <w:tc>
                <w:tcPr>
                  <w:tcW w:w="1276" w:type="dxa"/>
                  <w:vAlign w:val="center"/>
                </w:tcPr>
                <w:p w14:paraId="4D5C30E7">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color w:val="auto"/>
                    </w:rPr>
                  </w:pPr>
                  <w:r>
                    <w:rPr>
                      <w:rFonts w:hint="default" w:ascii="Times New Roman" w:hAnsi="Times New Roman" w:cs="Times New Roman"/>
                      <w:color w:val="auto"/>
                      <w:sz w:val="21"/>
                      <w:szCs w:val="21"/>
                      <w:lang w:val="en-US" w:eastAsia="zh-CN"/>
                    </w:rPr>
                    <w:t>生产设施</w:t>
                  </w:r>
                </w:p>
              </w:tc>
              <w:tc>
                <w:tcPr>
                  <w:tcW w:w="1763" w:type="dxa"/>
                  <w:vAlign w:val="center"/>
                </w:tcPr>
                <w:p w14:paraId="4F129D0D">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color w:val="auto"/>
                    </w:rPr>
                  </w:pPr>
                  <w:r>
                    <w:rPr>
                      <w:rFonts w:hint="default" w:ascii="Times New Roman" w:hAnsi="Times New Roman" w:cs="Times New Roman"/>
                      <w:color w:val="auto"/>
                      <w:sz w:val="21"/>
                      <w:szCs w:val="21"/>
                      <w:lang w:val="en-US" w:eastAsia="zh-CN"/>
                    </w:rPr>
                    <w:t>数量</w:t>
                  </w:r>
                  <w:r>
                    <w:rPr>
                      <w:rFonts w:hint="eastAsia" w:cs="Times New Roman"/>
                      <w:color w:val="auto"/>
                      <w:sz w:val="21"/>
                      <w:szCs w:val="21"/>
                      <w:lang w:val="en-US" w:eastAsia="zh-CN"/>
                    </w:rPr>
                    <w:t>（台、套、座）</w:t>
                  </w:r>
                </w:p>
              </w:tc>
              <w:tc>
                <w:tcPr>
                  <w:tcW w:w="1108" w:type="dxa"/>
                  <w:vAlign w:val="center"/>
                </w:tcPr>
                <w:p w14:paraId="2FF10253">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备注</w:t>
                  </w:r>
                </w:p>
              </w:tc>
              <w:tc>
                <w:tcPr>
                  <w:tcW w:w="1968" w:type="dxa"/>
                  <w:vAlign w:val="center"/>
                </w:tcPr>
                <w:p w14:paraId="06FC6FD4">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color w:val="auto"/>
                    </w:rPr>
                  </w:pPr>
                  <w:r>
                    <w:rPr>
                      <w:rFonts w:hint="default" w:ascii="Times New Roman" w:hAnsi="Times New Roman" w:cs="Times New Roman"/>
                      <w:color w:val="auto"/>
                      <w:sz w:val="21"/>
                      <w:szCs w:val="21"/>
                      <w:lang w:val="en-US" w:eastAsia="zh-CN"/>
                    </w:rPr>
                    <w:t>设施参数</w:t>
                  </w:r>
                </w:p>
              </w:tc>
              <w:tc>
                <w:tcPr>
                  <w:tcW w:w="1209" w:type="dxa"/>
                  <w:vAlign w:val="center"/>
                </w:tcPr>
                <w:p w14:paraId="15038072">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eastAsia" w:eastAsia="宋体"/>
                      <w:color w:val="auto"/>
                      <w:lang w:val="en-US" w:eastAsia="zh-CN"/>
                    </w:rPr>
                  </w:pPr>
                  <w:r>
                    <w:rPr>
                      <w:rFonts w:hint="eastAsia"/>
                      <w:color w:val="auto"/>
                      <w:lang w:val="en-US" w:eastAsia="zh-CN"/>
                    </w:rPr>
                    <w:t>位置</w:t>
                  </w:r>
                </w:p>
              </w:tc>
            </w:tr>
            <w:tr w14:paraId="7E5F1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Align w:val="center"/>
                </w:tcPr>
                <w:p w14:paraId="59F56955">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w:t>
                  </w:r>
                </w:p>
              </w:tc>
              <w:tc>
                <w:tcPr>
                  <w:tcW w:w="1276" w:type="dxa"/>
                  <w:shd w:val="clear" w:color="auto" w:fill="auto"/>
                  <w:vAlign w:val="center"/>
                </w:tcPr>
                <w:p w14:paraId="13BD0C8F">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搅拌机</w:t>
                  </w:r>
                </w:p>
              </w:tc>
              <w:tc>
                <w:tcPr>
                  <w:tcW w:w="1763" w:type="dxa"/>
                  <w:shd w:val="clear" w:color="auto" w:fill="auto"/>
                  <w:vAlign w:val="center"/>
                </w:tcPr>
                <w:p w14:paraId="6E07A548">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2</w:t>
                  </w:r>
                </w:p>
              </w:tc>
              <w:tc>
                <w:tcPr>
                  <w:tcW w:w="1108" w:type="dxa"/>
                  <w:shd w:val="clear" w:color="auto" w:fill="auto"/>
                  <w:vAlign w:val="center"/>
                </w:tcPr>
                <w:p w14:paraId="6368D4E1">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default"/>
                      <w:color w:val="auto"/>
                      <w:lang w:val="en-US" w:eastAsia="zh-CN"/>
                    </w:rPr>
                  </w:pPr>
                  <w:r>
                    <w:rPr>
                      <w:rFonts w:hint="eastAsia"/>
                      <w:color w:val="auto"/>
                      <w:lang w:val="en-US" w:eastAsia="zh-CN"/>
                    </w:rPr>
                    <w:t>保留</w:t>
                  </w:r>
                </w:p>
              </w:tc>
              <w:tc>
                <w:tcPr>
                  <w:tcW w:w="1968" w:type="dxa"/>
                  <w:shd w:val="clear" w:color="auto" w:fill="auto"/>
                  <w:vAlign w:val="center"/>
                </w:tcPr>
                <w:p w14:paraId="194234D8">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10KW</w:t>
                  </w:r>
                </w:p>
              </w:tc>
              <w:tc>
                <w:tcPr>
                  <w:tcW w:w="1209" w:type="dxa"/>
                  <w:shd w:val="clear" w:color="auto" w:fill="auto"/>
                  <w:vAlign w:val="center"/>
                </w:tcPr>
                <w:p w14:paraId="544A06C1">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陈化车间</w:t>
                  </w:r>
                </w:p>
              </w:tc>
            </w:tr>
            <w:tr w14:paraId="43B7F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759" w:type="dxa"/>
                  <w:shd w:val="clear" w:color="auto" w:fill="auto"/>
                  <w:vAlign w:val="center"/>
                </w:tcPr>
                <w:p w14:paraId="28DAAC03">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w:t>
                  </w:r>
                </w:p>
              </w:tc>
              <w:tc>
                <w:tcPr>
                  <w:tcW w:w="1276" w:type="dxa"/>
                  <w:shd w:val="clear" w:color="auto" w:fill="auto"/>
                  <w:vAlign w:val="center"/>
                </w:tcPr>
                <w:p w14:paraId="176C5051">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对辊机</w:t>
                  </w:r>
                </w:p>
              </w:tc>
              <w:tc>
                <w:tcPr>
                  <w:tcW w:w="1763" w:type="dxa"/>
                  <w:shd w:val="clear" w:color="auto" w:fill="auto"/>
                  <w:vAlign w:val="center"/>
                </w:tcPr>
                <w:p w14:paraId="3F447C8F">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eastAsia"/>
                      <w:color w:val="auto"/>
                      <w:lang w:val="en-US" w:eastAsia="zh-CN"/>
                    </w:rPr>
                  </w:pPr>
                  <w:r>
                    <w:rPr>
                      <w:rFonts w:hint="eastAsia"/>
                      <w:color w:val="auto"/>
                      <w:lang w:val="en-US" w:eastAsia="zh-CN"/>
                    </w:rPr>
                    <w:t>2</w:t>
                  </w:r>
                </w:p>
              </w:tc>
              <w:tc>
                <w:tcPr>
                  <w:tcW w:w="1108" w:type="dxa"/>
                  <w:shd w:val="clear" w:color="auto" w:fill="auto"/>
                  <w:vAlign w:val="center"/>
                </w:tcPr>
                <w:p w14:paraId="0E75BACD">
                  <w:pPr>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eastAsia"/>
                      <w:color w:val="auto"/>
                      <w:lang w:val="en-US" w:eastAsia="zh-CN"/>
                    </w:rPr>
                  </w:pPr>
                  <w:r>
                    <w:rPr>
                      <w:rFonts w:hint="eastAsia"/>
                      <w:color w:val="auto"/>
                      <w:lang w:val="en-US" w:eastAsia="zh-CN"/>
                    </w:rPr>
                    <w:t>保留</w:t>
                  </w:r>
                </w:p>
              </w:tc>
              <w:tc>
                <w:tcPr>
                  <w:tcW w:w="1968" w:type="dxa"/>
                  <w:shd w:val="clear" w:color="auto" w:fill="auto"/>
                  <w:vAlign w:val="center"/>
                </w:tcPr>
                <w:p w14:paraId="3E6CD0BA">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default"/>
                      <w:color w:val="auto"/>
                      <w:lang w:val="en-US" w:eastAsia="zh-CN"/>
                    </w:rPr>
                  </w:pPr>
                  <w:r>
                    <w:rPr>
                      <w:rFonts w:hint="eastAsia"/>
                      <w:color w:val="auto"/>
                      <w:lang w:val="en-US" w:eastAsia="zh-CN"/>
                    </w:rPr>
                    <w:t>45KW</w:t>
                  </w:r>
                </w:p>
              </w:tc>
              <w:tc>
                <w:tcPr>
                  <w:tcW w:w="1209" w:type="dxa"/>
                  <w:vMerge w:val="restart"/>
                  <w:shd w:val="clear" w:color="auto" w:fill="auto"/>
                  <w:vAlign w:val="center"/>
                </w:tcPr>
                <w:p w14:paraId="6375704B">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default"/>
                      <w:color w:val="auto"/>
                      <w:lang w:val="en-US" w:eastAsia="zh-CN"/>
                    </w:rPr>
                  </w:pPr>
                  <w:r>
                    <w:rPr>
                      <w:rFonts w:hint="eastAsia"/>
                      <w:color w:val="auto"/>
                      <w:lang w:val="en-US" w:eastAsia="zh-CN"/>
                    </w:rPr>
                    <w:t>制坯车间</w:t>
                  </w:r>
                </w:p>
              </w:tc>
            </w:tr>
            <w:tr w14:paraId="58314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shd w:val="clear" w:color="auto" w:fill="auto"/>
                  <w:vAlign w:val="center"/>
                </w:tcPr>
                <w:p w14:paraId="2F287A4C">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w:t>
                  </w:r>
                </w:p>
              </w:tc>
              <w:tc>
                <w:tcPr>
                  <w:tcW w:w="1276" w:type="dxa"/>
                  <w:shd w:val="clear" w:color="auto" w:fill="auto"/>
                  <w:vAlign w:val="center"/>
                </w:tcPr>
                <w:p w14:paraId="77506841">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真空成型机</w:t>
                  </w:r>
                </w:p>
              </w:tc>
              <w:tc>
                <w:tcPr>
                  <w:tcW w:w="1763" w:type="dxa"/>
                  <w:shd w:val="clear" w:color="auto" w:fill="auto"/>
                  <w:vAlign w:val="center"/>
                </w:tcPr>
                <w:p w14:paraId="7B1C577F">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eastAsia"/>
                      <w:color w:val="auto"/>
                      <w:lang w:val="en-US" w:eastAsia="zh-CN"/>
                    </w:rPr>
                  </w:pPr>
                  <w:r>
                    <w:rPr>
                      <w:rFonts w:hint="eastAsia"/>
                      <w:color w:val="auto"/>
                      <w:lang w:val="en-US" w:eastAsia="zh-CN"/>
                    </w:rPr>
                    <w:t>4</w:t>
                  </w:r>
                </w:p>
              </w:tc>
              <w:tc>
                <w:tcPr>
                  <w:tcW w:w="1108" w:type="dxa"/>
                  <w:shd w:val="clear" w:color="auto" w:fill="auto"/>
                  <w:vAlign w:val="center"/>
                </w:tcPr>
                <w:p w14:paraId="27BD007B">
                  <w:pPr>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eastAsia"/>
                      <w:color w:val="auto"/>
                      <w:lang w:val="en-US" w:eastAsia="zh-CN"/>
                    </w:rPr>
                  </w:pPr>
                  <w:r>
                    <w:rPr>
                      <w:rFonts w:hint="eastAsia"/>
                      <w:color w:val="auto"/>
                      <w:lang w:val="en-US" w:eastAsia="zh-CN"/>
                    </w:rPr>
                    <w:t>保留</w:t>
                  </w:r>
                </w:p>
              </w:tc>
              <w:tc>
                <w:tcPr>
                  <w:tcW w:w="1968" w:type="dxa"/>
                  <w:shd w:val="clear" w:color="auto" w:fill="auto"/>
                  <w:vAlign w:val="center"/>
                </w:tcPr>
                <w:p w14:paraId="543D55B2">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default"/>
                      <w:color w:val="auto"/>
                      <w:lang w:val="en-US" w:eastAsia="zh-CN"/>
                    </w:rPr>
                  </w:pPr>
                  <w:r>
                    <w:rPr>
                      <w:rFonts w:hint="eastAsia"/>
                      <w:color w:val="auto"/>
                      <w:lang w:val="en-US" w:eastAsia="zh-CN"/>
                    </w:rPr>
                    <w:t>250型</w:t>
                  </w:r>
                </w:p>
              </w:tc>
              <w:tc>
                <w:tcPr>
                  <w:tcW w:w="1209" w:type="dxa"/>
                  <w:vMerge w:val="continue"/>
                  <w:shd w:val="clear" w:color="auto" w:fill="auto"/>
                  <w:vAlign w:val="center"/>
                </w:tcPr>
                <w:p w14:paraId="5B2B67B4">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eastAsia"/>
                      <w:color w:val="auto"/>
                      <w:lang w:val="en-US" w:eastAsia="zh-CN"/>
                    </w:rPr>
                  </w:pPr>
                </w:p>
              </w:tc>
            </w:tr>
            <w:tr w14:paraId="05EB9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shd w:val="clear" w:color="auto" w:fill="auto"/>
                  <w:vAlign w:val="center"/>
                </w:tcPr>
                <w:p w14:paraId="3D8AB039">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4</w:t>
                  </w:r>
                </w:p>
              </w:tc>
              <w:tc>
                <w:tcPr>
                  <w:tcW w:w="1276" w:type="dxa"/>
                  <w:shd w:val="clear" w:color="auto" w:fill="auto"/>
                  <w:vAlign w:val="center"/>
                </w:tcPr>
                <w:p w14:paraId="4FEFFBDF">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分切机</w:t>
                  </w:r>
                </w:p>
              </w:tc>
              <w:tc>
                <w:tcPr>
                  <w:tcW w:w="1763" w:type="dxa"/>
                  <w:shd w:val="clear" w:color="auto" w:fill="auto"/>
                  <w:vAlign w:val="center"/>
                </w:tcPr>
                <w:p w14:paraId="43EE6A5E">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4</w:t>
                  </w:r>
                </w:p>
              </w:tc>
              <w:tc>
                <w:tcPr>
                  <w:tcW w:w="1108" w:type="dxa"/>
                  <w:shd w:val="clear" w:color="auto" w:fill="auto"/>
                  <w:vAlign w:val="center"/>
                </w:tcPr>
                <w:p w14:paraId="2D3E8409">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eastAsia" w:cs="Times New Roman"/>
                      <w:color w:val="auto"/>
                      <w:sz w:val="21"/>
                      <w:szCs w:val="21"/>
                      <w:lang w:val="en-US" w:eastAsia="zh-CN"/>
                    </w:rPr>
                  </w:pPr>
                  <w:r>
                    <w:rPr>
                      <w:rFonts w:hint="eastAsia"/>
                      <w:color w:val="auto"/>
                      <w:lang w:val="en-US" w:eastAsia="zh-CN"/>
                    </w:rPr>
                    <w:t>保留</w:t>
                  </w:r>
                </w:p>
              </w:tc>
              <w:tc>
                <w:tcPr>
                  <w:tcW w:w="1968" w:type="dxa"/>
                  <w:shd w:val="clear" w:color="auto" w:fill="auto"/>
                  <w:vAlign w:val="center"/>
                </w:tcPr>
                <w:p w14:paraId="254525DB">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w:t>
                  </w:r>
                </w:p>
              </w:tc>
              <w:tc>
                <w:tcPr>
                  <w:tcW w:w="1209" w:type="dxa"/>
                  <w:vMerge w:val="continue"/>
                  <w:shd w:val="clear" w:color="auto" w:fill="auto"/>
                  <w:vAlign w:val="center"/>
                </w:tcPr>
                <w:p w14:paraId="7A430FD4">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792E8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shd w:val="clear" w:color="auto" w:fill="auto"/>
                  <w:vAlign w:val="center"/>
                </w:tcPr>
                <w:p w14:paraId="279E58BA">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5</w:t>
                  </w:r>
                </w:p>
              </w:tc>
              <w:tc>
                <w:tcPr>
                  <w:tcW w:w="1276" w:type="dxa"/>
                  <w:shd w:val="clear" w:color="auto" w:fill="auto"/>
                  <w:vAlign w:val="center"/>
                </w:tcPr>
                <w:p w14:paraId="2419F5DA">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土窑</w:t>
                  </w:r>
                </w:p>
              </w:tc>
              <w:tc>
                <w:tcPr>
                  <w:tcW w:w="1763" w:type="dxa"/>
                  <w:shd w:val="clear" w:color="auto" w:fill="auto"/>
                  <w:vAlign w:val="center"/>
                </w:tcPr>
                <w:p w14:paraId="07323182">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w:t>
                  </w:r>
                </w:p>
              </w:tc>
              <w:tc>
                <w:tcPr>
                  <w:tcW w:w="1108" w:type="dxa"/>
                  <w:shd w:val="clear" w:color="auto" w:fill="auto"/>
                  <w:vAlign w:val="center"/>
                </w:tcPr>
                <w:p w14:paraId="75E90090">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拆除</w:t>
                  </w:r>
                </w:p>
              </w:tc>
              <w:tc>
                <w:tcPr>
                  <w:tcW w:w="1968" w:type="dxa"/>
                  <w:shd w:val="clear" w:color="auto" w:fill="auto"/>
                  <w:vAlign w:val="center"/>
                </w:tcPr>
                <w:p w14:paraId="4AC46B6C">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eastAsia" w:cs="Times New Roman"/>
                      <w:color w:val="auto"/>
                      <w:kern w:val="0"/>
                      <w:sz w:val="21"/>
                      <w:szCs w:val="21"/>
                      <w:lang w:val="en-US" w:eastAsia="zh-CN" w:bidi="ar"/>
                    </w:rPr>
                  </w:pPr>
                </w:p>
              </w:tc>
              <w:tc>
                <w:tcPr>
                  <w:tcW w:w="1209" w:type="dxa"/>
                  <w:vMerge w:val="continue"/>
                  <w:shd w:val="clear" w:color="auto" w:fill="auto"/>
                  <w:vAlign w:val="center"/>
                </w:tcPr>
                <w:p w14:paraId="5F284AC1">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eastAsia" w:cs="Times New Roman"/>
                      <w:color w:val="auto"/>
                      <w:kern w:val="2"/>
                      <w:sz w:val="21"/>
                      <w:szCs w:val="21"/>
                      <w:lang w:val="en-US" w:eastAsia="zh-CN" w:bidi="ar-SA"/>
                    </w:rPr>
                  </w:pPr>
                </w:p>
              </w:tc>
            </w:tr>
            <w:tr w14:paraId="7A646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shd w:val="clear" w:color="auto" w:fill="auto"/>
                  <w:vAlign w:val="center"/>
                </w:tcPr>
                <w:p w14:paraId="2AF820F5">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6</w:t>
                  </w:r>
                </w:p>
              </w:tc>
              <w:tc>
                <w:tcPr>
                  <w:tcW w:w="1276" w:type="dxa"/>
                  <w:shd w:val="clear" w:color="auto" w:fill="auto"/>
                  <w:vAlign w:val="center"/>
                </w:tcPr>
                <w:p w14:paraId="7226EED5">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供气风机</w:t>
                  </w:r>
                </w:p>
              </w:tc>
              <w:tc>
                <w:tcPr>
                  <w:tcW w:w="1763" w:type="dxa"/>
                  <w:shd w:val="clear" w:color="auto" w:fill="auto"/>
                  <w:vAlign w:val="center"/>
                </w:tcPr>
                <w:p w14:paraId="5E33BA45">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w:t>
                  </w:r>
                </w:p>
              </w:tc>
              <w:tc>
                <w:tcPr>
                  <w:tcW w:w="1108" w:type="dxa"/>
                  <w:shd w:val="clear" w:color="auto" w:fill="auto"/>
                  <w:vAlign w:val="center"/>
                </w:tcPr>
                <w:p w14:paraId="789B2BDC">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eastAsia" w:cs="Times New Roman"/>
                      <w:color w:val="auto"/>
                      <w:sz w:val="21"/>
                      <w:szCs w:val="21"/>
                      <w:lang w:val="en-US" w:eastAsia="zh-CN"/>
                    </w:rPr>
                  </w:pPr>
                  <w:r>
                    <w:rPr>
                      <w:rFonts w:hint="eastAsia"/>
                      <w:color w:val="auto"/>
                      <w:lang w:val="en-US" w:eastAsia="zh-CN"/>
                    </w:rPr>
                    <w:t>保留</w:t>
                  </w:r>
                </w:p>
              </w:tc>
              <w:tc>
                <w:tcPr>
                  <w:tcW w:w="1968" w:type="dxa"/>
                  <w:shd w:val="clear" w:color="auto" w:fill="auto"/>
                  <w:vAlign w:val="center"/>
                </w:tcPr>
                <w:p w14:paraId="3E2E83B6">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eastAsia"/>
                      <w:color w:val="auto"/>
                      <w:lang w:val="en-US" w:eastAsia="zh-CN"/>
                    </w:rPr>
                  </w:pPr>
                  <w:r>
                    <w:rPr>
                      <w:rFonts w:hint="eastAsia"/>
                      <w:color w:val="auto"/>
                      <w:lang w:val="en-US" w:eastAsia="zh-CN"/>
                    </w:rPr>
                    <w:t>变频风机1000~6000m³/h</w:t>
                  </w:r>
                </w:p>
              </w:tc>
              <w:tc>
                <w:tcPr>
                  <w:tcW w:w="1209" w:type="dxa"/>
                  <w:vMerge w:val="continue"/>
                  <w:shd w:val="clear" w:color="auto" w:fill="auto"/>
                  <w:vAlign w:val="center"/>
                </w:tcPr>
                <w:p w14:paraId="72CB8F05">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eastAsia"/>
                      <w:color w:val="auto"/>
                      <w:lang w:val="en-US" w:eastAsia="zh-CN"/>
                    </w:rPr>
                  </w:pPr>
                </w:p>
              </w:tc>
            </w:tr>
            <w:tr w14:paraId="00E27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Align w:val="center"/>
                </w:tcPr>
                <w:p w14:paraId="13F64029">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7</w:t>
                  </w:r>
                </w:p>
              </w:tc>
              <w:tc>
                <w:tcPr>
                  <w:tcW w:w="1276" w:type="dxa"/>
                  <w:shd w:val="clear" w:color="auto" w:fill="auto"/>
                  <w:vAlign w:val="center"/>
                </w:tcPr>
                <w:p w14:paraId="48320B59">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运输车辆</w:t>
                  </w:r>
                </w:p>
              </w:tc>
              <w:tc>
                <w:tcPr>
                  <w:tcW w:w="1763" w:type="dxa"/>
                  <w:shd w:val="clear" w:color="auto" w:fill="auto"/>
                  <w:vAlign w:val="center"/>
                </w:tcPr>
                <w:p w14:paraId="7B033238">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w:t>
                  </w:r>
                </w:p>
              </w:tc>
              <w:tc>
                <w:tcPr>
                  <w:tcW w:w="1108" w:type="dxa"/>
                  <w:shd w:val="clear" w:color="auto" w:fill="auto"/>
                  <w:vAlign w:val="center"/>
                </w:tcPr>
                <w:p w14:paraId="09ECB47D">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拆除</w:t>
                  </w:r>
                </w:p>
              </w:tc>
              <w:tc>
                <w:tcPr>
                  <w:tcW w:w="1968" w:type="dxa"/>
                  <w:shd w:val="clear" w:color="auto" w:fill="auto"/>
                  <w:vAlign w:val="center"/>
                </w:tcPr>
                <w:p w14:paraId="1677E111">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w:t>
                  </w:r>
                </w:p>
              </w:tc>
              <w:tc>
                <w:tcPr>
                  <w:tcW w:w="1209" w:type="dxa"/>
                  <w:shd w:val="clear" w:color="auto" w:fill="auto"/>
                  <w:vAlign w:val="center"/>
                </w:tcPr>
                <w:p w14:paraId="7BAD8A60">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w:t>
                  </w:r>
                </w:p>
              </w:tc>
            </w:tr>
            <w:tr w14:paraId="60A30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Align w:val="center"/>
                </w:tcPr>
                <w:p w14:paraId="6176D4B3">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8</w:t>
                  </w:r>
                </w:p>
              </w:tc>
              <w:tc>
                <w:tcPr>
                  <w:tcW w:w="1276" w:type="dxa"/>
                  <w:shd w:val="clear" w:color="auto" w:fill="auto"/>
                  <w:vAlign w:val="center"/>
                </w:tcPr>
                <w:p w14:paraId="169A7D8B">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叉车</w:t>
                  </w:r>
                </w:p>
              </w:tc>
              <w:tc>
                <w:tcPr>
                  <w:tcW w:w="1763" w:type="dxa"/>
                  <w:shd w:val="clear" w:color="auto" w:fill="auto"/>
                  <w:vAlign w:val="center"/>
                </w:tcPr>
                <w:p w14:paraId="648F4335">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w:t>
                  </w:r>
                </w:p>
              </w:tc>
              <w:tc>
                <w:tcPr>
                  <w:tcW w:w="1108" w:type="dxa"/>
                  <w:shd w:val="clear" w:color="auto" w:fill="auto"/>
                  <w:vAlign w:val="center"/>
                </w:tcPr>
                <w:p w14:paraId="373552F3">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eastAsia" w:cs="Times New Roman"/>
                      <w:color w:val="auto"/>
                      <w:sz w:val="21"/>
                      <w:szCs w:val="21"/>
                      <w:lang w:val="en-US" w:eastAsia="zh-CN"/>
                    </w:rPr>
                  </w:pPr>
                  <w:r>
                    <w:rPr>
                      <w:rFonts w:hint="eastAsia"/>
                      <w:color w:val="auto"/>
                      <w:lang w:val="en-US" w:eastAsia="zh-CN"/>
                    </w:rPr>
                    <w:t>保留</w:t>
                  </w:r>
                </w:p>
              </w:tc>
              <w:tc>
                <w:tcPr>
                  <w:tcW w:w="1968" w:type="dxa"/>
                  <w:shd w:val="clear" w:color="auto" w:fill="auto"/>
                  <w:vAlign w:val="center"/>
                </w:tcPr>
                <w:p w14:paraId="0190F853">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default"/>
                      <w:color w:val="auto"/>
                      <w:lang w:val="en-US" w:eastAsia="zh-CN"/>
                    </w:rPr>
                  </w:pPr>
                  <w:r>
                    <w:rPr>
                      <w:rFonts w:hint="eastAsia"/>
                      <w:color w:val="auto"/>
                      <w:lang w:val="en-US" w:eastAsia="zh-CN"/>
                    </w:rPr>
                    <w:t>/</w:t>
                  </w:r>
                </w:p>
              </w:tc>
              <w:tc>
                <w:tcPr>
                  <w:tcW w:w="1209" w:type="dxa"/>
                  <w:shd w:val="clear" w:color="auto" w:fill="auto"/>
                  <w:vAlign w:val="center"/>
                </w:tcPr>
                <w:p w14:paraId="695995AF">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default"/>
                      <w:color w:val="auto"/>
                      <w:lang w:val="en-US" w:eastAsia="zh-CN"/>
                    </w:rPr>
                  </w:pPr>
                  <w:r>
                    <w:rPr>
                      <w:rFonts w:hint="eastAsia"/>
                      <w:color w:val="auto"/>
                      <w:lang w:val="en-US" w:eastAsia="zh-CN"/>
                    </w:rPr>
                    <w:t>/</w:t>
                  </w:r>
                </w:p>
              </w:tc>
            </w:tr>
            <w:tr w14:paraId="5CF16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9" w:type="dxa"/>
                  <w:vAlign w:val="center"/>
                </w:tcPr>
                <w:p w14:paraId="5B83FDBA">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9</w:t>
                  </w:r>
                </w:p>
              </w:tc>
              <w:tc>
                <w:tcPr>
                  <w:tcW w:w="1276" w:type="dxa"/>
                  <w:shd w:val="clear" w:color="auto" w:fill="auto"/>
                  <w:vAlign w:val="center"/>
                </w:tcPr>
                <w:p w14:paraId="49CF26F6">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磨具</w:t>
                  </w:r>
                </w:p>
              </w:tc>
              <w:tc>
                <w:tcPr>
                  <w:tcW w:w="1763" w:type="dxa"/>
                  <w:shd w:val="clear" w:color="auto" w:fill="auto"/>
                  <w:vAlign w:val="center"/>
                </w:tcPr>
                <w:p w14:paraId="6816B0D8">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若干</w:t>
                  </w:r>
                </w:p>
              </w:tc>
              <w:tc>
                <w:tcPr>
                  <w:tcW w:w="1108" w:type="dxa"/>
                  <w:shd w:val="clear" w:color="auto" w:fill="auto"/>
                  <w:vAlign w:val="center"/>
                </w:tcPr>
                <w:p w14:paraId="012E37EC">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eastAsia" w:cs="Times New Roman"/>
                      <w:color w:val="auto"/>
                      <w:sz w:val="21"/>
                      <w:szCs w:val="21"/>
                      <w:lang w:val="en-US" w:eastAsia="zh-CN"/>
                    </w:rPr>
                  </w:pPr>
                  <w:r>
                    <w:rPr>
                      <w:rFonts w:hint="eastAsia"/>
                      <w:color w:val="auto"/>
                      <w:lang w:val="en-US" w:eastAsia="zh-CN"/>
                    </w:rPr>
                    <w:t>保留</w:t>
                  </w:r>
                </w:p>
              </w:tc>
              <w:tc>
                <w:tcPr>
                  <w:tcW w:w="1968" w:type="dxa"/>
                  <w:shd w:val="clear" w:color="auto" w:fill="auto"/>
                  <w:vAlign w:val="center"/>
                </w:tcPr>
                <w:p w14:paraId="1C4E82CB">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default"/>
                      <w:color w:val="auto"/>
                      <w:lang w:val="en-US" w:eastAsia="zh-CN"/>
                    </w:rPr>
                  </w:pPr>
                  <w:r>
                    <w:rPr>
                      <w:rFonts w:hint="eastAsia"/>
                      <w:color w:val="auto"/>
                      <w:lang w:val="en-US" w:eastAsia="zh-CN"/>
                    </w:rPr>
                    <w:t>/</w:t>
                  </w:r>
                </w:p>
              </w:tc>
              <w:tc>
                <w:tcPr>
                  <w:tcW w:w="1209" w:type="dxa"/>
                  <w:shd w:val="clear" w:color="auto" w:fill="auto"/>
                  <w:vAlign w:val="center"/>
                </w:tcPr>
                <w:p w14:paraId="56C1D6E1">
                  <w:pPr>
                    <w:pStyle w:val="39"/>
                    <w:keepNext w:val="0"/>
                    <w:keepLines w:val="0"/>
                    <w:pageBreakBefore w:val="0"/>
                    <w:widowControl w:val="0"/>
                    <w:kinsoku/>
                    <w:wordWrap/>
                    <w:overflowPunct/>
                    <w:topLinePunct w:val="0"/>
                    <w:autoSpaceDE/>
                    <w:autoSpaceDN/>
                    <w:bidi w:val="0"/>
                    <w:snapToGrid w:val="0"/>
                    <w:spacing w:before="95" w:beforeLines="30" w:after="95" w:afterLines="30"/>
                    <w:ind w:firstLine="0" w:firstLineChars="0"/>
                    <w:jc w:val="center"/>
                    <w:textAlignment w:val="auto"/>
                    <w:rPr>
                      <w:rFonts w:hint="default"/>
                      <w:color w:val="auto"/>
                      <w:lang w:val="en-US" w:eastAsia="zh-CN"/>
                    </w:rPr>
                  </w:pPr>
                  <w:r>
                    <w:rPr>
                      <w:rFonts w:hint="eastAsia" w:cs="Times New Roman"/>
                      <w:color w:val="auto"/>
                      <w:kern w:val="0"/>
                      <w:sz w:val="21"/>
                      <w:szCs w:val="21"/>
                      <w:lang w:val="en-US" w:eastAsia="zh-CN" w:bidi="ar"/>
                    </w:rPr>
                    <w:t>磨具、维修车间</w:t>
                  </w:r>
                </w:p>
              </w:tc>
            </w:tr>
          </w:tbl>
          <w:p w14:paraId="3112D4BA">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kern w:val="2"/>
                <w:sz w:val="21"/>
                <w:szCs w:val="21"/>
                <w:lang w:val="en-US" w:eastAsia="zh-CN" w:bidi="ar-SA"/>
              </w:rPr>
              <w:t>5</w:t>
            </w:r>
            <w:r>
              <w:rPr>
                <w:rFonts w:hint="eastAsia" w:ascii="Times New Roman" w:hAnsi="Times New Roman" w:eastAsia="宋体" w:cs="Times New Roman"/>
                <w:b/>
                <w:bCs/>
                <w:color w:val="auto"/>
                <w:kern w:val="2"/>
                <w:sz w:val="21"/>
                <w:szCs w:val="21"/>
                <w:lang w:val="en-US" w:eastAsia="zh-CN" w:bidi="ar-SA"/>
              </w:rPr>
              <w:t>、</w:t>
            </w:r>
            <w:r>
              <w:rPr>
                <w:rFonts w:hint="eastAsia"/>
                <w:b/>
                <w:bCs/>
                <w:color w:val="auto"/>
                <w:sz w:val="21"/>
                <w:szCs w:val="21"/>
                <w:highlight w:val="none"/>
                <w:lang w:val="en-US" w:eastAsia="zh-CN"/>
              </w:rPr>
              <w:t>原有项目</w:t>
            </w:r>
            <w:r>
              <w:rPr>
                <w:rFonts w:hint="eastAsia" w:ascii="Times New Roman" w:hAnsi="Times New Roman" w:eastAsia="宋体" w:cs="Times New Roman"/>
                <w:b/>
                <w:bCs/>
                <w:color w:val="auto"/>
                <w:kern w:val="2"/>
                <w:sz w:val="21"/>
                <w:szCs w:val="21"/>
                <w:lang w:val="en-US" w:eastAsia="zh-CN" w:bidi="ar-SA"/>
              </w:rPr>
              <w:t>环保设施</w:t>
            </w:r>
          </w:p>
          <w:p w14:paraId="38E3466A">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both"/>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现有及在建</w:t>
            </w:r>
            <w:r>
              <w:rPr>
                <w:rFonts w:hint="default" w:ascii="Times New Roman" w:hAnsi="Times New Roman" w:eastAsia="宋体" w:cs="Times New Roman"/>
                <w:color w:val="auto"/>
                <w:kern w:val="2"/>
                <w:sz w:val="21"/>
                <w:szCs w:val="21"/>
                <w:lang w:val="en-US" w:eastAsia="zh-CN" w:bidi="ar-SA"/>
              </w:rPr>
              <w:t>项目</w:t>
            </w:r>
            <w:r>
              <w:rPr>
                <w:rFonts w:hint="eastAsia" w:ascii="Times New Roman" w:hAnsi="Times New Roman" w:eastAsia="宋体" w:cs="Times New Roman"/>
                <w:color w:val="auto"/>
                <w:kern w:val="2"/>
                <w:sz w:val="21"/>
                <w:szCs w:val="21"/>
                <w:lang w:val="en-US" w:eastAsia="zh-CN" w:bidi="ar-SA"/>
              </w:rPr>
              <w:t>环保设施见下表。</w:t>
            </w:r>
          </w:p>
          <w:p w14:paraId="05420797">
            <w:pPr>
              <w:widowControl w:val="0"/>
              <w:bidi w:val="0"/>
              <w:spacing w:line="360" w:lineRule="auto"/>
              <w:ind w:firstLine="422" w:firstLineChars="200"/>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表2-1</w:t>
            </w:r>
            <w:r>
              <w:rPr>
                <w:rFonts w:hint="eastAsia" w:cs="Times New Roman"/>
                <w:b/>
                <w:bCs/>
                <w:color w:val="auto"/>
                <w:kern w:val="2"/>
                <w:sz w:val="21"/>
                <w:szCs w:val="21"/>
                <w:lang w:val="en-US" w:eastAsia="zh-CN" w:bidi="ar-SA"/>
              </w:rPr>
              <w:t>8</w:t>
            </w:r>
            <w:r>
              <w:rPr>
                <w:rFonts w:hint="eastAsia" w:ascii="Times New Roman" w:hAnsi="Times New Roman" w:eastAsia="宋体" w:cs="Times New Roman"/>
                <w:b/>
                <w:bCs/>
                <w:color w:val="auto"/>
                <w:kern w:val="2"/>
                <w:sz w:val="21"/>
                <w:szCs w:val="21"/>
                <w:lang w:val="en-US" w:eastAsia="zh-CN" w:bidi="ar-SA"/>
              </w:rPr>
              <w:t xml:space="preserve">  现有及在建</w:t>
            </w:r>
            <w:r>
              <w:rPr>
                <w:rFonts w:hint="default" w:ascii="Times New Roman" w:hAnsi="Times New Roman" w:eastAsia="宋体" w:cs="Times New Roman"/>
                <w:b/>
                <w:bCs/>
                <w:color w:val="auto"/>
                <w:kern w:val="2"/>
                <w:sz w:val="21"/>
                <w:szCs w:val="21"/>
                <w:lang w:val="en-US" w:eastAsia="zh-CN" w:bidi="ar-SA"/>
              </w:rPr>
              <w:t>项目</w:t>
            </w:r>
            <w:r>
              <w:rPr>
                <w:rFonts w:hint="eastAsia" w:ascii="Times New Roman" w:hAnsi="Times New Roman" w:eastAsia="宋体" w:cs="Times New Roman"/>
                <w:b/>
                <w:bCs/>
                <w:color w:val="auto"/>
                <w:kern w:val="2"/>
                <w:sz w:val="21"/>
                <w:szCs w:val="21"/>
                <w:lang w:val="en-US" w:eastAsia="zh-CN" w:bidi="ar-SA"/>
              </w:rPr>
              <w:t>环保设施一览表</w:t>
            </w:r>
          </w:p>
          <w:tbl>
            <w:tblPr>
              <w:tblStyle w:val="30"/>
              <w:tblW w:w="81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37"/>
              <w:gridCol w:w="1475"/>
              <w:gridCol w:w="1606"/>
              <w:gridCol w:w="2819"/>
            </w:tblGrid>
            <w:tr w14:paraId="7EE00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80" w:type="dxa"/>
                  <w:vAlign w:val="center"/>
                </w:tcPr>
                <w:p w14:paraId="7C78812C">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项目</w:t>
                  </w:r>
                </w:p>
              </w:tc>
              <w:tc>
                <w:tcPr>
                  <w:tcW w:w="1437" w:type="dxa"/>
                  <w:vAlign w:val="center"/>
                </w:tcPr>
                <w:p w14:paraId="1992B2CD">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产污节点</w:t>
                  </w:r>
                </w:p>
              </w:tc>
              <w:tc>
                <w:tcPr>
                  <w:tcW w:w="1475" w:type="dxa"/>
                  <w:vAlign w:val="center"/>
                </w:tcPr>
                <w:p w14:paraId="7972D4FF">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主要污染物</w:t>
                  </w:r>
                </w:p>
              </w:tc>
              <w:tc>
                <w:tcPr>
                  <w:tcW w:w="1606" w:type="dxa"/>
                  <w:vAlign w:val="center"/>
                </w:tcPr>
                <w:p w14:paraId="3F898C77">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环保设施</w:t>
                  </w:r>
                </w:p>
              </w:tc>
              <w:tc>
                <w:tcPr>
                  <w:tcW w:w="2819" w:type="dxa"/>
                  <w:vAlign w:val="center"/>
                </w:tcPr>
                <w:p w14:paraId="0A752DDD">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现状</w:t>
                  </w:r>
                </w:p>
              </w:tc>
            </w:tr>
            <w:tr w14:paraId="3D06E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80" w:type="dxa"/>
                  <w:vAlign w:val="center"/>
                </w:tcPr>
                <w:p w14:paraId="618B4456">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废水处理</w:t>
                  </w:r>
                </w:p>
              </w:tc>
              <w:tc>
                <w:tcPr>
                  <w:tcW w:w="1437" w:type="dxa"/>
                  <w:vAlign w:val="center"/>
                </w:tcPr>
                <w:p w14:paraId="51B4BD07">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生活污水</w:t>
                  </w:r>
                </w:p>
              </w:tc>
              <w:tc>
                <w:tcPr>
                  <w:tcW w:w="1475" w:type="dxa"/>
                  <w:vAlign w:val="center"/>
                </w:tcPr>
                <w:p w14:paraId="6E3D2E3C">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pH、COD、BOD</w:t>
                  </w:r>
                  <w:r>
                    <w:rPr>
                      <w:rFonts w:hint="eastAsia" w:ascii="Times New Roman" w:hAnsi="Times New Roman" w:eastAsia="宋体" w:cs="Times New Roman"/>
                      <w:color w:val="auto"/>
                      <w:kern w:val="2"/>
                      <w:sz w:val="21"/>
                      <w:szCs w:val="21"/>
                      <w:vertAlign w:val="subscript"/>
                      <w:lang w:val="en-US" w:eastAsia="zh-CN" w:bidi="ar-SA"/>
                    </w:rPr>
                    <w:t>5</w:t>
                  </w:r>
                  <w:r>
                    <w:rPr>
                      <w:rFonts w:hint="eastAsia" w:ascii="Times New Roman" w:hAnsi="Times New Roman" w:eastAsia="宋体" w:cs="Times New Roman"/>
                      <w:color w:val="auto"/>
                      <w:kern w:val="2"/>
                      <w:sz w:val="21"/>
                      <w:szCs w:val="21"/>
                      <w:lang w:val="en-US" w:eastAsia="zh-CN" w:bidi="ar-SA"/>
                    </w:rPr>
                    <w:t>、氨氮等</w:t>
                  </w:r>
                </w:p>
              </w:tc>
              <w:tc>
                <w:tcPr>
                  <w:tcW w:w="1606" w:type="dxa"/>
                  <w:shd w:val="clear" w:color="auto" w:fill="auto"/>
                  <w:vAlign w:val="center"/>
                </w:tcPr>
                <w:p w14:paraId="2CEA8B5B">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化粪池（1个，10m³）</w:t>
                  </w:r>
                </w:p>
              </w:tc>
              <w:tc>
                <w:tcPr>
                  <w:tcW w:w="2819" w:type="dxa"/>
                  <w:vAlign w:val="center"/>
                </w:tcPr>
                <w:p w14:paraId="4E48DA9D">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Cs/>
                      <w:color w:val="auto"/>
                      <w:kern w:val="2"/>
                      <w:sz w:val="21"/>
                      <w:szCs w:val="21"/>
                      <w:vertAlign w:val="baseline"/>
                      <w:lang w:val="en-US" w:eastAsia="zh-CN" w:bidi="ar-SA"/>
                    </w:rPr>
                    <w:t>生活污水经化粪池处理后，回用于绿化。</w:t>
                  </w:r>
                </w:p>
              </w:tc>
            </w:tr>
          </w:tbl>
          <w:p w14:paraId="563E815E">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left"/>
              <w:textAlignment w:val="auto"/>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6、</w:t>
            </w:r>
            <w:r>
              <w:rPr>
                <w:rFonts w:hint="eastAsia"/>
                <w:b/>
                <w:bCs/>
                <w:color w:val="auto"/>
                <w:sz w:val="21"/>
                <w:szCs w:val="21"/>
                <w:highlight w:val="none"/>
                <w:lang w:val="en-US" w:eastAsia="zh-CN"/>
              </w:rPr>
              <w:t>原有项目</w:t>
            </w:r>
            <w:r>
              <w:rPr>
                <w:rFonts w:hint="default" w:ascii="Times New Roman" w:hAnsi="Times New Roman" w:eastAsia="宋体" w:cs="Times New Roman"/>
                <w:b/>
                <w:bCs/>
                <w:color w:val="auto"/>
                <w:kern w:val="2"/>
                <w:sz w:val="21"/>
                <w:szCs w:val="21"/>
                <w:lang w:val="en-US" w:eastAsia="zh-CN" w:bidi="ar-SA"/>
              </w:rPr>
              <w:t>污染物排放</w:t>
            </w:r>
            <w:r>
              <w:rPr>
                <w:rFonts w:hint="eastAsia" w:cs="Times New Roman"/>
                <w:b/>
                <w:bCs/>
                <w:color w:val="auto"/>
                <w:kern w:val="2"/>
                <w:sz w:val="21"/>
                <w:szCs w:val="21"/>
                <w:lang w:val="en-US" w:eastAsia="zh-CN" w:bidi="ar-SA"/>
              </w:rPr>
              <w:t>总量</w:t>
            </w:r>
            <w:r>
              <w:rPr>
                <w:rFonts w:hint="eastAsia" w:ascii="Times New Roman" w:hAnsi="Times New Roman" w:eastAsia="宋体" w:cs="Times New Roman"/>
                <w:b/>
                <w:bCs/>
                <w:color w:val="auto"/>
                <w:kern w:val="2"/>
                <w:sz w:val="21"/>
                <w:szCs w:val="21"/>
                <w:lang w:val="en-US" w:eastAsia="zh-CN" w:bidi="ar-SA"/>
              </w:rPr>
              <w:t>情况</w:t>
            </w:r>
          </w:p>
          <w:p w14:paraId="43C5B18D">
            <w:pPr>
              <w:keepNext w:val="0"/>
              <w:keepLines w:val="0"/>
              <w:pageBreakBefore w:val="0"/>
              <w:widowControl w:val="0"/>
              <w:kinsoku/>
              <w:wordWrap/>
              <w:overflowPunct/>
              <w:topLinePunct w:val="0"/>
              <w:autoSpaceDE/>
              <w:autoSpaceDN/>
              <w:bidi w:val="0"/>
              <w:adjustRightInd/>
              <w:snapToGrid w:val="0"/>
              <w:spacing w:line="360" w:lineRule="auto"/>
              <w:ind w:left="0" w:leftChars="0" w:firstLine="420" w:firstLineChars="200"/>
              <w:jc w:val="left"/>
              <w:textAlignment w:val="auto"/>
              <w:rPr>
                <w:rFonts w:hint="default" w:cs="Times New Roman"/>
                <w:color w:val="auto"/>
                <w:sz w:val="21"/>
                <w:szCs w:val="21"/>
                <w:lang w:val="en-US" w:eastAsia="zh-CN"/>
              </w:rPr>
            </w:pPr>
            <w:r>
              <w:rPr>
                <w:rFonts w:hint="eastAsia"/>
                <w:color w:val="auto"/>
                <w:sz w:val="21"/>
                <w:szCs w:val="21"/>
                <w:lang w:val="en-US" w:eastAsia="zh-CN"/>
              </w:rPr>
              <w:t>由于原有项目未履行过环评手续，属于“未批先建”项目，</w:t>
            </w:r>
            <w:r>
              <w:rPr>
                <w:rFonts w:hint="eastAsia"/>
                <w:b w:val="0"/>
                <w:bCs w:val="0"/>
                <w:color w:val="auto"/>
                <w:sz w:val="21"/>
                <w:szCs w:val="21"/>
                <w:lang w:val="en-US" w:eastAsia="zh-CN"/>
              </w:rPr>
              <w:t>根据企业提供的数据，</w:t>
            </w:r>
            <w:r>
              <w:rPr>
                <w:rFonts w:hint="eastAsia" w:cs="Times New Roman"/>
                <w:color w:val="auto"/>
                <w:sz w:val="21"/>
                <w:szCs w:val="21"/>
                <w:lang w:val="en-US" w:eastAsia="zh-CN"/>
              </w:rPr>
              <w:t>华宁县白塔山陶器厂（新厂）</w:t>
            </w:r>
            <w:r>
              <w:rPr>
                <w:rFonts w:hint="eastAsia"/>
                <w:b w:val="0"/>
                <w:bCs w:val="0"/>
                <w:color w:val="auto"/>
                <w:sz w:val="21"/>
                <w:szCs w:val="21"/>
                <w:lang w:val="en-US" w:eastAsia="zh-CN"/>
              </w:rPr>
              <w:t>原计划</w:t>
            </w:r>
            <w:r>
              <w:rPr>
                <w:rFonts w:hint="eastAsia" w:cs="Times New Roman"/>
                <w:color w:val="auto"/>
                <w:sz w:val="21"/>
                <w:szCs w:val="21"/>
                <w:lang w:val="en-US" w:eastAsia="zh-CN"/>
              </w:rPr>
              <w:t>使用土窑生产青砖瓦合计900万块，年预计用煤为2000t，原有项目使用的煤和本项目计划使用的煤为同一供应商供应的煤，煤质一致。原有项目土窑污染物排放量呈无组织排放，排放量核算如下：</w:t>
            </w:r>
          </w:p>
          <w:p w14:paraId="21DF00DF">
            <w:pPr>
              <w:spacing w:line="360" w:lineRule="auto"/>
              <w:ind w:firstLine="422" w:firstLineChars="200"/>
              <w:rPr>
                <w:rFonts w:hint="default" w:eastAsia="宋体" w:cs="黑体"/>
                <w:b/>
                <w:bCs/>
                <w:color w:val="auto"/>
                <w:sz w:val="21"/>
                <w:szCs w:val="21"/>
                <w:lang w:val="en-US" w:eastAsia="zh-CN"/>
              </w:rPr>
            </w:pPr>
            <w:r>
              <w:rPr>
                <w:rFonts w:hint="eastAsia" w:cs="黑体"/>
                <w:b/>
                <w:bCs/>
                <w:color w:val="auto"/>
                <w:sz w:val="21"/>
                <w:szCs w:val="21"/>
                <w:lang w:val="en-US" w:eastAsia="zh-CN"/>
              </w:rPr>
              <w:t>①</w:t>
            </w:r>
            <w:r>
              <w:rPr>
                <w:rFonts w:hint="default" w:ascii="Times New Roman" w:hAnsi="Times New Roman" w:eastAsia="宋体" w:cs="Times New Roman"/>
                <w:b/>
                <w:bCs/>
                <w:color w:val="auto"/>
                <w:kern w:val="0"/>
                <w:sz w:val="21"/>
                <w:szCs w:val="21"/>
                <w:lang w:eastAsia="zh-CN"/>
              </w:rPr>
              <w:t>烟尘</w:t>
            </w:r>
          </w:p>
          <w:p w14:paraId="6F1CD47C">
            <w:pPr>
              <w:spacing w:line="360" w:lineRule="auto"/>
              <w:ind w:firstLine="420" w:firstLineChars="200"/>
              <w:rPr>
                <w:rFonts w:hint="default" w:ascii="Times New Roman" w:hAnsi="Times New Roman" w:eastAsia="宋体" w:cs="Times New Roman"/>
                <w:bCs/>
                <w:color w:val="auto"/>
                <w:kern w:val="0"/>
                <w:sz w:val="21"/>
                <w:szCs w:val="21"/>
                <w:lang w:eastAsia="zh-CN"/>
              </w:rPr>
            </w:pPr>
            <w:r>
              <w:rPr>
                <w:rFonts w:hint="default" w:ascii="Times New Roman" w:hAnsi="Times New Roman" w:eastAsia="宋体" w:cs="Times New Roman"/>
                <w:bCs/>
                <w:color w:val="auto"/>
                <w:kern w:val="0"/>
                <w:sz w:val="21"/>
                <w:szCs w:val="21"/>
                <w:lang w:eastAsia="zh-CN"/>
              </w:rPr>
              <w:t>烟尘产生量采用以下公式计算：</w:t>
            </w:r>
          </w:p>
          <w:p w14:paraId="3BB66ED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kern w:val="0"/>
                <w:sz w:val="21"/>
                <w:szCs w:val="21"/>
              </w:rPr>
              <w:t>Gd=W</w:t>
            </w:r>
            <w:r>
              <w:rPr>
                <w:rFonts w:hint="default" w:ascii="Times New Roman" w:hAnsi="Times New Roman" w:eastAsia="宋体" w:cs="Times New Roman"/>
                <w:color w:val="auto"/>
                <w:sz w:val="21"/>
                <w:szCs w:val="21"/>
              </w:rPr>
              <w:t>×A×dfh/（1-Cfh）</w:t>
            </w:r>
          </w:p>
          <w:p w14:paraId="0448FB0D">
            <w:pPr>
              <w:spacing w:line="360" w:lineRule="auto"/>
              <w:ind w:left="0" w:leftChars="0"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式中：</w:t>
            </w:r>
          </w:p>
          <w:p w14:paraId="6A95CC41">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w:t>
            </w:r>
            <w:r>
              <w:rPr>
                <w:rFonts w:hint="default" w:ascii="Times New Roman" w:hAnsi="Times New Roman" w:eastAsia="宋体" w:cs="Times New Roman"/>
                <w:bCs/>
                <w:color w:val="auto"/>
                <w:kern w:val="0"/>
                <w:sz w:val="21"/>
                <w:szCs w:val="21"/>
                <w:lang w:val="en-US" w:eastAsia="zh-CN"/>
              </w:rPr>
              <w:t>—</w:t>
            </w:r>
            <w:r>
              <w:rPr>
                <w:rFonts w:hint="default" w:ascii="Times New Roman" w:hAnsi="Times New Roman" w:eastAsia="宋体" w:cs="Times New Roman"/>
                <w:color w:val="auto"/>
                <w:sz w:val="21"/>
                <w:szCs w:val="21"/>
              </w:rPr>
              <w:t>耗煤，t/a，本项目年耗煤量</w:t>
            </w:r>
            <w:r>
              <w:rPr>
                <w:rFonts w:hint="eastAsia" w:cs="Times New Roman"/>
                <w:color w:val="auto"/>
                <w:sz w:val="21"/>
                <w:szCs w:val="21"/>
                <w:lang w:val="en-US" w:eastAsia="zh-CN"/>
              </w:rPr>
              <w:t>2000</w:t>
            </w:r>
            <w:r>
              <w:rPr>
                <w:rFonts w:hint="default" w:ascii="Times New Roman" w:hAnsi="Times New Roman" w:eastAsia="宋体" w:cs="Times New Roman"/>
                <w:color w:val="auto"/>
                <w:sz w:val="21"/>
                <w:szCs w:val="21"/>
              </w:rPr>
              <w:t>t；</w:t>
            </w:r>
          </w:p>
          <w:p w14:paraId="3477DD98">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w:t>
            </w:r>
            <w:r>
              <w:rPr>
                <w:rFonts w:hint="default" w:ascii="Times New Roman" w:hAnsi="Times New Roman" w:eastAsia="宋体" w:cs="Times New Roman"/>
                <w:bCs/>
                <w:color w:val="auto"/>
                <w:kern w:val="0"/>
                <w:sz w:val="21"/>
                <w:szCs w:val="21"/>
                <w:lang w:val="en-US" w:eastAsia="zh-CN"/>
              </w:rPr>
              <w:t>—</w:t>
            </w:r>
            <w:r>
              <w:rPr>
                <w:rFonts w:hint="default" w:ascii="Times New Roman" w:hAnsi="Times New Roman" w:eastAsia="宋体" w:cs="Times New Roman"/>
                <w:color w:val="auto"/>
                <w:sz w:val="21"/>
                <w:szCs w:val="21"/>
              </w:rPr>
              <w:t>煤中的灰分，%</w:t>
            </w:r>
            <w:r>
              <w:rPr>
                <w:rFonts w:hint="eastAsia" w:ascii="Times New Roman" w:hAnsi="Times New Roman" w:eastAsia="宋体" w:cs="Times New Roman"/>
                <w:color w:val="auto"/>
                <w:sz w:val="21"/>
                <w:szCs w:val="21"/>
                <w:lang w:eastAsia="zh-CN"/>
              </w:rPr>
              <w:t>，</w:t>
            </w:r>
            <w:r>
              <w:rPr>
                <w:rFonts w:hint="eastAsia" w:eastAsia="宋体" w:cs="Times New Roman"/>
                <w:color w:val="auto"/>
                <w:sz w:val="21"/>
                <w:szCs w:val="21"/>
                <w:lang w:val="en-US" w:eastAsia="zh-CN"/>
              </w:rPr>
              <w:t>7.25</w:t>
            </w:r>
            <w:r>
              <w:rPr>
                <w:rFonts w:hint="default" w:ascii="Times New Roman" w:hAnsi="Times New Roman" w:eastAsia="宋体" w:cs="Times New Roman"/>
                <w:color w:val="auto"/>
                <w:sz w:val="21"/>
                <w:szCs w:val="21"/>
              </w:rPr>
              <w:t>%；</w:t>
            </w:r>
          </w:p>
          <w:p w14:paraId="506131F3">
            <w:pPr>
              <w:spacing w:line="360" w:lineRule="auto"/>
              <w:ind w:firstLine="420" w:firstLineChars="200"/>
              <w:rPr>
                <w:rFonts w:hint="eastAsia" w:ascii="Times New Roman" w:hAnsi="Times New Roman" w:eastAsia="宋体" w:cs="Times New Roman"/>
                <w:color w:val="auto"/>
                <w:sz w:val="21"/>
                <w:szCs w:val="21"/>
                <w:highlight w:val="yellow"/>
                <w:lang w:eastAsia="zh-CN"/>
              </w:rPr>
            </w:pPr>
            <w:r>
              <w:rPr>
                <w:rFonts w:hint="default" w:ascii="Times New Roman" w:hAnsi="Times New Roman" w:eastAsia="宋体" w:cs="Times New Roman"/>
                <w:color w:val="auto"/>
                <w:sz w:val="21"/>
                <w:szCs w:val="21"/>
              </w:rPr>
              <w:t>dfh</w:t>
            </w:r>
            <w:r>
              <w:rPr>
                <w:rFonts w:hint="default" w:ascii="Times New Roman" w:hAnsi="Times New Roman" w:eastAsia="宋体" w:cs="Times New Roman"/>
                <w:bCs/>
                <w:color w:val="auto"/>
                <w:kern w:val="0"/>
                <w:sz w:val="21"/>
                <w:szCs w:val="21"/>
                <w:lang w:val="en-US" w:eastAsia="zh-CN"/>
              </w:rPr>
              <w:t>—</w:t>
            </w:r>
            <w:r>
              <w:rPr>
                <w:rFonts w:hint="default" w:ascii="Times New Roman" w:hAnsi="Times New Roman" w:eastAsia="宋体" w:cs="Times New Roman"/>
                <w:color w:val="auto"/>
                <w:sz w:val="21"/>
                <w:szCs w:val="21"/>
              </w:rPr>
              <w:t>烟尘中灰分占燃烧总灰分的百分比，</w:t>
            </w:r>
            <w:r>
              <w:rPr>
                <w:rFonts w:hint="default" w:ascii="Times New Roman" w:hAnsi="Times New Roman" w:eastAsia="宋体" w:cs="Times New Roman"/>
                <w:color w:val="auto"/>
                <w:sz w:val="21"/>
                <w:szCs w:val="21"/>
                <w:highlight w:val="none"/>
                <w:shd w:val="clear" w:color="auto" w:fill="auto"/>
              </w:rPr>
              <w:t>取15%</w:t>
            </w:r>
            <w:r>
              <w:rPr>
                <w:rFonts w:hint="eastAsia" w:eastAsia="宋体" w:cs="Times New Roman"/>
                <w:color w:val="auto"/>
                <w:sz w:val="21"/>
                <w:szCs w:val="21"/>
                <w:highlight w:val="none"/>
                <w:shd w:val="clear" w:color="auto" w:fill="auto"/>
                <w:lang w:eastAsia="zh-CN"/>
              </w:rPr>
              <w:t>；</w:t>
            </w:r>
          </w:p>
          <w:p w14:paraId="531D4181">
            <w:pPr>
              <w:spacing w:line="360" w:lineRule="auto"/>
              <w:ind w:left="0" w:leftChars="0" w:firstLine="420" w:firstLineChars="200"/>
              <w:rPr>
                <w:rFonts w:hint="eastAsia" w:ascii="Times New Roman" w:hAnsi="Times New Roman" w:eastAsia="宋体" w:cs="Times New Roman"/>
                <w:color w:val="auto"/>
                <w:sz w:val="21"/>
                <w:szCs w:val="21"/>
                <w:highlight w:val="none"/>
                <w:shd w:val="clear" w:color="FFFFFF" w:fill="D9D9D9"/>
                <w:lang w:eastAsia="zh-CN"/>
              </w:rPr>
            </w:pPr>
            <w:r>
              <w:rPr>
                <w:rFonts w:hint="default" w:ascii="Times New Roman" w:hAnsi="Times New Roman" w:eastAsia="宋体" w:cs="Times New Roman"/>
                <w:color w:val="auto"/>
                <w:sz w:val="21"/>
                <w:szCs w:val="21"/>
              </w:rPr>
              <w:t>Cfh</w:t>
            </w:r>
            <w:r>
              <w:rPr>
                <w:rFonts w:hint="default" w:ascii="Times New Roman" w:hAnsi="Times New Roman" w:eastAsia="宋体" w:cs="Times New Roman"/>
                <w:bCs/>
                <w:color w:val="auto"/>
                <w:kern w:val="0"/>
                <w:sz w:val="21"/>
                <w:szCs w:val="21"/>
                <w:lang w:val="en-US" w:eastAsia="zh-CN"/>
              </w:rPr>
              <w:t>—</w:t>
            </w:r>
            <w:r>
              <w:rPr>
                <w:rFonts w:hint="eastAsia" w:cs="Times New Roman"/>
                <w:color w:val="auto"/>
                <w:sz w:val="21"/>
                <w:szCs w:val="21"/>
                <w:lang w:eastAsia="zh-CN"/>
              </w:rPr>
              <w:t>煤渣</w:t>
            </w:r>
            <w:r>
              <w:rPr>
                <w:rFonts w:hint="default" w:ascii="Times New Roman" w:hAnsi="Times New Roman" w:eastAsia="宋体" w:cs="Times New Roman"/>
                <w:color w:val="auto"/>
                <w:sz w:val="21"/>
                <w:szCs w:val="21"/>
              </w:rPr>
              <w:t>中的可燃物含量，</w:t>
            </w:r>
            <w:r>
              <w:rPr>
                <w:rFonts w:hint="default" w:ascii="Times New Roman" w:hAnsi="Times New Roman" w:eastAsia="宋体" w:cs="Times New Roman"/>
                <w:bCs/>
                <w:color w:val="auto"/>
                <w:sz w:val="21"/>
                <w:szCs w:val="21"/>
                <w:highlight w:val="none"/>
                <w:shd w:val="clear" w:color="auto" w:fill="auto"/>
              </w:rPr>
              <w:t>取25%</w:t>
            </w:r>
            <w:r>
              <w:rPr>
                <w:rFonts w:hint="eastAsia" w:eastAsia="宋体" w:cs="Times New Roman"/>
                <w:bCs/>
                <w:color w:val="auto"/>
                <w:sz w:val="21"/>
                <w:szCs w:val="21"/>
                <w:highlight w:val="none"/>
                <w:shd w:val="clear" w:color="auto" w:fill="auto"/>
                <w:lang w:eastAsia="zh-CN"/>
              </w:rPr>
              <w:t>。</w:t>
            </w:r>
          </w:p>
          <w:p w14:paraId="06841B58">
            <w:pPr>
              <w:spacing w:line="360" w:lineRule="auto"/>
              <w:ind w:firstLine="420" w:firstLineChars="200"/>
              <w:rPr>
                <w:rFonts w:eastAsia="宋体" w:cs="黑体"/>
                <w:color w:val="auto"/>
                <w:sz w:val="21"/>
                <w:szCs w:val="21"/>
              </w:rPr>
            </w:pPr>
            <w:r>
              <w:rPr>
                <w:rFonts w:hint="eastAsia" w:eastAsia="宋体" w:cs="黑体"/>
                <w:color w:val="auto"/>
                <w:sz w:val="21"/>
                <w:szCs w:val="21"/>
              </w:rPr>
              <w:t>其中</w:t>
            </w:r>
            <w:r>
              <w:rPr>
                <w:rFonts w:hint="default" w:ascii="Times New Roman" w:hAnsi="Times New Roman" w:eastAsia="宋体" w:cs="Times New Roman"/>
                <w:color w:val="auto"/>
                <w:sz w:val="21"/>
                <w:szCs w:val="21"/>
              </w:rPr>
              <w:t>W</w:t>
            </w:r>
            <w:r>
              <w:rPr>
                <w:rFonts w:hint="eastAsia" w:eastAsia="宋体" w:cs="黑体"/>
                <w:color w:val="auto"/>
                <w:sz w:val="21"/>
                <w:szCs w:val="21"/>
                <w:lang w:val="en-US" w:eastAsia="zh-CN"/>
              </w:rPr>
              <w:t>=</w:t>
            </w:r>
            <w:r>
              <w:rPr>
                <w:rFonts w:hint="eastAsia" w:cs="黑体"/>
                <w:color w:val="auto"/>
                <w:sz w:val="21"/>
                <w:szCs w:val="21"/>
                <w:lang w:val="en-US" w:eastAsia="zh-CN"/>
              </w:rPr>
              <w:t>2000</w:t>
            </w:r>
            <w:r>
              <w:rPr>
                <w:rFonts w:hint="eastAsia" w:eastAsia="宋体" w:cs="黑体"/>
                <w:color w:val="auto"/>
                <w:sz w:val="21"/>
                <w:szCs w:val="21"/>
              </w:rPr>
              <w:t>t/a</w:t>
            </w:r>
            <w:r>
              <w:rPr>
                <w:rFonts w:hint="eastAsia" w:eastAsia="宋体" w:cs="黑体"/>
                <w:color w:val="auto"/>
                <w:sz w:val="21"/>
                <w:szCs w:val="21"/>
                <w:lang w:eastAsia="zh-CN"/>
              </w:rPr>
              <w:t>，</w:t>
            </w:r>
            <w:r>
              <w:rPr>
                <w:rFonts w:hint="eastAsia" w:eastAsia="宋体" w:cs="黑体"/>
                <w:color w:val="auto"/>
                <w:sz w:val="21"/>
                <w:szCs w:val="21"/>
                <w:lang w:val="en-US" w:eastAsia="zh-CN"/>
              </w:rPr>
              <w:t>A=7.25</w:t>
            </w:r>
            <w:r>
              <w:rPr>
                <w:rFonts w:eastAsia="宋体" w:cs="黑体"/>
                <w:color w:val="auto"/>
                <w:sz w:val="21"/>
                <w:szCs w:val="21"/>
              </w:rPr>
              <w:t>%</w:t>
            </w:r>
            <w:r>
              <w:rPr>
                <w:rFonts w:hint="eastAsia" w:eastAsia="宋体" w:cs="黑体"/>
                <w:color w:val="auto"/>
                <w:sz w:val="21"/>
                <w:szCs w:val="21"/>
                <w:lang w:eastAsia="zh-CN"/>
              </w:rPr>
              <w:t>，</w:t>
            </w:r>
            <w:r>
              <w:rPr>
                <w:rFonts w:hint="default" w:ascii="Times New Roman" w:hAnsi="Times New Roman" w:eastAsia="宋体" w:cs="Times New Roman"/>
                <w:color w:val="auto"/>
                <w:sz w:val="21"/>
                <w:szCs w:val="21"/>
              </w:rPr>
              <w:t>dfh</w:t>
            </w:r>
            <w:r>
              <w:rPr>
                <w:rFonts w:hint="eastAsia" w:eastAsia="宋体" w:cs="黑体"/>
                <w:color w:val="auto"/>
                <w:sz w:val="21"/>
                <w:szCs w:val="21"/>
                <w:lang w:eastAsia="zh-CN"/>
              </w:rPr>
              <w:t>取</w:t>
            </w:r>
            <w:r>
              <w:rPr>
                <w:rFonts w:hint="eastAsia" w:eastAsia="宋体" w:cs="黑体"/>
                <w:color w:val="auto"/>
                <w:sz w:val="21"/>
                <w:szCs w:val="21"/>
                <w:lang w:val="en-US" w:eastAsia="zh-CN"/>
              </w:rPr>
              <w:t>1</w:t>
            </w:r>
            <w:r>
              <w:rPr>
                <w:rFonts w:eastAsia="宋体" w:cs="黑体"/>
                <w:color w:val="auto"/>
                <w:sz w:val="21"/>
                <w:szCs w:val="21"/>
              </w:rPr>
              <w:t>5%</w:t>
            </w:r>
            <w:r>
              <w:rPr>
                <w:rFonts w:hint="eastAsia" w:eastAsia="宋体" w:cs="黑体"/>
                <w:color w:val="auto"/>
                <w:sz w:val="21"/>
                <w:szCs w:val="21"/>
              </w:rPr>
              <w:t>，</w:t>
            </w:r>
            <w:r>
              <w:rPr>
                <w:rFonts w:hint="default" w:ascii="Times New Roman" w:hAnsi="Times New Roman" w:eastAsia="宋体" w:cs="Times New Roman"/>
                <w:color w:val="auto"/>
                <w:sz w:val="21"/>
                <w:szCs w:val="21"/>
              </w:rPr>
              <w:t>Cfh</w:t>
            </w:r>
            <w:r>
              <w:rPr>
                <w:rFonts w:hint="eastAsia" w:eastAsia="宋体" w:cs="黑体"/>
                <w:color w:val="auto"/>
                <w:sz w:val="21"/>
                <w:szCs w:val="21"/>
              </w:rPr>
              <w:t>取</w:t>
            </w:r>
            <w:r>
              <w:rPr>
                <w:rFonts w:eastAsia="宋体" w:cs="黑体"/>
                <w:color w:val="auto"/>
                <w:sz w:val="21"/>
                <w:szCs w:val="21"/>
              </w:rPr>
              <w:t>2</w:t>
            </w:r>
            <w:r>
              <w:rPr>
                <w:rFonts w:hint="eastAsia" w:eastAsia="宋体" w:cs="黑体"/>
                <w:color w:val="auto"/>
                <w:sz w:val="21"/>
                <w:szCs w:val="21"/>
                <w:lang w:val="en-US" w:eastAsia="zh-CN"/>
              </w:rPr>
              <w:t>5</w:t>
            </w:r>
            <w:r>
              <w:rPr>
                <w:rFonts w:eastAsia="宋体" w:cs="黑体"/>
                <w:color w:val="auto"/>
                <w:sz w:val="21"/>
                <w:szCs w:val="21"/>
              </w:rPr>
              <w:t>%</w:t>
            </w:r>
            <w:r>
              <w:rPr>
                <w:rFonts w:hint="eastAsia" w:eastAsia="宋体" w:cs="黑体"/>
                <w:color w:val="auto"/>
                <w:sz w:val="21"/>
                <w:szCs w:val="21"/>
              </w:rPr>
              <w:t>。带入式中得</w:t>
            </w:r>
            <w:r>
              <w:rPr>
                <w:rFonts w:hint="default" w:ascii="Times New Roman" w:hAnsi="Times New Roman" w:eastAsia="宋体" w:cs="Times New Roman"/>
                <w:bCs/>
                <w:color w:val="auto"/>
                <w:kern w:val="0"/>
                <w:sz w:val="21"/>
                <w:szCs w:val="21"/>
              </w:rPr>
              <w:t>Gd</w:t>
            </w:r>
            <w:r>
              <w:rPr>
                <w:rFonts w:eastAsia="宋体" w:cs="黑体"/>
                <w:color w:val="auto"/>
                <w:sz w:val="21"/>
                <w:szCs w:val="21"/>
              </w:rPr>
              <w:t>=</w:t>
            </w:r>
            <w:r>
              <w:rPr>
                <w:rFonts w:hint="eastAsia" w:cs="黑体"/>
                <w:color w:val="auto"/>
                <w:sz w:val="21"/>
                <w:szCs w:val="21"/>
                <w:lang w:val="en-US" w:eastAsia="zh-CN"/>
              </w:rPr>
              <w:t>21.53</w:t>
            </w:r>
            <w:r>
              <w:rPr>
                <w:rFonts w:eastAsia="宋体" w:cs="黑体"/>
                <w:color w:val="auto"/>
                <w:sz w:val="21"/>
                <w:szCs w:val="21"/>
              </w:rPr>
              <w:t>t/a</w:t>
            </w:r>
            <w:r>
              <w:rPr>
                <w:rFonts w:hint="eastAsia" w:eastAsia="宋体" w:cs="黑体"/>
                <w:color w:val="auto"/>
                <w:sz w:val="21"/>
                <w:szCs w:val="21"/>
              </w:rPr>
              <w:t>。</w:t>
            </w:r>
          </w:p>
          <w:p w14:paraId="1BF77F7F">
            <w:pPr>
              <w:spacing w:line="360" w:lineRule="auto"/>
              <w:ind w:firstLine="420" w:firstLineChars="200"/>
              <w:rPr>
                <w:rFonts w:hint="eastAsia" w:ascii="Times New Roman" w:hAnsi="Times New Roman" w:eastAsia="宋体" w:cs="Times New Roman"/>
                <w:color w:val="auto"/>
                <w:sz w:val="21"/>
                <w:szCs w:val="21"/>
                <w:lang w:val="en-US" w:eastAsia="zh-CN"/>
              </w:rPr>
            </w:pPr>
            <w:r>
              <w:rPr>
                <w:rFonts w:hint="eastAsia" w:eastAsia="宋体" w:cs="黑体"/>
                <w:color w:val="auto"/>
                <w:sz w:val="21"/>
                <w:szCs w:val="21"/>
              </w:rPr>
              <w:t>综上，</w:t>
            </w:r>
            <w:r>
              <w:rPr>
                <w:rFonts w:hint="eastAsia" w:eastAsia="宋体" w:cs="黑体"/>
                <w:color w:val="auto"/>
                <w:sz w:val="21"/>
                <w:szCs w:val="21"/>
                <w:lang w:eastAsia="zh-CN"/>
              </w:rPr>
              <w:t>烟尘</w:t>
            </w:r>
            <w:r>
              <w:rPr>
                <w:rFonts w:hint="eastAsia" w:eastAsia="宋体" w:cs="黑体"/>
                <w:color w:val="auto"/>
                <w:sz w:val="21"/>
                <w:szCs w:val="21"/>
              </w:rPr>
              <w:t>产生量</w:t>
            </w:r>
            <w:r>
              <w:rPr>
                <w:rFonts w:hint="eastAsia" w:eastAsia="宋体" w:cs="黑体"/>
                <w:color w:val="auto"/>
                <w:sz w:val="21"/>
                <w:szCs w:val="21"/>
                <w:lang w:eastAsia="zh-CN"/>
              </w:rPr>
              <w:t>为</w:t>
            </w:r>
            <w:r>
              <w:rPr>
                <w:rFonts w:hint="eastAsia" w:cs="黑体"/>
                <w:color w:val="auto"/>
                <w:sz w:val="21"/>
                <w:szCs w:val="21"/>
                <w:lang w:val="en-US" w:eastAsia="zh-CN"/>
              </w:rPr>
              <w:t>29.00</w:t>
            </w:r>
            <w:r>
              <w:rPr>
                <w:rFonts w:eastAsia="宋体" w:cs="黑体"/>
                <w:color w:val="auto"/>
                <w:sz w:val="21"/>
                <w:szCs w:val="21"/>
              </w:rPr>
              <w:t>t/a</w:t>
            </w:r>
            <w:r>
              <w:rPr>
                <w:rFonts w:hint="eastAsia" w:eastAsia="宋体" w:cs="Times New Roman"/>
                <w:color w:val="auto"/>
                <w:sz w:val="21"/>
                <w:szCs w:val="21"/>
                <w:lang w:eastAsia="zh-CN"/>
              </w:rPr>
              <w:t>。</w:t>
            </w:r>
            <w:r>
              <w:rPr>
                <w:rFonts w:hint="eastAsia" w:eastAsia="宋体" w:cs="黑体"/>
                <w:b w:val="0"/>
                <w:bCs/>
                <w:color w:val="auto"/>
                <w:sz w:val="21"/>
                <w:szCs w:val="21"/>
                <w:highlight w:val="none"/>
                <w:lang w:val="en-US" w:eastAsia="zh-CN"/>
              </w:rPr>
              <w:t>故</w:t>
            </w:r>
            <w:r>
              <w:rPr>
                <w:rFonts w:hint="eastAsia" w:cs="黑体"/>
                <w:b w:val="0"/>
                <w:bCs/>
                <w:color w:val="auto"/>
                <w:sz w:val="21"/>
                <w:szCs w:val="21"/>
                <w:highlight w:val="none"/>
                <w:lang w:val="en-US" w:eastAsia="zh-CN"/>
              </w:rPr>
              <w:t>原有</w:t>
            </w:r>
            <w:r>
              <w:rPr>
                <w:rFonts w:hint="eastAsia" w:eastAsia="宋体" w:cs="黑体"/>
                <w:b w:val="0"/>
                <w:bCs/>
                <w:color w:val="auto"/>
                <w:sz w:val="21"/>
                <w:szCs w:val="21"/>
                <w:highlight w:val="none"/>
                <w:lang w:val="en-US" w:eastAsia="zh-CN"/>
              </w:rPr>
              <w:t>项目</w:t>
            </w:r>
            <w:r>
              <w:rPr>
                <w:rFonts w:hint="default" w:ascii="Times New Roman" w:hAnsi="Times New Roman" w:eastAsia="宋体" w:cs="Times New Roman"/>
                <w:color w:val="auto"/>
                <w:sz w:val="21"/>
                <w:szCs w:val="21"/>
                <w:lang w:eastAsia="zh-CN"/>
              </w:rPr>
              <w:t>梭式窑</w:t>
            </w:r>
            <w:r>
              <w:rPr>
                <w:rFonts w:hint="eastAsia" w:eastAsia="宋体" w:cs="黑体"/>
                <w:b w:val="0"/>
                <w:bCs/>
                <w:color w:val="auto"/>
                <w:sz w:val="21"/>
                <w:szCs w:val="21"/>
                <w:lang w:eastAsia="zh-CN"/>
              </w:rPr>
              <w:t>废气</w:t>
            </w:r>
            <w:r>
              <w:rPr>
                <w:rFonts w:hint="eastAsia" w:eastAsia="宋体" w:cs="黑体"/>
                <w:b w:val="0"/>
                <w:bCs w:val="0"/>
                <w:color w:val="auto"/>
                <w:sz w:val="21"/>
                <w:szCs w:val="21"/>
                <w:lang w:val="en-US" w:eastAsia="zh-CN"/>
              </w:rPr>
              <w:t>烟尘</w:t>
            </w:r>
            <w:r>
              <w:rPr>
                <w:rFonts w:hint="eastAsia" w:cs="黑体"/>
                <w:b w:val="0"/>
                <w:bCs w:val="0"/>
                <w:color w:val="auto"/>
                <w:sz w:val="21"/>
                <w:szCs w:val="21"/>
                <w:lang w:val="en-US" w:eastAsia="zh-CN"/>
              </w:rPr>
              <w:t>无组织</w:t>
            </w:r>
            <w:r>
              <w:rPr>
                <w:rFonts w:hint="eastAsia" w:eastAsia="宋体" w:cs="黑体"/>
                <w:b w:val="0"/>
                <w:bCs w:val="0"/>
                <w:color w:val="auto"/>
                <w:sz w:val="21"/>
                <w:szCs w:val="21"/>
              </w:rPr>
              <w:t>排放量为</w:t>
            </w:r>
            <w:r>
              <w:rPr>
                <w:rFonts w:hint="eastAsia" w:cs="黑体"/>
                <w:b w:val="0"/>
                <w:bCs w:val="0"/>
                <w:color w:val="auto"/>
                <w:sz w:val="21"/>
                <w:szCs w:val="21"/>
                <w:lang w:val="en-US" w:eastAsia="zh-CN"/>
              </w:rPr>
              <w:t>29.00</w:t>
            </w:r>
            <w:r>
              <w:rPr>
                <w:rFonts w:hint="eastAsia" w:eastAsia="宋体" w:cs="黑体"/>
                <w:b w:val="0"/>
                <w:bCs w:val="0"/>
                <w:color w:val="auto"/>
                <w:sz w:val="21"/>
                <w:szCs w:val="21"/>
              </w:rPr>
              <w:t>t/a</w:t>
            </w:r>
            <w:r>
              <w:rPr>
                <w:rFonts w:hint="eastAsia" w:eastAsia="宋体" w:cs="黑体"/>
                <w:b w:val="0"/>
                <w:bCs w:val="0"/>
                <w:color w:val="auto"/>
                <w:sz w:val="21"/>
                <w:szCs w:val="21"/>
                <w:lang w:eastAsia="zh-CN"/>
              </w:rPr>
              <w:t>。</w:t>
            </w:r>
          </w:p>
          <w:p w14:paraId="6042ED77">
            <w:pPr>
              <w:spacing w:line="360" w:lineRule="auto"/>
              <w:ind w:firstLine="422" w:firstLineChars="200"/>
              <w:rPr>
                <w:rFonts w:hint="default" w:ascii="Times New Roman" w:hAnsi="Times New Roman" w:eastAsia="宋体" w:cs="Times New Roman"/>
                <w:b/>
                <w:bCs/>
                <w:color w:val="auto"/>
                <w:sz w:val="21"/>
                <w:szCs w:val="21"/>
              </w:rPr>
            </w:pPr>
            <w:r>
              <w:rPr>
                <w:rFonts w:hint="eastAsia" w:eastAsia="宋体" w:cs="黑体"/>
                <w:b/>
                <w:bCs/>
                <w:color w:val="auto"/>
                <w:sz w:val="21"/>
                <w:szCs w:val="21"/>
                <w:lang w:val="en-US" w:eastAsia="zh-CN"/>
              </w:rPr>
              <w:t>2</w:t>
            </w:r>
            <w:r>
              <w:rPr>
                <w:rFonts w:hint="eastAsia" w:eastAsia="宋体" w:cs="黑体"/>
                <w:b/>
                <w:bCs/>
                <w:color w:val="auto"/>
                <w:sz w:val="21"/>
                <w:szCs w:val="21"/>
                <w:lang w:eastAsia="zh-CN"/>
              </w:rPr>
              <w:t>）</w:t>
            </w:r>
            <w:r>
              <w:rPr>
                <w:rFonts w:hint="eastAsia" w:eastAsia="宋体" w:cs="黑体"/>
                <w:b/>
                <w:bCs/>
                <w:color w:val="auto"/>
                <w:sz w:val="21"/>
                <w:szCs w:val="21"/>
                <w:lang w:val="en-US" w:eastAsia="zh-CN"/>
              </w:rPr>
              <w:t>SO</w:t>
            </w:r>
            <w:r>
              <w:rPr>
                <w:rFonts w:hint="eastAsia" w:eastAsia="宋体" w:cs="黑体"/>
                <w:b/>
                <w:bCs/>
                <w:color w:val="auto"/>
                <w:sz w:val="21"/>
                <w:szCs w:val="21"/>
                <w:vertAlign w:val="subscript"/>
                <w:lang w:val="en-US" w:eastAsia="zh-CN"/>
              </w:rPr>
              <w:t>2</w:t>
            </w:r>
          </w:p>
          <w:p w14:paraId="13DA86AF">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r>
              <w:rPr>
                <w:rFonts w:hint="eastAsia" w:eastAsia="宋体" w:cs="Times New Roman"/>
                <w:color w:val="auto"/>
                <w:sz w:val="21"/>
                <w:szCs w:val="21"/>
                <w:lang w:eastAsia="zh-CN"/>
              </w:rPr>
              <w:t>排放</w:t>
            </w:r>
            <w:r>
              <w:rPr>
                <w:rFonts w:hint="default" w:ascii="Times New Roman" w:hAnsi="Times New Roman" w:eastAsia="宋体" w:cs="Times New Roman"/>
                <w:color w:val="auto"/>
                <w:sz w:val="21"/>
                <w:szCs w:val="21"/>
              </w:rPr>
              <w:t>量计算公式：</w:t>
            </w:r>
          </w:p>
          <w:p w14:paraId="4A0F02CB">
            <w:pPr>
              <w:spacing w:line="360" w:lineRule="auto"/>
              <w:ind w:firstLine="420" w:firstLineChars="20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G</w:t>
            </w:r>
            <w:r>
              <w:rPr>
                <w:rFonts w:hint="default" w:ascii="Times New Roman" w:hAnsi="Times New Roman" w:eastAsia="宋体" w:cs="Times New Roman"/>
                <w:bCs/>
                <w:color w:val="auto"/>
                <w:sz w:val="21"/>
                <w:szCs w:val="21"/>
                <w:vertAlign w:val="subscript"/>
              </w:rPr>
              <w:t>SO2</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color w:val="auto"/>
                <w:spacing w:val="-2"/>
                <w:sz w:val="21"/>
                <w:szCs w:val="21"/>
              </w:rPr>
              <w:t>W×2×S×P</w:t>
            </w:r>
            <w:r>
              <w:rPr>
                <w:rFonts w:hint="default" w:ascii="Times New Roman" w:hAnsi="Times New Roman" w:eastAsia="宋体" w:cs="Times New Roman"/>
                <w:bCs/>
                <w:color w:val="auto"/>
                <w:sz w:val="21"/>
                <w:szCs w:val="21"/>
              </w:rPr>
              <w:t xml:space="preserve"> </w:t>
            </w:r>
            <w:r>
              <w:rPr>
                <w:rFonts w:hint="default" w:ascii="Times New Roman" w:hAnsi="Times New Roman" w:eastAsia="宋体" w:cs="Times New Roman"/>
                <w:color w:val="auto"/>
                <w:spacing w:val="-2"/>
                <w:sz w:val="21"/>
                <w:szCs w:val="21"/>
              </w:rPr>
              <w:t>×</w:t>
            </w:r>
            <w:r>
              <w:rPr>
                <w:rFonts w:hint="default" w:ascii="Times New Roman" w:hAnsi="Times New Roman" w:eastAsia="宋体" w:cs="Times New Roman"/>
                <w:bCs/>
                <w:color w:val="auto"/>
                <w:sz w:val="21"/>
                <w:szCs w:val="21"/>
              </w:rPr>
              <w:t>(1-η)</w:t>
            </w:r>
          </w:p>
          <w:p w14:paraId="015DE0C8">
            <w:pPr>
              <w:spacing w:line="360" w:lineRule="auto"/>
              <w:ind w:firstLine="420" w:firstLineChars="20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式中：</w:t>
            </w:r>
          </w:p>
          <w:p w14:paraId="6931E6A9">
            <w:pPr>
              <w:spacing w:line="360" w:lineRule="auto"/>
              <w:ind w:firstLine="420" w:firstLineChars="20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G</w:t>
            </w:r>
            <w:r>
              <w:rPr>
                <w:rFonts w:hint="default" w:ascii="Times New Roman" w:hAnsi="Times New Roman" w:eastAsia="宋体" w:cs="Times New Roman"/>
                <w:bCs/>
                <w:color w:val="auto"/>
                <w:sz w:val="21"/>
                <w:szCs w:val="21"/>
                <w:vertAlign w:val="subscript"/>
              </w:rPr>
              <w:t>SO2</w:t>
            </w:r>
            <w:r>
              <w:rPr>
                <w:rFonts w:hint="default" w:ascii="Times New Roman" w:hAnsi="Times New Roman" w:eastAsia="宋体" w:cs="Times New Roman"/>
                <w:bCs/>
                <w:color w:val="auto"/>
                <w:kern w:val="0"/>
                <w:sz w:val="21"/>
                <w:szCs w:val="21"/>
                <w:lang w:val="en-US" w:eastAsia="zh-CN"/>
              </w:rPr>
              <w:t>—</w:t>
            </w:r>
            <w:r>
              <w:rPr>
                <w:rFonts w:hint="default" w:ascii="Times New Roman" w:hAnsi="Times New Roman" w:eastAsia="宋体" w:cs="Times New Roman"/>
                <w:bCs/>
                <w:color w:val="auto"/>
                <w:sz w:val="21"/>
                <w:szCs w:val="21"/>
              </w:rPr>
              <w:t>SO</w:t>
            </w:r>
            <w:r>
              <w:rPr>
                <w:rFonts w:hint="default" w:ascii="Times New Roman" w:hAnsi="Times New Roman" w:eastAsia="宋体" w:cs="Times New Roman"/>
                <w:bCs/>
                <w:color w:val="auto"/>
                <w:sz w:val="21"/>
                <w:szCs w:val="21"/>
                <w:vertAlign w:val="subscript"/>
              </w:rPr>
              <w:t>2</w:t>
            </w:r>
            <w:r>
              <w:rPr>
                <w:rFonts w:hint="default" w:ascii="Times New Roman" w:hAnsi="Times New Roman" w:eastAsia="宋体" w:cs="Times New Roman"/>
                <w:bCs/>
                <w:color w:val="auto"/>
                <w:sz w:val="21"/>
                <w:szCs w:val="21"/>
              </w:rPr>
              <w:t>排放量，t/a；</w:t>
            </w:r>
          </w:p>
          <w:p w14:paraId="3113A02A">
            <w:pPr>
              <w:spacing w:line="360" w:lineRule="auto"/>
              <w:ind w:firstLine="420" w:firstLineChars="200"/>
              <w:rPr>
                <w:rFonts w:hint="default" w:ascii="Times New Roman" w:hAnsi="Times New Roman" w:eastAsia="黑体" w:cs="Times New Roman"/>
                <w:color w:val="auto"/>
                <w:sz w:val="21"/>
                <w:szCs w:val="21"/>
              </w:rPr>
            </w:pPr>
            <w:r>
              <w:rPr>
                <w:rFonts w:hint="default" w:ascii="Times New Roman" w:hAnsi="Times New Roman" w:eastAsia="宋体" w:cs="Times New Roman"/>
                <w:color w:val="auto"/>
                <w:sz w:val="21"/>
                <w:szCs w:val="21"/>
              </w:rPr>
              <w:t>W</w:t>
            </w:r>
            <w:r>
              <w:rPr>
                <w:rFonts w:hint="default" w:ascii="Times New Roman" w:hAnsi="Times New Roman" w:eastAsia="宋体" w:cs="Times New Roman"/>
                <w:bCs/>
                <w:color w:val="auto"/>
                <w:kern w:val="0"/>
                <w:sz w:val="21"/>
                <w:szCs w:val="21"/>
                <w:lang w:val="en-US" w:eastAsia="zh-CN"/>
              </w:rPr>
              <w:t>—</w:t>
            </w:r>
            <w:r>
              <w:rPr>
                <w:rFonts w:hint="default" w:ascii="Times New Roman" w:hAnsi="Times New Roman" w:eastAsia="宋体" w:cs="Times New Roman"/>
                <w:color w:val="auto"/>
                <w:sz w:val="21"/>
                <w:szCs w:val="21"/>
              </w:rPr>
              <w:t>耗煤量，</w:t>
            </w:r>
            <w:r>
              <w:rPr>
                <w:rFonts w:hint="eastAsia" w:cs="Times New Roman"/>
                <w:color w:val="auto"/>
                <w:sz w:val="21"/>
                <w:szCs w:val="21"/>
                <w:lang w:val="en-US" w:eastAsia="zh-CN"/>
              </w:rPr>
              <w:t>2000</w:t>
            </w:r>
            <w:r>
              <w:rPr>
                <w:rFonts w:hint="default" w:ascii="Times New Roman" w:hAnsi="Times New Roman" w:eastAsia="黑体" w:cs="Times New Roman"/>
                <w:color w:val="auto"/>
                <w:sz w:val="21"/>
                <w:szCs w:val="21"/>
              </w:rPr>
              <w:t>t/a；</w:t>
            </w:r>
          </w:p>
          <w:p w14:paraId="7B6DA4A2">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t>
            </w:r>
            <w:r>
              <w:rPr>
                <w:rFonts w:hint="default" w:ascii="Times New Roman" w:hAnsi="Times New Roman" w:eastAsia="宋体" w:cs="Times New Roman"/>
                <w:bCs/>
                <w:color w:val="auto"/>
                <w:kern w:val="0"/>
                <w:sz w:val="21"/>
                <w:szCs w:val="21"/>
                <w:lang w:val="en-US" w:eastAsia="zh-CN"/>
              </w:rPr>
              <w:t>—</w:t>
            </w:r>
            <w:r>
              <w:rPr>
                <w:rFonts w:hint="default" w:ascii="Times New Roman" w:hAnsi="Times New Roman" w:eastAsia="宋体" w:cs="Times New Roman"/>
                <w:color w:val="auto"/>
                <w:sz w:val="21"/>
                <w:szCs w:val="21"/>
              </w:rPr>
              <w:t>煤中含硫量，0.</w:t>
            </w:r>
            <w:r>
              <w:rPr>
                <w:rFonts w:hint="eastAsia" w:eastAsia="宋体" w:cs="Times New Roman"/>
                <w:color w:val="auto"/>
                <w:sz w:val="21"/>
                <w:szCs w:val="21"/>
                <w:lang w:val="en-US" w:eastAsia="zh-CN"/>
              </w:rPr>
              <w:t>47</w:t>
            </w:r>
            <w:r>
              <w:rPr>
                <w:rFonts w:hint="default" w:ascii="Times New Roman" w:hAnsi="Times New Roman" w:eastAsia="宋体" w:cs="Times New Roman"/>
                <w:color w:val="auto"/>
                <w:sz w:val="21"/>
                <w:szCs w:val="21"/>
              </w:rPr>
              <w:t>%；</w:t>
            </w:r>
          </w:p>
          <w:p w14:paraId="33FD73CE">
            <w:pPr>
              <w:spacing w:line="360" w:lineRule="auto"/>
              <w:ind w:left="0" w:leftChars="0"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w:t>
            </w:r>
            <w:r>
              <w:rPr>
                <w:rFonts w:hint="default" w:ascii="Times New Roman" w:hAnsi="Times New Roman" w:eastAsia="宋体" w:cs="Times New Roman"/>
                <w:bCs/>
                <w:color w:val="auto"/>
                <w:kern w:val="0"/>
                <w:sz w:val="21"/>
                <w:szCs w:val="21"/>
                <w:lang w:val="en-US" w:eastAsia="zh-CN"/>
              </w:rPr>
              <w:t>—</w:t>
            </w:r>
            <w:r>
              <w:rPr>
                <w:rFonts w:hint="default" w:ascii="Times New Roman" w:hAnsi="Times New Roman" w:eastAsia="宋体" w:cs="Times New Roman"/>
                <w:color w:val="auto"/>
                <w:sz w:val="21"/>
                <w:szCs w:val="21"/>
              </w:rPr>
              <w:t>燃烧中硫转化为SO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的转化率，本项目取0.8。</w:t>
            </w:r>
          </w:p>
          <w:p w14:paraId="054DA8AE">
            <w:pPr>
              <w:spacing w:line="360" w:lineRule="auto"/>
              <w:ind w:firstLine="420" w:firstLineChars="20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η</w:t>
            </w:r>
            <w:r>
              <w:rPr>
                <w:rFonts w:hint="default" w:ascii="Times New Roman" w:hAnsi="Times New Roman" w:eastAsia="宋体" w:cs="Times New Roman"/>
                <w:bCs/>
                <w:color w:val="auto"/>
                <w:kern w:val="0"/>
                <w:sz w:val="21"/>
                <w:szCs w:val="21"/>
                <w:lang w:val="en-US" w:eastAsia="zh-CN"/>
              </w:rPr>
              <w:t>—</w:t>
            </w:r>
            <w:r>
              <w:rPr>
                <w:rFonts w:hint="eastAsia" w:eastAsia="宋体" w:cs="Times New Roman"/>
                <w:bCs/>
                <w:color w:val="auto"/>
                <w:sz w:val="21"/>
                <w:szCs w:val="21"/>
                <w:lang w:eastAsia="zh-CN"/>
              </w:rPr>
              <w:t>脱硫塔</w:t>
            </w:r>
            <w:r>
              <w:rPr>
                <w:rFonts w:hint="default" w:ascii="Times New Roman" w:hAnsi="Times New Roman" w:eastAsia="宋体" w:cs="Times New Roman"/>
                <w:bCs/>
                <w:color w:val="auto"/>
                <w:sz w:val="21"/>
                <w:szCs w:val="21"/>
              </w:rPr>
              <w:t>脱硫效率，</w:t>
            </w:r>
            <w:r>
              <w:rPr>
                <w:rFonts w:hint="eastAsia" w:eastAsia="宋体" w:cs="黑体"/>
                <w:b w:val="0"/>
                <w:bCs w:val="0"/>
                <w:color w:val="auto"/>
                <w:sz w:val="21"/>
                <w:szCs w:val="21"/>
                <w:lang w:eastAsia="zh-CN"/>
              </w:rPr>
              <w:t>石灰-石膏湿法脱硫</w:t>
            </w:r>
            <w:r>
              <w:rPr>
                <w:rFonts w:hint="default" w:ascii="Times New Roman" w:hAnsi="Times New Roman" w:eastAsia="宋体" w:cs="Times New Roman"/>
                <w:bCs/>
                <w:color w:val="auto"/>
                <w:sz w:val="21"/>
                <w:szCs w:val="21"/>
              </w:rPr>
              <w:t>效率</w:t>
            </w:r>
            <w:r>
              <w:rPr>
                <w:rFonts w:hint="eastAsia" w:eastAsia="宋体" w:cs="Times New Roman"/>
                <w:bCs/>
                <w:color w:val="auto"/>
                <w:sz w:val="21"/>
                <w:szCs w:val="21"/>
                <w:lang w:eastAsia="zh-CN"/>
              </w:rPr>
              <w:t>取</w:t>
            </w:r>
            <w:r>
              <w:rPr>
                <w:rFonts w:hint="eastAsia" w:eastAsia="宋体" w:cs="Times New Roman"/>
                <w:bCs/>
                <w:color w:val="auto"/>
                <w:sz w:val="21"/>
                <w:szCs w:val="21"/>
                <w:lang w:val="en-US" w:eastAsia="zh-CN"/>
              </w:rPr>
              <w:t>90</w:t>
            </w:r>
            <w:r>
              <w:rPr>
                <w:rFonts w:hint="default" w:ascii="Times New Roman" w:hAnsi="Times New Roman" w:eastAsia="宋体" w:cs="Times New Roman"/>
                <w:bCs/>
                <w:color w:val="auto"/>
                <w:sz w:val="21"/>
                <w:szCs w:val="21"/>
              </w:rPr>
              <w:t>%。</w:t>
            </w:r>
          </w:p>
          <w:p w14:paraId="3B3E1C62">
            <w:pPr>
              <w:spacing w:line="360" w:lineRule="auto"/>
              <w:ind w:firstLine="420" w:firstLineChars="200"/>
              <w:rPr>
                <w:rFonts w:eastAsia="宋体" w:cs="黑体"/>
                <w:color w:val="auto"/>
                <w:sz w:val="21"/>
                <w:szCs w:val="21"/>
              </w:rPr>
            </w:pPr>
            <w:r>
              <w:rPr>
                <w:rFonts w:hint="eastAsia" w:eastAsia="宋体" w:cs="黑体"/>
                <w:color w:val="auto"/>
                <w:sz w:val="21"/>
                <w:szCs w:val="21"/>
              </w:rPr>
              <w:t>其中</w:t>
            </w:r>
            <w:r>
              <w:rPr>
                <w:rFonts w:hint="default" w:ascii="Times New Roman" w:hAnsi="Times New Roman" w:eastAsia="宋体" w:cs="Times New Roman"/>
                <w:color w:val="auto"/>
                <w:sz w:val="21"/>
                <w:szCs w:val="21"/>
              </w:rPr>
              <w:t>W</w:t>
            </w:r>
            <w:r>
              <w:rPr>
                <w:rFonts w:hint="eastAsia" w:eastAsia="宋体" w:cs="黑体"/>
                <w:color w:val="auto"/>
                <w:sz w:val="21"/>
                <w:szCs w:val="21"/>
                <w:lang w:val="en-US" w:eastAsia="zh-CN"/>
              </w:rPr>
              <w:t>=</w:t>
            </w:r>
            <w:r>
              <w:rPr>
                <w:rFonts w:hint="eastAsia" w:cs="Times New Roman"/>
                <w:color w:val="auto"/>
                <w:sz w:val="21"/>
                <w:szCs w:val="21"/>
                <w:lang w:val="en-US" w:eastAsia="zh-CN"/>
              </w:rPr>
              <w:t>2000</w:t>
            </w:r>
            <w:r>
              <w:rPr>
                <w:rFonts w:hint="eastAsia" w:eastAsia="宋体" w:cs="黑体"/>
                <w:color w:val="auto"/>
                <w:sz w:val="21"/>
                <w:szCs w:val="21"/>
              </w:rPr>
              <w:t>t/a</w:t>
            </w:r>
            <w:r>
              <w:rPr>
                <w:rFonts w:hint="eastAsia" w:eastAsia="宋体" w:cs="黑体"/>
                <w:color w:val="auto"/>
                <w:sz w:val="21"/>
                <w:szCs w:val="21"/>
                <w:lang w:eastAsia="zh-CN"/>
              </w:rPr>
              <w:t>，</w:t>
            </w:r>
            <w:r>
              <w:rPr>
                <w:rFonts w:hint="default" w:ascii="Times New Roman" w:hAnsi="Times New Roman" w:eastAsia="宋体" w:cs="Times New Roman"/>
                <w:color w:val="auto"/>
                <w:sz w:val="21"/>
                <w:szCs w:val="21"/>
              </w:rPr>
              <w:t>S</w:t>
            </w:r>
            <w:r>
              <w:rPr>
                <w:rFonts w:hint="eastAsia" w:eastAsia="宋体" w:cs="黑体"/>
                <w:color w:val="auto"/>
                <w:sz w:val="21"/>
                <w:szCs w:val="21"/>
                <w:lang w:val="en-US" w:eastAsia="zh-CN"/>
              </w:rPr>
              <w:t>=0.47</w:t>
            </w:r>
            <w:r>
              <w:rPr>
                <w:rFonts w:eastAsia="宋体" w:cs="黑体"/>
                <w:color w:val="auto"/>
                <w:sz w:val="21"/>
                <w:szCs w:val="21"/>
              </w:rPr>
              <w:t>%</w:t>
            </w:r>
            <w:r>
              <w:rPr>
                <w:rFonts w:hint="eastAsia" w:eastAsia="宋体" w:cs="黑体"/>
                <w:color w:val="auto"/>
                <w:sz w:val="21"/>
                <w:szCs w:val="21"/>
                <w:lang w:eastAsia="zh-CN"/>
              </w:rPr>
              <w:t>，</w:t>
            </w:r>
            <w:r>
              <w:rPr>
                <w:rFonts w:hint="default" w:ascii="Times New Roman" w:hAnsi="Times New Roman" w:eastAsia="宋体" w:cs="Times New Roman"/>
                <w:color w:val="auto"/>
                <w:sz w:val="21"/>
                <w:szCs w:val="21"/>
              </w:rPr>
              <w:t>P</w:t>
            </w:r>
            <w:r>
              <w:rPr>
                <w:rFonts w:hint="eastAsia" w:eastAsia="宋体" w:cs="黑体"/>
                <w:color w:val="auto"/>
                <w:sz w:val="21"/>
                <w:szCs w:val="21"/>
                <w:lang w:eastAsia="zh-CN"/>
              </w:rPr>
              <w:t>取</w:t>
            </w:r>
            <w:r>
              <w:rPr>
                <w:rFonts w:hint="eastAsia" w:eastAsia="宋体" w:cs="黑体"/>
                <w:color w:val="auto"/>
                <w:sz w:val="21"/>
                <w:szCs w:val="21"/>
                <w:lang w:val="en-US" w:eastAsia="zh-CN"/>
              </w:rPr>
              <w:t>0.8</w:t>
            </w:r>
            <w:r>
              <w:rPr>
                <w:rFonts w:hint="eastAsia" w:eastAsia="宋体" w:cs="黑体"/>
                <w:color w:val="auto"/>
                <w:sz w:val="21"/>
                <w:szCs w:val="21"/>
              </w:rPr>
              <w:t>，</w:t>
            </w:r>
            <w:r>
              <w:rPr>
                <w:rFonts w:hint="default" w:ascii="Times New Roman" w:hAnsi="Times New Roman" w:eastAsia="宋体" w:cs="Times New Roman"/>
                <w:bCs/>
                <w:color w:val="auto"/>
                <w:sz w:val="21"/>
                <w:szCs w:val="21"/>
              </w:rPr>
              <w:t>η</w:t>
            </w:r>
            <w:r>
              <w:rPr>
                <w:rFonts w:hint="eastAsia" w:eastAsia="宋体" w:cs="黑体"/>
                <w:color w:val="auto"/>
                <w:sz w:val="21"/>
                <w:szCs w:val="21"/>
              </w:rPr>
              <w:t>取</w:t>
            </w:r>
            <w:r>
              <w:rPr>
                <w:rFonts w:hint="eastAsia" w:cs="黑体"/>
                <w:color w:val="auto"/>
                <w:sz w:val="21"/>
                <w:szCs w:val="21"/>
                <w:lang w:val="en-US" w:eastAsia="zh-CN"/>
              </w:rPr>
              <w:t>0</w:t>
            </w:r>
            <w:r>
              <w:rPr>
                <w:rFonts w:eastAsia="宋体" w:cs="黑体"/>
                <w:color w:val="auto"/>
                <w:sz w:val="21"/>
                <w:szCs w:val="21"/>
              </w:rPr>
              <w:t>%</w:t>
            </w:r>
            <w:r>
              <w:rPr>
                <w:rFonts w:hint="eastAsia" w:eastAsia="宋体" w:cs="黑体"/>
                <w:color w:val="auto"/>
                <w:sz w:val="21"/>
                <w:szCs w:val="21"/>
              </w:rPr>
              <w:t>。带入式中得</w:t>
            </w:r>
            <w:r>
              <w:rPr>
                <w:rFonts w:hint="default" w:ascii="Times New Roman" w:hAnsi="Times New Roman" w:eastAsia="宋体" w:cs="Times New Roman"/>
                <w:bCs/>
                <w:color w:val="auto"/>
                <w:sz w:val="21"/>
                <w:szCs w:val="21"/>
              </w:rPr>
              <w:t>G</w:t>
            </w:r>
            <w:r>
              <w:rPr>
                <w:rFonts w:hint="default" w:ascii="Times New Roman" w:hAnsi="Times New Roman" w:eastAsia="宋体" w:cs="Times New Roman"/>
                <w:bCs/>
                <w:color w:val="auto"/>
                <w:sz w:val="21"/>
                <w:szCs w:val="21"/>
                <w:vertAlign w:val="subscript"/>
              </w:rPr>
              <w:t>SO2</w:t>
            </w:r>
            <w:r>
              <w:rPr>
                <w:rFonts w:eastAsia="宋体" w:cs="黑体"/>
                <w:color w:val="auto"/>
                <w:sz w:val="21"/>
                <w:szCs w:val="21"/>
              </w:rPr>
              <w:t>=</w:t>
            </w:r>
            <w:r>
              <w:rPr>
                <w:rFonts w:hint="eastAsia" w:cs="黑体"/>
                <w:color w:val="auto"/>
                <w:sz w:val="21"/>
                <w:szCs w:val="21"/>
                <w:lang w:val="en-US" w:eastAsia="zh-CN"/>
              </w:rPr>
              <w:t>18.8</w:t>
            </w:r>
            <w:r>
              <w:rPr>
                <w:rFonts w:eastAsia="宋体" w:cs="黑体"/>
                <w:color w:val="auto"/>
                <w:sz w:val="21"/>
                <w:szCs w:val="21"/>
              </w:rPr>
              <w:t>t/a</w:t>
            </w:r>
            <w:r>
              <w:rPr>
                <w:rFonts w:hint="eastAsia" w:eastAsia="宋体" w:cs="黑体"/>
                <w:color w:val="auto"/>
                <w:sz w:val="21"/>
                <w:szCs w:val="21"/>
              </w:rPr>
              <w:t>。</w:t>
            </w:r>
          </w:p>
          <w:p w14:paraId="074E9E91">
            <w:pPr>
              <w:bidi w:val="0"/>
              <w:spacing w:line="360" w:lineRule="auto"/>
              <w:ind w:firstLine="420" w:firstLineChars="200"/>
              <w:rPr>
                <w:rFonts w:hint="eastAsia" w:eastAsia="宋体" w:cs="黑体"/>
                <w:color w:val="auto"/>
                <w:sz w:val="21"/>
                <w:szCs w:val="21"/>
                <w:lang w:eastAsia="zh-CN"/>
              </w:rPr>
            </w:pPr>
            <w:r>
              <w:rPr>
                <w:rFonts w:hint="eastAsia" w:eastAsia="宋体" w:cs="黑体"/>
                <w:color w:val="auto"/>
                <w:sz w:val="21"/>
                <w:szCs w:val="21"/>
              </w:rPr>
              <w:t>综上，</w:t>
            </w:r>
            <w:r>
              <w:rPr>
                <w:rFonts w:hint="eastAsia" w:cs="黑体"/>
                <w:color w:val="auto"/>
                <w:sz w:val="21"/>
                <w:szCs w:val="21"/>
                <w:lang w:val="en-US" w:eastAsia="zh-CN"/>
              </w:rPr>
              <w:t>原有项目</w:t>
            </w:r>
            <w:r>
              <w:rPr>
                <w:rFonts w:hint="eastAsia" w:eastAsia="宋体" w:cs="黑体"/>
                <w:b w:val="0"/>
                <w:bCs w:val="0"/>
                <w:color w:val="auto"/>
                <w:sz w:val="21"/>
                <w:szCs w:val="21"/>
                <w:lang w:val="en-US" w:eastAsia="zh-CN"/>
              </w:rPr>
              <w:t>SO</w:t>
            </w:r>
            <w:r>
              <w:rPr>
                <w:rFonts w:hint="eastAsia" w:eastAsia="宋体" w:cs="黑体"/>
                <w:b w:val="0"/>
                <w:bCs w:val="0"/>
                <w:color w:val="auto"/>
                <w:sz w:val="21"/>
                <w:szCs w:val="21"/>
                <w:vertAlign w:val="subscript"/>
                <w:lang w:val="en-US" w:eastAsia="zh-CN"/>
              </w:rPr>
              <w:t>2</w:t>
            </w:r>
            <w:r>
              <w:rPr>
                <w:rFonts w:hint="default" w:ascii="Times New Roman" w:hAnsi="Times New Roman" w:eastAsia="宋体" w:cs="Times New Roman"/>
                <w:bCs/>
                <w:color w:val="auto"/>
                <w:sz w:val="21"/>
                <w:szCs w:val="21"/>
              </w:rPr>
              <w:t>排放</w:t>
            </w:r>
            <w:r>
              <w:rPr>
                <w:rFonts w:hint="eastAsia" w:eastAsia="宋体" w:cs="黑体"/>
                <w:color w:val="auto"/>
                <w:sz w:val="21"/>
                <w:szCs w:val="21"/>
              </w:rPr>
              <w:t>量</w:t>
            </w:r>
            <w:r>
              <w:rPr>
                <w:rFonts w:hint="eastAsia" w:eastAsia="宋体" w:cs="黑体"/>
                <w:color w:val="auto"/>
                <w:sz w:val="21"/>
                <w:szCs w:val="21"/>
                <w:lang w:eastAsia="zh-CN"/>
              </w:rPr>
              <w:t>为</w:t>
            </w:r>
            <w:r>
              <w:rPr>
                <w:rFonts w:hint="eastAsia" w:cs="黑体"/>
                <w:color w:val="auto"/>
                <w:sz w:val="21"/>
                <w:szCs w:val="21"/>
                <w:lang w:val="en-US" w:eastAsia="zh-CN"/>
              </w:rPr>
              <w:t>18.8</w:t>
            </w:r>
            <w:r>
              <w:rPr>
                <w:rFonts w:eastAsia="宋体" w:cs="黑体"/>
                <w:color w:val="auto"/>
                <w:sz w:val="21"/>
                <w:szCs w:val="21"/>
              </w:rPr>
              <w:t>t/a</w:t>
            </w:r>
            <w:r>
              <w:rPr>
                <w:rFonts w:hint="eastAsia" w:eastAsia="宋体" w:cs="Times New Roman"/>
                <w:color w:val="auto"/>
                <w:sz w:val="21"/>
                <w:szCs w:val="21"/>
                <w:lang w:eastAsia="zh-CN"/>
              </w:rPr>
              <w:t>。</w:t>
            </w:r>
          </w:p>
          <w:p w14:paraId="33E113D1">
            <w:pPr>
              <w:spacing w:line="360" w:lineRule="auto"/>
              <w:ind w:firstLine="422" w:firstLineChars="200"/>
              <w:jc w:val="left"/>
              <w:rPr>
                <w:rFonts w:hint="default" w:eastAsia="宋体" w:cs="黑体"/>
                <w:b/>
                <w:bCs/>
                <w:color w:val="auto"/>
                <w:sz w:val="21"/>
                <w:szCs w:val="21"/>
                <w:lang w:val="en-US" w:eastAsia="zh-CN"/>
              </w:rPr>
            </w:pPr>
            <w:r>
              <w:rPr>
                <w:rFonts w:hint="eastAsia" w:eastAsia="宋体" w:cs="黑体"/>
                <w:b/>
                <w:bCs/>
                <w:color w:val="auto"/>
                <w:sz w:val="21"/>
                <w:szCs w:val="21"/>
                <w:lang w:val="en-US" w:eastAsia="zh-CN"/>
              </w:rPr>
              <w:t>3）NO</w:t>
            </w:r>
            <w:r>
              <w:rPr>
                <w:rFonts w:hint="eastAsia" w:eastAsia="宋体" w:cs="黑体"/>
                <w:b/>
                <w:bCs/>
                <w:color w:val="auto"/>
                <w:sz w:val="21"/>
                <w:szCs w:val="21"/>
                <w:vertAlign w:val="subscript"/>
                <w:lang w:val="en-US" w:eastAsia="zh-CN"/>
              </w:rPr>
              <w:t>x</w:t>
            </w:r>
          </w:p>
          <w:p w14:paraId="595F99AC">
            <w:pPr>
              <w:spacing w:line="360" w:lineRule="auto"/>
              <w:ind w:firstLine="420" w:firstLineChars="200"/>
              <w:jc w:val="left"/>
              <w:rPr>
                <w:rFonts w:hint="eastAsia" w:eastAsia="宋体" w:cs="黑体"/>
                <w:b w:val="0"/>
                <w:bCs w:val="0"/>
                <w:color w:val="auto"/>
                <w:sz w:val="21"/>
                <w:szCs w:val="21"/>
                <w:lang w:val="en-US" w:eastAsia="zh-CN"/>
              </w:rPr>
            </w:pPr>
            <w:r>
              <w:rPr>
                <w:rFonts w:hint="eastAsia" w:eastAsia="宋体" w:cs="黑体"/>
                <w:b w:val="0"/>
                <w:bCs w:val="0"/>
                <w:color w:val="auto"/>
                <w:sz w:val="21"/>
                <w:szCs w:val="21"/>
                <w:lang w:val="en-US" w:eastAsia="zh-CN"/>
              </w:rPr>
              <w:t>NO</w:t>
            </w:r>
            <w:r>
              <w:rPr>
                <w:rFonts w:hint="eastAsia" w:eastAsia="宋体" w:cs="黑体"/>
                <w:b w:val="0"/>
                <w:bCs w:val="0"/>
                <w:color w:val="auto"/>
                <w:sz w:val="21"/>
                <w:szCs w:val="21"/>
                <w:vertAlign w:val="subscript"/>
                <w:lang w:val="en-US" w:eastAsia="zh-CN"/>
              </w:rPr>
              <w:t>x</w:t>
            </w:r>
            <w:r>
              <w:rPr>
                <w:rFonts w:hint="default" w:ascii="Times New Roman" w:hAnsi="Times New Roman" w:eastAsia="宋体" w:cs="Times New Roman"/>
                <w:color w:val="auto"/>
                <w:sz w:val="21"/>
                <w:szCs w:val="21"/>
              </w:rPr>
              <w:t>产生量计算公式：</w:t>
            </w:r>
          </w:p>
          <w:p w14:paraId="36291382">
            <w:pPr>
              <w:spacing w:line="360" w:lineRule="auto"/>
              <w:ind w:firstLine="420" w:firstLineChars="20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G</w:t>
            </w:r>
            <w:r>
              <w:rPr>
                <w:rFonts w:hint="eastAsia" w:eastAsia="宋体" w:cs="Times New Roman"/>
                <w:bCs/>
                <w:color w:val="auto"/>
                <w:sz w:val="21"/>
                <w:szCs w:val="21"/>
                <w:vertAlign w:val="subscript"/>
                <w:lang w:val="en-US" w:eastAsia="zh-CN"/>
              </w:rPr>
              <w:t>NOx</w:t>
            </w:r>
            <w:r>
              <w:rPr>
                <w:rFonts w:hint="default" w:ascii="Times New Roman" w:hAnsi="Times New Roman" w:eastAsia="宋体" w:cs="Times New Roman"/>
                <w:bCs/>
                <w:color w:val="auto"/>
                <w:sz w:val="21"/>
                <w:szCs w:val="21"/>
              </w:rPr>
              <w:t>＝</w:t>
            </w:r>
            <w:r>
              <w:rPr>
                <w:rFonts w:hint="eastAsia" w:eastAsia="宋体" w:cs="Times New Roman"/>
                <w:bCs/>
                <w:color w:val="auto"/>
                <w:sz w:val="21"/>
                <w:szCs w:val="21"/>
                <w:lang w:val="en-US" w:eastAsia="zh-CN"/>
              </w:rPr>
              <w:t>1630</w:t>
            </w:r>
            <w:r>
              <w:rPr>
                <w:rFonts w:hint="default" w:ascii="Times New Roman" w:hAnsi="Times New Roman" w:eastAsia="宋体" w:cs="Times New Roman"/>
                <w:color w:val="auto"/>
                <w:spacing w:val="-2"/>
                <w:sz w:val="21"/>
                <w:szCs w:val="21"/>
              </w:rPr>
              <w:t>×</w:t>
            </w:r>
            <w:r>
              <w:rPr>
                <w:rFonts w:hint="eastAsia" w:eastAsia="宋体" w:cs="Times New Roman"/>
                <w:color w:val="auto"/>
                <w:spacing w:val="-2"/>
                <w:sz w:val="21"/>
                <w:szCs w:val="21"/>
                <w:lang w:val="en-US" w:eastAsia="zh-CN"/>
              </w:rPr>
              <w:t>B（</w:t>
            </w:r>
            <w:r>
              <w:rPr>
                <w:rFonts w:hint="default" w:ascii="Arial" w:hAnsi="Arial" w:eastAsia="宋体" w:cs="Arial"/>
                <w:color w:val="auto"/>
                <w:spacing w:val="-2"/>
                <w:sz w:val="21"/>
                <w:szCs w:val="21"/>
                <w:lang w:val="en-US" w:eastAsia="zh-CN"/>
              </w:rPr>
              <w:t>β</w:t>
            </w:r>
            <w:r>
              <w:rPr>
                <w:rFonts w:hint="default" w:ascii="Times New Roman" w:hAnsi="Times New Roman" w:eastAsia="宋体" w:cs="Times New Roman"/>
                <w:color w:val="auto"/>
                <w:spacing w:val="-2"/>
                <w:sz w:val="21"/>
                <w:szCs w:val="21"/>
              </w:rPr>
              <w:t>×</w:t>
            </w:r>
            <w:r>
              <w:rPr>
                <w:rFonts w:hint="eastAsia" w:eastAsia="宋体" w:cs="Times New Roman"/>
                <w:color w:val="auto"/>
                <w:spacing w:val="-2"/>
                <w:sz w:val="21"/>
                <w:szCs w:val="21"/>
                <w:lang w:val="en-US" w:eastAsia="zh-CN"/>
              </w:rPr>
              <w:t>n+10</w:t>
            </w:r>
            <w:r>
              <w:rPr>
                <w:rFonts w:hint="eastAsia" w:eastAsia="宋体" w:cs="Times New Roman"/>
                <w:color w:val="auto"/>
                <w:spacing w:val="-2"/>
                <w:sz w:val="21"/>
                <w:szCs w:val="21"/>
                <w:vertAlign w:val="superscript"/>
                <w:lang w:val="en-US" w:eastAsia="zh-CN"/>
              </w:rPr>
              <w:t>-6</w:t>
            </w:r>
            <w:r>
              <w:rPr>
                <w:rFonts w:hint="default" w:ascii="Times New Roman" w:hAnsi="Times New Roman" w:eastAsia="宋体" w:cs="Times New Roman"/>
                <w:color w:val="auto"/>
                <w:spacing w:val="-2"/>
                <w:sz w:val="21"/>
                <w:szCs w:val="21"/>
              </w:rPr>
              <w:t>×</w:t>
            </w:r>
            <w:r>
              <w:rPr>
                <w:rFonts w:hint="eastAsia" w:eastAsia="宋体" w:cs="Times New Roman"/>
                <w:color w:val="auto"/>
                <w:spacing w:val="-2"/>
                <w:sz w:val="21"/>
                <w:szCs w:val="21"/>
                <w:lang w:val="en-US" w:eastAsia="zh-CN"/>
              </w:rPr>
              <w:t>Vy</w:t>
            </w:r>
            <w:r>
              <w:rPr>
                <w:rFonts w:hint="default" w:ascii="Times New Roman" w:hAnsi="Times New Roman" w:eastAsia="宋体" w:cs="Times New Roman"/>
                <w:color w:val="auto"/>
                <w:spacing w:val="-2"/>
                <w:sz w:val="21"/>
                <w:szCs w:val="21"/>
              </w:rPr>
              <w:t>×</w:t>
            </w:r>
            <w:r>
              <w:rPr>
                <w:rFonts w:hint="eastAsia" w:eastAsia="宋体" w:cs="Times New Roman"/>
                <w:color w:val="auto"/>
                <w:spacing w:val="-2"/>
                <w:sz w:val="21"/>
                <w:szCs w:val="21"/>
                <w:lang w:val="en-US" w:eastAsia="zh-CN"/>
              </w:rPr>
              <w:t>C</w:t>
            </w:r>
            <w:r>
              <w:rPr>
                <w:rFonts w:hint="eastAsia" w:eastAsia="宋体" w:cs="Times New Roman"/>
                <w:color w:val="auto"/>
                <w:spacing w:val="-2"/>
                <w:sz w:val="21"/>
                <w:szCs w:val="21"/>
                <w:vertAlign w:val="subscript"/>
                <w:lang w:val="en-US" w:eastAsia="zh-CN"/>
              </w:rPr>
              <w:t>NOx</w:t>
            </w:r>
            <w:r>
              <w:rPr>
                <w:rFonts w:hint="eastAsia" w:eastAsia="宋体" w:cs="Times New Roman"/>
                <w:color w:val="auto"/>
                <w:spacing w:val="-2"/>
                <w:sz w:val="21"/>
                <w:szCs w:val="21"/>
                <w:lang w:val="en-US" w:eastAsia="zh-CN"/>
              </w:rPr>
              <w:t>）</w:t>
            </w:r>
          </w:p>
          <w:p w14:paraId="6BF913A7">
            <w:pPr>
              <w:spacing w:line="360" w:lineRule="auto"/>
              <w:ind w:firstLine="420" w:firstLineChars="200"/>
              <w:jc w:val="left"/>
              <w:rPr>
                <w:rFonts w:hint="eastAsia" w:eastAsia="宋体" w:cs="黑体"/>
                <w:b w:val="0"/>
                <w:bCs w:val="0"/>
                <w:color w:val="auto"/>
                <w:sz w:val="21"/>
                <w:szCs w:val="21"/>
                <w:lang w:val="en-US" w:eastAsia="zh-CN"/>
              </w:rPr>
            </w:pPr>
            <w:r>
              <w:rPr>
                <w:rFonts w:hint="default" w:ascii="Times New Roman" w:hAnsi="Times New Roman" w:eastAsia="宋体" w:cs="Times New Roman"/>
                <w:bCs/>
                <w:color w:val="auto"/>
                <w:sz w:val="21"/>
                <w:szCs w:val="21"/>
              </w:rPr>
              <w:t>式中：</w:t>
            </w:r>
          </w:p>
          <w:p w14:paraId="626AA980">
            <w:pPr>
              <w:spacing w:line="360" w:lineRule="auto"/>
              <w:ind w:firstLine="420" w:firstLineChars="20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Cs/>
                <w:color w:val="auto"/>
                <w:sz w:val="21"/>
                <w:szCs w:val="21"/>
              </w:rPr>
              <w:t>G</w:t>
            </w:r>
            <w:r>
              <w:rPr>
                <w:rFonts w:hint="default" w:ascii="Times New Roman" w:hAnsi="Times New Roman" w:eastAsia="宋体" w:cs="Times New Roman"/>
                <w:bCs/>
                <w:color w:val="auto"/>
                <w:sz w:val="21"/>
                <w:szCs w:val="21"/>
                <w:vertAlign w:val="subscript"/>
                <w:lang w:val="en-US" w:eastAsia="zh-CN"/>
              </w:rPr>
              <w:t>NOx</w:t>
            </w:r>
            <w:r>
              <w:rPr>
                <w:rFonts w:hint="default" w:ascii="Times New Roman" w:hAnsi="Times New Roman" w:eastAsia="宋体" w:cs="Times New Roman"/>
                <w:bCs/>
                <w:color w:val="auto"/>
                <w:sz w:val="21"/>
                <w:szCs w:val="21"/>
                <w:vertAlign w:val="baseline"/>
                <w:lang w:val="en-US" w:eastAsia="zh-CN"/>
              </w:rPr>
              <w:t>—燃煤氮氧化物产生量</w:t>
            </w:r>
            <w:r>
              <w:rPr>
                <w:rFonts w:hint="eastAsia" w:eastAsia="宋体" w:cs="Times New Roman"/>
                <w:bCs/>
                <w:color w:val="auto"/>
                <w:sz w:val="21"/>
                <w:szCs w:val="21"/>
                <w:vertAlign w:val="baseline"/>
                <w:lang w:val="en-US" w:eastAsia="zh-CN"/>
              </w:rPr>
              <w:t>，kg</w:t>
            </w:r>
            <w:r>
              <w:rPr>
                <w:rFonts w:hint="default" w:ascii="Times New Roman" w:hAnsi="Times New Roman" w:eastAsia="宋体" w:cs="Times New Roman"/>
                <w:bCs/>
                <w:color w:val="auto"/>
                <w:sz w:val="21"/>
                <w:szCs w:val="21"/>
                <w:vertAlign w:val="baseline"/>
                <w:lang w:val="en-US" w:eastAsia="zh-CN"/>
              </w:rPr>
              <w:t>；</w:t>
            </w:r>
          </w:p>
          <w:p w14:paraId="1F090CC0">
            <w:pPr>
              <w:spacing w:line="360" w:lineRule="auto"/>
              <w:ind w:firstLine="412" w:firstLineChars="20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pacing w:val="-2"/>
                <w:sz w:val="21"/>
                <w:szCs w:val="21"/>
                <w:lang w:val="en-US" w:eastAsia="zh-CN"/>
              </w:rPr>
              <w:t>B—锅炉耗煤量</w:t>
            </w:r>
            <w:r>
              <w:rPr>
                <w:rFonts w:hint="eastAsia" w:eastAsia="宋体" w:cs="Times New Roman"/>
                <w:color w:val="auto"/>
                <w:spacing w:val="-2"/>
                <w:sz w:val="21"/>
                <w:szCs w:val="21"/>
                <w:lang w:val="en-US" w:eastAsia="zh-CN"/>
              </w:rPr>
              <w:t>，t</w:t>
            </w:r>
            <w:r>
              <w:rPr>
                <w:rFonts w:hint="eastAsia" w:ascii="Times New Roman" w:hAnsi="Times New Roman" w:eastAsia="宋体" w:cs="Times New Roman"/>
                <w:color w:val="auto"/>
                <w:spacing w:val="-2"/>
                <w:sz w:val="21"/>
                <w:szCs w:val="21"/>
                <w:lang w:val="en-US" w:eastAsia="zh-CN"/>
              </w:rPr>
              <w:t>，</w:t>
            </w:r>
            <w:r>
              <w:rPr>
                <w:rFonts w:hint="eastAsia" w:cs="Times New Roman"/>
                <w:color w:val="auto"/>
                <w:sz w:val="21"/>
                <w:szCs w:val="21"/>
                <w:lang w:val="en-US" w:eastAsia="zh-CN"/>
              </w:rPr>
              <w:t>2000</w:t>
            </w:r>
            <w:r>
              <w:rPr>
                <w:rFonts w:hint="eastAsia" w:eastAsia="宋体" w:cs="Times New Roman"/>
                <w:color w:val="auto"/>
                <w:sz w:val="21"/>
                <w:szCs w:val="21"/>
                <w:lang w:val="en-US" w:eastAsia="zh-CN"/>
              </w:rPr>
              <w:t>t</w:t>
            </w:r>
            <w:r>
              <w:rPr>
                <w:rFonts w:hint="default" w:ascii="Times New Roman" w:hAnsi="Times New Roman" w:eastAsia="宋体" w:cs="Times New Roman"/>
                <w:color w:val="auto"/>
                <w:spacing w:val="-2"/>
                <w:sz w:val="21"/>
                <w:szCs w:val="21"/>
                <w:lang w:val="en-US" w:eastAsia="zh-CN"/>
              </w:rPr>
              <w:t>；</w:t>
            </w:r>
          </w:p>
          <w:p w14:paraId="5FFC967E">
            <w:pPr>
              <w:spacing w:line="360" w:lineRule="auto"/>
              <w:ind w:firstLine="412" w:firstLineChars="20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pacing w:val="-2"/>
                <w:sz w:val="21"/>
                <w:szCs w:val="21"/>
                <w:lang w:val="en-US" w:eastAsia="zh-CN"/>
              </w:rPr>
              <w:t>β—燃料氮向燃料型NO的转变率</w:t>
            </w:r>
            <w:r>
              <w:rPr>
                <w:rFonts w:hint="eastAsia" w:eastAsia="宋体" w:cs="Times New Roman"/>
                <w:color w:val="auto"/>
                <w:spacing w:val="-2"/>
                <w:sz w:val="21"/>
                <w:szCs w:val="21"/>
                <w:lang w:val="en-US" w:eastAsia="zh-CN"/>
              </w:rPr>
              <w:t>，</w:t>
            </w:r>
            <w:r>
              <w:rPr>
                <w:rFonts w:hint="default" w:ascii="Times New Roman" w:hAnsi="Times New Roman" w:eastAsia="宋体" w:cs="Times New Roman"/>
                <w:color w:val="auto"/>
                <w:spacing w:val="-2"/>
                <w:sz w:val="21"/>
                <w:szCs w:val="21"/>
                <w:lang w:val="en-US" w:eastAsia="zh-CN"/>
              </w:rPr>
              <w:t>与燃料含氮量n有关。普通燃烧条件下燃煤层燃炉为25~50%，</w:t>
            </w:r>
            <w:r>
              <w:rPr>
                <w:rFonts w:hint="eastAsia" w:eastAsia="宋体" w:cs="Times New Roman"/>
                <w:color w:val="auto"/>
                <w:spacing w:val="-2"/>
                <w:sz w:val="21"/>
                <w:szCs w:val="21"/>
                <w:lang w:val="en-US" w:eastAsia="zh-CN"/>
              </w:rPr>
              <w:t>取30%</w:t>
            </w:r>
            <w:r>
              <w:rPr>
                <w:rFonts w:hint="default" w:ascii="Times New Roman" w:hAnsi="Times New Roman" w:eastAsia="宋体" w:cs="Times New Roman"/>
                <w:color w:val="auto"/>
                <w:spacing w:val="-2"/>
                <w:sz w:val="21"/>
                <w:szCs w:val="21"/>
                <w:lang w:val="en-US" w:eastAsia="zh-CN"/>
              </w:rPr>
              <w:t>；</w:t>
            </w:r>
          </w:p>
          <w:p w14:paraId="003EBDC1">
            <w:pPr>
              <w:spacing w:line="360" w:lineRule="auto"/>
              <w:ind w:firstLine="412" w:firstLineChars="20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pacing w:val="-2"/>
                <w:sz w:val="21"/>
                <w:szCs w:val="21"/>
                <w:lang w:val="en-US" w:eastAsia="zh-CN"/>
              </w:rPr>
              <w:t>n—燃料中氨的含量</w:t>
            </w:r>
            <w:r>
              <w:rPr>
                <w:rFonts w:hint="eastAsia" w:eastAsia="宋体" w:cs="Times New Roman"/>
                <w:color w:val="auto"/>
                <w:spacing w:val="-2"/>
                <w:sz w:val="21"/>
                <w:szCs w:val="21"/>
                <w:lang w:val="en-US" w:eastAsia="zh-CN"/>
              </w:rPr>
              <w:t>，</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eastAsia="zh-CN"/>
              </w:rPr>
              <w:t>，</w:t>
            </w:r>
            <w:r>
              <w:rPr>
                <w:rFonts w:hint="eastAsia" w:eastAsia="宋体" w:cs="Times New Roman"/>
                <w:color w:val="auto"/>
                <w:spacing w:val="-2"/>
                <w:sz w:val="21"/>
                <w:szCs w:val="21"/>
                <w:lang w:val="en-US" w:eastAsia="zh-CN"/>
              </w:rPr>
              <w:t>取0.3%</w:t>
            </w:r>
            <w:r>
              <w:rPr>
                <w:rFonts w:hint="default" w:ascii="Times New Roman" w:hAnsi="Times New Roman" w:eastAsia="宋体" w:cs="Times New Roman"/>
                <w:color w:val="auto"/>
                <w:spacing w:val="-2"/>
                <w:sz w:val="21"/>
                <w:szCs w:val="21"/>
                <w:lang w:val="en-US" w:eastAsia="zh-CN"/>
              </w:rPr>
              <w:t>；</w:t>
            </w:r>
          </w:p>
          <w:p w14:paraId="2304A914">
            <w:pPr>
              <w:spacing w:line="360" w:lineRule="auto"/>
              <w:ind w:firstLine="412" w:firstLineChars="20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pacing w:val="-2"/>
                <w:sz w:val="21"/>
                <w:szCs w:val="21"/>
                <w:lang w:val="en-US" w:eastAsia="zh-CN"/>
              </w:rPr>
              <w:t>Vy—1千克燃料生成的烟气量</w:t>
            </w:r>
            <w:r>
              <w:rPr>
                <w:rFonts w:hint="eastAsia" w:eastAsia="宋体" w:cs="Times New Roman"/>
                <w:color w:val="auto"/>
                <w:spacing w:val="-2"/>
                <w:sz w:val="21"/>
                <w:szCs w:val="21"/>
                <w:lang w:val="en-US" w:eastAsia="zh-CN"/>
              </w:rPr>
              <w:t>，</w:t>
            </w:r>
            <w:r>
              <w:rPr>
                <w:rFonts w:hint="default" w:ascii="Times New Roman" w:hAnsi="Times New Roman" w:eastAsia="宋体" w:cs="Times New Roman"/>
                <w:color w:val="auto"/>
                <w:spacing w:val="-2"/>
                <w:sz w:val="21"/>
                <w:szCs w:val="21"/>
                <w:lang w:val="en-US" w:eastAsia="zh-CN"/>
              </w:rPr>
              <w:t>标</w:t>
            </w:r>
            <w:r>
              <w:rPr>
                <w:rFonts w:hint="eastAsia" w:eastAsia="宋体" w:cs="Times New Roman"/>
                <w:color w:val="auto"/>
                <w:spacing w:val="-2"/>
                <w:sz w:val="21"/>
                <w:szCs w:val="21"/>
                <w:lang w:val="en-US" w:eastAsia="zh-CN"/>
              </w:rPr>
              <w:t>m</w:t>
            </w:r>
            <w:r>
              <w:rPr>
                <w:rFonts w:hint="eastAsia" w:eastAsia="宋体" w:cs="Times New Roman"/>
                <w:color w:val="auto"/>
                <w:spacing w:val="-2"/>
                <w:sz w:val="21"/>
                <w:szCs w:val="21"/>
                <w:vertAlign w:val="superscript"/>
                <w:lang w:val="en-US" w:eastAsia="zh-CN"/>
              </w:rPr>
              <w:t>3</w:t>
            </w:r>
            <w:r>
              <w:rPr>
                <w:rFonts w:hint="default" w:ascii="Times New Roman" w:hAnsi="Times New Roman" w:eastAsia="宋体" w:cs="Times New Roman"/>
                <w:color w:val="auto"/>
                <w:spacing w:val="-2"/>
                <w:sz w:val="21"/>
                <w:szCs w:val="21"/>
                <w:lang w:val="en-US" w:eastAsia="zh-CN"/>
              </w:rPr>
              <w:t>/</w:t>
            </w:r>
            <w:r>
              <w:rPr>
                <w:rFonts w:hint="eastAsia" w:eastAsia="宋体" w:cs="Times New Roman"/>
                <w:color w:val="auto"/>
                <w:spacing w:val="-2"/>
                <w:sz w:val="21"/>
                <w:szCs w:val="21"/>
                <w:lang w:val="en-US" w:eastAsia="zh-CN"/>
              </w:rPr>
              <w:t>kg</w:t>
            </w:r>
            <w:r>
              <w:rPr>
                <w:rFonts w:hint="default" w:ascii="Times New Roman" w:hAnsi="Times New Roman" w:eastAsia="宋体" w:cs="Times New Roman"/>
                <w:color w:val="auto"/>
                <w:spacing w:val="-2"/>
                <w:sz w:val="21"/>
                <w:szCs w:val="21"/>
                <w:lang w:val="en-US" w:eastAsia="zh-CN"/>
              </w:rPr>
              <w:t>，取7.8936标</w:t>
            </w:r>
            <w:r>
              <w:rPr>
                <w:rFonts w:hint="eastAsia" w:eastAsia="宋体" w:cs="Times New Roman"/>
                <w:color w:val="auto"/>
                <w:spacing w:val="-2"/>
                <w:sz w:val="21"/>
                <w:szCs w:val="21"/>
                <w:lang w:val="en-US" w:eastAsia="zh-CN"/>
              </w:rPr>
              <w:t>m</w:t>
            </w:r>
            <w:r>
              <w:rPr>
                <w:rFonts w:hint="default" w:ascii="Times New Roman" w:hAnsi="Times New Roman" w:eastAsia="宋体" w:cs="Times New Roman"/>
                <w:color w:val="auto"/>
                <w:spacing w:val="-2"/>
                <w:sz w:val="21"/>
                <w:szCs w:val="21"/>
                <w:vertAlign w:val="superscript"/>
                <w:lang w:val="en-US" w:eastAsia="zh-CN"/>
              </w:rPr>
              <w:t>3</w:t>
            </w:r>
            <w:r>
              <w:rPr>
                <w:rFonts w:hint="default" w:ascii="Times New Roman" w:hAnsi="Times New Roman" w:eastAsia="宋体" w:cs="Times New Roman"/>
                <w:color w:val="auto"/>
                <w:spacing w:val="-2"/>
                <w:sz w:val="21"/>
                <w:szCs w:val="21"/>
                <w:lang w:val="en-US" w:eastAsia="zh-CN"/>
              </w:rPr>
              <w:t>/</w:t>
            </w:r>
            <w:r>
              <w:rPr>
                <w:rFonts w:hint="eastAsia" w:eastAsia="宋体" w:cs="Times New Roman"/>
                <w:color w:val="auto"/>
                <w:spacing w:val="-2"/>
                <w:sz w:val="21"/>
                <w:szCs w:val="21"/>
                <w:lang w:val="en-US" w:eastAsia="zh-CN"/>
              </w:rPr>
              <w:t>kg</w:t>
            </w:r>
            <w:r>
              <w:rPr>
                <w:rFonts w:hint="default" w:ascii="Times New Roman" w:hAnsi="Times New Roman" w:eastAsia="宋体" w:cs="Times New Roman"/>
                <w:color w:val="auto"/>
                <w:spacing w:val="-2"/>
                <w:sz w:val="21"/>
                <w:szCs w:val="21"/>
                <w:lang w:val="en-US" w:eastAsia="zh-CN"/>
              </w:rPr>
              <w:t>；</w:t>
            </w:r>
          </w:p>
          <w:p w14:paraId="184BB2DD">
            <w:pPr>
              <w:spacing w:line="360" w:lineRule="auto"/>
              <w:ind w:firstLine="412" w:firstLineChars="20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pacing w:val="-2"/>
                <w:sz w:val="21"/>
                <w:szCs w:val="21"/>
                <w:lang w:val="en-US" w:eastAsia="zh-CN"/>
              </w:rPr>
              <w:t>C</w:t>
            </w:r>
            <w:r>
              <w:rPr>
                <w:rFonts w:hint="default" w:ascii="Times New Roman" w:hAnsi="Times New Roman" w:eastAsia="宋体" w:cs="Times New Roman"/>
                <w:color w:val="auto"/>
                <w:spacing w:val="-2"/>
                <w:sz w:val="21"/>
                <w:szCs w:val="21"/>
                <w:vertAlign w:val="subscript"/>
                <w:lang w:val="en-US" w:eastAsia="zh-CN"/>
              </w:rPr>
              <w:t>NOx</w:t>
            </w:r>
            <w:r>
              <w:rPr>
                <w:rFonts w:hint="default" w:ascii="Times New Roman" w:hAnsi="Times New Roman" w:eastAsia="宋体" w:cs="Times New Roman"/>
                <w:color w:val="auto"/>
                <w:spacing w:val="-2"/>
                <w:sz w:val="21"/>
                <w:szCs w:val="21"/>
                <w:vertAlign w:val="baseline"/>
                <w:lang w:val="en-US" w:eastAsia="zh-CN"/>
              </w:rPr>
              <w:t>—燃烧时生成的温度温度型NO的浓度</w:t>
            </w:r>
            <w:r>
              <w:rPr>
                <w:rFonts w:hint="eastAsia" w:eastAsia="宋体" w:cs="Times New Roman"/>
                <w:color w:val="auto"/>
                <w:spacing w:val="-2"/>
                <w:sz w:val="21"/>
                <w:szCs w:val="21"/>
                <w:vertAlign w:val="baseline"/>
                <w:lang w:val="en-US" w:eastAsia="zh-CN"/>
              </w:rPr>
              <w:t>，</w:t>
            </w:r>
            <w:r>
              <w:rPr>
                <w:rFonts w:hint="eastAsia" w:ascii="Times New Roman" w:hAnsi="Times New Roman" w:eastAsia="宋体" w:cs="Times New Roman"/>
                <w:color w:val="auto"/>
                <w:spacing w:val="-2"/>
                <w:sz w:val="21"/>
                <w:szCs w:val="21"/>
                <w:vertAlign w:val="baseline"/>
                <w:lang w:val="en-US" w:eastAsia="zh-CN"/>
              </w:rPr>
              <w:t>mg</w:t>
            </w:r>
            <w:r>
              <w:rPr>
                <w:rFonts w:hint="default" w:ascii="Times New Roman" w:hAnsi="Times New Roman" w:eastAsia="宋体" w:cs="Times New Roman"/>
                <w:color w:val="auto"/>
                <w:spacing w:val="-2"/>
                <w:sz w:val="21"/>
                <w:szCs w:val="21"/>
                <w:vertAlign w:val="baseline"/>
                <w:lang w:val="en-US" w:eastAsia="zh-CN"/>
              </w:rPr>
              <w:t>/标</w:t>
            </w:r>
            <w:r>
              <w:rPr>
                <w:rFonts w:hint="eastAsia" w:eastAsia="宋体" w:cs="黑体"/>
                <w:b w:val="0"/>
                <w:bCs/>
                <w:color w:val="auto"/>
                <w:sz w:val="21"/>
                <w:szCs w:val="21"/>
                <w:highlight w:val="none"/>
                <w:lang w:val="en-US" w:eastAsia="zh-CN"/>
              </w:rPr>
              <w:t>m</w:t>
            </w:r>
            <w:r>
              <w:rPr>
                <w:rFonts w:hint="eastAsia" w:eastAsia="宋体" w:cs="黑体"/>
                <w:b w:val="0"/>
                <w:bCs/>
                <w:color w:val="auto"/>
                <w:sz w:val="21"/>
                <w:szCs w:val="21"/>
                <w:highlight w:val="none"/>
                <w:vertAlign w:val="superscript"/>
                <w:lang w:val="en-US" w:eastAsia="zh-CN"/>
              </w:rPr>
              <w:t>3</w:t>
            </w:r>
            <w:r>
              <w:rPr>
                <w:rFonts w:hint="default" w:ascii="Times New Roman" w:hAnsi="Times New Roman" w:eastAsia="宋体" w:cs="Times New Roman"/>
                <w:color w:val="auto"/>
                <w:spacing w:val="-2"/>
                <w:sz w:val="21"/>
                <w:szCs w:val="21"/>
                <w:vertAlign w:val="baseline"/>
                <w:lang w:val="en-US" w:eastAsia="zh-CN"/>
              </w:rPr>
              <w:t>，通常可取70ppm，即93.8</w:t>
            </w:r>
            <w:r>
              <w:rPr>
                <w:rFonts w:hint="eastAsia" w:ascii="Times New Roman" w:hAnsi="Times New Roman" w:eastAsia="宋体" w:cs="Times New Roman"/>
                <w:color w:val="auto"/>
                <w:spacing w:val="-2"/>
                <w:sz w:val="21"/>
                <w:szCs w:val="21"/>
                <w:vertAlign w:val="baseline"/>
                <w:lang w:val="en-US" w:eastAsia="zh-CN"/>
              </w:rPr>
              <w:t>mg</w:t>
            </w:r>
            <w:r>
              <w:rPr>
                <w:rFonts w:hint="default" w:ascii="Times New Roman" w:hAnsi="Times New Roman" w:eastAsia="宋体" w:cs="Times New Roman"/>
                <w:color w:val="auto"/>
                <w:spacing w:val="-2"/>
                <w:sz w:val="21"/>
                <w:szCs w:val="21"/>
                <w:vertAlign w:val="baseline"/>
                <w:lang w:val="en-US" w:eastAsia="zh-CN"/>
              </w:rPr>
              <w:t>/标</w:t>
            </w:r>
            <w:r>
              <w:rPr>
                <w:rFonts w:hint="eastAsia" w:eastAsia="宋体" w:cs="黑体"/>
                <w:b w:val="0"/>
                <w:bCs/>
                <w:color w:val="auto"/>
                <w:sz w:val="21"/>
                <w:szCs w:val="21"/>
                <w:highlight w:val="none"/>
                <w:lang w:val="en-US" w:eastAsia="zh-CN"/>
              </w:rPr>
              <w:t>m</w:t>
            </w:r>
            <w:r>
              <w:rPr>
                <w:rFonts w:hint="eastAsia" w:eastAsia="宋体" w:cs="黑体"/>
                <w:b w:val="0"/>
                <w:bCs/>
                <w:color w:val="auto"/>
                <w:sz w:val="21"/>
                <w:szCs w:val="21"/>
                <w:highlight w:val="none"/>
                <w:vertAlign w:val="superscript"/>
                <w:lang w:val="en-US" w:eastAsia="zh-CN"/>
              </w:rPr>
              <w:t>3</w:t>
            </w:r>
            <w:r>
              <w:rPr>
                <w:rFonts w:hint="eastAsia" w:ascii="Times New Roman" w:hAnsi="Times New Roman" w:eastAsia="宋体" w:cs="Times New Roman"/>
                <w:color w:val="auto"/>
                <w:spacing w:val="-2"/>
                <w:sz w:val="21"/>
                <w:szCs w:val="21"/>
                <w:vertAlign w:val="baseline"/>
                <w:lang w:val="en-US" w:eastAsia="zh-CN"/>
              </w:rPr>
              <w:t>。</w:t>
            </w:r>
          </w:p>
          <w:p w14:paraId="79B77F1D">
            <w:pPr>
              <w:spacing w:line="360" w:lineRule="auto"/>
              <w:ind w:firstLine="420" w:firstLineChars="200"/>
              <w:rPr>
                <w:rFonts w:eastAsia="宋体" w:cs="黑体"/>
                <w:color w:val="auto"/>
                <w:sz w:val="21"/>
                <w:szCs w:val="21"/>
              </w:rPr>
            </w:pPr>
            <w:r>
              <w:rPr>
                <w:rFonts w:hint="eastAsia" w:eastAsia="宋体" w:cs="黑体"/>
                <w:color w:val="auto"/>
                <w:sz w:val="21"/>
                <w:szCs w:val="21"/>
              </w:rPr>
              <w:t>其中</w:t>
            </w:r>
            <w:r>
              <w:rPr>
                <w:rFonts w:hint="default" w:ascii="Times New Roman" w:hAnsi="Times New Roman" w:eastAsia="宋体" w:cs="Times New Roman"/>
                <w:color w:val="auto"/>
                <w:spacing w:val="-2"/>
                <w:sz w:val="21"/>
                <w:szCs w:val="21"/>
                <w:lang w:val="en-US" w:eastAsia="zh-CN"/>
              </w:rPr>
              <w:t>B</w:t>
            </w:r>
            <w:r>
              <w:rPr>
                <w:rFonts w:hint="eastAsia" w:eastAsia="宋体" w:cs="黑体"/>
                <w:color w:val="auto"/>
                <w:sz w:val="21"/>
                <w:szCs w:val="21"/>
                <w:lang w:val="en-US" w:eastAsia="zh-CN"/>
              </w:rPr>
              <w:t>=</w:t>
            </w:r>
            <w:r>
              <w:rPr>
                <w:rFonts w:hint="eastAsia" w:cs="黑体"/>
                <w:color w:val="auto"/>
                <w:sz w:val="21"/>
                <w:szCs w:val="21"/>
                <w:lang w:val="en-US" w:eastAsia="zh-CN"/>
              </w:rPr>
              <w:t>2000</w:t>
            </w:r>
            <w:r>
              <w:rPr>
                <w:rFonts w:hint="eastAsia" w:eastAsia="宋体" w:cs="黑体"/>
                <w:color w:val="auto"/>
                <w:sz w:val="21"/>
                <w:szCs w:val="21"/>
              </w:rPr>
              <w:t>t/a</w:t>
            </w:r>
            <w:r>
              <w:rPr>
                <w:rFonts w:hint="eastAsia" w:eastAsia="宋体" w:cs="黑体"/>
                <w:color w:val="auto"/>
                <w:sz w:val="21"/>
                <w:szCs w:val="21"/>
                <w:lang w:eastAsia="zh-CN"/>
              </w:rPr>
              <w:t>，</w:t>
            </w:r>
            <w:r>
              <w:rPr>
                <w:rFonts w:hint="default" w:ascii="Times New Roman" w:hAnsi="Times New Roman" w:eastAsia="宋体" w:cs="Times New Roman"/>
                <w:color w:val="auto"/>
                <w:spacing w:val="-2"/>
                <w:sz w:val="21"/>
                <w:szCs w:val="21"/>
                <w:lang w:val="en-US" w:eastAsia="zh-CN"/>
              </w:rPr>
              <w:t>β</w:t>
            </w:r>
            <w:r>
              <w:rPr>
                <w:rFonts w:hint="eastAsia" w:eastAsia="宋体" w:cs="黑体"/>
                <w:color w:val="auto"/>
                <w:sz w:val="21"/>
                <w:szCs w:val="21"/>
                <w:lang w:val="en-US" w:eastAsia="zh-CN"/>
              </w:rPr>
              <w:t>取30</w:t>
            </w:r>
            <w:r>
              <w:rPr>
                <w:rFonts w:eastAsia="宋体" w:cs="黑体"/>
                <w:color w:val="auto"/>
                <w:sz w:val="21"/>
                <w:szCs w:val="21"/>
              </w:rPr>
              <w:t>%</w:t>
            </w:r>
            <w:r>
              <w:rPr>
                <w:rFonts w:hint="eastAsia" w:eastAsia="宋体" w:cs="黑体"/>
                <w:color w:val="auto"/>
                <w:sz w:val="21"/>
                <w:szCs w:val="21"/>
                <w:lang w:eastAsia="zh-CN"/>
              </w:rPr>
              <w:t>，</w:t>
            </w:r>
            <w:r>
              <w:rPr>
                <w:rFonts w:hint="default" w:ascii="Times New Roman" w:hAnsi="Times New Roman" w:eastAsia="宋体" w:cs="Times New Roman"/>
                <w:color w:val="auto"/>
                <w:spacing w:val="-2"/>
                <w:sz w:val="21"/>
                <w:szCs w:val="21"/>
                <w:lang w:val="en-US" w:eastAsia="zh-CN"/>
              </w:rPr>
              <w:t>n</w:t>
            </w:r>
            <w:r>
              <w:rPr>
                <w:rFonts w:hint="eastAsia" w:eastAsia="宋体" w:cs="黑体"/>
                <w:color w:val="auto"/>
                <w:sz w:val="21"/>
                <w:szCs w:val="21"/>
                <w:lang w:eastAsia="zh-CN"/>
              </w:rPr>
              <w:t>取</w:t>
            </w:r>
            <w:r>
              <w:rPr>
                <w:rFonts w:hint="eastAsia" w:eastAsia="宋体" w:cs="黑体"/>
                <w:color w:val="auto"/>
                <w:sz w:val="21"/>
                <w:szCs w:val="21"/>
                <w:lang w:val="en-US" w:eastAsia="zh-CN"/>
              </w:rPr>
              <w:t>0.</w:t>
            </w:r>
            <w:r>
              <w:rPr>
                <w:rFonts w:hint="eastAsia" w:eastAsia="宋体" w:cs="Times New Roman"/>
                <w:color w:val="auto"/>
                <w:spacing w:val="-2"/>
                <w:sz w:val="21"/>
                <w:szCs w:val="21"/>
                <w:lang w:val="en-US" w:eastAsia="zh-CN"/>
              </w:rPr>
              <w:t>3%</w:t>
            </w:r>
            <w:r>
              <w:rPr>
                <w:rFonts w:hint="eastAsia" w:eastAsia="宋体" w:cs="黑体"/>
                <w:color w:val="auto"/>
                <w:sz w:val="21"/>
                <w:szCs w:val="21"/>
              </w:rPr>
              <w:t>，</w:t>
            </w:r>
            <w:r>
              <w:rPr>
                <w:rFonts w:hint="default" w:ascii="Times New Roman" w:hAnsi="Times New Roman" w:eastAsia="宋体" w:cs="Times New Roman"/>
                <w:color w:val="auto"/>
                <w:spacing w:val="-2"/>
                <w:sz w:val="21"/>
                <w:szCs w:val="21"/>
                <w:lang w:val="en-US" w:eastAsia="zh-CN"/>
              </w:rPr>
              <w:t>Vy</w:t>
            </w:r>
            <w:r>
              <w:rPr>
                <w:rFonts w:hint="eastAsia" w:eastAsia="宋体" w:cs="黑体"/>
                <w:color w:val="auto"/>
                <w:sz w:val="21"/>
                <w:szCs w:val="21"/>
              </w:rPr>
              <w:t>取</w:t>
            </w:r>
            <w:r>
              <w:rPr>
                <w:rFonts w:hint="default" w:ascii="Times New Roman" w:hAnsi="Times New Roman" w:eastAsia="宋体" w:cs="Times New Roman"/>
                <w:color w:val="auto"/>
                <w:spacing w:val="-2"/>
                <w:sz w:val="21"/>
                <w:szCs w:val="21"/>
                <w:lang w:val="en-US" w:eastAsia="zh-CN"/>
              </w:rPr>
              <w:t>7.8936</w:t>
            </w:r>
            <w:r>
              <w:rPr>
                <w:rFonts w:hint="eastAsia" w:eastAsia="宋体" w:cs="黑体"/>
                <w:b w:val="0"/>
                <w:bCs/>
                <w:color w:val="auto"/>
                <w:sz w:val="21"/>
                <w:szCs w:val="21"/>
                <w:highlight w:val="none"/>
                <w:lang w:val="en-US" w:eastAsia="zh-CN"/>
              </w:rPr>
              <w:t>m</w:t>
            </w:r>
            <w:r>
              <w:rPr>
                <w:rFonts w:hint="eastAsia" w:eastAsia="宋体" w:cs="黑体"/>
                <w:b w:val="0"/>
                <w:bCs/>
                <w:color w:val="auto"/>
                <w:sz w:val="21"/>
                <w:szCs w:val="21"/>
                <w:highlight w:val="none"/>
                <w:vertAlign w:val="superscript"/>
                <w:lang w:val="en-US" w:eastAsia="zh-CN"/>
              </w:rPr>
              <w:t>3</w:t>
            </w:r>
            <w:r>
              <w:rPr>
                <w:rFonts w:hint="eastAsia" w:eastAsia="宋体" w:cs="黑体"/>
                <w:b w:val="0"/>
                <w:bCs/>
                <w:color w:val="auto"/>
                <w:sz w:val="21"/>
                <w:szCs w:val="21"/>
                <w:highlight w:val="none"/>
                <w:lang w:val="en-US" w:eastAsia="zh-CN"/>
              </w:rPr>
              <w:t>/kg，</w:t>
            </w:r>
            <w:r>
              <w:rPr>
                <w:rFonts w:hint="default" w:ascii="Times New Roman" w:hAnsi="Times New Roman" w:eastAsia="宋体" w:cs="Times New Roman"/>
                <w:color w:val="auto"/>
                <w:spacing w:val="-2"/>
                <w:sz w:val="21"/>
                <w:szCs w:val="21"/>
                <w:lang w:val="en-US" w:eastAsia="zh-CN"/>
              </w:rPr>
              <w:t>C</w:t>
            </w:r>
            <w:r>
              <w:rPr>
                <w:rFonts w:hint="default" w:ascii="Times New Roman" w:hAnsi="Times New Roman" w:eastAsia="宋体" w:cs="Times New Roman"/>
                <w:color w:val="auto"/>
                <w:spacing w:val="-2"/>
                <w:sz w:val="21"/>
                <w:szCs w:val="21"/>
                <w:vertAlign w:val="subscript"/>
                <w:lang w:val="en-US" w:eastAsia="zh-CN"/>
              </w:rPr>
              <w:t>NOx</w:t>
            </w:r>
            <w:r>
              <w:rPr>
                <w:rFonts w:hint="eastAsia" w:ascii="Times New Roman" w:hAnsi="Times New Roman" w:eastAsia="宋体" w:cs="Times New Roman"/>
                <w:color w:val="auto"/>
                <w:spacing w:val="-2"/>
                <w:sz w:val="21"/>
                <w:szCs w:val="21"/>
                <w:vertAlign w:val="baseline"/>
                <w:lang w:val="en-US" w:eastAsia="zh-CN"/>
              </w:rPr>
              <w:t>取</w:t>
            </w:r>
            <w:r>
              <w:rPr>
                <w:rFonts w:hint="default" w:ascii="Times New Roman" w:hAnsi="Times New Roman" w:eastAsia="宋体" w:cs="Times New Roman"/>
                <w:color w:val="auto"/>
                <w:spacing w:val="-2"/>
                <w:sz w:val="21"/>
                <w:szCs w:val="21"/>
                <w:vertAlign w:val="baseline"/>
                <w:lang w:val="en-US" w:eastAsia="zh-CN"/>
              </w:rPr>
              <w:t>93.8</w:t>
            </w:r>
            <w:r>
              <w:rPr>
                <w:rFonts w:hint="eastAsia" w:ascii="Times New Roman" w:hAnsi="Times New Roman" w:eastAsia="宋体" w:cs="Times New Roman"/>
                <w:color w:val="auto"/>
                <w:spacing w:val="-2"/>
                <w:sz w:val="21"/>
                <w:szCs w:val="21"/>
                <w:vertAlign w:val="baseline"/>
                <w:lang w:val="en-US" w:eastAsia="zh-CN"/>
              </w:rPr>
              <w:t>mg/</w:t>
            </w:r>
            <w:r>
              <w:rPr>
                <w:rFonts w:hint="eastAsia" w:eastAsia="宋体" w:cs="黑体"/>
                <w:b w:val="0"/>
                <w:bCs/>
                <w:color w:val="auto"/>
                <w:sz w:val="21"/>
                <w:szCs w:val="21"/>
                <w:highlight w:val="none"/>
                <w:lang w:val="en-US" w:eastAsia="zh-CN"/>
              </w:rPr>
              <w:t>m</w:t>
            </w:r>
            <w:r>
              <w:rPr>
                <w:rFonts w:hint="eastAsia" w:eastAsia="宋体" w:cs="黑体"/>
                <w:b w:val="0"/>
                <w:bCs/>
                <w:color w:val="auto"/>
                <w:sz w:val="21"/>
                <w:szCs w:val="21"/>
                <w:highlight w:val="none"/>
                <w:vertAlign w:val="superscript"/>
                <w:lang w:val="en-US" w:eastAsia="zh-CN"/>
              </w:rPr>
              <w:t>3</w:t>
            </w:r>
            <w:r>
              <w:rPr>
                <w:rFonts w:hint="eastAsia" w:eastAsia="宋体" w:cs="黑体"/>
                <w:color w:val="auto"/>
                <w:sz w:val="21"/>
                <w:szCs w:val="21"/>
              </w:rPr>
              <w:t>。带入式中得</w:t>
            </w:r>
            <w:r>
              <w:rPr>
                <w:rFonts w:hint="default" w:ascii="Times New Roman" w:hAnsi="Times New Roman" w:eastAsia="宋体" w:cs="Times New Roman"/>
                <w:bCs/>
                <w:color w:val="auto"/>
                <w:sz w:val="21"/>
                <w:szCs w:val="21"/>
              </w:rPr>
              <w:t>G</w:t>
            </w:r>
            <w:r>
              <w:rPr>
                <w:rFonts w:hint="default" w:ascii="Times New Roman" w:hAnsi="Times New Roman" w:eastAsia="宋体" w:cs="Times New Roman"/>
                <w:bCs/>
                <w:color w:val="auto"/>
                <w:sz w:val="21"/>
                <w:szCs w:val="21"/>
                <w:vertAlign w:val="subscript"/>
                <w:lang w:val="en-US" w:eastAsia="zh-CN"/>
              </w:rPr>
              <w:t>NOx</w:t>
            </w:r>
            <w:r>
              <w:rPr>
                <w:rFonts w:eastAsia="宋体" w:cs="黑体"/>
                <w:color w:val="auto"/>
                <w:sz w:val="21"/>
                <w:szCs w:val="21"/>
              </w:rPr>
              <w:t>=</w:t>
            </w:r>
            <w:r>
              <w:rPr>
                <w:rFonts w:hint="eastAsia" w:cs="黑体"/>
                <w:color w:val="auto"/>
                <w:sz w:val="21"/>
                <w:szCs w:val="21"/>
                <w:lang w:val="en-US" w:eastAsia="zh-CN"/>
              </w:rPr>
              <w:t>5.348</w:t>
            </w:r>
            <w:r>
              <w:rPr>
                <w:rFonts w:hint="eastAsia" w:eastAsia="宋体" w:cs="黑体"/>
                <w:color w:val="auto"/>
                <w:sz w:val="21"/>
                <w:szCs w:val="21"/>
                <w:lang w:val="en-US" w:eastAsia="zh-CN"/>
              </w:rPr>
              <w:t>kg=</w:t>
            </w:r>
            <w:r>
              <w:rPr>
                <w:rFonts w:hint="eastAsia" w:cs="黑体"/>
                <w:color w:val="auto"/>
                <w:sz w:val="21"/>
                <w:szCs w:val="21"/>
                <w:lang w:val="en-US" w:eastAsia="zh-CN"/>
              </w:rPr>
              <w:t>5.348</w:t>
            </w:r>
            <w:r>
              <w:rPr>
                <w:rFonts w:hint="eastAsia" w:eastAsia="宋体" w:cs="黑体"/>
                <w:color w:val="auto"/>
                <w:sz w:val="21"/>
                <w:szCs w:val="21"/>
                <w:lang w:val="en-US" w:eastAsia="zh-CN"/>
              </w:rPr>
              <w:t>t</w:t>
            </w:r>
            <w:r>
              <w:rPr>
                <w:rFonts w:hint="eastAsia" w:eastAsia="宋体" w:cs="黑体"/>
                <w:color w:val="auto"/>
                <w:sz w:val="21"/>
                <w:szCs w:val="21"/>
              </w:rPr>
              <w:t>。</w:t>
            </w:r>
          </w:p>
          <w:p w14:paraId="15826E31">
            <w:pPr>
              <w:spacing w:line="360" w:lineRule="auto"/>
              <w:ind w:firstLine="420" w:firstLineChars="200"/>
              <w:jc w:val="left"/>
              <w:rPr>
                <w:rFonts w:hint="eastAsia" w:cs="Times New Roman"/>
                <w:color w:val="auto"/>
                <w:sz w:val="21"/>
                <w:szCs w:val="21"/>
                <w:lang w:val="en-US" w:eastAsia="zh-CN"/>
              </w:rPr>
            </w:pPr>
            <w:r>
              <w:rPr>
                <w:rFonts w:hint="eastAsia" w:eastAsia="宋体" w:cs="黑体"/>
                <w:color w:val="auto"/>
                <w:sz w:val="21"/>
                <w:szCs w:val="21"/>
              </w:rPr>
              <w:t>综上，</w:t>
            </w:r>
            <w:r>
              <w:rPr>
                <w:rFonts w:hint="eastAsia" w:cs="黑体"/>
                <w:color w:val="auto"/>
                <w:sz w:val="21"/>
                <w:szCs w:val="21"/>
                <w:lang w:val="en-US" w:eastAsia="zh-CN"/>
              </w:rPr>
              <w:t>原有项目</w:t>
            </w:r>
            <w:r>
              <w:rPr>
                <w:rFonts w:hint="eastAsia" w:eastAsia="宋体" w:cs="黑体"/>
                <w:b w:val="0"/>
                <w:bCs w:val="0"/>
                <w:color w:val="auto"/>
                <w:sz w:val="21"/>
                <w:szCs w:val="21"/>
                <w:lang w:val="en-US" w:eastAsia="zh-CN"/>
              </w:rPr>
              <w:t>NO</w:t>
            </w:r>
            <w:r>
              <w:rPr>
                <w:rFonts w:hint="eastAsia" w:eastAsia="宋体" w:cs="黑体"/>
                <w:b w:val="0"/>
                <w:bCs w:val="0"/>
                <w:color w:val="auto"/>
                <w:sz w:val="21"/>
                <w:szCs w:val="21"/>
                <w:vertAlign w:val="subscript"/>
                <w:lang w:val="en-US" w:eastAsia="zh-CN"/>
              </w:rPr>
              <w:t>x</w:t>
            </w:r>
            <w:r>
              <w:rPr>
                <w:rFonts w:hint="default" w:ascii="Times New Roman" w:hAnsi="Times New Roman" w:eastAsia="宋体" w:cs="Times New Roman"/>
                <w:bCs/>
                <w:color w:val="auto"/>
                <w:sz w:val="21"/>
                <w:szCs w:val="21"/>
                <w:vertAlign w:val="baseline"/>
                <w:lang w:val="en-US" w:eastAsia="zh-CN"/>
              </w:rPr>
              <w:t>产生</w:t>
            </w:r>
            <w:r>
              <w:rPr>
                <w:rFonts w:hint="eastAsia" w:eastAsia="宋体" w:cs="黑体"/>
                <w:color w:val="auto"/>
                <w:sz w:val="21"/>
                <w:szCs w:val="21"/>
              </w:rPr>
              <w:t>量</w:t>
            </w:r>
            <w:r>
              <w:rPr>
                <w:rFonts w:hint="eastAsia" w:eastAsia="宋体" w:cs="黑体"/>
                <w:color w:val="auto"/>
                <w:sz w:val="21"/>
                <w:szCs w:val="21"/>
                <w:lang w:eastAsia="zh-CN"/>
              </w:rPr>
              <w:t>为</w:t>
            </w:r>
            <w:r>
              <w:rPr>
                <w:rFonts w:hint="eastAsia" w:cs="黑体"/>
                <w:color w:val="auto"/>
                <w:sz w:val="21"/>
                <w:szCs w:val="21"/>
                <w:lang w:val="en-US" w:eastAsia="zh-CN"/>
              </w:rPr>
              <w:t>5.348</w:t>
            </w:r>
            <w:r>
              <w:rPr>
                <w:rFonts w:eastAsia="宋体" w:cs="黑体"/>
                <w:color w:val="auto"/>
                <w:sz w:val="21"/>
                <w:szCs w:val="21"/>
              </w:rPr>
              <w:t>t/a</w:t>
            </w:r>
            <w:r>
              <w:rPr>
                <w:rFonts w:hint="eastAsia" w:eastAsia="宋体" w:cs="Times New Roman"/>
                <w:color w:val="auto"/>
                <w:sz w:val="21"/>
                <w:szCs w:val="21"/>
                <w:lang w:val="en-US" w:eastAsia="zh-CN"/>
              </w:rPr>
              <w:t>，则</w:t>
            </w:r>
            <w:r>
              <w:rPr>
                <w:rFonts w:hint="eastAsia" w:eastAsia="宋体" w:cs="黑体"/>
                <w:b w:val="0"/>
                <w:bCs w:val="0"/>
                <w:color w:val="auto"/>
                <w:sz w:val="21"/>
                <w:szCs w:val="21"/>
                <w:lang w:val="en-US" w:eastAsia="zh-CN"/>
              </w:rPr>
              <w:t>NO</w:t>
            </w:r>
            <w:r>
              <w:rPr>
                <w:rFonts w:hint="eastAsia" w:eastAsia="宋体" w:cs="黑体"/>
                <w:b w:val="0"/>
                <w:bCs w:val="0"/>
                <w:color w:val="auto"/>
                <w:sz w:val="21"/>
                <w:szCs w:val="21"/>
                <w:vertAlign w:val="subscript"/>
                <w:lang w:val="en-US" w:eastAsia="zh-CN"/>
              </w:rPr>
              <w:t>x</w:t>
            </w:r>
            <w:r>
              <w:rPr>
                <w:rFonts w:hint="eastAsia" w:ascii="Times New Roman" w:hAnsi="Times New Roman" w:eastAsia="宋体" w:cs="Times New Roman"/>
                <w:bCs/>
                <w:color w:val="auto"/>
                <w:sz w:val="21"/>
                <w:szCs w:val="21"/>
                <w:vertAlign w:val="baseline"/>
                <w:lang w:val="en-US" w:eastAsia="zh-CN"/>
              </w:rPr>
              <w:t>排放</w:t>
            </w:r>
            <w:r>
              <w:rPr>
                <w:rFonts w:hint="eastAsia" w:eastAsia="宋体" w:cs="黑体"/>
                <w:color w:val="auto"/>
                <w:sz w:val="21"/>
                <w:szCs w:val="21"/>
              </w:rPr>
              <w:t>量</w:t>
            </w:r>
            <w:r>
              <w:rPr>
                <w:rFonts w:hint="eastAsia" w:eastAsia="宋体" w:cs="黑体"/>
                <w:color w:val="auto"/>
                <w:sz w:val="21"/>
                <w:szCs w:val="21"/>
                <w:lang w:eastAsia="zh-CN"/>
              </w:rPr>
              <w:t>为</w:t>
            </w:r>
            <w:r>
              <w:rPr>
                <w:rFonts w:hint="eastAsia" w:cs="黑体"/>
                <w:color w:val="auto"/>
                <w:sz w:val="21"/>
                <w:szCs w:val="21"/>
                <w:lang w:val="en-US" w:eastAsia="zh-CN"/>
              </w:rPr>
              <w:t>5.348</w:t>
            </w:r>
            <w:r>
              <w:rPr>
                <w:rFonts w:eastAsia="宋体" w:cs="黑体"/>
                <w:color w:val="auto"/>
                <w:sz w:val="21"/>
                <w:szCs w:val="21"/>
              </w:rPr>
              <w:t>t/a</w:t>
            </w:r>
            <w:r>
              <w:rPr>
                <w:rFonts w:hint="eastAsia" w:eastAsia="宋体" w:cs="黑体"/>
                <w:color w:val="auto"/>
                <w:sz w:val="21"/>
                <w:szCs w:val="21"/>
                <w:lang w:eastAsia="zh-CN"/>
              </w:rPr>
              <w:t>。</w:t>
            </w:r>
          </w:p>
          <w:p w14:paraId="49452046">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b/>
                <w:bCs/>
                <w:color w:val="auto"/>
                <w:sz w:val="21"/>
                <w:szCs w:val="21"/>
                <w:lang w:val="en-US" w:eastAsia="zh-CN"/>
              </w:rPr>
            </w:pPr>
            <w:r>
              <w:rPr>
                <w:rFonts w:hint="eastAsia" w:cs="Times New Roman"/>
                <w:color w:val="auto"/>
                <w:sz w:val="21"/>
                <w:szCs w:val="21"/>
                <w:lang w:val="en-US" w:eastAsia="zh-CN"/>
              </w:rPr>
              <w:t>计算可知，若项目</w:t>
            </w:r>
            <w:r>
              <w:rPr>
                <w:rFonts w:hint="eastAsia"/>
                <w:color w:val="auto"/>
                <w:sz w:val="21"/>
                <w:szCs w:val="21"/>
                <w:lang w:val="en-US" w:eastAsia="zh-CN"/>
              </w:rPr>
              <w:t>土窑</w:t>
            </w:r>
            <w:r>
              <w:rPr>
                <w:rFonts w:hint="eastAsia" w:cs="Times New Roman"/>
                <w:color w:val="auto"/>
                <w:sz w:val="21"/>
                <w:szCs w:val="21"/>
                <w:lang w:val="en-US" w:eastAsia="zh-CN"/>
              </w:rPr>
              <w:t>投入生产，预计污染物产生量为：颗粒物产生量为29.00t/a，二氧化硫产生量约为18.8t/a，氮氧化物的产生量约为5.348t/a，氟化物的产生量类比本次源强核算的数据约为</w:t>
            </w:r>
            <w:r>
              <w:rPr>
                <w:rFonts w:hint="eastAsia"/>
                <w:color w:val="auto"/>
                <w:lang w:val="en-US" w:eastAsia="zh-CN"/>
              </w:rPr>
              <w:t>0.807</w:t>
            </w:r>
            <w:r>
              <w:rPr>
                <w:rFonts w:hint="eastAsia" w:cs="Times New Roman"/>
                <w:color w:val="auto"/>
                <w:sz w:val="21"/>
                <w:szCs w:val="21"/>
                <w:lang w:val="en-US" w:eastAsia="zh-CN"/>
              </w:rPr>
              <w:t>t/a。原项目无配套的污染治理措施，废气呈无组织的形式排放。</w:t>
            </w:r>
          </w:p>
          <w:p w14:paraId="482324CC">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2" w:firstLineChars="200"/>
              <w:textAlignment w:val="auto"/>
              <w:rPr>
                <w:rFonts w:hint="default" w:cs="Times New Roman"/>
                <w:b/>
                <w:bCs/>
                <w:color w:val="auto"/>
                <w:sz w:val="21"/>
                <w:szCs w:val="21"/>
                <w:lang w:val="en-US" w:eastAsia="zh-CN"/>
              </w:rPr>
            </w:pPr>
            <w:r>
              <w:rPr>
                <w:rFonts w:hint="eastAsia" w:cs="Times New Roman"/>
                <w:b/>
                <w:bCs/>
                <w:color w:val="auto"/>
                <w:sz w:val="21"/>
                <w:szCs w:val="21"/>
                <w:lang w:val="en-US" w:eastAsia="zh-CN"/>
              </w:rPr>
              <w:t>7、现有项目固体废弃物产生情况</w:t>
            </w:r>
          </w:p>
          <w:p w14:paraId="5680E078">
            <w:pPr>
              <w:widowControl w:val="0"/>
              <w:bidi w:val="0"/>
              <w:spacing w:line="360" w:lineRule="auto"/>
              <w:ind w:firstLine="422" w:firstLineChars="200"/>
              <w:jc w:val="both"/>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kern w:val="2"/>
                <w:sz w:val="21"/>
                <w:szCs w:val="21"/>
                <w:lang w:val="en-US" w:eastAsia="zh-CN" w:bidi="ar-SA"/>
              </w:rPr>
              <w:t>根据企业提供的资料现有项目固体废弃物产生情况如下：</w:t>
            </w:r>
          </w:p>
          <w:p w14:paraId="4DEABFF7">
            <w:pPr>
              <w:widowControl w:val="0"/>
              <w:bidi w:val="0"/>
              <w:spacing w:line="360" w:lineRule="auto"/>
              <w:ind w:firstLine="422" w:firstLineChars="200"/>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表</w:t>
            </w:r>
            <w:r>
              <w:rPr>
                <w:rFonts w:hint="eastAsia" w:cs="Times New Roman"/>
                <w:b/>
                <w:bCs/>
                <w:color w:val="auto"/>
                <w:kern w:val="2"/>
                <w:sz w:val="21"/>
                <w:szCs w:val="21"/>
                <w:lang w:val="en-US" w:eastAsia="zh-CN" w:bidi="ar-SA"/>
              </w:rPr>
              <w:t>2</w:t>
            </w:r>
            <w:r>
              <w:rPr>
                <w:rFonts w:hint="eastAsia" w:ascii="Times New Roman" w:hAnsi="Times New Roman" w:eastAsia="宋体" w:cs="Times New Roman"/>
                <w:b/>
                <w:bCs/>
                <w:color w:val="auto"/>
                <w:kern w:val="2"/>
                <w:sz w:val="21"/>
                <w:szCs w:val="21"/>
                <w:lang w:val="en-US" w:eastAsia="zh-CN" w:bidi="ar-SA"/>
              </w:rPr>
              <w:t>-1</w:t>
            </w:r>
            <w:r>
              <w:rPr>
                <w:rFonts w:hint="eastAsia" w:cs="Times New Roman"/>
                <w:b/>
                <w:bCs/>
                <w:color w:val="auto"/>
                <w:kern w:val="2"/>
                <w:sz w:val="21"/>
                <w:szCs w:val="21"/>
                <w:lang w:val="en-US" w:eastAsia="zh-CN" w:bidi="ar-SA"/>
              </w:rPr>
              <w:t>9</w:t>
            </w:r>
            <w:r>
              <w:rPr>
                <w:rFonts w:hint="eastAsia" w:ascii="Times New Roman" w:hAnsi="Times New Roman" w:eastAsia="宋体" w:cs="Times New Roman"/>
                <w:b/>
                <w:bCs/>
                <w:color w:val="auto"/>
                <w:kern w:val="2"/>
                <w:sz w:val="21"/>
                <w:szCs w:val="21"/>
                <w:lang w:val="en-US" w:eastAsia="zh-CN" w:bidi="ar-SA"/>
              </w:rPr>
              <w:t xml:space="preserve">  项目主要固废产生及处置情况</w:t>
            </w:r>
          </w:p>
          <w:tbl>
            <w:tblPr>
              <w:tblStyle w:val="30"/>
              <w:tblW w:w="79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1486"/>
              <w:gridCol w:w="1140"/>
              <w:gridCol w:w="1170"/>
              <w:gridCol w:w="1315"/>
              <w:gridCol w:w="2366"/>
            </w:tblGrid>
            <w:tr w14:paraId="303AA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459" w:type="dxa"/>
                  <w:vAlign w:val="center"/>
                </w:tcPr>
                <w:p w14:paraId="698527A1">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序号</w:t>
                  </w:r>
                </w:p>
              </w:tc>
              <w:tc>
                <w:tcPr>
                  <w:tcW w:w="1486" w:type="dxa"/>
                  <w:vAlign w:val="center"/>
                </w:tcPr>
                <w:p w14:paraId="2D9C09F4">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来源</w:t>
                  </w:r>
                </w:p>
              </w:tc>
              <w:tc>
                <w:tcPr>
                  <w:tcW w:w="1140" w:type="dxa"/>
                  <w:vAlign w:val="center"/>
                </w:tcPr>
                <w:p w14:paraId="4A7D6ECD">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固体废物名称</w:t>
                  </w:r>
                </w:p>
              </w:tc>
              <w:tc>
                <w:tcPr>
                  <w:tcW w:w="1170" w:type="dxa"/>
                  <w:vAlign w:val="center"/>
                </w:tcPr>
                <w:p w14:paraId="1AA5886A">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废物类别</w:t>
                  </w:r>
                </w:p>
              </w:tc>
              <w:tc>
                <w:tcPr>
                  <w:tcW w:w="1315" w:type="dxa"/>
                  <w:vAlign w:val="center"/>
                </w:tcPr>
                <w:p w14:paraId="3AED8A18">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产生量（t/a）</w:t>
                  </w:r>
                </w:p>
              </w:tc>
              <w:tc>
                <w:tcPr>
                  <w:tcW w:w="2366" w:type="dxa"/>
                  <w:vAlign w:val="center"/>
                </w:tcPr>
                <w:p w14:paraId="2BC6D1BF">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处置方式</w:t>
                  </w:r>
                </w:p>
              </w:tc>
            </w:tr>
            <w:tr w14:paraId="5BE72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459" w:type="dxa"/>
                  <w:vAlign w:val="center"/>
                </w:tcPr>
                <w:p w14:paraId="69B46E8B">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c>
                <w:tcPr>
                  <w:tcW w:w="1486" w:type="dxa"/>
                  <w:vAlign w:val="center"/>
                </w:tcPr>
                <w:p w14:paraId="6BA37451">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切条</w:t>
                  </w:r>
                </w:p>
              </w:tc>
              <w:tc>
                <w:tcPr>
                  <w:tcW w:w="1140" w:type="dxa"/>
                  <w:vAlign w:val="center"/>
                </w:tcPr>
                <w:p w14:paraId="26432442">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b w:val="0"/>
                      <w:bCs w:val="0"/>
                      <w:color w:val="auto"/>
                      <w:sz w:val="21"/>
                      <w:szCs w:val="21"/>
                      <w:lang w:eastAsia="zh-CN"/>
                    </w:rPr>
                    <w:t>切条废料</w:t>
                  </w:r>
                </w:p>
              </w:tc>
              <w:tc>
                <w:tcPr>
                  <w:tcW w:w="1170" w:type="dxa"/>
                  <w:vMerge w:val="restart"/>
                  <w:vAlign w:val="center"/>
                </w:tcPr>
                <w:p w14:paraId="1F13C0CC">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一般工业固废</w:t>
                  </w:r>
                </w:p>
              </w:tc>
              <w:tc>
                <w:tcPr>
                  <w:tcW w:w="1315" w:type="dxa"/>
                  <w:vAlign w:val="center"/>
                </w:tcPr>
                <w:p w14:paraId="5777DBA6">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620</w:t>
                  </w:r>
                </w:p>
              </w:tc>
              <w:tc>
                <w:tcPr>
                  <w:tcW w:w="2366" w:type="dxa"/>
                  <w:vAlign w:val="center"/>
                </w:tcPr>
                <w:p w14:paraId="386A4805">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收集后</w:t>
                  </w:r>
                  <w:r>
                    <w:rPr>
                      <w:rFonts w:hint="eastAsia" w:cs="Times New Roman"/>
                      <w:color w:val="auto"/>
                      <w:kern w:val="2"/>
                      <w:sz w:val="21"/>
                      <w:szCs w:val="21"/>
                      <w:lang w:val="en-US" w:eastAsia="zh-CN" w:bidi="ar-SA"/>
                    </w:rPr>
                    <w:t>利用对辊机</w:t>
                  </w:r>
                  <w:r>
                    <w:rPr>
                      <w:rFonts w:hint="eastAsia" w:ascii="Times New Roman" w:hAnsi="Times New Roman" w:eastAsia="宋体" w:cs="Times New Roman"/>
                      <w:color w:val="auto"/>
                      <w:kern w:val="2"/>
                      <w:sz w:val="21"/>
                      <w:szCs w:val="21"/>
                      <w:lang w:val="en-US" w:eastAsia="zh-CN" w:bidi="ar-SA"/>
                    </w:rPr>
                    <w:t>破碎后返回生产线</w:t>
                  </w:r>
                </w:p>
              </w:tc>
            </w:tr>
            <w:tr w14:paraId="607B9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459" w:type="dxa"/>
                  <w:vAlign w:val="center"/>
                </w:tcPr>
                <w:p w14:paraId="1C8C9FDA">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c>
                <w:tcPr>
                  <w:tcW w:w="1486" w:type="dxa"/>
                  <w:vAlign w:val="center"/>
                </w:tcPr>
                <w:p w14:paraId="1E55D2B9">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修坯</w:t>
                  </w:r>
                </w:p>
              </w:tc>
              <w:tc>
                <w:tcPr>
                  <w:tcW w:w="1140" w:type="dxa"/>
                  <w:vAlign w:val="center"/>
                </w:tcPr>
                <w:p w14:paraId="01A490AB">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修坯</w:t>
                  </w:r>
                  <w:r>
                    <w:rPr>
                      <w:rFonts w:hint="default" w:ascii="Times New Roman" w:hAnsi="Times New Roman" w:cs="Times New Roman"/>
                      <w:b w:val="0"/>
                      <w:bCs w:val="0"/>
                      <w:color w:val="auto"/>
                      <w:sz w:val="21"/>
                      <w:szCs w:val="21"/>
                      <w:lang w:eastAsia="zh-CN"/>
                    </w:rPr>
                    <w:t>废料</w:t>
                  </w:r>
                </w:p>
              </w:tc>
              <w:tc>
                <w:tcPr>
                  <w:tcW w:w="1170" w:type="dxa"/>
                  <w:vMerge w:val="continue"/>
                  <w:vAlign w:val="center"/>
                </w:tcPr>
                <w:p w14:paraId="0FB9F6AA">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1315" w:type="dxa"/>
                  <w:vAlign w:val="center"/>
                </w:tcPr>
                <w:p w14:paraId="3F327F1F">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155</w:t>
                  </w:r>
                </w:p>
              </w:tc>
              <w:tc>
                <w:tcPr>
                  <w:tcW w:w="2366" w:type="dxa"/>
                  <w:vAlign w:val="center"/>
                </w:tcPr>
                <w:p w14:paraId="1CB52C47">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收集后</w:t>
                  </w:r>
                  <w:r>
                    <w:rPr>
                      <w:rFonts w:hint="eastAsia" w:cs="Times New Roman"/>
                      <w:color w:val="auto"/>
                      <w:kern w:val="2"/>
                      <w:sz w:val="21"/>
                      <w:szCs w:val="21"/>
                      <w:lang w:val="en-US" w:eastAsia="zh-CN" w:bidi="ar-SA"/>
                    </w:rPr>
                    <w:t>利用对辊机</w:t>
                  </w:r>
                  <w:r>
                    <w:rPr>
                      <w:rFonts w:hint="eastAsia" w:ascii="Times New Roman" w:hAnsi="Times New Roman" w:eastAsia="宋体" w:cs="Times New Roman"/>
                      <w:color w:val="auto"/>
                      <w:kern w:val="2"/>
                      <w:sz w:val="21"/>
                      <w:szCs w:val="21"/>
                      <w:lang w:val="en-US" w:eastAsia="zh-CN" w:bidi="ar-SA"/>
                    </w:rPr>
                    <w:t>破碎后返回生产线</w:t>
                  </w:r>
                </w:p>
              </w:tc>
            </w:tr>
            <w:tr w14:paraId="7A075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459" w:type="dxa"/>
                  <w:vAlign w:val="center"/>
                </w:tcPr>
                <w:p w14:paraId="557A904A">
                  <w:pPr>
                    <w:widowControl w:val="0"/>
                    <w:bidi w:val="0"/>
                    <w:spacing w:before="25" w:beforeLines="25" w:after="25" w:afterLines="25" w:line="240" w:lineRule="auto"/>
                    <w:ind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3</w:t>
                  </w:r>
                </w:p>
              </w:tc>
              <w:tc>
                <w:tcPr>
                  <w:tcW w:w="1486" w:type="dxa"/>
                  <w:vAlign w:val="center"/>
                </w:tcPr>
                <w:p w14:paraId="3C68031D">
                  <w:pPr>
                    <w:widowControl w:val="0"/>
                    <w:bidi w:val="0"/>
                    <w:spacing w:before="25" w:beforeLines="25" w:after="25" w:afterLines="25" w:line="240" w:lineRule="auto"/>
                    <w:ind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产品检验</w:t>
                  </w:r>
                </w:p>
              </w:tc>
              <w:tc>
                <w:tcPr>
                  <w:tcW w:w="1140" w:type="dxa"/>
                  <w:vAlign w:val="center"/>
                </w:tcPr>
                <w:p w14:paraId="43C9A5D6">
                  <w:pPr>
                    <w:widowControl w:val="0"/>
                    <w:bidi w:val="0"/>
                    <w:spacing w:before="25" w:beforeLines="25" w:after="25" w:afterLines="25" w:line="240" w:lineRule="auto"/>
                    <w:ind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次品</w:t>
                  </w:r>
                </w:p>
              </w:tc>
              <w:tc>
                <w:tcPr>
                  <w:tcW w:w="1170" w:type="dxa"/>
                  <w:vMerge w:val="continue"/>
                  <w:vAlign w:val="center"/>
                </w:tcPr>
                <w:p w14:paraId="1BAF0900">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1315" w:type="dxa"/>
                  <w:vAlign w:val="center"/>
                </w:tcPr>
                <w:p w14:paraId="772D7FDA">
                  <w:pPr>
                    <w:widowControl w:val="0"/>
                    <w:bidi w:val="0"/>
                    <w:spacing w:before="25" w:beforeLines="25" w:after="25" w:afterLines="25"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300</w:t>
                  </w:r>
                </w:p>
              </w:tc>
              <w:tc>
                <w:tcPr>
                  <w:tcW w:w="2366" w:type="dxa"/>
                  <w:vAlign w:val="center"/>
                </w:tcPr>
                <w:p w14:paraId="3F272D3B">
                  <w:pPr>
                    <w:widowControl w:val="0"/>
                    <w:bidi w:val="0"/>
                    <w:spacing w:before="25" w:beforeLines="25" w:after="25" w:afterLines="25" w:line="240" w:lineRule="auto"/>
                    <w:ind w:firstLine="0" w:firstLineChars="0"/>
                    <w:jc w:val="center"/>
                    <w:rPr>
                      <w:rFonts w:hint="default" w:ascii="Times New Roman" w:hAnsi="Times New Roman" w:cs="Times New Roman"/>
                      <w:color w:val="auto"/>
                      <w:sz w:val="21"/>
                      <w:szCs w:val="21"/>
                      <w:lang w:eastAsia="zh-CN"/>
                    </w:rPr>
                  </w:pPr>
                  <w:r>
                    <w:rPr>
                      <w:rFonts w:hint="eastAsia" w:ascii="Times New Roman" w:hAnsi="Times New Roman" w:eastAsia="宋体" w:cs="Times New Roman"/>
                      <w:color w:val="auto"/>
                      <w:kern w:val="2"/>
                      <w:sz w:val="21"/>
                      <w:szCs w:val="21"/>
                      <w:lang w:val="en-US" w:eastAsia="zh-CN" w:bidi="ar-SA"/>
                    </w:rPr>
                    <w:t>收集洒水润湿后，</w:t>
                  </w:r>
                  <w:r>
                    <w:rPr>
                      <w:rFonts w:hint="eastAsia" w:cs="Times New Roman"/>
                      <w:color w:val="auto"/>
                      <w:kern w:val="2"/>
                      <w:sz w:val="21"/>
                      <w:szCs w:val="21"/>
                      <w:lang w:val="en-US" w:eastAsia="zh-CN" w:bidi="ar-SA"/>
                    </w:rPr>
                    <w:t>利用对辊机</w:t>
                  </w:r>
                  <w:r>
                    <w:rPr>
                      <w:rFonts w:hint="eastAsia" w:ascii="Times New Roman" w:hAnsi="Times New Roman" w:eastAsia="宋体" w:cs="Times New Roman"/>
                      <w:color w:val="auto"/>
                      <w:kern w:val="2"/>
                      <w:sz w:val="21"/>
                      <w:szCs w:val="21"/>
                      <w:lang w:val="en-US" w:eastAsia="zh-CN" w:bidi="ar-SA"/>
                    </w:rPr>
                    <w:t>破碎后作为原料使用</w:t>
                  </w:r>
                </w:p>
              </w:tc>
            </w:tr>
            <w:tr w14:paraId="2AF96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459" w:type="dxa"/>
                  <w:vAlign w:val="center"/>
                </w:tcPr>
                <w:p w14:paraId="42C5CA12">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w:t>
                  </w:r>
                </w:p>
              </w:tc>
              <w:tc>
                <w:tcPr>
                  <w:tcW w:w="1486" w:type="dxa"/>
                  <w:vAlign w:val="center"/>
                </w:tcPr>
                <w:p w14:paraId="39E6D63F">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焙烧工序</w:t>
                  </w:r>
                </w:p>
              </w:tc>
              <w:tc>
                <w:tcPr>
                  <w:tcW w:w="1140" w:type="dxa"/>
                  <w:vAlign w:val="center"/>
                </w:tcPr>
                <w:p w14:paraId="7A303CB1">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煤渣</w:t>
                  </w:r>
                </w:p>
              </w:tc>
              <w:tc>
                <w:tcPr>
                  <w:tcW w:w="1170" w:type="dxa"/>
                  <w:vMerge w:val="continue"/>
                  <w:vAlign w:val="center"/>
                </w:tcPr>
                <w:p w14:paraId="0D181250">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1315" w:type="dxa"/>
                  <w:vAlign w:val="center"/>
                </w:tcPr>
                <w:p w14:paraId="7B3567B7">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120</w:t>
                  </w:r>
                </w:p>
              </w:tc>
              <w:tc>
                <w:tcPr>
                  <w:tcW w:w="2366" w:type="dxa"/>
                  <w:vAlign w:val="center"/>
                </w:tcPr>
                <w:p w14:paraId="190593FC">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收集后</w:t>
                  </w:r>
                  <w:r>
                    <w:rPr>
                      <w:rFonts w:hint="default" w:ascii="Times New Roman" w:hAnsi="Times New Roman" w:cs="Times New Roman"/>
                      <w:color w:val="auto"/>
                      <w:sz w:val="21"/>
                      <w:szCs w:val="21"/>
                    </w:rPr>
                    <w:t>经返回</w:t>
                  </w:r>
                  <w:r>
                    <w:rPr>
                      <w:rFonts w:hint="eastAsia" w:ascii="Times New Roman" w:hAnsi="Times New Roman" w:cs="Times New Roman"/>
                      <w:color w:val="auto"/>
                      <w:sz w:val="21"/>
                      <w:szCs w:val="21"/>
                      <w:lang w:val="en-US" w:eastAsia="zh-CN"/>
                    </w:rPr>
                    <w:t>原料车间</w:t>
                  </w:r>
                  <w:r>
                    <w:rPr>
                      <w:rFonts w:hint="default" w:ascii="Times New Roman" w:hAnsi="Times New Roman" w:cs="Times New Roman"/>
                      <w:color w:val="auto"/>
                      <w:sz w:val="21"/>
                      <w:szCs w:val="21"/>
                    </w:rPr>
                    <w:t>做原料使用</w:t>
                  </w:r>
                </w:p>
              </w:tc>
            </w:tr>
            <w:tr w14:paraId="3DAF2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9" w:type="dxa"/>
                  <w:vAlign w:val="center"/>
                </w:tcPr>
                <w:p w14:paraId="2FCF5C84">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w:t>
                  </w:r>
                </w:p>
              </w:tc>
              <w:tc>
                <w:tcPr>
                  <w:tcW w:w="1486" w:type="dxa"/>
                  <w:vAlign w:val="center"/>
                </w:tcPr>
                <w:p w14:paraId="4DC0D9D7">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设备维护检修</w:t>
                  </w:r>
                </w:p>
              </w:tc>
              <w:tc>
                <w:tcPr>
                  <w:tcW w:w="1140" w:type="dxa"/>
                  <w:vAlign w:val="center"/>
                </w:tcPr>
                <w:p w14:paraId="780A7912">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废润滑油</w:t>
                  </w:r>
                </w:p>
              </w:tc>
              <w:tc>
                <w:tcPr>
                  <w:tcW w:w="1170" w:type="dxa"/>
                  <w:vAlign w:val="center"/>
                </w:tcPr>
                <w:p w14:paraId="54983113">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危险废物</w:t>
                  </w:r>
                </w:p>
              </w:tc>
              <w:tc>
                <w:tcPr>
                  <w:tcW w:w="1315" w:type="dxa"/>
                  <w:vAlign w:val="center"/>
                </w:tcPr>
                <w:p w14:paraId="3727BC9C">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0.2</w:t>
                  </w:r>
                </w:p>
              </w:tc>
              <w:tc>
                <w:tcPr>
                  <w:tcW w:w="2366" w:type="dxa"/>
                  <w:vAlign w:val="center"/>
                </w:tcPr>
                <w:p w14:paraId="27021968">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废润滑油</w:t>
                  </w:r>
                  <w:r>
                    <w:rPr>
                      <w:rFonts w:hint="default" w:ascii="Times New Roman" w:hAnsi="Times New Roman" w:cs="Times New Roman"/>
                      <w:color w:val="auto"/>
                      <w:sz w:val="21"/>
                      <w:szCs w:val="21"/>
                    </w:rPr>
                    <w:t>由专用收集桶收集后暂存于</w:t>
                  </w:r>
                  <w:r>
                    <w:rPr>
                      <w:rFonts w:hint="eastAsia" w:cs="Times New Roman"/>
                      <w:color w:val="auto"/>
                      <w:sz w:val="21"/>
                      <w:szCs w:val="21"/>
                      <w:lang w:eastAsia="zh-CN"/>
                    </w:rPr>
                    <w:t>危废贮存库</w:t>
                  </w:r>
                  <w:r>
                    <w:rPr>
                      <w:rFonts w:hint="default" w:ascii="Times New Roman" w:hAnsi="Times New Roman" w:cs="Times New Roman"/>
                      <w:color w:val="auto"/>
                      <w:sz w:val="21"/>
                      <w:szCs w:val="21"/>
                    </w:rPr>
                    <w:t>内</w:t>
                  </w:r>
                  <w:r>
                    <w:rPr>
                      <w:rFonts w:hint="eastAsia" w:cs="Times New Roman"/>
                      <w:color w:val="auto"/>
                      <w:sz w:val="21"/>
                      <w:szCs w:val="21"/>
                      <w:lang w:eastAsia="zh-CN"/>
                    </w:rPr>
                    <w:t>，</w:t>
                  </w:r>
                  <w:r>
                    <w:rPr>
                      <w:rFonts w:hint="eastAsia" w:cs="Times New Roman"/>
                      <w:color w:val="auto"/>
                      <w:sz w:val="21"/>
                      <w:szCs w:val="21"/>
                      <w:lang w:val="en-US" w:eastAsia="zh-CN"/>
                    </w:rPr>
                    <w:t>委托有资质的单位清运处置。</w:t>
                  </w:r>
                </w:p>
              </w:tc>
            </w:tr>
            <w:tr w14:paraId="07DCC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459" w:type="dxa"/>
                  <w:vAlign w:val="center"/>
                </w:tcPr>
                <w:p w14:paraId="685BFCD9">
                  <w:pPr>
                    <w:widowControl w:val="0"/>
                    <w:bidi w:val="0"/>
                    <w:spacing w:before="25" w:beforeLines="25" w:after="25" w:afterLines="25" w:line="240" w:lineRule="auto"/>
                    <w:ind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6</w:t>
                  </w:r>
                </w:p>
              </w:tc>
              <w:tc>
                <w:tcPr>
                  <w:tcW w:w="1486" w:type="dxa"/>
                  <w:vAlign w:val="center"/>
                </w:tcPr>
                <w:p w14:paraId="37D32F60">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生活垃圾</w:t>
                  </w:r>
                </w:p>
              </w:tc>
              <w:tc>
                <w:tcPr>
                  <w:tcW w:w="1140" w:type="dxa"/>
                  <w:vAlign w:val="center"/>
                </w:tcPr>
                <w:p w14:paraId="4FB953BC">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170" w:type="dxa"/>
                  <w:vAlign w:val="center"/>
                </w:tcPr>
                <w:p w14:paraId="20FA4A98">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315" w:type="dxa"/>
                  <w:vAlign w:val="center"/>
                </w:tcPr>
                <w:p w14:paraId="6C359AAA">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7.5</w:t>
                  </w:r>
                </w:p>
              </w:tc>
              <w:tc>
                <w:tcPr>
                  <w:tcW w:w="2366" w:type="dxa"/>
                  <w:vAlign w:val="center"/>
                </w:tcPr>
                <w:p w14:paraId="3F283A8B">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生活垃圾设置带盖垃圾桶收集，委托环卫部门</w:t>
                  </w:r>
                  <w:r>
                    <w:rPr>
                      <w:rFonts w:hint="default" w:ascii="Times New Roman" w:hAnsi="Times New Roman" w:cs="Times New Roman"/>
                      <w:color w:val="auto"/>
                      <w:sz w:val="21"/>
                      <w:szCs w:val="21"/>
                      <w:lang w:eastAsia="zh-CN"/>
                    </w:rPr>
                    <w:t>清运处置</w:t>
                  </w:r>
                </w:p>
              </w:tc>
            </w:tr>
          </w:tbl>
          <w:p w14:paraId="153E469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2" w:firstLineChars="200"/>
              <w:textAlignment w:val="auto"/>
              <w:rPr>
                <w:rFonts w:hint="default" w:cs="Times New Roman"/>
                <w:b/>
                <w:bCs/>
                <w:color w:val="auto"/>
                <w:sz w:val="21"/>
                <w:szCs w:val="21"/>
                <w:lang w:val="en-US" w:eastAsia="zh-CN"/>
              </w:rPr>
            </w:pPr>
            <w:r>
              <w:rPr>
                <w:rFonts w:hint="eastAsia" w:cs="Times New Roman"/>
                <w:b/>
                <w:bCs/>
                <w:color w:val="auto"/>
                <w:sz w:val="21"/>
                <w:szCs w:val="21"/>
                <w:lang w:val="en-US" w:eastAsia="zh-CN"/>
              </w:rPr>
              <w:t>8、现有项目存在问题</w:t>
            </w:r>
          </w:p>
          <w:p w14:paraId="0DF0072B">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textAlignment w:val="auto"/>
              <w:rPr>
                <w:rFonts w:hint="default" w:eastAsia="宋体" w:cs="Times New Roman"/>
                <w:color w:val="auto"/>
                <w:sz w:val="21"/>
                <w:szCs w:val="21"/>
                <w:lang w:val="en-US" w:eastAsia="zh-CN"/>
              </w:rPr>
            </w:pPr>
            <w:r>
              <w:rPr>
                <w:rFonts w:hint="eastAsia" w:cs="Times New Roman"/>
                <w:color w:val="auto"/>
                <w:sz w:val="21"/>
                <w:szCs w:val="21"/>
                <w:lang w:val="en-US" w:eastAsia="zh-CN"/>
              </w:rPr>
              <w:t>①现有3座土窑属于</w:t>
            </w:r>
            <w:r>
              <w:rPr>
                <w:rFonts w:hint="eastAsia"/>
                <w:color w:val="auto"/>
                <w:sz w:val="21"/>
                <w:szCs w:val="21"/>
                <w:highlight w:val="none"/>
              </w:rPr>
              <w:t>《建材行业淘汰落后产能指导目录</w:t>
            </w:r>
            <w:r>
              <w:rPr>
                <w:rFonts w:hint="eastAsia"/>
                <w:color w:val="auto"/>
                <w:sz w:val="21"/>
                <w:szCs w:val="21"/>
                <w:highlight w:val="none"/>
                <w:lang w:eastAsia="zh-CN"/>
              </w:rPr>
              <w:t>（</w:t>
            </w:r>
            <w:r>
              <w:rPr>
                <w:rFonts w:hint="eastAsia"/>
                <w:color w:val="auto"/>
                <w:sz w:val="21"/>
                <w:szCs w:val="21"/>
                <w:highlight w:val="none"/>
              </w:rPr>
              <w:t>2019年</w:t>
            </w:r>
            <w:r>
              <w:rPr>
                <w:rFonts w:hint="eastAsia"/>
                <w:color w:val="auto"/>
                <w:sz w:val="21"/>
                <w:szCs w:val="21"/>
                <w:highlight w:val="none"/>
                <w:lang w:eastAsia="zh-CN"/>
              </w:rPr>
              <w:t>）</w:t>
            </w:r>
            <w:r>
              <w:rPr>
                <w:rFonts w:hint="eastAsia"/>
                <w:color w:val="auto"/>
                <w:sz w:val="21"/>
                <w:szCs w:val="21"/>
                <w:highlight w:val="none"/>
              </w:rPr>
              <w:t>》</w:t>
            </w:r>
            <w:r>
              <w:rPr>
                <w:rFonts w:hint="eastAsia"/>
                <w:color w:val="auto"/>
                <w:sz w:val="21"/>
                <w:szCs w:val="21"/>
                <w:highlight w:val="none"/>
                <w:lang w:val="en-US" w:eastAsia="zh-CN"/>
              </w:rPr>
              <w:t>中的淘汰类设施；</w:t>
            </w:r>
          </w:p>
          <w:p w14:paraId="25B4CF5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textAlignment w:val="auto"/>
              <w:rPr>
                <w:rFonts w:hint="default" w:cs="Times New Roman"/>
                <w:color w:val="auto"/>
                <w:sz w:val="21"/>
                <w:szCs w:val="21"/>
                <w:lang w:val="en-US" w:eastAsia="zh-CN"/>
              </w:rPr>
            </w:pPr>
            <w:r>
              <w:rPr>
                <w:rFonts w:hint="eastAsia" w:cs="Times New Roman"/>
                <w:color w:val="auto"/>
                <w:sz w:val="21"/>
                <w:szCs w:val="21"/>
                <w:lang w:val="en-US" w:eastAsia="zh-CN"/>
              </w:rPr>
              <w:t>②土窑废气为无组织排放，未配套高效脱硫除尘设施。</w:t>
            </w:r>
          </w:p>
          <w:p w14:paraId="74AB10B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2" w:firstLineChars="200"/>
              <w:textAlignment w:val="auto"/>
              <w:rPr>
                <w:rFonts w:hint="default" w:cs="Times New Roman"/>
                <w:b/>
                <w:bCs/>
                <w:color w:val="auto"/>
                <w:sz w:val="21"/>
                <w:szCs w:val="21"/>
                <w:lang w:val="en-US" w:eastAsia="zh-CN"/>
              </w:rPr>
            </w:pPr>
            <w:r>
              <w:rPr>
                <w:rFonts w:hint="eastAsia" w:cs="Times New Roman"/>
                <w:b/>
                <w:bCs/>
                <w:color w:val="auto"/>
                <w:sz w:val="21"/>
                <w:szCs w:val="21"/>
                <w:lang w:val="en-US" w:eastAsia="zh-CN"/>
              </w:rPr>
              <w:t>9、“以老带新”措施</w:t>
            </w:r>
          </w:p>
          <w:p w14:paraId="14B1F7A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textAlignment w:val="auto"/>
              <w:rPr>
                <w:rFonts w:hint="eastAsia" w:cs="Times New Roman"/>
                <w:color w:val="auto"/>
                <w:sz w:val="21"/>
                <w:szCs w:val="21"/>
                <w:lang w:val="en-US" w:eastAsia="zh-CN"/>
              </w:rPr>
            </w:pPr>
            <w:r>
              <w:rPr>
                <w:rFonts w:hint="eastAsia" w:cs="Times New Roman"/>
                <w:color w:val="auto"/>
                <w:sz w:val="21"/>
                <w:szCs w:val="21"/>
                <w:lang w:val="en-US" w:eastAsia="zh-CN"/>
              </w:rPr>
              <w:t>①拆除现有三座土窑，更换6座梭式窑；</w:t>
            </w:r>
          </w:p>
          <w:p w14:paraId="6E6279B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textAlignment w:val="auto"/>
              <w:rPr>
                <w:rFonts w:hint="default" w:cs="Times New Roman"/>
                <w:b/>
                <w:bCs/>
                <w:color w:val="auto"/>
                <w:sz w:val="21"/>
                <w:szCs w:val="21"/>
                <w:lang w:val="en-US" w:eastAsia="zh-CN"/>
              </w:rPr>
            </w:pPr>
            <w:r>
              <w:rPr>
                <w:rFonts w:hint="eastAsia" w:cs="Times New Roman"/>
                <w:color w:val="auto"/>
                <w:sz w:val="21"/>
                <w:szCs w:val="21"/>
                <w:lang w:val="en-US" w:eastAsia="zh-CN"/>
              </w:rPr>
              <w:t>②梭式窑烧成废气配套</w:t>
            </w:r>
            <w:r>
              <w:rPr>
                <w:rFonts w:hint="eastAsia"/>
                <w:b w:val="0"/>
                <w:bCs/>
                <w:color w:val="auto"/>
                <w:sz w:val="21"/>
                <w:szCs w:val="21"/>
                <w:lang w:val="en-US" w:eastAsia="zh-CN"/>
              </w:rPr>
              <w:t>1套布袋除尘+脱硫塔治理措施，</w:t>
            </w:r>
            <w:r>
              <w:rPr>
                <w:rFonts w:hint="eastAsia"/>
                <w:color w:val="auto"/>
                <w:lang w:val="en-US" w:eastAsia="zh-CN"/>
              </w:rPr>
              <w:t>根据《排污许可证申请与核发技术规范-工业炉窑》（HJ1121-2020）、《排污许可证申请与核发技术规范-陶瓷砖瓦工业》（HJ954-2018）属于</w:t>
            </w:r>
            <w:r>
              <w:rPr>
                <w:rFonts w:hint="eastAsia"/>
                <w:b w:val="0"/>
                <w:bCs/>
                <w:color w:val="auto"/>
                <w:sz w:val="21"/>
                <w:szCs w:val="21"/>
                <w:lang w:val="en-US" w:eastAsia="zh-CN"/>
              </w:rPr>
              <w:t>可行性工艺</w:t>
            </w:r>
            <w:r>
              <w:rPr>
                <w:rFonts w:hint="eastAsia" w:cs="Times New Roman"/>
                <w:b w:val="0"/>
                <w:bCs/>
                <w:color w:val="auto"/>
                <w:sz w:val="21"/>
                <w:szCs w:val="21"/>
                <w:lang w:eastAsia="zh-CN"/>
              </w:rPr>
              <w:t>。</w:t>
            </w:r>
          </w:p>
          <w:p w14:paraId="5B7EE9B6">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2" w:firstLineChars="200"/>
              <w:textAlignment w:val="auto"/>
              <w:rPr>
                <w:rFonts w:hint="default" w:cs="Times New Roman"/>
                <w:b/>
                <w:bCs/>
                <w:color w:val="auto"/>
                <w:sz w:val="21"/>
                <w:szCs w:val="21"/>
                <w:lang w:val="en-US" w:eastAsia="zh-CN"/>
              </w:rPr>
            </w:pPr>
            <w:r>
              <w:rPr>
                <w:rFonts w:hint="eastAsia" w:cs="Times New Roman"/>
                <w:b/>
                <w:bCs/>
                <w:color w:val="auto"/>
                <w:sz w:val="21"/>
                <w:szCs w:val="21"/>
                <w:lang w:val="en-US" w:eastAsia="zh-CN"/>
              </w:rPr>
              <w:t>10、项目“三本账”</w:t>
            </w:r>
          </w:p>
          <w:p w14:paraId="4096B0DD">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textAlignment w:val="auto"/>
              <w:rPr>
                <w:rFonts w:hint="eastAsia" w:cs="Times New Roman"/>
                <w:color w:val="auto"/>
                <w:sz w:val="21"/>
                <w:szCs w:val="21"/>
                <w:lang w:val="en-US" w:eastAsia="zh-CN"/>
              </w:rPr>
            </w:pPr>
            <w:r>
              <w:rPr>
                <w:rFonts w:hint="eastAsia" w:cs="Times New Roman"/>
                <w:color w:val="auto"/>
                <w:sz w:val="21"/>
                <w:szCs w:val="21"/>
                <w:lang w:val="en-US" w:eastAsia="zh-CN"/>
              </w:rPr>
              <w:t>本项目“三本账”如下表：</w:t>
            </w:r>
          </w:p>
          <w:p w14:paraId="117B3963">
            <w:pPr>
              <w:widowControl w:val="0"/>
              <w:bidi w:val="0"/>
              <w:spacing w:line="360" w:lineRule="auto"/>
              <w:ind w:firstLine="422" w:firstLineChars="200"/>
              <w:jc w:val="center"/>
              <w:rPr>
                <w:rFonts w:hint="eastAsia" w:cs="Times New Roman"/>
                <w:color w:val="auto"/>
                <w:sz w:val="21"/>
                <w:szCs w:val="21"/>
                <w:lang w:val="en-US" w:eastAsia="zh-CN"/>
              </w:rPr>
            </w:pPr>
            <w:r>
              <w:rPr>
                <w:rFonts w:hint="eastAsia" w:ascii="Times New Roman" w:hAnsi="Times New Roman" w:eastAsia="宋体" w:cs="Times New Roman"/>
                <w:b/>
                <w:bCs/>
                <w:color w:val="auto"/>
                <w:kern w:val="2"/>
                <w:sz w:val="21"/>
                <w:szCs w:val="21"/>
                <w:lang w:val="en-US" w:eastAsia="zh-CN" w:bidi="ar-SA"/>
              </w:rPr>
              <w:t>表</w:t>
            </w:r>
            <w:r>
              <w:rPr>
                <w:rFonts w:hint="eastAsia" w:cs="Times New Roman"/>
                <w:b/>
                <w:bCs/>
                <w:color w:val="auto"/>
                <w:kern w:val="2"/>
                <w:sz w:val="21"/>
                <w:szCs w:val="21"/>
                <w:lang w:val="en-US" w:eastAsia="zh-CN" w:bidi="ar-SA"/>
              </w:rPr>
              <w:t>2</w:t>
            </w:r>
            <w:r>
              <w:rPr>
                <w:rFonts w:hint="eastAsia" w:ascii="Times New Roman" w:hAnsi="Times New Roman" w:eastAsia="宋体" w:cs="Times New Roman"/>
                <w:b/>
                <w:bCs/>
                <w:color w:val="auto"/>
                <w:kern w:val="2"/>
                <w:sz w:val="21"/>
                <w:szCs w:val="21"/>
                <w:lang w:val="en-US" w:eastAsia="zh-CN" w:bidi="ar-SA"/>
              </w:rPr>
              <w:t>-1</w:t>
            </w:r>
            <w:r>
              <w:rPr>
                <w:rFonts w:hint="eastAsia" w:cs="Times New Roman"/>
                <w:b/>
                <w:bCs/>
                <w:color w:val="auto"/>
                <w:kern w:val="2"/>
                <w:sz w:val="21"/>
                <w:szCs w:val="21"/>
                <w:lang w:val="en-US" w:eastAsia="zh-CN" w:bidi="ar-SA"/>
              </w:rPr>
              <w:t>9</w:t>
            </w:r>
            <w:r>
              <w:rPr>
                <w:rFonts w:hint="eastAsia" w:ascii="Times New Roman" w:hAnsi="Times New Roman" w:eastAsia="宋体" w:cs="Times New Roman"/>
                <w:b/>
                <w:bCs/>
                <w:color w:val="auto"/>
                <w:kern w:val="2"/>
                <w:sz w:val="21"/>
                <w:szCs w:val="21"/>
                <w:lang w:val="en-US" w:eastAsia="zh-CN" w:bidi="ar-SA"/>
              </w:rPr>
              <w:t xml:space="preserve">  </w:t>
            </w:r>
            <w:r>
              <w:rPr>
                <w:rFonts w:hint="eastAsia" w:cs="Times New Roman"/>
                <w:b/>
                <w:bCs/>
                <w:color w:val="auto"/>
                <w:kern w:val="2"/>
                <w:sz w:val="21"/>
                <w:szCs w:val="21"/>
                <w:lang w:val="en-US" w:eastAsia="zh-CN" w:bidi="ar-SA"/>
              </w:rPr>
              <w:t>本</w:t>
            </w:r>
            <w:r>
              <w:rPr>
                <w:rFonts w:hint="eastAsia" w:ascii="Times New Roman" w:hAnsi="Times New Roman" w:eastAsia="宋体" w:cs="Times New Roman"/>
                <w:b/>
                <w:bCs/>
                <w:color w:val="auto"/>
                <w:kern w:val="2"/>
                <w:sz w:val="21"/>
                <w:szCs w:val="21"/>
                <w:lang w:val="en-US" w:eastAsia="zh-CN" w:bidi="ar-SA"/>
              </w:rPr>
              <w:t>项目</w:t>
            </w:r>
            <w:r>
              <w:rPr>
                <w:rFonts w:hint="eastAsia" w:cs="Times New Roman"/>
                <w:b/>
                <w:bCs/>
                <w:color w:val="auto"/>
                <w:kern w:val="2"/>
                <w:sz w:val="21"/>
                <w:szCs w:val="21"/>
                <w:lang w:val="en-US" w:eastAsia="zh-CN" w:bidi="ar-SA"/>
              </w:rPr>
              <w:t>“三本账”</w:t>
            </w:r>
          </w:p>
          <w:tbl>
            <w:tblPr>
              <w:tblStyle w:val="29"/>
              <w:tblW w:w="8143"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1191"/>
              <w:gridCol w:w="1104"/>
              <w:gridCol w:w="1147"/>
              <w:gridCol w:w="1064"/>
              <w:gridCol w:w="1420"/>
              <w:gridCol w:w="1048"/>
            </w:tblGrid>
            <w:tr w14:paraId="376C1B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169" w:type="dxa"/>
                  <w:tcBorders>
                    <w:tl2br w:val="single" w:color="auto" w:sz="4" w:space="0"/>
                  </w:tcBorders>
                  <w:noWrap w:val="0"/>
                  <w:tcMar>
                    <w:left w:w="28" w:type="dxa"/>
                    <w:right w:w="28" w:type="dxa"/>
                  </w:tcMar>
                  <w:vAlign w:val="center"/>
                </w:tcPr>
                <w:p w14:paraId="27DAE663">
                  <w:pPr>
                    <w:pStyle w:val="60"/>
                    <w:spacing w:beforeLines="0" w:afterLines="0" w:line="240" w:lineRule="auto"/>
                    <w:jc w:val="right"/>
                    <w:rPr>
                      <w:rFonts w:hint="eastAsia" w:ascii="黑体" w:hAnsi="黑体" w:eastAsia="黑体" w:cs="宋体"/>
                      <w:snapToGrid w:val="0"/>
                      <w:color w:val="auto"/>
                      <w:spacing w:val="-6"/>
                      <w:kern w:val="21"/>
                      <w:szCs w:val="21"/>
                    </w:rPr>
                  </w:pPr>
                  <w:r>
                    <w:rPr>
                      <w:rFonts w:hint="eastAsia" w:ascii="黑体" w:hAnsi="黑体" w:eastAsia="黑体" w:cs="宋体"/>
                      <w:snapToGrid w:val="0"/>
                      <w:color w:val="auto"/>
                      <w:spacing w:val="-6"/>
                      <w:kern w:val="21"/>
                      <w:szCs w:val="21"/>
                    </w:rPr>
                    <w:t>项目</w:t>
                  </w:r>
                </w:p>
                <w:p w14:paraId="33C05831">
                  <w:pPr>
                    <w:pStyle w:val="60"/>
                    <w:spacing w:beforeLines="0" w:afterLines="0" w:line="240" w:lineRule="auto"/>
                    <w:jc w:val="left"/>
                    <w:rPr>
                      <w:rFonts w:hint="eastAsia" w:ascii="黑体" w:hAnsi="黑体" w:eastAsia="黑体" w:cs="宋体"/>
                      <w:snapToGrid w:val="0"/>
                      <w:color w:val="auto"/>
                      <w:spacing w:val="-6"/>
                      <w:kern w:val="21"/>
                      <w:szCs w:val="21"/>
                    </w:rPr>
                  </w:pPr>
                  <w:r>
                    <w:rPr>
                      <w:rFonts w:hint="eastAsia" w:ascii="黑体" w:hAnsi="黑体" w:eastAsia="黑体" w:cs="宋体"/>
                      <w:snapToGrid w:val="0"/>
                      <w:color w:val="auto"/>
                      <w:spacing w:val="-6"/>
                      <w:kern w:val="21"/>
                      <w:szCs w:val="21"/>
                    </w:rPr>
                    <w:t>分类</w:t>
                  </w:r>
                </w:p>
              </w:tc>
              <w:tc>
                <w:tcPr>
                  <w:tcW w:w="1191" w:type="dxa"/>
                  <w:noWrap w:val="0"/>
                  <w:tcMar>
                    <w:left w:w="28" w:type="dxa"/>
                    <w:right w:w="28" w:type="dxa"/>
                  </w:tcMar>
                  <w:vAlign w:val="center"/>
                </w:tcPr>
                <w:p w14:paraId="328954B3">
                  <w:pPr>
                    <w:pStyle w:val="60"/>
                    <w:spacing w:beforeLines="0" w:afterLines="0" w:line="240" w:lineRule="auto"/>
                    <w:rPr>
                      <w:rFonts w:hint="eastAsia" w:ascii="黑体" w:hAnsi="黑体" w:eastAsia="黑体" w:cs="宋体"/>
                      <w:snapToGrid w:val="0"/>
                      <w:color w:val="auto"/>
                      <w:spacing w:val="-6"/>
                      <w:kern w:val="21"/>
                      <w:szCs w:val="21"/>
                    </w:rPr>
                  </w:pPr>
                  <w:r>
                    <w:rPr>
                      <w:rFonts w:hint="eastAsia" w:ascii="黑体" w:hAnsi="黑体" w:eastAsia="黑体" w:cs="宋体"/>
                      <w:snapToGrid w:val="0"/>
                      <w:color w:val="auto"/>
                      <w:spacing w:val="-6"/>
                      <w:kern w:val="21"/>
                      <w:szCs w:val="21"/>
                    </w:rPr>
                    <w:t>污染物名称</w:t>
                  </w:r>
                </w:p>
              </w:tc>
              <w:tc>
                <w:tcPr>
                  <w:tcW w:w="1104" w:type="dxa"/>
                  <w:noWrap w:val="0"/>
                  <w:tcMar>
                    <w:left w:w="28" w:type="dxa"/>
                    <w:right w:w="28" w:type="dxa"/>
                  </w:tcMar>
                  <w:vAlign w:val="center"/>
                </w:tcPr>
                <w:p w14:paraId="5779EEF0">
                  <w:pPr>
                    <w:pStyle w:val="60"/>
                    <w:spacing w:beforeLines="0" w:afterLines="0" w:line="240" w:lineRule="auto"/>
                    <w:rPr>
                      <w:rFonts w:hint="eastAsia" w:ascii="黑体" w:hAnsi="黑体" w:eastAsia="黑体"/>
                      <w:snapToGrid w:val="0"/>
                      <w:color w:val="auto"/>
                      <w:spacing w:val="-6"/>
                      <w:kern w:val="21"/>
                      <w:szCs w:val="21"/>
                    </w:rPr>
                  </w:pPr>
                  <w:r>
                    <w:rPr>
                      <w:rFonts w:ascii="黑体" w:hAnsi="黑体" w:eastAsia="黑体"/>
                      <w:snapToGrid w:val="0"/>
                      <w:color w:val="auto"/>
                      <w:spacing w:val="-6"/>
                      <w:kern w:val="21"/>
                      <w:szCs w:val="21"/>
                    </w:rPr>
                    <w:t>现有工程</w:t>
                  </w:r>
                </w:p>
                <w:p w14:paraId="49992756">
                  <w:pPr>
                    <w:pStyle w:val="60"/>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w:t>
                  </w:r>
                </w:p>
              </w:tc>
              <w:tc>
                <w:tcPr>
                  <w:tcW w:w="1147" w:type="dxa"/>
                  <w:noWrap w:val="0"/>
                  <w:tcMar>
                    <w:left w:w="28" w:type="dxa"/>
                    <w:right w:w="28" w:type="dxa"/>
                  </w:tcMar>
                  <w:vAlign w:val="center"/>
                </w:tcPr>
                <w:p w14:paraId="39D90C4B">
                  <w:pPr>
                    <w:pStyle w:val="60"/>
                    <w:spacing w:beforeLines="0" w:afterLines="0" w:line="240" w:lineRule="auto"/>
                    <w:rPr>
                      <w:rFonts w:hint="eastAsia" w:ascii="黑体" w:hAnsi="黑体" w:eastAsia="黑体"/>
                      <w:snapToGrid w:val="0"/>
                      <w:color w:val="auto"/>
                      <w:spacing w:val="-6"/>
                      <w:kern w:val="21"/>
                      <w:szCs w:val="21"/>
                    </w:rPr>
                  </w:pPr>
                  <w:r>
                    <w:rPr>
                      <w:rFonts w:ascii="黑体" w:hAnsi="黑体" w:eastAsia="黑体"/>
                      <w:snapToGrid w:val="0"/>
                      <w:color w:val="auto"/>
                      <w:spacing w:val="-6"/>
                      <w:kern w:val="21"/>
                      <w:szCs w:val="21"/>
                    </w:rPr>
                    <w:t>本项目</w:t>
                  </w:r>
                </w:p>
                <w:p w14:paraId="06B7593D">
                  <w:pPr>
                    <w:pStyle w:val="60"/>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w:t>
                  </w:r>
                </w:p>
              </w:tc>
              <w:tc>
                <w:tcPr>
                  <w:tcW w:w="1064" w:type="dxa"/>
                  <w:noWrap w:val="0"/>
                  <w:tcMar>
                    <w:left w:w="28" w:type="dxa"/>
                    <w:right w:w="28" w:type="dxa"/>
                  </w:tcMar>
                  <w:vAlign w:val="center"/>
                </w:tcPr>
                <w:p w14:paraId="688086E4">
                  <w:pPr>
                    <w:pStyle w:val="60"/>
                    <w:spacing w:beforeLines="0" w:afterLines="0" w:line="240" w:lineRule="auto"/>
                    <w:rPr>
                      <w:rFonts w:ascii="黑体" w:hAnsi="黑体" w:eastAsia="黑体"/>
                      <w:snapToGrid w:val="0"/>
                      <w:color w:val="auto"/>
                      <w:spacing w:val="-16"/>
                      <w:kern w:val="21"/>
                      <w:szCs w:val="21"/>
                    </w:rPr>
                  </w:pPr>
                  <w:r>
                    <w:rPr>
                      <w:rFonts w:ascii="黑体" w:hAnsi="黑体" w:eastAsia="黑体"/>
                      <w:snapToGrid w:val="0"/>
                      <w:color w:val="auto"/>
                      <w:spacing w:val="-16"/>
                      <w:kern w:val="21"/>
                      <w:szCs w:val="21"/>
                    </w:rPr>
                    <w:t>以新带老削减量</w:t>
                  </w:r>
                </w:p>
              </w:tc>
              <w:tc>
                <w:tcPr>
                  <w:tcW w:w="1420" w:type="dxa"/>
                  <w:noWrap w:val="0"/>
                  <w:tcMar>
                    <w:left w:w="28" w:type="dxa"/>
                    <w:right w:w="28" w:type="dxa"/>
                  </w:tcMar>
                  <w:vAlign w:val="center"/>
                </w:tcPr>
                <w:p w14:paraId="67E761BC">
                  <w:pPr>
                    <w:pStyle w:val="60"/>
                    <w:spacing w:beforeLines="0" w:afterLines="0" w:line="240" w:lineRule="auto"/>
                    <w:rPr>
                      <w:rFonts w:ascii="黑体" w:hAnsi="黑体" w:eastAsia="黑体"/>
                      <w:snapToGrid w:val="0"/>
                      <w:color w:val="auto"/>
                      <w:spacing w:val="-16"/>
                      <w:kern w:val="21"/>
                      <w:szCs w:val="21"/>
                    </w:rPr>
                  </w:pPr>
                  <w:r>
                    <w:rPr>
                      <w:rFonts w:ascii="黑体" w:hAnsi="黑体" w:eastAsia="黑体"/>
                      <w:snapToGrid w:val="0"/>
                      <w:color w:val="auto"/>
                      <w:spacing w:val="-16"/>
                      <w:kern w:val="21"/>
                      <w:szCs w:val="21"/>
                    </w:rPr>
                    <w:t>本项目建成后</w:t>
                  </w:r>
                  <w:r>
                    <w:rPr>
                      <w:rFonts w:hint="eastAsia" w:ascii="黑体" w:hAnsi="黑体" w:eastAsia="黑体"/>
                      <w:snapToGrid w:val="0"/>
                      <w:color w:val="auto"/>
                      <w:spacing w:val="-16"/>
                      <w:kern w:val="21"/>
                      <w:szCs w:val="21"/>
                    </w:rPr>
                    <w:t>全厂</w:t>
                  </w:r>
                  <w:r>
                    <w:rPr>
                      <w:rFonts w:ascii="黑体" w:hAnsi="黑体" w:eastAsia="黑体"/>
                      <w:snapToGrid w:val="0"/>
                      <w:color w:val="auto"/>
                      <w:spacing w:val="-16"/>
                      <w:kern w:val="21"/>
                      <w:szCs w:val="21"/>
                    </w:rPr>
                    <w:t>排放量</w:t>
                  </w:r>
                </w:p>
              </w:tc>
              <w:tc>
                <w:tcPr>
                  <w:tcW w:w="1048" w:type="dxa"/>
                  <w:noWrap w:val="0"/>
                  <w:tcMar>
                    <w:left w:w="28" w:type="dxa"/>
                    <w:right w:w="28" w:type="dxa"/>
                  </w:tcMar>
                  <w:vAlign w:val="center"/>
                </w:tcPr>
                <w:p w14:paraId="65CC5F52">
                  <w:pPr>
                    <w:pStyle w:val="60"/>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变化量</w:t>
                  </w:r>
                </w:p>
              </w:tc>
            </w:tr>
            <w:tr w14:paraId="6677AC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169" w:type="dxa"/>
                  <w:vMerge w:val="restart"/>
                  <w:noWrap w:val="0"/>
                  <w:vAlign w:val="center"/>
                </w:tcPr>
                <w:p w14:paraId="268FEADF">
                  <w:pPr>
                    <w:pStyle w:val="60"/>
                    <w:spacing w:beforeLines="0" w:afterLines="0" w:line="240" w:lineRule="auto"/>
                    <w:rPr>
                      <w:rFonts w:hint="eastAsia" w:hAnsi="宋体" w:cs="宋体"/>
                      <w:snapToGrid w:val="0"/>
                      <w:color w:val="auto"/>
                      <w:kern w:val="21"/>
                      <w:szCs w:val="21"/>
                    </w:rPr>
                  </w:pPr>
                  <w:r>
                    <w:rPr>
                      <w:rFonts w:hint="eastAsia" w:hAnsi="宋体" w:cs="宋体"/>
                      <w:snapToGrid w:val="0"/>
                      <w:color w:val="auto"/>
                      <w:kern w:val="21"/>
                      <w:szCs w:val="21"/>
                    </w:rPr>
                    <w:t>废气</w:t>
                  </w:r>
                </w:p>
              </w:tc>
              <w:tc>
                <w:tcPr>
                  <w:tcW w:w="1191" w:type="dxa"/>
                  <w:noWrap w:val="0"/>
                  <w:vAlign w:val="center"/>
                </w:tcPr>
                <w:p w14:paraId="29D82799">
                  <w:pPr>
                    <w:pStyle w:val="60"/>
                    <w:spacing w:beforeLines="0" w:afterLines="0" w:line="240" w:lineRule="auto"/>
                    <w:rPr>
                      <w:rFonts w:hint="eastAsia"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颗粒物</w:t>
                  </w:r>
                </w:p>
              </w:tc>
              <w:tc>
                <w:tcPr>
                  <w:tcW w:w="1104" w:type="dxa"/>
                  <w:shd w:val="clear" w:color="auto" w:fill="auto"/>
                  <w:noWrap w:val="0"/>
                  <w:vAlign w:val="center"/>
                </w:tcPr>
                <w:p w14:paraId="09C6BF6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29.00</w:t>
                  </w:r>
                  <w:r>
                    <w:rPr>
                      <w:rFonts w:hint="eastAsia" w:ascii="Times New Roman" w:hAnsi="Times New Roman" w:eastAsia="宋体" w:cs="Times New Roman"/>
                      <w:color w:val="auto"/>
                      <w:kern w:val="2"/>
                      <w:sz w:val="21"/>
                      <w:szCs w:val="21"/>
                      <w:lang w:val="en-US" w:eastAsia="zh-CN" w:bidi="ar-SA"/>
                    </w:rPr>
                    <w:t>t/a</w:t>
                  </w:r>
                </w:p>
              </w:tc>
              <w:tc>
                <w:tcPr>
                  <w:tcW w:w="1147" w:type="dxa"/>
                  <w:shd w:val="clear" w:color="auto" w:fill="auto"/>
                  <w:noWrap w:val="0"/>
                  <w:vAlign w:val="center"/>
                </w:tcPr>
                <w:p w14:paraId="2C4BABC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1.04</w:t>
                  </w:r>
                  <w:r>
                    <w:rPr>
                      <w:rFonts w:hint="eastAsia" w:ascii="Times New Roman" w:hAnsi="Times New Roman" w:eastAsia="宋体" w:cs="Times New Roman"/>
                      <w:color w:val="auto"/>
                      <w:kern w:val="2"/>
                      <w:sz w:val="21"/>
                      <w:szCs w:val="21"/>
                      <w:lang w:val="en-US" w:eastAsia="zh-CN" w:bidi="ar-SA"/>
                    </w:rPr>
                    <w:t>t/a</w:t>
                  </w:r>
                </w:p>
              </w:tc>
              <w:tc>
                <w:tcPr>
                  <w:tcW w:w="1064" w:type="dxa"/>
                  <w:shd w:val="clear" w:color="auto" w:fill="auto"/>
                  <w:noWrap w:val="0"/>
                  <w:vAlign w:val="center"/>
                </w:tcPr>
                <w:p w14:paraId="0B24F54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29.00</w:t>
                  </w:r>
                  <w:r>
                    <w:rPr>
                      <w:rFonts w:hint="eastAsia" w:ascii="Times New Roman" w:hAnsi="Times New Roman" w:eastAsia="宋体" w:cs="Times New Roman"/>
                      <w:color w:val="auto"/>
                      <w:kern w:val="2"/>
                      <w:sz w:val="21"/>
                      <w:szCs w:val="21"/>
                      <w:lang w:val="en-US" w:eastAsia="zh-CN" w:bidi="ar-SA"/>
                    </w:rPr>
                    <w:t>t/a</w:t>
                  </w:r>
                </w:p>
              </w:tc>
              <w:tc>
                <w:tcPr>
                  <w:tcW w:w="1420" w:type="dxa"/>
                  <w:noWrap w:val="0"/>
                  <w:vAlign w:val="center"/>
                </w:tcPr>
                <w:p w14:paraId="1E2A762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1.04</w:t>
                  </w:r>
                  <w:r>
                    <w:rPr>
                      <w:rFonts w:hint="eastAsia" w:ascii="Times New Roman" w:hAnsi="Times New Roman" w:eastAsia="宋体" w:cs="Times New Roman"/>
                      <w:color w:val="auto"/>
                      <w:kern w:val="2"/>
                      <w:sz w:val="21"/>
                      <w:szCs w:val="21"/>
                      <w:lang w:val="en-US" w:eastAsia="zh-CN" w:bidi="ar-SA"/>
                    </w:rPr>
                    <w:t>t/a</w:t>
                  </w:r>
                </w:p>
              </w:tc>
              <w:tc>
                <w:tcPr>
                  <w:tcW w:w="1048" w:type="dxa"/>
                  <w:noWrap w:val="0"/>
                  <w:vAlign w:val="center"/>
                </w:tcPr>
                <w:p w14:paraId="16241F0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-27.96</w:t>
                  </w:r>
                  <w:r>
                    <w:rPr>
                      <w:rFonts w:hint="eastAsia" w:ascii="Times New Roman" w:hAnsi="Times New Roman" w:eastAsia="宋体" w:cs="Times New Roman"/>
                      <w:color w:val="auto"/>
                      <w:kern w:val="2"/>
                      <w:sz w:val="21"/>
                      <w:szCs w:val="21"/>
                      <w:lang w:val="en-US" w:eastAsia="zh-CN" w:bidi="ar-SA"/>
                    </w:rPr>
                    <w:t>t/a</w:t>
                  </w:r>
                </w:p>
              </w:tc>
            </w:tr>
            <w:tr w14:paraId="68B670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169" w:type="dxa"/>
                  <w:vMerge w:val="continue"/>
                  <w:noWrap w:val="0"/>
                  <w:vAlign w:val="center"/>
                </w:tcPr>
                <w:p w14:paraId="703ECE4F">
                  <w:pPr>
                    <w:pStyle w:val="60"/>
                    <w:spacing w:beforeLines="0" w:afterLines="0" w:line="240" w:lineRule="auto"/>
                    <w:rPr>
                      <w:rFonts w:hint="eastAsia" w:hAnsi="宋体" w:cs="宋体"/>
                      <w:snapToGrid w:val="0"/>
                      <w:color w:val="auto"/>
                      <w:kern w:val="21"/>
                      <w:szCs w:val="21"/>
                    </w:rPr>
                  </w:pPr>
                </w:p>
              </w:tc>
              <w:tc>
                <w:tcPr>
                  <w:tcW w:w="1191" w:type="dxa"/>
                  <w:noWrap w:val="0"/>
                  <w:vAlign w:val="center"/>
                </w:tcPr>
                <w:p w14:paraId="1EB5883E">
                  <w:pPr>
                    <w:pStyle w:val="60"/>
                    <w:spacing w:beforeLines="0" w:afterLines="0" w:line="240" w:lineRule="auto"/>
                    <w:rPr>
                      <w:rFonts w:hint="eastAsia"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二氧化硫</w:t>
                  </w:r>
                </w:p>
              </w:tc>
              <w:tc>
                <w:tcPr>
                  <w:tcW w:w="1104" w:type="dxa"/>
                  <w:shd w:val="clear" w:color="auto" w:fill="auto"/>
                  <w:noWrap w:val="0"/>
                  <w:vAlign w:val="center"/>
                </w:tcPr>
                <w:p w14:paraId="2D8D9F0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18.8</w:t>
                  </w:r>
                  <w:r>
                    <w:rPr>
                      <w:rFonts w:hint="eastAsia" w:ascii="Times New Roman" w:hAnsi="Times New Roman" w:eastAsia="宋体" w:cs="Times New Roman"/>
                      <w:color w:val="auto"/>
                      <w:kern w:val="2"/>
                      <w:sz w:val="21"/>
                      <w:szCs w:val="21"/>
                      <w:lang w:val="en-US" w:eastAsia="zh-CN" w:bidi="ar-SA"/>
                    </w:rPr>
                    <w:t>t/a</w:t>
                  </w:r>
                </w:p>
              </w:tc>
              <w:tc>
                <w:tcPr>
                  <w:tcW w:w="1147" w:type="dxa"/>
                  <w:shd w:val="clear" w:color="auto" w:fill="auto"/>
                  <w:noWrap w:val="0"/>
                  <w:vAlign w:val="center"/>
                </w:tcPr>
                <w:p w14:paraId="272AA12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r>
                    <w:rPr>
                      <w:rFonts w:hint="eastAsia" w:cs="Times New Roman"/>
                      <w:color w:val="auto"/>
                      <w:kern w:val="2"/>
                      <w:sz w:val="21"/>
                      <w:szCs w:val="21"/>
                      <w:lang w:val="en-US" w:eastAsia="zh-CN" w:bidi="ar-SA"/>
                    </w:rPr>
                    <w:t>1</w:t>
                  </w:r>
                  <w:r>
                    <w:rPr>
                      <w:rFonts w:hint="eastAsia" w:ascii="Times New Roman" w:hAnsi="Times New Roman" w:eastAsia="宋体" w:cs="Times New Roman"/>
                      <w:color w:val="auto"/>
                      <w:kern w:val="2"/>
                      <w:sz w:val="21"/>
                      <w:szCs w:val="21"/>
                      <w:lang w:val="en-US" w:eastAsia="zh-CN" w:bidi="ar-SA"/>
                    </w:rPr>
                    <w:t>t/a</w:t>
                  </w:r>
                </w:p>
              </w:tc>
              <w:tc>
                <w:tcPr>
                  <w:tcW w:w="1064" w:type="dxa"/>
                  <w:shd w:val="clear" w:color="auto" w:fill="auto"/>
                  <w:noWrap w:val="0"/>
                  <w:vAlign w:val="center"/>
                </w:tcPr>
                <w:p w14:paraId="31F1CBF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18.8</w:t>
                  </w:r>
                  <w:r>
                    <w:rPr>
                      <w:rFonts w:hint="eastAsia" w:ascii="Times New Roman" w:hAnsi="Times New Roman" w:eastAsia="宋体" w:cs="Times New Roman"/>
                      <w:color w:val="auto"/>
                      <w:kern w:val="2"/>
                      <w:sz w:val="21"/>
                      <w:szCs w:val="21"/>
                      <w:lang w:val="en-US" w:eastAsia="zh-CN" w:bidi="ar-SA"/>
                    </w:rPr>
                    <w:t>t/a</w:t>
                  </w:r>
                </w:p>
              </w:tc>
              <w:tc>
                <w:tcPr>
                  <w:tcW w:w="1420" w:type="dxa"/>
                  <w:noWrap w:val="0"/>
                  <w:vAlign w:val="center"/>
                </w:tcPr>
                <w:p w14:paraId="713EED3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r>
                    <w:rPr>
                      <w:rFonts w:hint="eastAsia" w:cs="Times New Roman"/>
                      <w:color w:val="auto"/>
                      <w:kern w:val="2"/>
                      <w:sz w:val="21"/>
                      <w:szCs w:val="21"/>
                      <w:lang w:val="en-US" w:eastAsia="zh-CN" w:bidi="ar-SA"/>
                    </w:rPr>
                    <w:t>1</w:t>
                  </w:r>
                  <w:r>
                    <w:rPr>
                      <w:rFonts w:hint="eastAsia" w:ascii="Times New Roman" w:hAnsi="Times New Roman" w:eastAsia="宋体" w:cs="Times New Roman"/>
                      <w:color w:val="auto"/>
                      <w:kern w:val="2"/>
                      <w:sz w:val="21"/>
                      <w:szCs w:val="21"/>
                      <w:lang w:val="en-US" w:eastAsia="zh-CN" w:bidi="ar-SA"/>
                    </w:rPr>
                    <w:t>t/a</w:t>
                  </w:r>
                </w:p>
              </w:tc>
              <w:tc>
                <w:tcPr>
                  <w:tcW w:w="1048" w:type="dxa"/>
                  <w:noWrap w:val="0"/>
                  <w:vAlign w:val="center"/>
                </w:tcPr>
                <w:p w14:paraId="1CCE840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-17.7</w:t>
                  </w:r>
                  <w:r>
                    <w:rPr>
                      <w:rFonts w:hint="eastAsia" w:ascii="Times New Roman" w:hAnsi="Times New Roman" w:eastAsia="宋体" w:cs="Times New Roman"/>
                      <w:color w:val="auto"/>
                      <w:kern w:val="2"/>
                      <w:sz w:val="21"/>
                      <w:szCs w:val="21"/>
                      <w:lang w:val="en-US" w:eastAsia="zh-CN" w:bidi="ar-SA"/>
                    </w:rPr>
                    <w:t>t/a</w:t>
                  </w:r>
                </w:p>
              </w:tc>
            </w:tr>
            <w:tr w14:paraId="05134E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169" w:type="dxa"/>
                  <w:vMerge w:val="continue"/>
                  <w:noWrap w:val="0"/>
                  <w:vAlign w:val="center"/>
                </w:tcPr>
                <w:p w14:paraId="54D30696">
                  <w:pPr>
                    <w:pStyle w:val="60"/>
                    <w:spacing w:beforeLines="0" w:afterLines="0" w:line="240" w:lineRule="auto"/>
                    <w:rPr>
                      <w:rFonts w:hint="eastAsia" w:hAnsi="宋体" w:cs="宋体"/>
                      <w:snapToGrid w:val="0"/>
                      <w:color w:val="auto"/>
                      <w:kern w:val="21"/>
                      <w:szCs w:val="21"/>
                    </w:rPr>
                  </w:pPr>
                </w:p>
              </w:tc>
              <w:tc>
                <w:tcPr>
                  <w:tcW w:w="1191" w:type="dxa"/>
                  <w:noWrap w:val="0"/>
                  <w:vAlign w:val="center"/>
                </w:tcPr>
                <w:p w14:paraId="177ABCA2">
                  <w:pPr>
                    <w:pStyle w:val="60"/>
                    <w:spacing w:beforeLines="0" w:afterLines="0" w:line="240" w:lineRule="auto"/>
                    <w:rPr>
                      <w:rFonts w:hint="eastAsia"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氮氧化物</w:t>
                  </w:r>
                </w:p>
              </w:tc>
              <w:tc>
                <w:tcPr>
                  <w:tcW w:w="1104" w:type="dxa"/>
                  <w:shd w:val="clear" w:color="auto" w:fill="auto"/>
                  <w:noWrap w:val="0"/>
                  <w:vAlign w:val="center"/>
                </w:tcPr>
                <w:p w14:paraId="4B4AC3A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5.348</w:t>
                  </w:r>
                  <w:r>
                    <w:rPr>
                      <w:rFonts w:hint="eastAsia" w:ascii="Times New Roman" w:hAnsi="Times New Roman" w:eastAsia="宋体" w:cs="Times New Roman"/>
                      <w:color w:val="auto"/>
                      <w:kern w:val="2"/>
                      <w:sz w:val="21"/>
                      <w:szCs w:val="21"/>
                      <w:lang w:val="en-US" w:eastAsia="zh-CN" w:bidi="ar-SA"/>
                    </w:rPr>
                    <w:t>t/a</w:t>
                  </w:r>
                </w:p>
              </w:tc>
              <w:tc>
                <w:tcPr>
                  <w:tcW w:w="1147" w:type="dxa"/>
                  <w:shd w:val="clear" w:color="auto" w:fill="auto"/>
                  <w:noWrap w:val="0"/>
                  <w:vAlign w:val="center"/>
                </w:tcPr>
                <w:p w14:paraId="612F825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黑体"/>
                      <w:color w:val="auto"/>
                      <w:sz w:val="21"/>
                      <w:szCs w:val="21"/>
                      <w:lang w:val="en-US" w:eastAsia="zh-CN"/>
                    </w:rPr>
                    <w:t>3.97</w:t>
                  </w:r>
                  <w:r>
                    <w:rPr>
                      <w:rFonts w:hint="eastAsia" w:ascii="Times New Roman" w:hAnsi="Times New Roman" w:eastAsia="宋体" w:cs="Times New Roman"/>
                      <w:color w:val="auto"/>
                      <w:kern w:val="2"/>
                      <w:sz w:val="21"/>
                      <w:szCs w:val="21"/>
                      <w:lang w:val="en-US" w:eastAsia="zh-CN" w:bidi="ar-SA"/>
                    </w:rPr>
                    <w:t>t/a</w:t>
                  </w:r>
                </w:p>
              </w:tc>
              <w:tc>
                <w:tcPr>
                  <w:tcW w:w="1064" w:type="dxa"/>
                  <w:shd w:val="clear" w:color="auto" w:fill="auto"/>
                  <w:noWrap w:val="0"/>
                  <w:vAlign w:val="center"/>
                </w:tcPr>
                <w:p w14:paraId="2CBF986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5.348</w:t>
                  </w:r>
                  <w:r>
                    <w:rPr>
                      <w:rFonts w:hint="eastAsia" w:ascii="Times New Roman" w:hAnsi="Times New Roman" w:eastAsia="宋体" w:cs="Times New Roman"/>
                      <w:color w:val="auto"/>
                      <w:kern w:val="2"/>
                      <w:sz w:val="21"/>
                      <w:szCs w:val="21"/>
                      <w:lang w:val="en-US" w:eastAsia="zh-CN" w:bidi="ar-SA"/>
                    </w:rPr>
                    <w:t>t/a</w:t>
                  </w:r>
                </w:p>
              </w:tc>
              <w:tc>
                <w:tcPr>
                  <w:tcW w:w="1420" w:type="dxa"/>
                  <w:noWrap w:val="0"/>
                  <w:vAlign w:val="center"/>
                </w:tcPr>
                <w:p w14:paraId="17A58AC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黑体"/>
                      <w:color w:val="auto"/>
                      <w:sz w:val="21"/>
                      <w:szCs w:val="21"/>
                      <w:lang w:val="en-US" w:eastAsia="zh-CN"/>
                    </w:rPr>
                    <w:t>3.97</w:t>
                  </w:r>
                  <w:r>
                    <w:rPr>
                      <w:rFonts w:hint="eastAsia" w:ascii="Times New Roman" w:hAnsi="Times New Roman" w:eastAsia="宋体" w:cs="Times New Roman"/>
                      <w:color w:val="auto"/>
                      <w:kern w:val="2"/>
                      <w:sz w:val="21"/>
                      <w:szCs w:val="21"/>
                      <w:lang w:val="en-US" w:eastAsia="zh-CN" w:bidi="ar-SA"/>
                    </w:rPr>
                    <w:t>t/a</w:t>
                  </w:r>
                </w:p>
              </w:tc>
              <w:tc>
                <w:tcPr>
                  <w:tcW w:w="1048" w:type="dxa"/>
                  <w:noWrap w:val="0"/>
                  <w:vAlign w:val="center"/>
                </w:tcPr>
                <w:p w14:paraId="536C40E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黑体"/>
                      <w:color w:val="auto"/>
                      <w:sz w:val="21"/>
                      <w:szCs w:val="21"/>
                      <w:lang w:val="en-US" w:eastAsia="zh-CN"/>
                    </w:rPr>
                    <w:t>-1.378</w:t>
                  </w:r>
                  <w:r>
                    <w:rPr>
                      <w:rFonts w:hint="eastAsia" w:ascii="Times New Roman" w:hAnsi="Times New Roman" w:eastAsia="宋体" w:cs="Times New Roman"/>
                      <w:color w:val="auto"/>
                      <w:kern w:val="2"/>
                      <w:sz w:val="21"/>
                      <w:szCs w:val="21"/>
                      <w:lang w:val="en-US" w:eastAsia="zh-CN" w:bidi="ar-SA"/>
                    </w:rPr>
                    <w:t>t/a</w:t>
                  </w:r>
                </w:p>
              </w:tc>
            </w:tr>
            <w:tr w14:paraId="4F103B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169" w:type="dxa"/>
                  <w:vMerge w:val="continue"/>
                  <w:noWrap w:val="0"/>
                  <w:vAlign w:val="center"/>
                </w:tcPr>
                <w:p w14:paraId="60066805">
                  <w:pPr>
                    <w:pStyle w:val="60"/>
                    <w:spacing w:beforeLines="0" w:afterLines="0" w:line="240" w:lineRule="auto"/>
                    <w:rPr>
                      <w:rFonts w:hint="eastAsia" w:hAnsi="宋体" w:cs="宋体"/>
                      <w:snapToGrid w:val="0"/>
                      <w:color w:val="auto"/>
                      <w:kern w:val="21"/>
                      <w:szCs w:val="21"/>
                    </w:rPr>
                  </w:pPr>
                </w:p>
              </w:tc>
              <w:tc>
                <w:tcPr>
                  <w:tcW w:w="1191" w:type="dxa"/>
                  <w:noWrap w:val="0"/>
                  <w:vAlign w:val="center"/>
                </w:tcPr>
                <w:p w14:paraId="56BADFFC">
                  <w:pPr>
                    <w:pStyle w:val="60"/>
                    <w:spacing w:beforeLines="0" w:afterLines="0" w:line="240" w:lineRule="auto"/>
                    <w:rPr>
                      <w:rFonts w:hint="default" w:hAnsi="宋体" w:cs="宋体"/>
                      <w:snapToGrid w:val="0"/>
                      <w:color w:val="auto"/>
                      <w:kern w:val="21"/>
                      <w:szCs w:val="21"/>
                      <w:lang w:val="en-US" w:eastAsia="zh-CN"/>
                    </w:rPr>
                  </w:pPr>
                  <w:r>
                    <w:rPr>
                      <w:rFonts w:hint="eastAsia" w:hAnsi="宋体" w:cs="宋体"/>
                      <w:snapToGrid w:val="0"/>
                      <w:color w:val="auto"/>
                      <w:kern w:val="21"/>
                      <w:szCs w:val="21"/>
                      <w:lang w:val="en-US" w:eastAsia="zh-CN"/>
                    </w:rPr>
                    <w:t>氟化物</w:t>
                  </w:r>
                </w:p>
              </w:tc>
              <w:tc>
                <w:tcPr>
                  <w:tcW w:w="1104" w:type="dxa"/>
                  <w:shd w:val="clear" w:color="auto" w:fill="auto"/>
                  <w:noWrap w:val="0"/>
                  <w:vAlign w:val="center"/>
                </w:tcPr>
                <w:p w14:paraId="434A244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0.807t/a</w:t>
                  </w:r>
                </w:p>
              </w:tc>
              <w:tc>
                <w:tcPr>
                  <w:tcW w:w="1147" w:type="dxa"/>
                  <w:shd w:val="clear" w:color="auto" w:fill="auto"/>
                  <w:noWrap w:val="0"/>
                  <w:vAlign w:val="center"/>
                </w:tcPr>
                <w:p w14:paraId="238F331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0.04</w:t>
                  </w:r>
                  <w:r>
                    <w:rPr>
                      <w:rFonts w:hint="eastAsia" w:ascii="Times New Roman" w:hAnsi="Times New Roman" w:eastAsia="宋体" w:cs="Times New Roman"/>
                      <w:color w:val="auto"/>
                      <w:kern w:val="2"/>
                      <w:sz w:val="21"/>
                      <w:szCs w:val="21"/>
                      <w:vertAlign w:val="baseline"/>
                      <w:lang w:val="en-US" w:eastAsia="zh-CN" w:bidi="ar-SA"/>
                    </w:rPr>
                    <w:t>t/a</w:t>
                  </w:r>
                </w:p>
              </w:tc>
              <w:tc>
                <w:tcPr>
                  <w:tcW w:w="1064" w:type="dxa"/>
                  <w:shd w:val="clear" w:color="auto" w:fill="auto"/>
                  <w:noWrap w:val="0"/>
                  <w:vAlign w:val="center"/>
                </w:tcPr>
                <w:p w14:paraId="29AE881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0.807t/a</w:t>
                  </w:r>
                </w:p>
              </w:tc>
              <w:tc>
                <w:tcPr>
                  <w:tcW w:w="1420" w:type="dxa"/>
                  <w:noWrap w:val="0"/>
                  <w:vAlign w:val="center"/>
                </w:tcPr>
                <w:p w14:paraId="1D77483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0.04</w:t>
                  </w:r>
                  <w:r>
                    <w:rPr>
                      <w:rFonts w:hint="eastAsia" w:ascii="Times New Roman" w:hAnsi="Times New Roman" w:eastAsia="宋体" w:cs="Times New Roman"/>
                      <w:color w:val="auto"/>
                      <w:kern w:val="2"/>
                      <w:sz w:val="21"/>
                      <w:szCs w:val="21"/>
                      <w:vertAlign w:val="baseline"/>
                      <w:lang w:val="en-US" w:eastAsia="zh-CN" w:bidi="ar-SA"/>
                    </w:rPr>
                    <w:t>t/a</w:t>
                  </w:r>
                </w:p>
              </w:tc>
              <w:tc>
                <w:tcPr>
                  <w:tcW w:w="1048" w:type="dxa"/>
                  <w:noWrap w:val="0"/>
                  <w:vAlign w:val="center"/>
                </w:tcPr>
                <w:p w14:paraId="569E4B3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-0.767</w:t>
                  </w:r>
                  <w:r>
                    <w:rPr>
                      <w:rFonts w:hint="eastAsia" w:ascii="Times New Roman" w:hAnsi="Times New Roman" w:eastAsia="宋体" w:cs="Times New Roman"/>
                      <w:color w:val="auto"/>
                      <w:kern w:val="2"/>
                      <w:sz w:val="21"/>
                      <w:szCs w:val="21"/>
                      <w:vertAlign w:val="baseline"/>
                      <w:lang w:val="en-US" w:eastAsia="zh-CN" w:bidi="ar-SA"/>
                    </w:rPr>
                    <w:t>t/a</w:t>
                  </w:r>
                </w:p>
              </w:tc>
            </w:tr>
            <w:tr w14:paraId="32DC2C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169" w:type="dxa"/>
                  <w:noWrap w:val="0"/>
                  <w:vAlign w:val="center"/>
                </w:tcPr>
                <w:p w14:paraId="2734F708">
                  <w:pPr>
                    <w:pStyle w:val="60"/>
                    <w:spacing w:beforeLines="0" w:afterLines="0" w:line="240" w:lineRule="auto"/>
                    <w:rPr>
                      <w:rFonts w:hint="eastAsia" w:hAnsi="宋体" w:cs="宋体"/>
                      <w:snapToGrid w:val="0"/>
                      <w:color w:val="auto"/>
                      <w:kern w:val="21"/>
                      <w:szCs w:val="21"/>
                    </w:rPr>
                  </w:pPr>
                  <w:r>
                    <w:rPr>
                      <w:rFonts w:hint="eastAsia" w:hAnsi="宋体" w:cs="宋体"/>
                      <w:snapToGrid w:val="0"/>
                      <w:color w:val="auto"/>
                      <w:kern w:val="21"/>
                      <w:szCs w:val="21"/>
                    </w:rPr>
                    <w:t>废水</w:t>
                  </w:r>
                </w:p>
              </w:tc>
              <w:tc>
                <w:tcPr>
                  <w:tcW w:w="1191" w:type="dxa"/>
                  <w:noWrap w:val="0"/>
                  <w:vAlign w:val="center"/>
                </w:tcPr>
                <w:p w14:paraId="4AD40A8E">
                  <w:pPr>
                    <w:pStyle w:val="60"/>
                    <w:spacing w:beforeLines="0" w:afterLines="0" w:line="240" w:lineRule="auto"/>
                    <w:rPr>
                      <w:rFonts w:hint="eastAsia"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水量</w:t>
                  </w:r>
                </w:p>
              </w:tc>
              <w:tc>
                <w:tcPr>
                  <w:tcW w:w="1104" w:type="dxa"/>
                  <w:noWrap w:val="0"/>
                  <w:vAlign w:val="center"/>
                </w:tcPr>
                <w:p w14:paraId="7D9A170F">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1147" w:type="dxa"/>
                  <w:noWrap w:val="0"/>
                  <w:vAlign w:val="center"/>
                </w:tcPr>
                <w:p w14:paraId="6A357A1C">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c>
                <w:tcPr>
                  <w:tcW w:w="1064" w:type="dxa"/>
                  <w:noWrap w:val="0"/>
                  <w:vAlign w:val="center"/>
                </w:tcPr>
                <w:p w14:paraId="5B2D2D9A">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c>
                <w:tcPr>
                  <w:tcW w:w="1420" w:type="dxa"/>
                  <w:noWrap w:val="0"/>
                  <w:vAlign w:val="center"/>
                </w:tcPr>
                <w:p w14:paraId="57BE6212">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c>
                <w:tcPr>
                  <w:tcW w:w="1048" w:type="dxa"/>
                  <w:noWrap w:val="0"/>
                  <w:vAlign w:val="center"/>
                </w:tcPr>
                <w:p w14:paraId="192C541B">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r>
            <w:tr w14:paraId="1F1228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2360" w:type="dxa"/>
                  <w:gridSpan w:val="2"/>
                  <w:noWrap w:val="0"/>
                  <w:vAlign w:val="center"/>
                </w:tcPr>
                <w:p w14:paraId="352A0B7E">
                  <w:pPr>
                    <w:pStyle w:val="60"/>
                    <w:spacing w:beforeLines="0" w:afterLines="0" w:line="240" w:lineRule="auto"/>
                    <w:rPr>
                      <w:rFonts w:hint="default" w:hAnsi="宋体" w:cs="宋体"/>
                      <w:snapToGrid w:val="0"/>
                      <w:color w:val="auto"/>
                      <w:kern w:val="21"/>
                      <w:szCs w:val="21"/>
                      <w:lang w:val="en-US" w:eastAsia="zh-CN"/>
                    </w:rPr>
                  </w:pPr>
                  <w:r>
                    <w:rPr>
                      <w:rFonts w:hint="eastAsia" w:hAnsi="宋体" w:cs="宋体"/>
                      <w:snapToGrid w:val="0"/>
                      <w:color w:val="auto"/>
                      <w:kern w:val="21"/>
                      <w:szCs w:val="21"/>
                      <w:lang w:val="en-US" w:eastAsia="zh-CN"/>
                    </w:rPr>
                    <w:t>生活垃圾</w:t>
                  </w:r>
                </w:p>
              </w:tc>
              <w:tc>
                <w:tcPr>
                  <w:tcW w:w="1104" w:type="dxa"/>
                  <w:noWrap w:val="0"/>
                  <w:vAlign w:val="center"/>
                </w:tcPr>
                <w:p w14:paraId="250B3803">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7.5</w:t>
                  </w:r>
                  <w:r>
                    <w:rPr>
                      <w:rFonts w:hint="eastAsia" w:ascii="Times New Roman" w:hAnsi="Times New Roman" w:eastAsia="宋体" w:cs="Times New Roman"/>
                      <w:color w:val="auto"/>
                      <w:kern w:val="2"/>
                      <w:sz w:val="21"/>
                      <w:szCs w:val="21"/>
                      <w:lang w:val="en-US" w:eastAsia="zh-CN" w:bidi="ar-SA"/>
                    </w:rPr>
                    <w:t>t/a</w:t>
                  </w:r>
                </w:p>
              </w:tc>
              <w:tc>
                <w:tcPr>
                  <w:tcW w:w="1147" w:type="dxa"/>
                  <w:noWrap w:val="0"/>
                  <w:vAlign w:val="center"/>
                </w:tcPr>
                <w:p w14:paraId="26CDEBA7">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7.5</w:t>
                  </w:r>
                  <w:r>
                    <w:rPr>
                      <w:rFonts w:hint="eastAsia" w:ascii="Times New Roman" w:hAnsi="Times New Roman" w:eastAsia="宋体" w:cs="Times New Roman"/>
                      <w:color w:val="auto"/>
                      <w:kern w:val="2"/>
                      <w:sz w:val="21"/>
                      <w:szCs w:val="21"/>
                      <w:lang w:val="en-US" w:eastAsia="zh-CN" w:bidi="ar-SA"/>
                    </w:rPr>
                    <w:t>t/a</w:t>
                  </w:r>
                </w:p>
              </w:tc>
              <w:tc>
                <w:tcPr>
                  <w:tcW w:w="1064" w:type="dxa"/>
                  <w:noWrap w:val="0"/>
                  <w:vAlign w:val="center"/>
                </w:tcPr>
                <w:p w14:paraId="0415E620">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c>
                <w:tcPr>
                  <w:tcW w:w="1420" w:type="dxa"/>
                  <w:noWrap w:val="0"/>
                  <w:vAlign w:val="center"/>
                </w:tcPr>
                <w:p w14:paraId="0CDD71AA">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7.5</w:t>
                  </w:r>
                  <w:r>
                    <w:rPr>
                      <w:rFonts w:hint="eastAsia" w:ascii="Times New Roman" w:hAnsi="Times New Roman" w:eastAsia="宋体" w:cs="Times New Roman"/>
                      <w:color w:val="auto"/>
                      <w:kern w:val="2"/>
                      <w:sz w:val="21"/>
                      <w:szCs w:val="21"/>
                      <w:lang w:val="en-US" w:eastAsia="zh-CN" w:bidi="ar-SA"/>
                    </w:rPr>
                    <w:t>t/a</w:t>
                  </w:r>
                </w:p>
              </w:tc>
              <w:tc>
                <w:tcPr>
                  <w:tcW w:w="1048" w:type="dxa"/>
                  <w:noWrap w:val="0"/>
                  <w:vAlign w:val="center"/>
                </w:tcPr>
                <w:p w14:paraId="4CAA8611">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w:t>
                  </w:r>
                  <w:r>
                    <w:rPr>
                      <w:rFonts w:hint="eastAsia" w:ascii="Times New Roman" w:hAnsi="Times New Roman" w:eastAsia="宋体" w:cs="Times New Roman"/>
                      <w:color w:val="auto"/>
                      <w:kern w:val="2"/>
                      <w:sz w:val="21"/>
                      <w:szCs w:val="21"/>
                      <w:lang w:val="en-US" w:eastAsia="zh-CN" w:bidi="ar-SA"/>
                    </w:rPr>
                    <w:t>t/a</w:t>
                  </w:r>
                </w:p>
              </w:tc>
            </w:tr>
            <w:tr w14:paraId="23F506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169" w:type="dxa"/>
                  <w:vMerge w:val="restart"/>
                  <w:noWrap w:val="0"/>
                  <w:vAlign w:val="center"/>
                </w:tcPr>
                <w:p w14:paraId="4CAF7171">
                  <w:pPr>
                    <w:pStyle w:val="60"/>
                    <w:spacing w:beforeLines="0" w:afterLines="0" w:line="240" w:lineRule="auto"/>
                    <w:rPr>
                      <w:rFonts w:hAnsi="宋体" w:cs="宋体"/>
                      <w:snapToGrid w:val="0"/>
                      <w:color w:val="auto"/>
                      <w:kern w:val="21"/>
                      <w:szCs w:val="21"/>
                    </w:rPr>
                  </w:pPr>
                  <w:r>
                    <w:rPr>
                      <w:rFonts w:hint="eastAsia" w:hAnsi="宋体" w:cs="宋体"/>
                      <w:snapToGrid w:val="0"/>
                      <w:color w:val="auto"/>
                      <w:kern w:val="21"/>
                      <w:szCs w:val="21"/>
                    </w:rPr>
                    <w:t>一般工业</w:t>
                  </w:r>
                </w:p>
                <w:p w14:paraId="5141B52E">
                  <w:pPr>
                    <w:pStyle w:val="60"/>
                    <w:spacing w:beforeLines="0" w:afterLines="0" w:line="240" w:lineRule="auto"/>
                    <w:rPr>
                      <w:rFonts w:hint="eastAsia" w:hAnsi="宋体" w:cs="宋体"/>
                      <w:snapToGrid w:val="0"/>
                      <w:color w:val="auto"/>
                      <w:kern w:val="21"/>
                      <w:szCs w:val="21"/>
                    </w:rPr>
                  </w:pPr>
                  <w:r>
                    <w:rPr>
                      <w:rFonts w:hint="eastAsia" w:hAnsi="宋体" w:cs="宋体"/>
                      <w:snapToGrid w:val="0"/>
                      <w:color w:val="auto"/>
                      <w:kern w:val="21"/>
                      <w:szCs w:val="21"/>
                    </w:rPr>
                    <w:t>固体废物</w:t>
                  </w:r>
                </w:p>
              </w:tc>
              <w:tc>
                <w:tcPr>
                  <w:tcW w:w="1191" w:type="dxa"/>
                  <w:noWrap w:val="0"/>
                  <w:vAlign w:val="center"/>
                </w:tcPr>
                <w:p w14:paraId="676C121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切条、修坯废料</w:t>
                  </w:r>
                </w:p>
              </w:tc>
              <w:tc>
                <w:tcPr>
                  <w:tcW w:w="1104" w:type="dxa"/>
                  <w:noWrap w:val="0"/>
                  <w:vAlign w:val="center"/>
                </w:tcPr>
                <w:p w14:paraId="0209C384">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77</w:t>
                  </w:r>
                  <w:r>
                    <w:rPr>
                      <w:rFonts w:hint="eastAsia" w:ascii="Times New Roman" w:hAnsi="Times New Roman" w:eastAsia="宋体" w:cs="Times New Roman"/>
                      <w:color w:val="auto"/>
                      <w:kern w:val="2"/>
                      <w:sz w:val="21"/>
                      <w:szCs w:val="21"/>
                      <w:lang w:val="en-US" w:eastAsia="zh-CN" w:bidi="ar-SA"/>
                    </w:rPr>
                    <w:t>5t/a</w:t>
                  </w:r>
                </w:p>
              </w:tc>
              <w:tc>
                <w:tcPr>
                  <w:tcW w:w="1147" w:type="dxa"/>
                  <w:noWrap w:val="0"/>
                  <w:vAlign w:val="center"/>
                </w:tcPr>
                <w:p w14:paraId="74C46379">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77</w:t>
                  </w:r>
                  <w:r>
                    <w:rPr>
                      <w:rFonts w:hint="eastAsia" w:ascii="Times New Roman" w:hAnsi="Times New Roman" w:eastAsia="宋体" w:cs="Times New Roman"/>
                      <w:color w:val="auto"/>
                      <w:kern w:val="2"/>
                      <w:sz w:val="21"/>
                      <w:szCs w:val="21"/>
                      <w:lang w:val="en-US" w:eastAsia="zh-CN" w:bidi="ar-SA"/>
                    </w:rPr>
                    <w:t>5t/a</w:t>
                  </w:r>
                </w:p>
              </w:tc>
              <w:tc>
                <w:tcPr>
                  <w:tcW w:w="1064" w:type="dxa"/>
                  <w:noWrap w:val="0"/>
                  <w:vAlign w:val="center"/>
                </w:tcPr>
                <w:p w14:paraId="3E6939B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c>
                <w:tcPr>
                  <w:tcW w:w="1420" w:type="dxa"/>
                  <w:noWrap w:val="0"/>
                  <w:vAlign w:val="center"/>
                </w:tcPr>
                <w:p w14:paraId="07BE9755">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77</w:t>
                  </w:r>
                  <w:r>
                    <w:rPr>
                      <w:rFonts w:hint="eastAsia" w:ascii="Times New Roman" w:hAnsi="Times New Roman" w:eastAsia="宋体" w:cs="Times New Roman"/>
                      <w:color w:val="auto"/>
                      <w:kern w:val="2"/>
                      <w:sz w:val="21"/>
                      <w:szCs w:val="21"/>
                      <w:lang w:val="en-US" w:eastAsia="zh-CN" w:bidi="ar-SA"/>
                    </w:rPr>
                    <w:t>5t/a</w:t>
                  </w:r>
                </w:p>
              </w:tc>
              <w:tc>
                <w:tcPr>
                  <w:tcW w:w="1048" w:type="dxa"/>
                  <w:noWrap w:val="0"/>
                  <w:vAlign w:val="center"/>
                </w:tcPr>
                <w:p w14:paraId="3130D967">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w:t>
                  </w:r>
                  <w:r>
                    <w:rPr>
                      <w:rFonts w:hint="eastAsia" w:ascii="Times New Roman" w:hAnsi="Times New Roman" w:eastAsia="宋体" w:cs="Times New Roman"/>
                      <w:color w:val="auto"/>
                      <w:kern w:val="2"/>
                      <w:sz w:val="21"/>
                      <w:szCs w:val="21"/>
                      <w:lang w:val="en-US" w:eastAsia="zh-CN" w:bidi="ar-SA"/>
                    </w:rPr>
                    <w:t>t/a</w:t>
                  </w:r>
                </w:p>
              </w:tc>
            </w:tr>
            <w:tr w14:paraId="6C593B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169" w:type="dxa"/>
                  <w:vMerge w:val="continue"/>
                  <w:noWrap w:val="0"/>
                  <w:vAlign w:val="center"/>
                </w:tcPr>
                <w:p w14:paraId="03411EE2">
                  <w:pPr>
                    <w:pStyle w:val="60"/>
                    <w:spacing w:beforeLines="0" w:afterLines="0" w:line="240" w:lineRule="auto"/>
                    <w:rPr>
                      <w:rFonts w:hint="eastAsia" w:hAnsi="宋体" w:cs="宋体"/>
                      <w:snapToGrid w:val="0"/>
                      <w:color w:val="auto"/>
                      <w:kern w:val="21"/>
                      <w:szCs w:val="21"/>
                    </w:rPr>
                  </w:pPr>
                </w:p>
              </w:tc>
              <w:tc>
                <w:tcPr>
                  <w:tcW w:w="1191" w:type="dxa"/>
                  <w:noWrap w:val="0"/>
                  <w:vAlign w:val="center"/>
                </w:tcPr>
                <w:p w14:paraId="27FE5E7B">
                  <w:pPr>
                    <w:widowControl w:val="0"/>
                    <w:bidi w:val="0"/>
                    <w:spacing w:before="25" w:beforeLines="25" w:after="25" w:afterLines="25" w:line="240" w:lineRule="auto"/>
                    <w:ind w:firstLine="0" w:firstLineChars="0"/>
                    <w:jc w:val="center"/>
                    <w:rPr>
                      <w:rFonts w:hAnsi="宋体" w:cs="宋体"/>
                      <w:snapToGrid w:val="0"/>
                      <w:color w:val="auto"/>
                      <w:kern w:val="21"/>
                      <w:szCs w:val="21"/>
                    </w:rPr>
                  </w:pPr>
                  <w:r>
                    <w:rPr>
                      <w:rFonts w:hint="eastAsia" w:cs="Times New Roman"/>
                      <w:color w:val="auto"/>
                      <w:kern w:val="2"/>
                      <w:sz w:val="21"/>
                      <w:szCs w:val="21"/>
                      <w:lang w:val="en-US" w:eastAsia="zh-CN" w:bidi="ar-SA"/>
                    </w:rPr>
                    <w:t>脱硫渣</w:t>
                  </w:r>
                </w:p>
              </w:tc>
              <w:tc>
                <w:tcPr>
                  <w:tcW w:w="1104" w:type="dxa"/>
                  <w:noWrap w:val="0"/>
                  <w:vAlign w:val="center"/>
                </w:tcPr>
                <w:p w14:paraId="40B4C2F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1147" w:type="dxa"/>
                  <w:noWrap w:val="0"/>
                  <w:vAlign w:val="center"/>
                </w:tcPr>
                <w:p w14:paraId="297AD8FE">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35.7</w:t>
                  </w:r>
                  <w:r>
                    <w:rPr>
                      <w:rFonts w:hint="eastAsia" w:ascii="Times New Roman" w:hAnsi="Times New Roman" w:eastAsia="宋体" w:cs="Times New Roman"/>
                      <w:color w:val="auto"/>
                      <w:kern w:val="2"/>
                      <w:sz w:val="21"/>
                      <w:szCs w:val="21"/>
                      <w:lang w:val="en-US" w:eastAsia="zh-CN" w:bidi="ar-SA"/>
                    </w:rPr>
                    <w:t>t/a</w:t>
                  </w:r>
                </w:p>
              </w:tc>
              <w:tc>
                <w:tcPr>
                  <w:tcW w:w="1064" w:type="dxa"/>
                  <w:noWrap w:val="0"/>
                  <w:vAlign w:val="center"/>
                </w:tcPr>
                <w:p w14:paraId="3AA88D6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420" w:type="dxa"/>
                  <w:noWrap w:val="0"/>
                  <w:vAlign w:val="center"/>
                </w:tcPr>
                <w:p w14:paraId="0E988431">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35.7</w:t>
                  </w:r>
                  <w:r>
                    <w:rPr>
                      <w:rFonts w:hint="eastAsia" w:ascii="Times New Roman" w:hAnsi="Times New Roman" w:eastAsia="宋体" w:cs="Times New Roman"/>
                      <w:color w:val="auto"/>
                      <w:kern w:val="2"/>
                      <w:sz w:val="21"/>
                      <w:szCs w:val="21"/>
                      <w:lang w:val="en-US" w:eastAsia="zh-CN" w:bidi="ar-SA"/>
                    </w:rPr>
                    <w:t>t/a</w:t>
                  </w:r>
                </w:p>
              </w:tc>
              <w:tc>
                <w:tcPr>
                  <w:tcW w:w="1048" w:type="dxa"/>
                  <w:noWrap w:val="0"/>
                  <w:vAlign w:val="center"/>
                </w:tcPr>
                <w:p w14:paraId="5B97CED3">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+35.7</w:t>
                  </w:r>
                  <w:r>
                    <w:rPr>
                      <w:rFonts w:hint="eastAsia" w:ascii="Times New Roman" w:hAnsi="Times New Roman" w:eastAsia="宋体" w:cs="Times New Roman"/>
                      <w:color w:val="auto"/>
                      <w:kern w:val="2"/>
                      <w:sz w:val="21"/>
                      <w:szCs w:val="21"/>
                      <w:lang w:val="en-US" w:eastAsia="zh-CN" w:bidi="ar-SA"/>
                    </w:rPr>
                    <w:t>t/a</w:t>
                  </w:r>
                </w:p>
              </w:tc>
            </w:tr>
            <w:tr w14:paraId="76B70F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169" w:type="dxa"/>
                  <w:vMerge w:val="continue"/>
                  <w:noWrap w:val="0"/>
                  <w:vAlign w:val="center"/>
                </w:tcPr>
                <w:p w14:paraId="493E6380">
                  <w:pPr>
                    <w:pStyle w:val="60"/>
                    <w:spacing w:beforeLines="0" w:afterLines="0" w:line="240" w:lineRule="auto"/>
                    <w:rPr>
                      <w:rFonts w:hint="eastAsia" w:hAnsi="宋体" w:cs="宋体"/>
                      <w:snapToGrid w:val="0"/>
                      <w:color w:val="auto"/>
                      <w:kern w:val="21"/>
                      <w:szCs w:val="21"/>
                    </w:rPr>
                  </w:pPr>
                </w:p>
              </w:tc>
              <w:tc>
                <w:tcPr>
                  <w:tcW w:w="1191" w:type="dxa"/>
                  <w:noWrap w:val="0"/>
                  <w:vAlign w:val="center"/>
                </w:tcPr>
                <w:p w14:paraId="38CB1D89">
                  <w:pPr>
                    <w:widowControl w:val="0"/>
                    <w:bidi w:val="0"/>
                    <w:spacing w:before="25" w:beforeLines="25" w:after="25" w:afterLines="25" w:line="240" w:lineRule="auto"/>
                    <w:ind w:firstLine="0" w:firstLineChars="0"/>
                    <w:jc w:val="center"/>
                    <w:rPr>
                      <w:rFonts w:hAnsi="宋体" w:cs="宋体"/>
                      <w:snapToGrid w:val="0"/>
                      <w:color w:val="auto"/>
                      <w:kern w:val="21"/>
                      <w:szCs w:val="21"/>
                    </w:rPr>
                  </w:pPr>
                  <w:r>
                    <w:rPr>
                      <w:rFonts w:hint="eastAsia" w:cs="Times New Roman"/>
                      <w:color w:val="auto"/>
                      <w:kern w:val="2"/>
                      <w:sz w:val="21"/>
                      <w:szCs w:val="21"/>
                      <w:lang w:val="en-US" w:eastAsia="zh-CN" w:bidi="ar-SA"/>
                    </w:rPr>
                    <w:t>除尘灰</w:t>
                  </w:r>
                </w:p>
              </w:tc>
              <w:tc>
                <w:tcPr>
                  <w:tcW w:w="1104" w:type="dxa"/>
                  <w:noWrap w:val="0"/>
                  <w:vAlign w:val="center"/>
                </w:tcPr>
                <w:p w14:paraId="744013A9">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1147" w:type="dxa"/>
                  <w:noWrap w:val="0"/>
                  <w:vAlign w:val="center"/>
                </w:tcPr>
                <w:p w14:paraId="12F15DA8">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21.31</w:t>
                  </w:r>
                  <w:r>
                    <w:rPr>
                      <w:rFonts w:hint="eastAsia" w:ascii="Times New Roman" w:hAnsi="Times New Roman" w:eastAsia="宋体" w:cs="Times New Roman"/>
                      <w:color w:val="auto"/>
                      <w:kern w:val="2"/>
                      <w:sz w:val="21"/>
                      <w:szCs w:val="21"/>
                      <w:lang w:val="en-US" w:eastAsia="zh-CN" w:bidi="ar-SA"/>
                    </w:rPr>
                    <w:t>t/a</w:t>
                  </w:r>
                </w:p>
              </w:tc>
              <w:tc>
                <w:tcPr>
                  <w:tcW w:w="1064" w:type="dxa"/>
                  <w:noWrap w:val="0"/>
                  <w:vAlign w:val="center"/>
                </w:tcPr>
                <w:p w14:paraId="2D7735A9">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420" w:type="dxa"/>
                  <w:noWrap w:val="0"/>
                  <w:vAlign w:val="center"/>
                </w:tcPr>
                <w:p w14:paraId="2C7E806A">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21.31</w:t>
                  </w:r>
                  <w:r>
                    <w:rPr>
                      <w:rFonts w:hint="eastAsia" w:ascii="Times New Roman" w:hAnsi="Times New Roman" w:eastAsia="宋体" w:cs="Times New Roman"/>
                      <w:color w:val="auto"/>
                      <w:kern w:val="2"/>
                      <w:sz w:val="21"/>
                      <w:szCs w:val="21"/>
                      <w:lang w:val="en-US" w:eastAsia="zh-CN" w:bidi="ar-SA"/>
                    </w:rPr>
                    <w:t>t/a</w:t>
                  </w:r>
                </w:p>
              </w:tc>
              <w:tc>
                <w:tcPr>
                  <w:tcW w:w="1048" w:type="dxa"/>
                  <w:noWrap w:val="0"/>
                  <w:vAlign w:val="center"/>
                </w:tcPr>
                <w:p w14:paraId="032A82D1">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+21.31</w:t>
                  </w:r>
                  <w:r>
                    <w:rPr>
                      <w:rFonts w:hint="eastAsia" w:ascii="Times New Roman" w:hAnsi="Times New Roman" w:eastAsia="宋体" w:cs="Times New Roman"/>
                      <w:color w:val="auto"/>
                      <w:kern w:val="2"/>
                      <w:sz w:val="21"/>
                      <w:szCs w:val="21"/>
                      <w:lang w:val="en-US" w:eastAsia="zh-CN" w:bidi="ar-SA"/>
                    </w:rPr>
                    <w:t>t/a</w:t>
                  </w:r>
                </w:p>
              </w:tc>
            </w:tr>
            <w:tr w14:paraId="39B6DC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169" w:type="dxa"/>
                  <w:vMerge w:val="continue"/>
                  <w:noWrap w:val="0"/>
                  <w:vAlign w:val="center"/>
                </w:tcPr>
                <w:p w14:paraId="6854C7D3">
                  <w:pPr>
                    <w:pStyle w:val="60"/>
                    <w:spacing w:beforeLines="0" w:afterLines="0" w:line="240" w:lineRule="auto"/>
                    <w:rPr>
                      <w:rFonts w:hint="eastAsia" w:hAnsi="宋体" w:cs="宋体"/>
                      <w:snapToGrid w:val="0"/>
                      <w:color w:val="auto"/>
                      <w:kern w:val="21"/>
                      <w:szCs w:val="21"/>
                    </w:rPr>
                  </w:pPr>
                </w:p>
              </w:tc>
              <w:tc>
                <w:tcPr>
                  <w:tcW w:w="1191" w:type="dxa"/>
                  <w:noWrap w:val="0"/>
                  <w:vAlign w:val="center"/>
                </w:tcPr>
                <w:p w14:paraId="6AA58AEE">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lang w:val="en-US" w:eastAsia="zh-CN" w:bidi="ar-SA"/>
                    </w:rPr>
                    <w:t>次品</w:t>
                  </w:r>
                </w:p>
              </w:tc>
              <w:tc>
                <w:tcPr>
                  <w:tcW w:w="1104" w:type="dxa"/>
                  <w:noWrap w:val="0"/>
                  <w:vAlign w:val="center"/>
                </w:tcPr>
                <w:p w14:paraId="2672EBED">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300</w:t>
                  </w:r>
                  <w:r>
                    <w:rPr>
                      <w:rFonts w:hint="eastAsia" w:ascii="Times New Roman" w:hAnsi="Times New Roman" w:eastAsia="宋体" w:cs="Times New Roman"/>
                      <w:color w:val="auto"/>
                      <w:kern w:val="2"/>
                      <w:sz w:val="21"/>
                      <w:szCs w:val="21"/>
                      <w:lang w:val="en-US" w:eastAsia="zh-CN" w:bidi="ar-SA"/>
                    </w:rPr>
                    <w:t>t/a</w:t>
                  </w:r>
                </w:p>
              </w:tc>
              <w:tc>
                <w:tcPr>
                  <w:tcW w:w="1147" w:type="dxa"/>
                  <w:noWrap w:val="0"/>
                  <w:vAlign w:val="center"/>
                </w:tcPr>
                <w:p w14:paraId="78E5A6A7">
                  <w:pPr>
                    <w:widowControl w:val="0"/>
                    <w:bidi w:val="0"/>
                    <w:spacing w:before="25" w:beforeLines="25" w:after="25" w:afterLines="25" w:line="240" w:lineRule="auto"/>
                    <w:ind w:firstLine="0" w:firstLineChars="0"/>
                    <w:jc w:val="center"/>
                    <w:rPr>
                      <w:rFonts w:hint="eastAsia" w:cs="Times New Roman"/>
                      <w:color w:val="auto"/>
                      <w:kern w:val="2"/>
                      <w:sz w:val="21"/>
                      <w:szCs w:val="21"/>
                      <w:lang w:val="en-US" w:eastAsia="zh-CN" w:bidi="ar-SA"/>
                    </w:rPr>
                  </w:pPr>
                  <w:r>
                    <w:rPr>
                      <w:rFonts w:hint="eastAsia"/>
                      <w:color w:val="auto"/>
                      <w:sz w:val="21"/>
                      <w:szCs w:val="21"/>
                      <w:lang w:val="en-US" w:eastAsia="zh-CN"/>
                    </w:rPr>
                    <w:t>155</w:t>
                  </w:r>
                  <w:r>
                    <w:rPr>
                      <w:rFonts w:hint="eastAsia" w:ascii="Times New Roman" w:hAnsi="Times New Roman" w:eastAsia="宋体" w:cs="Times New Roman"/>
                      <w:color w:val="auto"/>
                      <w:kern w:val="2"/>
                      <w:sz w:val="21"/>
                      <w:szCs w:val="21"/>
                      <w:lang w:val="en-US" w:eastAsia="zh-CN" w:bidi="ar-SA"/>
                    </w:rPr>
                    <w:t>t/a</w:t>
                  </w:r>
                </w:p>
              </w:tc>
              <w:tc>
                <w:tcPr>
                  <w:tcW w:w="1064" w:type="dxa"/>
                  <w:noWrap w:val="0"/>
                  <w:vAlign w:val="center"/>
                </w:tcPr>
                <w:p w14:paraId="6BEFC062">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300</w:t>
                  </w:r>
                  <w:r>
                    <w:rPr>
                      <w:rFonts w:hint="eastAsia" w:ascii="Times New Roman" w:hAnsi="Times New Roman" w:eastAsia="宋体" w:cs="Times New Roman"/>
                      <w:color w:val="auto"/>
                      <w:kern w:val="2"/>
                      <w:sz w:val="21"/>
                      <w:szCs w:val="21"/>
                      <w:lang w:val="en-US" w:eastAsia="zh-CN" w:bidi="ar-SA"/>
                    </w:rPr>
                    <w:t>t/a</w:t>
                  </w:r>
                </w:p>
              </w:tc>
              <w:tc>
                <w:tcPr>
                  <w:tcW w:w="1420" w:type="dxa"/>
                  <w:noWrap w:val="0"/>
                  <w:vAlign w:val="center"/>
                </w:tcPr>
                <w:p w14:paraId="45BFFD6E">
                  <w:pPr>
                    <w:widowControl w:val="0"/>
                    <w:bidi w:val="0"/>
                    <w:spacing w:before="25" w:beforeLines="25" w:after="25" w:afterLines="25" w:line="240" w:lineRule="auto"/>
                    <w:ind w:firstLine="0" w:firstLineChars="0"/>
                    <w:jc w:val="center"/>
                    <w:rPr>
                      <w:rFonts w:hint="eastAsia" w:cs="Times New Roman"/>
                      <w:color w:val="auto"/>
                      <w:kern w:val="2"/>
                      <w:sz w:val="21"/>
                      <w:szCs w:val="21"/>
                      <w:lang w:val="en-US" w:eastAsia="zh-CN" w:bidi="ar-SA"/>
                    </w:rPr>
                  </w:pPr>
                  <w:r>
                    <w:rPr>
                      <w:rFonts w:hint="eastAsia"/>
                      <w:color w:val="auto"/>
                      <w:sz w:val="21"/>
                      <w:szCs w:val="21"/>
                      <w:lang w:val="en-US" w:eastAsia="zh-CN"/>
                    </w:rPr>
                    <w:t>155</w:t>
                  </w:r>
                  <w:r>
                    <w:rPr>
                      <w:rFonts w:hint="eastAsia" w:ascii="Times New Roman" w:hAnsi="Times New Roman" w:eastAsia="宋体" w:cs="Times New Roman"/>
                      <w:color w:val="auto"/>
                      <w:kern w:val="2"/>
                      <w:sz w:val="21"/>
                      <w:szCs w:val="21"/>
                      <w:lang w:val="en-US" w:eastAsia="zh-CN" w:bidi="ar-SA"/>
                    </w:rPr>
                    <w:t>t/a</w:t>
                  </w:r>
                </w:p>
              </w:tc>
              <w:tc>
                <w:tcPr>
                  <w:tcW w:w="1048" w:type="dxa"/>
                  <w:noWrap w:val="0"/>
                  <w:vAlign w:val="center"/>
                </w:tcPr>
                <w:p w14:paraId="502E1884">
                  <w:pPr>
                    <w:widowControl w:val="0"/>
                    <w:bidi w:val="0"/>
                    <w:spacing w:before="25" w:beforeLines="25" w:after="25" w:afterLines="25" w:line="240" w:lineRule="auto"/>
                    <w:ind w:firstLine="0" w:firstLineChars="0"/>
                    <w:jc w:val="center"/>
                    <w:rPr>
                      <w:rFonts w:hint="eastAsia" w:cs="Times New Roman"/>
                      <w:color w:val="auto"/>
                      <w:kern w:val="2"/>
                      <w:sz w:val="21"/>
                      <w:szCs w:val="21"/>
                      <w:lang w:val="en-US" w:eastAsia="zh-CN" w:bidi="ar-SA"/>
                    </w:rPr>
                  </w:pPr>
                  <w:r>
                    <w:rPr>
                      <w:rFonts w:hint="eastAsia"/>
                      <w:color w:val="auto"/>
                      <w:sz w:val="21"/>
                      <w:szCs w:val="21"/>
                      <w:lang w:val="en-US" w:eastAsia="zh-CN"/>
                    </w:rPr>
                    <w:t>-145</w:t>
                  </w:r>
                  <w:r>
                    <w:rPr>
                      <w:rFonts w:hint="eastAsia" w:ascii="Times New Roman" w:hAnsi="Times New Roman" w:eastAsia="宋体" w:cs="Times New Roman"/>
                      <w:color w:val="auto"/>
                      <w:kern w:val="2"/>
                      <w:sz w:val="21"/>
                      <w:szCs w:val="21"/>
                      <w:lang w:val="en-US" w:eastAsia="zh-CN" w:bidi="ar-SA"/>
                    </w:rPr>
                    <w:t>t/a</w:t>
                  </w:r>
                </w:p>
              </w:tc>
            </w:tr>
            <w:tr w14:paraId="380C83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169" w:type="dxa"/>
                  <w:vMerge w:val="continue"/>
                  <w:noWrap w:val="0"/>
                  <w:vAlign w:val="center"/>
                </w:tcPr>
                <w:p w14:paraId="105D3E11">
                  <w:pPr>
                    <w:pStyle w:val="60"/>
                    <w:spacing w:beforeLines="0" w:afterLines="0" w:line="240" w:lineRule="auto"/>
                    <w:rPr>
                      <w:rFonts w:hint="eastAsia" w:hAnsi="宋体" w:cs="宋体"/>
                      <w:snapToGrid w:val="0"/>
                      <w:color w:val="auto"/>
                      <w:kern w:val="21"/>
                      <w:szCs w:val="21"/>
                    </w:rPr>
                  </w:pPr>
                </w:p>
              </w:tc>
              <w:tc>
                <w:tcPr>
                  <w:tcW w:w="1191" w:type="dxa"/>
                  <w:noWrap w:val="0"/>
                  <w:vAlign w:val="center"/>
                </w:tcPr>
                <w:p w14:paraId="4190592D">
                  <w:pPr>
                    <w:widowControl w:val="0"/>
                    <w:bidi w:val="0"/>
                    <w:spacing w:before="25" w:beforeLines="25" w:after="25" w:afterLines="25" w:line="240" w:lineRule="auto"/>
                    <w:ind w:firstLine="0" w:firstLineChars="0"/>
                    <w:jc w:val="center"/>
                    <w:rPr>
                      <w:rFonts w:hAnsi="宋体" w:cs="宋体"/>
                      <w:snapToGrid w:val="0"/>
                      <w:color w:val="auto"/>
                      <w:kern w:val="21"/>
                      <w:szCs w:val="21"/>
                    </w:rPr>
                  </w:pPr>
                  <w:r>
                    <w:rPr>
                      <w:rFonts w:hint="eastAsia" w:cs="Times New Roman"/>
                      <w:color w:val="auto"/>
                      <w:kern w:val="2"/>
                      <w:sz w:val="21"/>
                      <w:szCs w:val="21"/>
                      <w:lang w:val="en-US" w:eastAsia="zh-CN" w:bidi="ar-SA"/>
                    </w:rPr>
                    <w:t>煤渣</w:t>
                  </w:r>
                </w:p>
              </w:tc>
              <w:tc>
                <w:tcPr>
                  <w:tcW w:w="1104" w:type="dxa"/>
                  <w:noWrap w:val="0"/>
                  <w:vAlign w:val="center"/>
                </w:tcPr>
                <w:p w14:paraId="5CC58833">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120</w:t>
                  </w:r>
                  <w:r>
                    <w:rPr>
                      <w:rFonts w:hint="eastAsia" w:ascii="Times New Roman" w:hAnsi="Times New Roman" w:eastAsia="宋体" w:cs="Times New Roman"/>
                      <w:color w:val="auto"/>
                      <w:kern w:val="2"/>
                      <w:sz w:val="21"/>
                      <w:szCs w:val="21"/>
                      <w:lang w:val="en-US" w:eastAsia="zh-CN" w:bidi="ar-SA"/>
                    </w:rPr>
                    <w:t>t/a</w:t>
                  </w:r>
                </w:p>
              </w:tc>
              <w:tc>
                <w:tcPr>
                  <w:tcW w:w="1147" w:type="dxa"/>
                  <w:noWrap w:val="0"/>
                  <w:vAlign w:val="center"/>
                </w:tcPr>
                <w:p w14:paraId="76E0C487">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85.83</w:t>
                  </w:r>
                  <w:r>
                    <w:rPr>
                      <w:rFonts w:hint="eastAsia" w:ascii="Times New Roman" w:hAnsi="Times New Roman" w:eastAsia="宋体" w:cs="Times New Roman"/>
                      <w:color w:val="auto"/>
                      <w:kern w:val="2"/>
                      <w:sz w:val="21"/>
                      <w:szCs w:val="21"/>
                      <w:lang w:val="en-US" w:eastAsia="zh-CN" w:bidi="ar-SA"/>
                    </w:rPr>
                    <w:t>t/a</w:t>
                  </w:r>
                </w:p>
              </w:tc>
              <w:tc>
                <w:tcPr>
                  <w:tcW w:w="1064" w:type="dxa"/>
                  <w:noWrap w:val="0"/>
                  <w:vAlign w:val="center"/>
                </w:tcPr>
                <w:p w14:paraId="505F7998">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120</w:t>
                  </w:r>
                  <w:r>
                    <w:rPr>
                      <w:rFonts w:hint="eastAsia" w:ascii="Times New Roman" w:hAnsi="Times New Roman" w:eastAsia="宋体" w:cs="Times New Roman"/>
                      <w:color w:val="auto"/>
                      <w:kern w:val="2"/>
                      <w:sz w:val="21"/>
                      <w:szCs w:val="21"/>
                      <w:lang w:val="en-US" w:eastAsia="zh-CN" w:bidi="ar-SA"/>
                    </w:rPr>
                    <w:t>t/a</w:t>
                  </w:r>
                </w:p>
              </w:tc>
              <w:tc>
                <w:tcPr>
                  <w:tcW w:w="1420" w:type="dxa"/>
                  <w:noWrap w:val="0"/>
                  <w:vAlign w:val="center"/>
                </w:tcPr>
                <w:p w14:paraId="486AAC59">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85.83</w:t>
                  </w:r>
                  <w:r>
                    <w:rPr>
                      <w:rFonts w:hint="eastAsia" w:ascii="Times New Roman" w:hAnsi="Times New Roman" w:eastAsia="宋体" w:cs="Times New Roman"/>
                      <w:color w:val="auto"/>
                      <w:kern w:val="2"/>
                      <w:sz w:val="21"/>
                      <w:szCs w:val="21"/>
                      <w:lang w:val="en-US" w:eastAsia="zh-CN" w:bidi="ar-SA"/>
                    </w:rPr>
                    <w:t>t/a</w:t>
                  </w:r>
                </w:p>
              </w:tc>
              <w:tc>
                <w:tcPr>
                  <w:tcW w:w="1048" w:type="dxa"/>
                  <w:noWrap w:val="0"/>
                  <w:vAlign w:val="center"/>
                </w:tcPr>
                <w:p w14:paraId="38CC615A">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-34.17</w:t>
                  </w:r>
                  <w:r>
                    <w:rPr>
                      <w:rFonts w:hint="eastAsia" w:ascii="Times New Roman" w:hAnsi="Times New Roman" w:eastAsia="宋体" w:cs="Times New Roman"/>
                      <w:color w:val="auto"/>
                      <w:kern w:val="2"/>
                      <w:sz w:val="21"/>
                      <w:szCs w:val="21"/>
                      <w:lang w:val="en-US" w:eastAsia="zh-CN" w:bidi="ar-SA"/>
                    </w:rPr>
                    <w:t>t/a</w:t>
                  </w:r>
                </w:p>
              </w:tc>
            </w:tr>
            <w:tr w14:paraId="3C7DBD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169" w:type="dxa"/>
                  <w:noWrap w:val="0"/>
                  <w:vAlign w:val="center"/>
                </w:tcPr>
                <w:p w14:paraId="02402056">
                  <w:pPr>
                    <w:pStyle w:val="60"/>
                    <w:spacing w:beforeLines="0" w:afterLines="0" w:line="240" w:lineRule="auto"/>
                    <w:rPr>
                      <w:rFonts w:hint="eastAsia" w:hAnsi="宋体" w:cs="宋体"/>
                      <w:snapToGrid w:val="0"/>
                      <w:color w:val="auto"/>
                      <w:kern w:val="21"/>
                      <w:szCs w:val="21"/>
                    </w:rPr>
                  </w:pPr>
                  <w:r>
                    <w:rPr>
                      <w:rFonts w:hint="eastAsia" w:hAnsi="宋体" w:cs="宋体"/>
                      <w:snapToGrid w:val="0"/>
                      <w:color w:val="auto"/>
                      <w:kern w:val="21"/>
                      <w:szCs w:val="21"/>
                    </w:rPr>
                    <w:t>危险废物</w:t>
                  </w:r>
                </w:p>
              </w:tc>
              <w:tc>
                <w:tcPr>
                  <w:tcW w:w="1191" w:type="dxa"/>
                  <w:noWrap w:val="0"/>
                  <w:vAlign w:val="center"/>
                </w:tcPr>
                <w:p w14:paraId="338D6823">
                  <w:pPr>
                    <w:pStyle w:val="60"/>
                    <w:spacing w:beforeLines="0" w:afterLines="0" w:line="240" w:lineRule="auto"/>
                    <w:rPr>
                      <w:rFonts w:hint="eastAsia" w:hAnsi="宋体" w:cs="宋体"/>
                      <w:snapToGrid w:val="0"/>
                      <w:color w:val="auto"/>
                      <w:kern w:val="21"/>
                      <w:szCs w:val="21"/>
                    </w:rPr>
                  </w:pPr>
                  <w:r>
                    <w:rPr>
                      <w:rFonts w:hint="eastAsia" w:hAnsi="宋体" w:cs="宋体"/>
                      <w:snapToGrid w:val="0"/>
                      <w:color w:val="auto"/>
                      <w:kern w:val="21"/>
                      <w:szCs w:val="21"/>
                      <w:lang w:val="en-US" w:eastAsia="zh-CN"/>
                    </w:rPr>
                    <w:t>废润滑油</w:t>
                  </w:r>
                </w:p>
              </w:tc>
              <w:tc>
                <w:tcPr>
                  <w:tcW w:w="1104" w:type="dxa"/>
                  <w:noWrap w:val="0"/>
                  <w:vAlign w:val="center"/>
                </w:tcPr>
                <w:p w14:paraId="6F367244">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0.2</w:t>
                  </w:r>
                  <w:r>
                    <w:rPr>
                      <w:rFonts w:hint="eastAsia" w:ascii="Times New Roman" w:hAnsi="Times New Roman" w:eastAsia="宋体" w:cs="Times New Roman"/>
                      <w:color w:val="auto"/>
                      <w:kern w:val="2"/>
                      <w:sz w:val="21"/>
                      <w:szCs w:val="21"/>
                      <w:lang w:val="en-US" w:eastAsia="zh-CN" w:bidi="ar-SA"/>
                    </w:rPr>
                    <w:t>t/a</w:t>
                  </w:r>
                </w:p>
              </w:tc>
              <w:tc>
                <w:tcPr>
                  <w:tcW w:w="1147" w:type="dxa"/>
                  <w:noWrap w:val="0"/>
                  <w:vAlign w:val="center"/>
                </w:tcPr>
                <w:p w14:paraId="368843B8">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0.2t/a</w:t>
                  </w:r>
                </w:p>
              </w:tc>
              <w:tc>
                <w:tcPr>
                  <w:tcW w:w="1064" w:type="dxa"/>
                  <w:noWrap w:val="0"/>
                  <w:vAlign w:val="center"/>
                </w:tcPr>
                <w:p w14:paraId="36D09280">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c>
                <w:tcPr>
                  <w:tcW w:w="1420" w:type="dxa"/>
                  <w:noWrap w:val="0"/>
                  <w:vAlign w:val="center"/>
                </w:tcPr>
                <w:p w14:paraId="3165EEAD">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r>
                    <w:rPr>
                      <w:rFonts w:hint="eastAsia" w:cs="Times New Roman"/>
                      <w:color w:val="auto"/>
                      <w:kern w:val="2"/>
                      <w:sz w:val="21"/>
                      <w:szCs w:val="21"/>
                      <w:lang w:val="en-US" w:eastAsia="zh-CN" w:bidi="ar-SA"/>
                    </w:rPr>
                    <w:t>2</w:t>
                  </w:r>
                  <w:r>
                    <w:rPr>
                      <w:rFonts w:hint="eastAsia" w:ascii="Times New Roman" w:hAnsi="Times New Roman" w:eastAsia="宋体" w:cs="Times New Roman"/>
                      <w:color w:val="auto"/>
                      <w:kern w:val="2"/>
                      <w:sz w:val="21"/>
                      <w:szCs w:val="21"/>
                      <w:lang w:val="en-US" w:eastAsia="zh-CN" w:bidi="ar-SA"/>
                    </w:rPr>
                    <w:t>t/a</w:t>
                  </w:r>
                </w:p>
              </w:tc>
              <w:tc>
                <w:tcPr>
                  <w:tcW w:w="1048" w:type="dxa"/>
                  <w:noWrap w:val="0"/>
                  <w:vAlign w:val="center"/>
                </w:tcPr>
                <w:p w14:paraId="1F1C4756">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w:t>
                  </w:r>
                  <w:r>
                    <w:rPr>
                      <w:rFonts w:hint="eastAsia" w:ascii="Times New Roman" w:hAnsi="Times New Roman" w:eastAsia="宋体" w:cs="Times New Roman"/>
                      <w:color w:val="auto"/>
                      <w:kern w:val="2"/>
                      <w:sz w:val="21"/>
                      <w:szCs w:val="21"/>
                      <w:lang w:val="en-US" w:eastAsia="zh-CN" w:bidi="ar-SA"/>
                    </w:rPr>
                    <w:t>t/a</w:t>
                  </w:r>
                </w:p>
              </w:tc>
            </w:tr>
          </w:tbl>
          <w:p w14:paraId="73C59B1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color w:val="auto"/>
                <w:kern w:val="2"/>
                <w:sz w:val="21"/>
                <w:szCs w:val="21"/>
                <w:lang w:val="en-US" w:eastAsia="zh-CN" w:bidi="ar-SA"/>
              </w:rPr>
            </w:pPr>
          </w:p>
        </w:tc>
      </w:tr>
    </w:tbl>
    <w:p w14:paraId="4726C6E3">
      <w:pPr>
        <w:pStyle w:val="25"/>
        <w:jc w:val="center"/>
        <w:rPr>
          <w:rFonts w:ascii="黑体" w:hAnsi="黑体" w:eastAsia="黑体"/>
          <w:snapToGrid w:val="0"/>
          <w:color w:val="auto"/>
          <w:sz w:val="36"/>
          <w:szCs w:val="36"/>
        </w:rPr>
        <w:sectPr>
          <w:pgSz w:w="11906" w:h="16838"/>
          <w:pgMar w:top="1701" w:right="1531" w:bottom="1701" w:left="1531" w:header="851" w:footer="851" w:gutter="0"/>
          <w:cols w:space="720" w:num="1"/>
          <w:docGrid w:linePitch="312" w:charSpace="0"/>
        </w:sectPr>
      </w:pPr>
    </w:p>
    <w:p w14:paraId="58D00212">
      <w:pPr>
        <w:pStyle w:val="25"/>
        <w:adjustRightInd w:val="0"/>
        <w:snapToGrid w:val="0"/>
        <w:spacing w:before="0" w:beforeAutospacing="0" w:after="0" w:afterAutospacing="0" w:line="14" w:lineRule="auto"/>
        <w:jc w:val="center"/>
        <w:outlineLvl w:val="9"/>
        <w:rPr>
          <w:rFonts w:hint="eastAsia" w:ascii="黑体" w:hAnsi="黑体" w:eastAsia="黑体"/>
          <w:snapToGrid w:val="0"/>
          <w:color w:val="auto"/>
          <w:sz w:val="30"/>
          <w:szCs w:val="30"/>
        </w:rPr>
      </w:pPr>
    </w:p>
    <w:p w14:paraId="5883DF21">
      <w:pPr>
        <w:pStyle w:val="25"/>
        <w:jc w:val="center"/>
        <w:outlineLvl w:val="0"/>
        <w:rPr>
          <w:rFonts w:ascii="黑体" w:hAnsi="黑体" w:eastAsia="黑体"/>
          <w:snapToGrid w:val="0"/>
          <w:color w:val="auto"/>
          <w:sz w:val="30"/>
          <w:szCs w:val="30"/>
        </w:rPr>
      </w:pPr>
      <w:bookmarkStart w:id="4" w:name="_Toc7385"/>
      <w:r>
        <w:rPr>
          <w:rFonts w:hint="eastAsia" w:ascii="黑体" w:hAnsi="黑体" w:eastAsia="黑体"/>
          <w:snapToGrid w:val="0"/>
          <w:color w:val="auto"/>
          <w:sz w:val="30"/>
          <w:szCs w:val="30"/>
        </w:rPr>
        <w:t>三、区域环境质量现状、环境保护目标及评价标准</w:t>
      </w:r>
      <w:bookmarkEnd w:id="4"/>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14:paraId="5E7ABA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800" w:type="dxa"/>
            <w:noWrap w:val="0"/>
            <w:vAlign w:val="center"/>
          </w:tcPr>
          <w:p w14:paraId="31B6C531">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区域</w:t>
            </w:r>
          </w:p>
          <w:p w14:paraId="7CC48E99">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环境</w:t>
            </w:r>
          </w:p>
          <w:p w14:paraId="11442BD4">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质量</w:t>
            </w:r>
          </w:p>
          <w:p w14:paraId="32A79997">
            <w:pPr>
              <w:adjustRightInd w:val="0"/>
              <w:snapToGrid w:val="0"/>
              <w:jc w:val="center"/>
              <w:rPr>
                <w:rFonts w:ascii="宋体" w:hAnsi="宋体" w:cs="宋体"/>
                <w:color w:val="auto"/>
                <w:kern w:val="0"/>
                <w:szCs w:val="21"/>
              </w:rPr>
            </w:pPr>
            <w:r>
              <w:rPr>
                <w:rFonts w:hint="eastAsia" w:ascii="宋体" w:hAnsi="宋体" w:cs="宋体"/>
                <w:color w:val="auto"/>
                <w:kern w:val="0"/>
                <w:szCs w:val="21"/>
              </w:rPr>
              <w:t>现状</w:t>
            </w:r>
          </w:p>
        </w:tc>
        <w:tc>
          <w:tcPr>
            <w:tcW w:w="8190" w:type="dxa"/>
            <w:noWrap w:val="0"/>
            <w:vAlign w:val="center"/>
          </w:tcPr>
          <w:p w14:paraId="21BB4EE7">
            <w:pPr>
              <w:pStyle w:val="45"/>
              <w:bidi w:val="0"/>
              <w:rPr>
                <w:rFonts w:hint="default"/>
                <w:color w:val="auto"/>
                <w:lang w:val="en-US" w:eastAsia="zh-CN"/>
              </w:rPr>
            </w:pPr>
            <w:r>
              <w:rPr>
                <w:rFonts w:hint="eastAsia"/>
                <w:color w:val="auto"/>
                <w:lang w:val="en-US" w:eastAsia="zh-CN"/>
              </w:rPr>
              <w:t>3.1 环境空气质量现状</w:t>
            </w:r>
          </w:p>
          <w:p w14:paraId="5408FACA">
            <w:pPr>
              <w:pStyle w:val="38"/>
              <w:bidi w:val="0"/>
              <w:rPr>
                <w:rFonts w:hint="eastAsia"/>
                <w:b/>
                <w:bCs/>
                <w:color w:val="auto"/>
                <w:lang w:val="en-US" w:eastAsia="zh-CN"/>
              </w:rPr>
            </w:pPr>
            <w:r>
              <w:rPr>
                <w:rFonts w:hint="eastAsia"/>
                <w:b/>
                <w:bCs/>
                <w:color w:val="auto"/>
                <w:lang w:val="en-US" w:eastAsia="zh-CN"/>
              </w:rPr>
              <w:t>（1）环境空气质量标准</w:t>
            </w:r>
          </w:p>
          <w:p w14:paraId="6C18B087">
            <w:pPr>
              <w:widowControl w:val="0"/>
              <w:bidi w:val="0"/>
              <w:spacing w:line="360" w:lineRule="auto"/>
              <w:ind w:firstLine="420" w:firstLineChars="20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项目位于</w:t>
            </w:r>
            <w:r>
              <w:rPr>
                <w:rFonts w:hint="default" w:ascii="Times New Roman" w:hAnsi="Times New Roman" w:eastAsia="宋体" w:cs="Times New Roman"/>
                <w:color w:val="auto"/>
                <w:kern w:val="2"/>
                <w:sz w:val="21"/>
                <w:szCs w:val="21"/>
                <w:lang w:val="en-US" w:eastAsia="zh-CN" w:bidi="ar-SA"/>
              </w:rPr>
              <w:t>云南省玉溪市</w:t>
            </w:r>
            <w:r>
              <w:rPr>
                <w:rFonts w:hint="eastAsia" w:ascii="Times New Roman" w:hAnsi="Times New Roman" w:eastAsia="宋体" w:cs="Times New Roman"/>
                <w:color w:val="auto"/>
                <w:kern w:val="2"/>
                <w:sz w:val="21"/>
                <w:szCs w:val="21"/>
                <w:lang w:val="en-US" w:eastAsia="zh-CN" w:bidi="ar-SA"/>
              </w:rPr>
              <w:t>华宁</w:t>
            </w:r>
            <w:r>
              <w:rPr>
                <w:rFonts w:hint="default" w:ascii="Times New Roman" w:hAnsi="Times New Roman" w:eastAsia="宋体" w:cs="Times New Roman"/>
                <w:color w:val="auto"/>
                <w:kern w:val="2"/>
                <w:sz w:val="21"/>
                <w:szCs w:val="21"/>
                <w:lang w:val="en-US" w:eastAsia="zh-CN" w:bidi="ar-SA"/>
              </w:rPr>
              <w:t>县</w:t>
            </w:r>
            <w:r>
              <w:rPr>
                <w:rFonts w:hint="eastAsia" w:ascii="Times New Roman" w:hAnsi="Times New Roman" w:eastAsia="宋体" w:cs="Times New Roman"/>
                <w:color w:val="auto"/>
                <w:kern w:val="2"/>
                <w:sz w:val="21"/>
                <w:szCs w:val="21"/>
                <w:lang w:val="en-US" w:eastAsia="zh-CN" w:bidi="ar-SA"/>
              </w:rPr>
              <w:t>宁州街道上村社区松树地</w:t>
            </w:r>
            <w:r>
              <w:rPr>
                <w:rFonts w:hint="eastAsia" w:cs="Times New Roman"/>
                <w:color w:val="auto"/>
                <w:kern w:val="2"/>
                <w:sz w:val="21"/>
                <w:szCs w:val="21"/>
                <w:lang w:val="en-US" w:eastAsia="zh-CN" w:bidi="ar-SA"/>
              </w:rPr>
              <w:t>华宁县白塔山陶器厂</w:t>
            </w:r>
            <w:r>
              <w:rPr>
                <w:rFonts w:hint="eastAsia" w:ascii="Times New Roman" w:hAnsi="Times New Roman" w:eastAsia="宋体" w:cs="Times New Roman"/>
                <w:color w:val="auto"/>
                <w:kern w:val="2"/>
                <w:sz w:val="21"/>
                <w:szCs w:val="21"/>
                <w:lang w:val="en-US" w:eastAsia="zh-CN" w:bidi="ar-SA"/>
              </w:rPr>
              <w:t>厂区内，所在区域为</w:t>
            </w:r>
            <w:r>
              <w:rPr>
                <w:rFonts w:ascii="Times New Roman" w:hAnsi="Times New Roman" w:eastAsia="宋体" w:cs="Times New Roman"/>
                <w:color w:val="auto"/>
                <w:kern w:val="2"/>
                <w:sz w:val="21"/>
                <w:szCs w:val="21"/>
                <w:lang w:val="en-US" w:eastAsia="zh-CN" w:bidi="ar-SA"/>
              </w:rPr>
              <w:t>环境空气功能区划</w:t>
            </w:r>
            <w:r>
              <w:rPr>
                <w:rFonts w:hint="eastAsia" w:ascii="Times New Roman" w:hAnsi="Times New Roman" w:eastAsia="宋体" w:cs="Times New Roman"/>
                <w:color w:val="auto"/>
                <w:kern w:val="2"/>
                <w:sz w:val="21"/>
                <w:szCs w:val="21"/>
                <w:lang w:val="en-US" w:eastAsia="zh-CN" w:bidi="ar-SA"/>
              </w:rPr>
              <w:t>中的</w:t>
            </w:r>
            <w:r>
              <w:rPr>
                <w:rFonts w:ascii="Times New Roman" w:hAnsi="Times New Roman" w:eastAsia="宋体" w:cs="Times New Roman"/>
                <w:color w:val="auto"/>
                <w:kern w:val="2"/>
                <w:sz w:val="21"/>
                <w:szCs w:val="21"/>
                <w:lang w:val="en-US" w:eastAsia="zh-CN" w:bidi="ar-SA"/>
              </w:rPr>
              <w:t>二类区，执行《环境空气质量标准》（GB3095-2012）及2018年修改单中的二级标准</w:t>
            </w:r>
            <w:r>
              <w:rPr>
                <w:rFonts w:hint="eastAsia" w:ascii="Times New Roman" w:hAnsi="Times New Roman" w:eastAsia="宋体" w:cs="Times New Roman"/>
                <w:color w:val="auto"/>
                <w:kern w:val="2"/>
                <w:sz w:val="21"/>
                <w:szCs w:val="21"/>
                <w:lang w:val="en-US" w:eastAsia="zh-CN" w:bidi="ar-SA"/>
              </w:rPr>
              <w:t>，特征因子</w:t>
            </w:r>
            <w:r>
              <w:rPr>
                <w:rFonts w:hint="eastAsia" w:cs="Times New Roman"/>
                <w:color w:val="auto"/>
                <w:kern w:val="2"/>
                <w:sz w:val="21"/>
                <w:szCs w:val="21"/>
                <w:lang w:val="en-US" w:eastAsia="zh-CN" w:bidi="ar-SA"/>
              </w:rPr>
              <w:t>氟化物</w:t>
            </w:r>
            <w:r>
              <w:rPr>
                <w:rFonts w:hint="eastAsia" w:ascii="Times New Roman" w:hAnsi="Times New Roman" w:eastAsia="宋体" w:cs="Times New Roman"/>
                <w:color w:val="auto"/>
                <w:kern w:val="2"/>
                <w:sz w:val="21"/>
                <w:szCs w:val="21"/>
                <w:lang w:val="en-US" w:eastAsia="zh-CN" w:bidi="ar-SA"/>
              </w:rPr>
              <w:t>执行《环境空气质量标准》（GB3095-2012）及2018年修改单中的二级标准，标准限值如下表所示</w:t>
            </w:r>
            <w:r>
              <w:rPr>
                <w:rFonts w:ascii="Times New Roman" w:hAnsi="Times New Roman" w:eastAsia="宋体" w:cs="Times New Roman"/>
                <w:color w:val="auto"/>
                <w:kern w:val="2"/>
                <w:sz w:val="21"/>
                <w:szCs w:val="21"/>
                <w:lang w:val="en-US" w:eastAsia="zh-CN" w:bidi="ar-SA"/>
              </w:rPr>
              <w:t>。</w:t>
            </w:r>
          </w:p>
          <w:p w14:paraId="23A59DF6">
            <w:pPr>
              <w:widowControl w:val="0"/>
              <w:bidi w:val="0"/>
              <w:spacing w:line="360" w:lineRule="auto"/>
              <w:ind w:firstLine="422" w:firstLineChars="200"/>
              <w:jc w:val="center"/>
              <w:rPr>
                <w:rFonts w:hint="eastAsia" w:ascii="Times New Roman" w:hAnsi="Times New Roman" w:eastAsia="宋体" w:cs="Times New Roman"/>
                <w:b/>
                <w:bCs/>
                <w:color w:val="auto"/>
                <w:kern w:val="2"/>
                <w:sz w:val="21"/>
                <w:szCs w:val="21"/>
                <w:lang w:val="en-US" w:eastAsia="zh-CN" w:bidi="ar-SA"/>
              </w:rPr>
            </w:pPr>
            <w:r>
              <w:rPr>
                <w:rFonts w:ascii="Times New Roman" w:hAnsi="Times New Roman" w:eastAsia="宋体" w:cs="Times New Roman"/>
                <w:b/>
                <w:bCs/>
                <w:color w:val="auto"/>
                <w:kern w:val="2"/>
                <w:sz w:val="21"/>
                <w:szCs w:val="21"/>
                <w:lang w:val="en-US" w:eastAsia="zh-CN" w:bidi="ar-SA"/>
              </w:rPr>
              <w:t>表</w:t>
            </w:r>
            <w:r>
              <w:rPr>
                <w:rFonts w:hint="eastAsia" w:ascii="Times New Roman" w:hAnsi="Times New Roman" w:eastAsia="宋体" w:cs="Times New Roman"/>
                <w:b/>
                <w:bCs/>
                <w:color w:val="auto"/>
                <w:kern w:val="2"/>
                <w:sz w:val="21"/>
                <w:szCs w:val="21"/>
                <w:lang w:val="en-US" w:eastAsia="zh-CN" w:bidi="ar-SA"/>
              </w:rPr>
              <w:t>3</w:t>
            </w:r>
            <w:r>
              <w:rPr>
                <w:rFonts w:ascii="Times New Roman" w:hAnsi="Times New Roman" w:eastAsia="宋体" w:cs="Times New Roman"/>
                <w:b/>
                <w:bCs/>
                <w:color w:val="auto"/>
                <w:kern w:val="2"/>
                <w:sz w:val="21"/>
                <w:szCs w:val="21"/>
                <w:lang w:val="en-US" w:eastAsia="zh-CN" w:bidi="ar-SA"/>
              </w:rPr>
              <w:t>-1  环境空气质量标准</w:t>
            </w:r>
            <w:r>
              <w:rPr>
                <w:rFonts w:hint="eastAsia" w:ascii="Times New Roman" w:hAnsi="Times New Roman" w:eastAsia="宋体" w:cs="Times New Roman"/>
                <w:b/>
                <w:bCs/>
                <w:color w:val="auto"/>
                <w:kern w:val="2"/>
                <w:sz w:val="21"/>
                <w:szCs w:val="21"/>
                <w:lang w:val="en-US" w:eastAsia="zh-CN" w:bidi="ar-SA"/>
              </w:rPr>
              <w:t>表</w:t>
            </w:r>
          </w:p>
          <w:tbl>
            <w:tblPr>
              <w:tblStyle w:val="29"/>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43"/>
              <w:gridCol w:w="1110"/>
              <w:gridCol w:w="1117"/>
              <w:gridCol w:w="1117"/>
              <w:gridCol w:w="1117"/>
              <w:gridCol w:w="1119"/>
              <w:gridCol w:w="1441"/>
            </w:tblGrid>
            <w:tr w14:paraId="43B47A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592" w:type="pct"/>
                  <w:vMerge w:val="restart"/>
                  <w:noWrap w:val="0"/>
                  <w:vAlign w:val="center"/>
                </w:tcPr>
                <w:p w14:paraId="617F3601">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污染物</w:t>
                  </w:r>
                </w:p>
              </w:tc>
              <w:tc>
                <w:tcPr>
                  <w:tcW w:w="696" w:type="pct"/>
                  <w:vMerge w:val="restart"/>
                  <w:noWrap w:val="0"/>
                  <w:vAlign w:val="center"/>
                </w:tcPr>
                <w:p w14:paraId="54BCC45E">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单位</w:t>
                  </w:r>
                </w:p>
              </w:tc>
              <w:tc>
                <w:tcPr>
                  <w:tcW w:w="2806" w:type="pct"/>
                  <w:gridSpan w:val="4"/>
                  <w:noWrap w:val="0"/>
                  <w:vAlign w:val="center"/>
                </w:tcPr>
                <w:p w14:paraId="7D8D16C6">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hint="eastAsia" w:ascii="Times New Roman" w:hAnsi="Times New Roman" w:eastAsia="宋体" w:cs="Times New Roman"/>
                      <w:color w:val="auto"/>
                      <w:sz w:val="21"/>
                      <w:szCs w:val="21"/>
                    </w:rPr>
                  </w:pPr>
                  <w:r>
                    <w:rPr>
                      <w:rFonts w:ascii="Times New Roman" w:hAnsi="Times New Roman" w:eastAsia="宋体" w:cs="Times New Roman"/>
                      <w:color w:val="auto"/>
                      <w:sz w:val="21"/>
                      <w:szCs w:val="21"/>
                    </w:rPr>
                    <w:t>各项污染物的浓度限值</w:t>
                  </w:r>
                </w:p>
              </w:tc>
              <w:tc>
                <w:tcPr>
                  <w:tcW w:w="904" w:type="pct"/>
                  <w:vMerge w:val="restart"/>
                  <w:noWrap w:val="0"/>
                  <w:vAlign w:val="center"/>
                </w:tcPr>
                <w:p w14:paraId="59AE6B99">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标准</w:t>
                  </w:r>
                </w:p>
              </w:tc>
            </w:tr>
            <w:tr w14:paraId="26FF73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5" w:hRule="exact"/>
                <w:jc w:val="center"/>
              </w:trPr>
              <w:tc>
                <w:tcPr>
                  <w:tcW w:w="592" w:type="pct"/>
                  <w:vMerge w:val="continue"/>
                  <w:noWrap w:val="0"/>
                  <w:vAlign w:val="center"/>
                </w:tcPr>
                <w:p w14:paraId="1639632A">
                  <w:pPr>
                    <w:keepNext w:val="0"/>
                    <w:keepLines w:val="0"/>
                    <w:pageBreakBefore w:val="0"/>
                    <w:widowControl/>
                    <w:kinsoku/>
                    <w:wordWrap/>
                    <w:overflowPunct/>
                    <w:topLinePunct w:val="0"/>
                    <w:autoSpaceDE/>
                    <w:autoSpaceDN/>
                    <w:bidi w:val="0"/>
                    <w:snapToGrid w:val="0"/>
                    <w:spacing w:before="95" w:beforeLines="30" w:after="95" w:afterLines="30"/>
                    <w:jc w:val="center"/>
                    <w:textAlignment w:val="auto"/>
                    <w:rPr>
                      <w:rFonts w:ascii="Times New Roman" w:hAnsi="Times New Roman" w:eastAsia="宋体" w:cs="Times New Roman"/>
                      <w:color w:val="auto"/>
                      <w:sz w:val="21"/>
                      <w:szCs w:val="21"/>
                    </w:rPr>
                  </w:pPr>
                </w:p>
              </w:tc>
              <w:tc>
                <w:tcPr>
                  <w:tcW w:w="696" w:type="pct"/>
                  <w:vMerge w:val="continue"/>
                  <w:noWrap w:val="0"/>
                  <w:vAlign w:val="center"/>
                </w:tcPr>
                <w:p w14:paraId="5E4D461F">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sz w:val="21"/>
                      <w:szCs w:val="21"/>
                    </w:rPr>
                  </w:pPr>
                </w:p>
              </w:tc>
              <w:tc>
                <w:tcPr>
                  <w:tcW w:w="701" w:type="pct"/>
                  <w:noWrap w:val="0"/>
                  <w:vAlign w:val="center"/>
                </w:tcPr>
                <w:p w14:paraId="2E7EADD5">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rPr>
                    <w:t>h</w:t>
                  </w:r>
                  <w:r>
                    <w:rPr>
                      <w:rFonts w:ascii="Times New Roman" w:hAnsi="Times New Roman" w:eastAsia="宋体" w:cs="Times New Roman"/>
                      <w:color w:val="auto"/>
                      <w:sz w:val="21"/>
                      <w:szCs w:val="21"/>
                    </w:rPr>
                    <w:t>平均</w:t>
                  </w:r>
                </w:p>
              </w:tc>
              <w:tc>
                <w:tcPr>
                  <w:tcW w:w="701" w:type="pct"/>
                  <w:noWrap w:val="0"/>
                  <w:vAlign w:val="center"/>
                </w:tcPr>
                <w:p w14:paraId="53442A24">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24</w:t>
                  </w:r>
                  <w:r>
                    <w:rPr>
                      <w:rFonts w:hint="eastAsia" w:ascii="Times New Roman" w:hAnsi="Times New Roman" w:eastAsia="宋体" w:cs="Times New Roman"/>
                      <w:color w:val="auto"/>
                      <w:sz w:val="21"/>
                      <w:szCs w:val="21"/>
                    </w:rPr>
                    <w:t>h</w:t>
                  </w:r>
                  <w:r>
                    <w:rPr>
                      <w:rFonts w:ascii="Times New Roman" w:hAnsi="Times New Roman" w:eastAsia="宋体" w:cs="Times New Roman"/>
                      <w:color w:val="auto"/>
                      <w:sz w:val="21"/>
                      <w:szCs w:val="21"/>
                    </w:rPr>
                    <w:t>平均</w:t>
                  </w:r>
                </w:p>
              </w:tc>
              <w:tc>
                <w:tcPr>
                  <w:tcW w:w="701" w:type="pct"/>
                  <w:noWrap w:val="0"/>
                  <w:vAlign w:val="center"/>
                </w:tcPr>
                <w:p w14:paraId="22D18125">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年平均</w:t>
                  </w:r>
                </w:p>
              </w:tc>
              <w:tc>
                <w:tcPr>
                  <w:tcW w:w="702" w:type="pct"/>
                  <w:noWrap w:val="0"/>
                  <w:vAlign w:val="center"/>
                </w:tcPr>
                <w:p w14:paraId="04DF5A06">
                  <w:pPr>
                    <w:keepNext w:val="0"/>
                    <w:keepLines w:val="0"/>
                    <w:pageBreakBefore w:val="0"/>
                    <w:widowControl/>
                    <w:kinsoku/>
                    <w:wordWrap/>
                    <w:overflowPunct/>
                    <w:topLinePunct w:val="0"/>
                    <w:autoSpaceDE/>
                    <w:autoSpaceDN/>
                    <w:bidi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8h平均</w:t>
                  </w:r>
                </w:p>
              </w:tc>
              <w:tc>
                <w:tcPr>
                  <w:tcW w:w="904" w:type="pct"/>
                  <w:vMerge w:val="continue"/>
                  <w:noWrap w:val="0"/>
                  <w:vAlign w:val="center"/>
                </w:tcPr>
                <w:p w14:paraId="0E5A8242">
                  <w:pPr>
                    <w:keepNext w:val="0"/>
                    <w:keepLines w:val="0"/>
                    <w:pageBreakBefore w:val="0"/>
                    <w:widowControl/>
                    <w:kinsoku/>
                    <w:wordWrap/>
                    <w:overflowPunct/>
                    <w:topLinePunct w:val="0"/>
                    <w:autoSpaceDE/>
                    <w:autoSpaceDN/>
                    <w:bidi w:val="0"/>
                    <w:snapToGrid w:val="0"/>
                    <w:spacing w:before="95" w:beforeLines="30" w:after="95" w:afterLines="30"/>
                    <w:jc w:val="center"/>
                    <w:textAlignment w:val="auto"/>
                    <w:rPr>
                      <w:rFonts w:ascii="Times New Roman" w:hAnsi="Times New Roman" w:eastAsia="宋体" w:cs="Times New Roman"/>
                      <w:color w:val="auto"/>
                      <w:sz w:val="21"/>
                      <w:szCs w:val="21"/>
                    </w:rPr>
                  </w:pPr>
                </w:p>
              </w:tc>
            </w:tr>
            <w:tr w14:paraId="067CA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exact"/>
                <w:jc w:val="center"/>
              </w:trPr>
              <w:tc>
                <w:tcPr>
                  <w:tcW w:w="592" w:type="pct"/>
                  <w:noWrap w:val="0"/>
                  <w:vAlign w:val="center"/>
                </w:tcPr>
                <w:p w14:paraId="227D6A93">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SO</w:t>
                  </w:r>
                  <w:r>
                    <w:rPr>
                      <w:rFonts w:ascii="Times New Roman" w:hAnsi="Times New Roman" w:eastAsia="宋体" w:cs="Times New Roman"/>
                      <w:color w:val="auto"/>
                      <w:sz w:val="21"/>
                      <w:szCs w:val="21"/>
                      <w:vertAlign w:val="subscript"/>
                    </w:rPr>
                    <w:t>2</w:t>
                  </w:r>
                </w:p>
              </w:tc>
              <w:tc>
                <w:tcPr>
                  <w:tcW w:w="696" w:type="pct"/>
                  <w:vMerge w:val="restart"/>
                  <w:noWrap w:val="0"/>
                  <w:vAlign w:val="center"/>
                </w:tcPr>
                <w:p w14:paraId="1653BBCB">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u</w:t>
                  </w:r>
                  <w:r>
                    <w:rPr>
                      <w:rFonts w:ascii="Times New Roman" w:hAnsi="Times New Roman" w:eastAsia="宋体" w:cs="Times New Roman"/>
                      <w:color w:val="auto"/>
                      <w:sz w:val="21"/>
                      <w:szCs w:val="21"/>
                    </w:rPr>
                    <w:t>g/m</w:t>
                  </w:r>
                  <w:r>
                    <w:rPr>
                      <w:rFonts w:ascii="Times New Roman" w:hAnsi="Times New Roman" w:eastAsia="宋体" w:cs="Times New Roman"/>
                      <w:color w:val="auto"/>
                      <w:sz w:val="21"/>
                      <w:szCs w:val="21"/>
                      <w:vertAlign w:val="superscript"/>
                    </w:rPr>
                    <w:t>3</w:t>
                  </w:r>
                </w:p>
              </w:tc>
              <w:tc>
                <w:tcPr>
                  <w:tcW w:w="701" w:type="pct"/>
                  <w:noWrap w:val="0"/>
                  <w:vAlign w:val="center"/>
                </w:tcPr>
                <w:p w14:paraId="3C288283">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500</w:t>
                  </w:r>
                </w:p>
              </w:tc>
              <w:tc>
                <w:tcPr>
                  <w:tcW w:w="701" w:type="pct"/>
                  <w:noWrap w:val="0"/>
                  <w:vAlign w:val="center"/>
                </w:tcPr>
                <w:p w14:paraId="31652B7D">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150</w:t>
                  </w:r>
                </w:p>
              </w:tc>
              <w:tc>
                <w:tcPr>
                  <w:tcW w:w="701" w:type="pct"/>
                  <w:noWrap w:val="0"/>
                  <w:vAlign w:val="center"/>
                </w:tcPr>
                <w:p w14:paraId="0ADCFDB1">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60</w:t>
                  </w:r>
                </w:p>
              </w:tc>
              <w:tc>
                <w:tcPr>
                  <w:tcW w:w="702" w:type="pct"/>
                  <w:noWrap w:val="0"/>
                  <w:vAlign w:val="center"/>
                </w:tcPr>
                <w:p w14:paraId="387BD85F">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c>
                <w:tcPr>
                  <w:tcW w:w="904" w:type="pct"/>
                  <w:vMerge w:val="restart"/>
                  <w:noWrap w:val="0"/>
                  <w:vAlign w:val="center"/>
                </w:tcPr>
                <w:p w14:paraId="4EDA36C6">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《环境空气质量标准》（GB3095-2012）及2018年修改单</w:t>
                  </w:r>
                </w:p>
                <w:p w14:paraId="1D793D01">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中的二级标准</w:t>
                  </w:r>
                </w:p>
              </w:tc>
            </w:tr>
            <w:tr w14:paraId="661BAA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exact"/>
                <w:jc w:val="center"/>
              </w:trPr>
              <w:tc>
                <w:tcPr>
                  <w:tcW w:w="592" w:type="pct"/>
                  <w:noWrap w:val="0"/>
                  <w:vAlign w:val="center"/>
                </w:tcPr>
                <w:p w14:paraId="4167B508">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NO</w:t>
                  </w:r>
                  <w:r>
                    <w:rPr>
                      <w:rFonts w:ascii="Times New Roman" w:hAnsi="Times New Roman" w:eastAsia="宋体" w:cs="Times New Roman"/>
                      <w:color w:val="auto"/>
                      <w:sz w:val="21"/>
                      <w:szCs w:val="21"/>
                      <w:vertAlign w:val="subscript"/>
                    </w:rPr>
                    <w:t>2</w:t>
                  </w:r>
                </w:p>
              </w:tc>
              <w:tc>
                <w:tcPr>
                  <w:tcW w:w="696" w:type="pct"/>
                  <w:vMerge w:val="continue"/>
                  <w:noWrap w:val="0"/>
                  <w:vAlign w:val="center"/>
                </w:tcPr>
                <w:p w14:paraId="3DDD428B">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sz w:val="21"/>
                      <w:szCs w:val="21"/>
                    </w:rPr>
                  </w:pPr>
                </w:p>
              </w:tc>
              <w:tc>
                <w:tcPr>
                  <w:tcW w:w="701" w:type="pct"/>
                  <w:noWrap w:val="0"/>
                  <w:vAlign w:val="center"/>
                </w:tcPr>
                <w:p w14:paraId="60FB10F7">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200</w:t>
                  </w:r>
                </w:p>
              </w:tc>
              <w:tc>
                <w:tcPr>
                  <w:tcW w:w="701" w:type="pct"/>
                  <w:noWrap w:val="0"/>
                  <w:vAlign w:val="center"/>
                </w:tcPr>
                <w:p w14:paraId="6385CDC1">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80</w:t>
                  </w:r>
                </w:p>
              </w:tc>
              <w:tc>
                <w:tcPr>
                  <w:tcW w:w="701" w:type="pct"/>
                  <w:noWrap w:val="0"/>
                  <w:vAlign w:val="center"/>
                </w:tcPr>
                <w:p w14:paraId="7D3DE119">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40</w:t>
                  </w:r>
                </w:p>
              </w:tc>
              <w:tc>
                <w:tcPr>
                  <w:tcW w:w="702" w:type="pct"/>
                  <w:noWrap w:val="0"/>
                  <w:vAlign w:val="center"/>
                </w:tcPr>
                <w:p w14:paraId="0F841D7D">
                  <w:pPr>
                    <w:keepNext w:val="0"/>
                    <w:keepLines w:val="0"/>
                    <w:pageBreakBefore w:val="0"/>
                    <w:widowControl/>
                    <w:kinsoku/>
                    <w:wordWrap/>
                    <w:overflowPunct/>
                    <w:topLinePunct w:val="0"/>
                    <w:autoSpaceDE/>
                    <w:autoSpaceDN/>
                    <w:bidi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c>
                <w:tcPr>
                  <w:tcW w:w="904" w:type="pct"/>
                  <w:vMerge w:val="continue"/>
                  <w:noWrap w:val="0"/>
                  <w:vAlign w:val="center"/>
                </w:tcPr>
                <w:p w14:paraId="2AD7209B">
                  <w:pPr>
                    <w:keepNext w:val="0"/>
                    <w:keepLines w:val="0"/>
                    <w:pageBreakBefore w:val="0"/>
                    <w:widowControl/>
                    <w:kinsoku/>
                    <w:wordWrap/>
                    <w:overflowPunct/>
                    <w:topLinePunct w:val="0"/>
                    <w:autoSpaceDE/>
                    <w:autoSpaceDN/>
                    <w:bidi w:val="0"/>
                    <w:snapToGrid w:val="0"/>
                    <w:spacing w:before="95" w:beforeLines="30" w:after="95" w:afterLines="30"/>
                    <w:jc w:val="center"/>
                    <w:textAlignment w:val="auto"/>
                    <w:rPr>
                      <w:rFonts w:ascii="Times New Roman" w:hAnsi="Times New Roman" w:eastAsia="宋体" w:cs="Times New Roman"/>
                      <w:color w:val="auto"/>
                      <w:sz w:val="21"/>
                      <w:szCs w:val="21"/>
                    </w:rPr>
                  </w:pPr>
                </w:p>
              </w:tc>
            </w:tr>
            <w:tr w14:paraId="58CDA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exact"/>
                <w:jc w:val="center"/>
              </w:trPr>
              <w:tc>
                <w:tcPr>
                  <w:tcW w:w="592" w:type="pct"/>
                  <w:noWrap w:val="0"/>
                  <w:vAlign w:val="center"/>
                </w:tcPr>
                <w:p w14:paraId="3650A87E">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PM</w:t>
                  </w:r>
                  <w:r>
                    <w:rPr>
                      <w:rFonts w:ascii="Times New Roman" w:hAnsi="Times New Roman" w:eastAsia="宋体" w:cs="Times New Roman"/>
                      <w:color w:val="auto"/>
                      <w:sz w:val="21"/>
                      <w:szCs w:val="21"/>
                      <w:vertAlign w:val="subscript"/>
                    </w:rPr>
                    <w:t>10</w:t>
                  </w:r>
                </w:p>
              </w:tc>
              <w:tc>
                <w:tcPr>
                  <w:tcW w:w="696" w:type="pct"/>
                  <w:vMerge w:val="continue"/>
                  <w:noWrap w:val="0"/>
                  <w:vAlign w:val="center"/>
                </w:tcPr>
                <w:p w14:paraId="7C71C678">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hint="eastAsia" w:ascii="Times New Roman" w:hAnsi="Times New Roman" w:eastAsia="宋体" w:cs="Times New Roman"/>
                      <w:color w:val="auto"/>
                      <w:sz w:val="21"/>
                      <w:szCs w:val="21"/>
                    </w:rPr>
                  </w:pPr>
                </w:p>
              </w:tc>
              <w:tc>
                <w:tcPr>
                  <w:tcW w:w="701" w:type="pct"/>
                  <w:noWrap w:val="0"/>
                  <w:vAlign w:val="center"/>
                </w:tcPr>
                <w:p w14:paraId="7E942B47">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w:t>
                  </w:r>
                </w:p>
              </w:tc>
              <w:tc>
                <w:tcPr>
                  <w:tcW w:w="701" w:type="pct"/>
                  <w:noWrap w:val="0"/>
                  <w:vAlign w:val="center"/>
                </w:tcPr>
                <w:p w14:paraId="6A734768">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150</w:t>
                  </w:r>
                </w:p>
              </w:tc>
              <w:tc>
                <w:tcPr>
                  <w:tcW w:w="701" w:type="pct"/>
                  <w:noWrap w:val="0"/>
                  <w:vAlign w:val="center"/>
                </w:tcPr>
                <w:p w14:paraId="28EC0B62">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70</w:t>
                  </w:r>
                </w:p>
              </w:tc>
              <w:tc>
                <w:tcPr>
                  <w:tcW w:w="702" w:type="pct"/>
                  <w:noWrap w:val="0"/>
                  <w:vAlign w:val="center"/>
                </w:tcPr>
                <w:p w14:paraId="219E0723">
                  <w:pPr>
                    <w:keepNext w:val="0"/>
                    <w:keepLines w:val="0"/>
                    <w:pageBreakBefore w:val="0"/>
                    <w:widowControl/>
                    <w:kinsoku/>
                    <w:wordWrap/>
                    <w:overflowPunct/>
                    <w:topLinePunct w:val="0"/>
                    <w:autoSpaceDE/>
                    <w:autoSpaceDN/>
                    <w:bidi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c>
                <w:tcPr>
                  <w:tcW w:w="904" w:type="pct"/>
                  <w:vMerge w:val="continue"/>
                  <w:noWrap w:val="0"/>
                  <w:vAlign w:val="center"/>
                </w:tcPr>
                <w:p w14:paraId="1087E0EA">
                  <w:pPr>
                    <w:keepNext w:val="0"/>
                    <w:keepLines w:val="0"/>
                    <w:pageBreakBefore w:val="0"/>
                    <w:widowControl/>
                    <w:kinsoku/>
                    <w:wordWrap/>
                    <w:overflowPunct/>
                    <w:topLinePunct w:val="0"/>
                    <w:autoSpaceDE/>
                    <w:autoSpaceDN/>
                    <w:bidi w:val="0"/>
                    <w:snapToGrid w:val="0"/>
                    <w:spacing w:before="95" w:beforeLines="30" w:after="95" w:afterLines="30"/>
                    <w:jc w:val="center"/>
                    <w:textAlignment w:val="auto"/>
                    <w:rPr>
                      <w:rFonts w:ascii="Times New Roman" w:hAnsi="Times New Roman" w:eastAsia="宋体" w:cs="Times New Roman"/>
                      <w:color w:val="auto"/>
                      <w:sz w:val="21"/>
                      <w:szCs w:val="21"/>
                    </w:rPr>
                  </w:pPr>
                </w:p>
              </w:tc>
            </w:tr>
            <w:tr w14:paraId="4FB0E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exact"/>
                <w:jc w:val="center"/>
              </w:trPr>
              <w:tc>
                <w:tcPr>
                  <w:tcW w:w="592" w:type="pct"/>
                  <w:noWrap w:val="0"/>
                  <w:vAlign w:val="center"/>
                </w:tcPr>
                <w:p w14:paraId="6153D862">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PM</w:t>
                  </w:r>
                  <w:r>
                    <w:rPr>
                      <w:rFonts w:ascii="Times New Roman" w:hAnsi="Times New Roman" w:eastAsia="宋体" w:cs="Times New Roman"/>
                      <w:color w:val="auto"/>
                      <w:sz w:val="21"/>
                      <w:szCs w:val="21"/>
                      <w:vertAlign w:val="subscript"/>
                    </w:rPr>
                    <w:t>2.5</w:t>
                  </w:r>
                </w:p>
              </w:tc>
              <w:tc>
                <w:tcPr>
                  <w:tcW w:w="696" w:type="pct"/>
                  <w:vMerge w:val="continue"/>
                  <w:noWrap w:val="0"/>
                  <w:vAlign w:val="center"/>
                </w:tcPr>
                <w:p w14:paraId="5687D90A">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sz w:val="21"/>
                      <w:szCs w:val="21"/>
                    </w:rPr>
                  </w:pPr>
                </w:p>
              </w:tc>
              <w:tc>
                <w:tcPr>
                  <w:tcW w:w="701" w:type="pct"/>
                  <w:noWrap w:val="0"/>
                  <w:vAlign w:val="center"/>
                </w:tcPr>
                <w:p w14:paraId="253F5069">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c>
                <w:tcPr>
                  <w:tcW w:w="701" w:type="pct"/>
                  <w:noWrap w:val="0"/>
                  <w:vAlign w:val="center"/>
                </w:tcPr>
                <w:p w14:paraId="12118710">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75</w:t>
                  </w:r>
                </w:p>
              </w:tc>
              <w:tc>
                <w:tcPr>
                  <w:tcW w:w="701" w:type="pct"/>
                  <w:noWrap w:val="0"/>
                  <w:vAlign w:val="center"/>
                </w:tcPr>
                <w:p w14:paraId="019B64FF">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cr/>
                  </w:r>
                  <w:r>
                    <w:rPr>
                      <w:rFonts w:hint="eastAsia" w:ascii="Times New Roman" w:hAnsi="Times New Roman" w:eastAsia="宋体" w:cs="Times New Roman"/>
                      <w:color w:val="auto"/>
                      <w:sz w:val="21"/>
                      <w:szCs w:val="21"/>
                    </w:rPr>
                    <w:t>3</w:t>
                  </w:r>
                  <w:r>
                    <w:rPr>
                      <w:rFonts w:ascii="Times New Roman" w:hAnsi="Times New Roman" w:eastAsia="宋体" w:cs="Times New Roman"/>
                      <w:color w:val="auto"/>
                      <w:sz w:val="21"/>
                      <w:szCs w:val="21"/>
                    </w:rPr>
                    <w:t>5</w:t>
                  </w:r>
                </w:p>
              </w:tc>
              <w:tc>
                <w:tcPr>
                  <w:tcW w:w="702" w:type="pct"/>
                  <w:noWrap w:val="0"/>
                  <w:vAlign w:val="center"/>
                </w:tcPr>
                <w:p w14:paraId="788B5C13">
                  <w:pPr>
                    <w:keepNext w:val="0"/>
                    <w:keepLines w:val="0"/>
                    <w:pageBreakBefore w:val="0"/>
                    <w:widowControl/>
                    <w:kinsoku/>
                    <w:wordWrap/>
                    <w:overflowPunct/>
                    <w:topLinePunct w:val="0"/>
                    <w:autoSpaceDE/>
                    <w:autoSpaceDN/>
                    <w:bidi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c>
                <w:tcPr>
                  <w:tcW w:w="904" w:type="pct"/>
                  <w:vMerge w:val="continue"/>
                  <w:noWrap w:val="0"/>
                  <w:vAlign w:val="center"/>
                </w:tcPr>
                <w:p w14:paraId="7EF42A52">
                  <w:pPr>
                    <w:keepNext w:val="0"/>
                    <w:keepLines w:val="0"/>
                    <w:pageBreakBefore w:val="0"/>
                    <w:widowControl/>
                    <w:kinsoku/>
                    <w:wordWrap/>
                    <w:overflowPunct/>
                    <w:topLinePunct w:val="0"/>
                    <w:autoSpaceDE/>
                    <w:autoSpaceDN/>
                    <w:bidi w:val="0"/>
                    <w:snapToGrid w:val="0"/>
                    <w:spacing w:before="95" w:beforeLines="30" w:after="95" w:afterLines="30"/>
                    <w:jc w:val="center"/>
                    <w:textAlignment w:val="auto"/>
                    <w:rPr>
                      <w:rFonts w:ascii="Times New Roman" w:hAnsi="Times New Roman" w:eastAsia="宋体" w:cs="Times New Roman"/>
                      <w:color w:val="auto"/>
                      <w:sz w:val="21"/>
                      <w:szCs w:val="21"/>
                    </w:rPr>
                  </w:pPr>
                </w:p>
              </w:tc>
            </w:tr>
            <w:tr w14:paraId="17D1B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5" w:hRule="exact"/>
                <w:jc w:val="center"/>
              </w:trPr>
              <w:tc>
                <w:tcPr>
                  <w:tcW w:w="592" w:type="pct"/>
                  <w:shd w:val="clear" w:color="auto" w:fill="auto"/>
                  <w:noWrap w:val="0"/>
                  <w:vAlign w:val="center"/>
                </w:tcPr>
                <w:p w14:paraId="2E1019FE">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O</w:t>
                  </w:r>
                  <w:r>
                    <w:rPr>
                      <w:rFonts w:ascii="Times New Roman" w:hAnsi="Times New Roman" w:eastAsia="宋体" w:cs="Times New Roman"/>
                      <w:color w:val="auto"/>
                      <w:sz w:val="21"/>
                      <w:szCs w:val="21"/>
                      <w:vertAlign w:val="subscript"/>
                    </w:rPr>
                    <w:t>3</w:t>
                  </w:r>
                </w:p>
              </w:tc>
              <w:tc>
                <w:tcPr>
                  <w:tcW w:w="696" w:type="pct"/>
                  <w:vMerge w:val="continue"/>
                  <w:shd w:val="clear" w:color="auto" w:fill="auto"/>
                  <w:noWrap w:val="0"/>
                  <w:vAlign w:val="center"/>
                </w:tcPr>
                <w:p w14:paraId="5DDF6B0D">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kern w:val="2"/>
                      <w:sz w:val="21"/>
                      <w:szCs w:val="21"/>
                      <w:lang w:val="en-US" w:eastAsia="zh-CN" w:bidi="ar-SA"/>
                    </w:rPr>
                  </w:pPr>
                </w:p>
              </w:tc>
              <w:tc>
                <w:tcPr>
                  <w:tcW w:w="701" w:type="pct"/>
                  <w:shd w:val="clear" w:color="auto" w:fill="auto"/>
                  <w:noWrap w:val="0"/>
                  <w:vAlign w:val="center"/>
                </w:tcPr>
                <w:p w14:paraId="388E70CF">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200</w:t>
                  </w:r>
                </w:p>
              </w:tc>
              <w:tc>
                <w:tcPr>
                  <w:tcW w:w="701" w:type="pct"/>
                  <w:shd w:val="clear" w:color="auto" w:fill="auto"/>
                  <w:noWrap w:val="0"/>
                  <w:vAlign w:val="center"/>
                </w:tcPr>
                <w:p w14:paraId="698BB829">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w:t>
                  </w:r>
                </w:p>
              </w:tc>
              <w:tc>
                <w:tcPr>
                  <w:tcW w:w="701" w:type="pct"/>
                  <w:shd w:val="clear" w:color="auto" w:fill="auto"/>
                  <w:noWrap w:val="0"/>
                  <w:vAlign w:val="center"/>
                </w:tcPr>
                <w:p w14:paraId="3B582086">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w:t>
                  </w:r>
                </w:p>
              </w:tc>
              <w:tc>
                <w:tcPr>
                  <w:tcW w:w="702" w:type="pct"/>
                  <w:shd w:val="clear" w:color="auto" w:fill="auto"/>
                  <w:noWrap w:val="0"/>
                  <w:vAlign w:val="center"/>
                </w:tcPr>
                <w:p w14:paraId="4BA63FF0">
                  <w:pPr>
                    <w:keepNext w:val="0"/>
                    <w:keepLines w:val="0"/>
                    <w:pageBreakBefore w:val="0"/>
                    <w:widowControl/>
                    <w:kinsoku/>
                    <w:wordWrap/>
                    <w:overflowPunct/>
                    <w:topLinePunct w:val="0"/>
                    <w:autoSpaceDE/>
                    <w:autoSpaceDN/>
                    <w:bidi w:val="0"/>
                    <w:snapToGrid w:val="0"/>
                    <w:spacing w:before="95" w:beforeLines="30" w:after="95" w:afterLines="30"/>
                    <w:jc w:val="center"/>
                    <w:textAlignment w:val="auto"/>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 w:val="21"/>
                      <w:szCs w:val="21"/>
                    </w:rPr>
                    <w:t>160</w:t>
                  </w:r>
                </w:p>
              </w:tc>
              <w:tc>
                <w:tcPr>
                  <w:tcW w:w="904" w:type="pct"/>
                  <w:vMerge w:val="continue"/>
                  <w:noWrap w:val="0"/>
                  <w:vAlign w:val="center"/>
                </w:tcPr>
                <w:p w14:paraId="52696078">
                  <w:pPr>
                    <w:keepNext w:val="0"/>
                    <w:keepLines w:val="0"/>
                    <w:pageBreakBefore w:val="0"/>
                    <w:widowControl/>
                    <w:kinsoku/>
                    <w:wordWrap/>
                    <w:overflowPunct/>
                    <w:topLinePunct w:val="0"/>
                    <w:autoSpaceDE/>
                    <w:autoSpaceDN/>
                    <w:bidi w:val="0"/>
                    <w:snapToGrid w:val="0"/>
                    <w:spacing w:before="95" w:beforeLines="30" w:after="95" w:afterLines="30"/>
                    <w:jc w:val="center"/>
                    <w:textAlignment w:val="auto"/>
                    <w:rPr>
                      <w:rFonts w:ascii="Times New Roman" w:hAnsi="Times New Roman" w:eastAsia="宋体" w:cs="Times New Roman"/>
                      <w:color w:val="auto"/>
                      <w:sz w:val="21"/>
                      <w:szCs w:val="21"/>
                    </w:rPr>
                  </w:pPr>
                </w:p>
              </w:tc>
            </w:tr>
            <w:tr w14:paraId="1CE2D1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exact"/>
                <w:jc w:val="center"/>
              </w:trPr>
              <w:tc>
                <w:tcPr>
                  <w:tcW w:w="592" w:type="pct"/>
                  <w:shd w:val="clear" w:color="auto" w:fill="auto"/>
                  <w:noWrap w:val="0"/>
                  <w:vAlign w:val="center"/>
                </w:tcPr>
                <w:p w14:paraId="081BA7C1">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NOx</w:t>
                  </w:r>
                </w:p>
              </w:tc>
              <w:tc>
                <w:tcPr>
                  <w:tcW w:w="696" w:type="pct"/>
                  <w:vMerge w:val="continue"/>
                  <w:shd w:val="clear" w:color="auto" w:fill="auto"/>
                  <w:noWrap w:val="0"/>
                  <w:vAlign w:val="center"/>
                </w:tcPr>
                <w:p w14:paraId="7F0A0924">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kern w:val="2"/>
                      <w:sz w:val="21"/>
                      <w:szCs w:val="21"/>
                      <w:lang w:val="en-US" w:eastAsia="zh-CN" w:bidi="ar-SA"/>
                    </w:rPr>
                  </w:pPr>
                </w:p>
              </w:tc>
              <w:tc>
                <w:tcPr>
                  <w:tcW w:w="1117" w:type="dxa"/>
                  <w:shd w:val="clear" w:color="auto" w:fill="auto"/>
                  <w:noWrap w:val="0"/>
                  <w:vAlign w:val="center"/>
                </w:tcPr>
                <w:p w14:paraId="1A4504D3">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250</w:t>
                  </w:r>
                </w:p>
              </w:tc>
              <w:tc>
                <w:tcPr>
                  <w:tcW w:w="1117" w:type="dxa"/>
                  <w:shd w:val="clear" w:color="auto" w:fill="auto"/>
                  <w:noWrap w:val="0"/>
                  <w:vAlign w:val="center"/>
                </w:tcPr>
                <w:p w14:paraId="3CD2534E">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100</w:t>
                  </w:r>
                </w:p>
              </w:tc>
              <w:tc>
                <w:tcPr>
                  <w:tcW w:w="1117" w:type="dxa"/>
                  <w:shd w:val="clear" w:color="auto" w:fill="auto"/>
                  <w:noWrap w:val="0"/>
                  <w:vAlign w:val="center"/>
                </w:tcPr>
                <w:p w14:paraId="53DB34DF">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50</w:t>
                  </w:r>
                </w:p>
              </w:tc>
              <w:tc>
                <w:tcPr>
                  <w:tcW w:w="1119" w:type="dxa"/>
                  <w:shd w:val="clear" w:color="auto" w:fill="auto"/>
                  <w:noWrap w:val="0"/>
                  <w:vAlign w:val="center"/>
                </w:tcPr>
                <w:p w14:paraId="51AAA9D7">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c>
                <w:tcPr>
                  <w:tcW w:w="904" w:type="pct"/>
                  <w:vMerge w:val="continue"/>
                  <w:noWrap w:val="0"/>
                  <w:vAlign w:val="center"/>
                </w:tcPr>
                <w:p w14:paraId="4BFDAA98">
                  <w:pPr>
                    <w:keepNext w:val="0"/>
                    <w:keepLines w:val="0"/>
                    <w:pageBreakBefore w:val="0"/>
                    <w:widowControl/>
                    <w:kinsoku/>
                    <w:wordWrap/>
                    <w:overflowPunct/>
                    <w:topLinePunct w:val="0"/>
                    <w:autoSpaceDE/>
                    <w:autoSpaceDN/>
                    <w:bidi w:val="0"/>
                    <w:snapToGrid w:val="0"/>
                    <w:spacing w:before="95" w:beforeLines="30" w:after="95" w:afterLines="30"/>
                    <w:jc w:val="center"/>
                    <w:textAlignment w:val="auto"/>
                    <w:rPr>
                      <w:rFonts w:ascii="Times New Roman" w:hAnsi="Times New Roman" w:eastAsia="宋体" w:cs="Times New Roman"/>
                      <w:color w:val="auto"/>
                      <w:sz w:val="21"/>
                      <w:szCs w:val="21"/>
                    </w:rPr>
                  </w:pPr>
                </w:p>
              </w:tc>
            </w:tr>
            <w:tr w14:paraId="5C171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exact"/>
                <w:jc w:val="center"/>
              </w:trPr>
              <w:tc>
                <w:tcPr>
                  <w:tcW w:w="592" w:type="pct"/>
                  <w:shd w:val="clear" w:color="auto" w:fill="auto"/>
                  <w:noWrap w:val="0"/>
                  <w:vAlign w:val="center"/>
                </w:tcPr>
                <w:p w14:paraId="78BE2D39">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TSP</w:t>
                  </w:r>
                </w:p>
              </w:tc>
              <w:tc>
                <w:tcPr>
                  <w:tcW w:w="696" w:type="pct"/>
                  <w:vMerge w:val="continue"/>
                  <w:shd w:val="clear" w:color="auto" w:fill="auto"/>
                  <w:noWrap w:val="0"/>
                  <w:vAlign w:val="center"/>
                </w:tcPr>
                <w:p w14:paraId="6E50587C">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kern w:val="2"/>
                      <w:sz w:val="21"/>
                      <w:szCs w:val="21"/>
                      <w:lang w:val="en-US" w:eastAsia="zh-CN" w:bidi="ar-SA"/>
                    </w:rPr>
                  </w:pPr>
                </w:p>
              </w:tc>
              <w:tc>
                <w:tcPr>
                  <w:tcW w:w="1117" w:type="dxa"/>
                  <w:shd w:val="clear" w:color="auto" w:fill="auto"/>
                  <w:noWrap w:val="0"/>
                  <w:vAlign w:val="center"/>
                </w:tcPr>
                <w:p w14:paraId="542BEEC9">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c>
                <w:tcPr>
                  <w:tcW w:w="1117" w:type="dxa"/>
                  <w:shd w:val="clear" w:color="auto" w:fill="auto"/>
                  <w:noWrap w:val="0"/>
                  <w:vAlign w:val="center"/>
                </w:tcPr>
                <w:p w14:paraId="0296DADC">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300</w:t>
                  </w:r>
                </w:p>
              </w:tc>
              <w:tc>
                <w:tcPr>
                  <w:tcW w:w="1117" w:type="dxa"/>
                  <w:shd w:val="clear" w:color="auto" w:fill="auto"/>
                  <w:noWrap w:val="0"/>
                  <w:vAlign w:val="center"/>
                </w:tcPr>
                <w:p w14:paraId="1570CD66">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200</w:t>
                  </w:r>
                </w:p>
              </w:tc>
              <w:tc>
                <w:tcPr>
                  <w:tcW w:w="1119" w:type="dxa"/>
                  <w:shd w:val="clear" w:color="auto" w:fill="auto"/>
                  <w:noWrap w:val="0"/>
                  <w:vAlign w:val="center"/>
                </w:tcPr>
                <w:p w14:paraId="22D23886">
                  <w:pPr>
                    <w:keepNext w:val="0"/>
                    <w:keepLines w:val="0"/>
                    <w:pageBreakBefore w:val="0"/>
                    <w:widowControl/>
                    <w:kinsoku/>
                    <w:wordWrap/>
                    <w:overflowPunct/>
                    <w:topLinePunct w:val="0"/>
                    <w:autoSpaceDE/>
                    <w:autoSpaceDN/>
                    <w:bidi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c>
                <w:tcPr>
                  <w:tcW w:w="904" w:type="pct"/>
                  <w:vMerge w:val="continue"/>
                  <w:noWrap w:val="0"/>
                  <w:vAlign w:val="center"/>
                </w:tcPr>
                <w:p w14:paraId="06559F57">
                  <w:pPr>
                    <w:keepNext w:val="0"/>
                    <w:keepLines w:val="0"/>
                    <w:pageBreakBefore w:val="0"/>
                    <w:widowControl/>
                    <w:kinsoku/>
                    <w:wordWrap/>
                    <w:overflowPunct/>
                    <w:topLinePunct w:val="0"/>
                    <w:autoSpaceDE/>
                    <w:autoSpaceDN/>
                    <w:bidi w:val="0"/>
                    <w:snapToGrid w:val="0"/>
                    <w:spacing w:before="95" w:beforeLines="30" w:after="95" w:afterLines="30"/>
                    <w:jc w:val="center"/>
                    <w:textAlignment w:val="auto"/>
                    <w:rPr>
                      <w:rFonts w:ascii="Times New Roman" w:hAnsi="Times New Roman" w:eastAsia="宋体" w:cs="Times New Roman"/>
                      <w:color w:val="auto"/>
                      <w:sz w:val="21"/>
                      <w:szCs w:val="21"/>
                    </w:rPr>
                  </w:pPr>
                </w:p>
              </w:tc>
            </w:tr>
            <w:tr w14:paraId="525FB5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5" w:hRule="exact"/>
                <w:jc w:val="center"/>
              </w:trPr>
              <w:tc>
                <w:tcPr>
                  <w:tcW w:w="592" w:type="pct"/>
                  <w:noWrap w:val="0"/>
                  <w:vAlign w:val="center"/>
                </w:tcPr>
                <w:p w14:paraId="2E065706">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CO</w:t>
                  </w:r>
                </w:p>
              </w:tc>
              <w:tc>
                <w:tcPr>
                  <w:tcW w:w="696" w:type="pct"/>
                  <w:noWrap w:val="0"/>
                  <w:vAlign w:val="center"/>
                </w:tcPr>
                <w:p w14:paraId="55EDC8E2">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m</w:t>
                  </w:r>
                  <w:r>
                    <w:rPr>
                      <w:rFonts w:ascii="Times New Roman" w:hAnsi="Times New Roman" w:eastAsia="宋体" w:cs="Times New Roman"/>
                      <w:color w:val="auto"/>
                      <w:sz w:val="21"/>
                      <w:szCs w:val="21"/>
                    </w:rPr>
                    <w:t>g/m</w:t>
                  </w:r>
                  <w:r>
                    <w:rPr>
                      <w:rFonts w:ascii="Times New Roman" w:hAnsi="Times New Roman" w:eastAsia="宋体" w:cs="Times New Roman"/>
                      <w:color w:val="auto"/>
                      <w:sz w:val="21"/>
                      <w:szCs w:val="21"/>
                      <w:vertAlign w:val="superscript"/>
                    </w:rPr>
                    <w:t>3</w:t>
                  </w:r>
                </w:p>
              </w:tc>
              <w:tc>
                <w:tcPr>
                  <w:tcW w:w="701" w:type="pct"/>
                  <w:noWrap w:val="0"/>
                  <w:vAlign w:val="center"/>
                </w:tcPr>
                <w:p w14:paraId="633CBCD6">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10</w:t>
                  </w:r>
                </w:p>
              </w:tc>
              <w:tc>
                <w:tcPr>
                  <w:tcW w:w="701" w:type="pct"/>
                  <w:noWrap w:val="0"/>
                  <w:vAlign w:val="center"/>
                </w:tcPr>
                <w:p w14:paraId="79B77CB0">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w:t>
                  </w:r>
                </w:p>
              </w:tc>
              <w:tc>
                <w:tcPr>
                  <w:tcW w:w="701" w:type="pct"/>
                  <w:noWrap w:val="0"/>
                  <w:vAlign w:val="center"/>
                </w:tcPr>
                <w:p w14:paraId="4671A90D">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c>
                <w:tcPr>
                  <w:tcW w:w="702" w:type="pct"/>
                  <w:noWrap w:val="0"/>
                  <w:vAlign w:val="center"/>
                </w:tcPr>
                <w:p w14:paraId="2AA28990">
                  <w:pPr>
                    <w:keepNext w:val="0"/>
                    <w:keepLines w:val="0"/>
                    <w:pageBreakBefore w:val="0"/>
                    <w:widowControl/>
                    <w:kinsoku/>
                    <w:wordWrap/>
                    <w:overflowPunct/>
                    <w:topLinePunct w:val="0"/>
                    <w:autoSpaceDE/>
                    <w:autoSpaceDN/>
                    <w:bidi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c>
                <w:tcPr>
                  <w:tcW w:w="904" w:type="pct"/>
                  <w:vMerge w:val="continue"/>
                  <w:noWrap w:val="0"/>
                  <w:vAlign w:val="center"/>
                </w:tcPr>
                <w:p w14:paraId="550EC87A">
                  <w:pPr>
                    <w:keepNext w:val="0"/>
                    <w:keepLines w:val="0"/>
                    <w:pageBreakBefore w:val="0"/>
                    <w:widowControl/>
                    <w:kinsoku/>
                    <w:wordWrap/>
                    <w:overflowPunct/>
                    <w:topLinePunct w:val="0"/>
                    <w:autoSpaceDE/>
                    <w:autoSpaceDN/>
                    <w:bidi w:val="0"/>
                    <w:snapToGrid w:val="0"/>
                    <w:spacing w:before="95" w:beforeLines="30" w:after="95" w:afterLines="30"/>
                    <w:jc w:val="center"/>
                    <w:textAlignment w:val="auto"/>
                    <w:rPr>
                      <w:rFonts w:ascii="Times New Roman" w:hAnsi="Times New Roman" w:eastAsia="宋体" w:cs="Times New Roman"/>
                      <w:color w:val="auto"/>
                      <w:sz w:val="21"/>
                      <w:szCs w:val="21"/>
                    </w:rPr>
                  </w:pPr>
                </w:p>
              </w:tc>
            </w:tr>
            <w:tr w14:paraId="302150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7" w:hRule="exact"/>
                <w:jc w:val="center"/>
              </w:trPr>
              <w:tc>
                <w:tcPr>
                  <w:tcW w:w="592" w:type="pct"/>
                  <w:noWrap w:val="0"/>
                  <w:vAlign w:val="center"/>
                </w:tcPr>
                <w:p w14:paraId="45580E95">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氟化物</w:t>
                  </w:r>
                </w:p>
              </w:tc>
              <w:tc>
                <w:tcPr>
                  <w:tcW w:w="696" w:type="pct"/>
                  <w:noWrap w:val="0"/>
                  <w:vAlign w:val="center"/>
                </w:tcPr>
                <w:p w14:paraId="4DFBB701">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u</w:t>
                  </w:r>
                  <w:r>
                    <w:rPr>
                      <w:rFonts w:ascii="Times New Roman" w:hAnsi="Times New Roman" w:eastAsia="宋体" w:cs="Times New Roman"/>
                      <w:color w:val="auto"/>
                      <w:sz w:val="21"/>
                      <w:szCs w:val="21"/>
                    </w:rPr>
                    <w:t>g/</w:t>
                  </w:r>
                  <w:r>
                    <w:rPr>
                      <w:rFonts w:hint="eastAsia" w:cs="Times New Roman"/>
                      <w:color w:val="auto"/>
                      <w:sz w:val="21"/>
                      <w:szCs w:val="21"/>
                      <w:lang w:eastAsia="zh-CN"/>
                    </w:rPr>
                    <w:t>（</w:t>
                  </w:r>
                  <w:r>
                    <w:rPr>
                      <w:rFonts w:hint="eastAsia" w:cs="Times New Roman"/>
                      <w:color w:val="auto"/>
                      <w:sz w:val="21"/>
                      <w:szCs w:val="21"/>
                      <w:lang w:val="en-US" w:eastAsia="zh-CN"/>
                    </w:rPr>
                    <w:t>d</w:t>
                  </w:r>
                  <w:r>
                    <w:rPr>
                      <w:rFonts w:ascii="Times New Roman" w:hAnsi="Times New Roman" w:eastAsia="宋体" w:cs="Times New Roman"/>
                      <w:color w:val="auto"/>
                      <w:sz w:val="21"/>
                      <w:szCs w:val="21"/>
                    </w:rPr>
                    <w:t>m</w:t>
                  </w:r>
                  <w:r>
                    <w:rPr>
                      <w:rFonts w:hint="eastAsia" w:cs="Times New Roman"/>
                      <w:color w:val="auto"/>
                      <w:sz w:val="21"/>
                      <w:szCs w:val="21"/>
                      <w:vertAlign w:val="superscript"/>
                      <w:lang w:val="en-US" w:eastAsia="zh-CN"/>
                    </w:rPr>
                    <w:t>2</w:t>
                  </w:r>
                  <w:r>
                    <w:rPr>
                      <w:rFonts w:hint="eastAsia" w:cs="Times New Roman"/>
                      <w:color w:val="auto"/>
                      <w:sz w:val="21"/>
                      <w:szCs w:val="21"/>
                      <w:vertAlign w:val="baseline"/>
                      <w:lang w:val="en-US" w:eastAsia="zh-CN"/>
                    </w:rPr>
                    <w:t>·d</w:t>
                  </w:r>
                  <w:r>
                    <w:rPr>
                      <w:rFonts w:hint="eastAsia" w:cs="Times New Roman"/>
                      <w:color w:val="auto"/>
                      <w:sz w:val="21"/>
                      <w:szCs w:val="21"/>
                      <w:lang w:eastAsia="zh-CN"/>
                    </w:rPr>
                    <w:t>）</w:t>
                  </w:r>
                </w:p>
              </w:tc>
              <w:tc>
                <w:tcPr>
                  <w:tcW w:w="701" w:type="pct"/>
                  <w:noWrap w:val="0"/>
                  <w:vAlign w:val="center"/>
                </w:tcPr>
                <w:p w14:paraId="625ED504">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p>
              </w:tc>
              <w:tc>
                <w:tcPr>
                  <w:tcW w:w="701" w:type="pct"/>
                  <w:noWrap w:val="0"/>
                  <w:vAlign w:val="center"/>
                </w:tcPr>
                <w:p w14:paraId="0A4FCF2D">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w:t>
                  </w:r>
                </w:p>
              </w:tc>
              <w:tc>
                <w:tcPr>
                  <w:tcW w:w="701" w:type="pct"/>
                  <w:noWrap w:val="0"/>
                  <w:vAlign w:val="center"/>
                </w:tcPr>
                <w:p w14:paraId="462BE058">
                  <w:pPr>
                    <w:keepNext w:val="0"/>
                    <w:keepLines w:val="0"/>
                    <w:pageBreakBefore w:val="0"/>
                    <w:widowControl/>
                    <w:kinsoku/>
                    <w:wordWrap/>
                    <w:overflowPunct/>
                    <w:topLinePunct w:val="0"/>
                    <w:autoSpaceDE/>
                    <w:autoSpaceDN/>
                    <w:bidi w:val="0"/>
                    <w:adjustRightInd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c>
                <w:tcPr>
                  <w:tcW w:w="702" w:type="pct"/>
                  <w:noWrap w:val="0"/>
                  <w:vAlign w:val="center"/>
                </w:tcPr>
                <w:p w14:paraId="4C7EF0DB">
                  <w:pPr>
                    <w:keepNext w:val="0"/>
                    <w:keepLines w:val="0"/>
                    <w:pageBreakBefore w:val="0"/>
                    <w:widowControl/>
                    <w:kinsoku/>
                    <w:wordWrap/>
                    <w:overflowPunct/>
                    <w:topLinePunct w:val="0"/>
                    <w:autoSpaceDE/>
                    <w:autoSpaceDN/>
                    <w:bidi w:val="0"/>
                    <w:snapToGrid w:val="0"/>
                    <w:spacing w:before="95" w:beforeLines="30" w:after="95" w:afterLines="30"/>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w:t>
                  </w:r>
                </w:p>
              </w:tc>
              <w:tc>
                <w:tcPr>
                  <w:tcW w:w="904" w:type="pct"/>
                  <w:vMerge w:val="continue"/>
                  <w:noWrap w:val="0"/>
                  <w:vAlign w:val="center"/>
                </w:tcPr>
                <w:p w14:paraId="67C4163B">
                  <w:pPr>
                    <w:keepNext w:val="0"/>
                    <w:keepLines w:val="0"/>
                    <w:pageBreakBefore w:val="0"/>
                    <w:widowControl/>
                    <w:kinsoku/>
                    <w:wordWrap/>
                    <w:overflowPunct/>
                    <w:topLinePunct w:val="0"/>
                    <w:autoSpaceDE/>
                    <w:autoSpaceDN/>
                    <w:bidi w:val="0"/>
                    <w:snapToGrid w:val="0"/>
                    <w:spacing w:before="95" w:beforeLines="30" w:after="95" w:afterLines="30"/>
                    <w:jc w:val="center"/>
                    <w:textAlignment w:val="auto"/>
                    <w:rPr>
                      <w:rFonts w:ascii="Times New Roman" w:hAnsi="Times New Roman" w:eastAsia="宋体" w:cs="Times New Roman"/>
                      <w:color w:val="auto"/>
                      <w:sz w:val="21"/>
                      <w:szCs w:val="21"/>
                    </w:rPr>
                  </w:pPr>
                </w:p>
              </w:tc>
            </w:tr>
          </w:tbl>
          <w:p w14:paraId="06B3D465">
            <w:pPr>
              <w:widowControl w:val="0"/>
              <w:bidi w:val="0"/>
              <w:spacing w:line="360" w:lineRule="auto"/>
              <w:ind w:firstLine="420" w:firstLineChars="20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（2）环境空气质量现状</w:t>
            </w:r>
          </w:p>
          <w:p w14:paraId="15F716B6">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color w:val="auto"/>
                <w:sz w:val="21"/>
                <w:szCs w:val="21"/>
              </w:rPr>
            </w:pPr>
            <w:r>
              <w:rPr>
                <w:rFonts w:hint="eastAsia" w:ascii="Times New Roman" w:hAnsi="Times New Roman" w:cs="Times New Roman"/>
                <w:color w:val="auto"/>
                <w:sz w:val="21"/>
                <w:szCs w:val="21"/>
                <w:lang w:eastAsia="zh-CN"/>
              </w:rPr>
              <w:t>根据</w:t>
            </w:r>
            <w:r>
              <w:rPr>
                <w:rFonts w:hint="default" w:ascii="Times New Roman" w:hAnsi="Times New Roman" w:cs="Times New Roman"/>
                <w:color w:val="auto"/>
                <w:sz w:val="21"/>
                <w:szCs w:val="21"/>
                <w:lang w:eastAsia="zh-CN"/>
              </w:rPr>
              <w:t>《关于建设项目环境影响报告表编制技术指南（污染影响类）》（试行）要求，大气环境质量</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eastAsia="zh-CN"/>
              </w:rPr>
              <w:t>常规污染物引用与建设项目距离近的有效数据，包括近</w:t>
            </w:r>
            <w:r>
              <w:rPr>
                <w:rFonts w:hint="default" w:ascii="Times New Roman" w:hAnsi="Times New Roman" w:cs="Times New Roman"/>
                <w:color w:val="auto"/>
                <w:sz w:val="21"/>
                <w:szCs w:val="21"/>
                <w:lang w:val="en-US" w:eastAsia="zh-CN"/>
              </w:rPr>
              <w:t>3年的规划环评的监测数据，国家、地方环境空气质量监测网数据或生态环境主管部门公开发布的质量数据</w:t>
            </w:r>
            <w:r>
              <w:rPr>
                <w:rFonts w:hint="eastAsia" w:ascii="Times New Roman" w:hAnsi="Times New Roman" w:cs="Times New Roman"/>
                <w:color w:val="auto"/>
                <w:sz w:val="21"/>
                <w:szCs w:val="21"/>
                <w:lang w:eastAsia="zh-CN"/>
              </w:rPr>
              <w:t>”。</w:t>
            </w:r>
          </w:p>
          <w:p w14:paraId="1D9C97A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color w:val="auto"/>
                <w:kern w:val="0"/>
                <w:sz w:val="21"/>
                <w:szCs w:val="21"/>
                <w:lang w:val="en-US" w:eastAsia="zh-CN"/>
              </w:rPr>
            </w:pPr>
            <w:r>
              <w:rPr>
                <w:rFonts w:hint="eastAsia"/>
                <w:color w:val="auto"/>
                <w:sz w:val="21"/>
                <w:szCs w:val="21"/>
              </w:rPr>
              <w:t>本项目选址位于</w:t>
            </w:r>
            <w:r>
              <w:rPr>
                <w:rFonts w:hint="eastAsia" w:ascii="宋体" w:hAnsi="宋体" w:cs="宋体"/>
                <w:b w:val="0"/>
                <w:bCs/>
                <w:color w:val="auto"/>
                <w:sz w:val="21"/>
                <w:szCs w:val="21"/>
                <w:lang w:eastAsia="zh-CN"/>
              </w:rPr>
              <w:t>云南华宁产业园区新庄片区（莲花塘）</w:t>
            </w:r>
            <w:r>
              <w:rPr>
                <w:rFonts w:hint="eastAsia"/>
                <w:color w:val="auto"/>
                <w:sz w:val="21"/>
                <w:szCs w:val="21"/>
              </w:rPr>
              <w:t>，距离项目最近的环境空气质量自动监测站位于</w:t>
            </w:r>
            <w:r>
              <w:rPr>
                <w:rFonts w:hint="eastAsia"/>
                <w:color w:val="auto"/>
                <w:sz w:val="21"/>
                <w:szCs w:val="21"/>
                <w:lang w:val="en-US" w:eastAsia="zh-CN"/>
              </w:rPr>
              <w:t>原</w:t>
            </w:r>
            <w:r>
              <w:rPr>
                <w:rFonts w:hint="eastAsia"/>
                <w:color w:val="auto"/>
                <w:sz w:val="21"/>
                <w:szCs w:val="21"/>
              </w:rPr>
              <w:t>华宁县示范小学</w:t>
            </w:r>
            <w:r>
              <w:rPr>
                <w:rFonts w:hint="eastAsia"/>
                <w:color w:val="auto"/>
                <w:sz w:val="21"/>
                <w:szCs w:val="21"/>
                <w:lang w:eastAsia="zh-CN"/>
              </w:rPr>
              <w:t>（根据 《云南省教育现代化2035》（云 发〔2 0 1 9〕1 9号）</w:t>
            </w:r>
            <w:r>
              <w:rPr>
                <w:rFonts w:hint="eastAsia"/>
                <w:color w:val="auto"/>
                <w:sz w:val="21"/>
                <w:szCs w:val="21"/>
                <w:lang w:val="en-US" w:eastAsia="zh-CN"/>
              </w:rPr>
              <w:t>要求整合后，现更名为华宁第一小学</w:t>
            </w:r>
            <w:r>
              <w:rPr>
                <w:rFonts w:hint="eastAsia"/>
                <w:color w:val="auto"/>
                <w:sz w:val="21"/>
                <w:szCs w:val="21"/>
                <w:lang w:eastAsia="zh-CN"/>
              </w:rPr>
              <w:t>）</w:t>
            </w:r>
            <w:r>
              <w:rPr>
                <w:rFonts w:hint="eastAsia"/>
                <w:color w:val="auto"/>
                <w:sz w:val="21"/>
                <w:szCs w:val="21"/>
              </w:rPr>
              <w:t>，距离本项目约</w:t>
            </w:r>
            <w:r>
              <w:rPr>
                <w:rFonts w:hint="eastAsia"/>
                <w:color w:val="auto"/>
                <w:sz w:val="21"/>
                <w:szCs w:val="21"/>
                <w:lang w:val="en-US" w:eastAsia="zh-CN"/>
              </w:rPr>
              <w:t>1.54</w:t>
            </w:r>
            <w:r>
              <w:rPr>
                <w:rFonts w:cs="Times New Roman"/>
                <w:color w:val="auto"/>
                <w:sz w:val="21"/>
                <w:szCs w:val="21"/>
              </w:rPr>
              <w:t>km</w:t>
            </w:r>
            <w:r>
              <w:rPr>
                <w:rFonts w:hint="eastAsia"/>
                <w:color w:val="auto"/>
                <w:sz w:val="21"/>
                <w:szCs w:val="21"/>
              </w:rPr>
              <w:t>。环境空气质量现状引用202</w:t>
            </w:r>
            <w:r>
              <w:rPr>
                <w:rFonts w:hint="eastAsia"/>
                <w:color w:val="auto"/>
                <w:sz w:val="21"/>
                <w:szCs w:val="21"/>
                <w:lang w:val="en-US" w:eastAsia="zh-CN"/>
              </w:rPr>
              <w:t>3</w:t>
            </w:r>
            <w:r>
              <w:rPr>
                <w:rFonts w:hint="eastAsia"/>
                <w:color w:val="auto"/>
                <w:sz w:val="21"/>
                <w:szCs w:val="21"/>
              </w:rPr>
              <w:t>年华宁县空气质量统计数据</w:t>
            </w:r>
            <w:r>
              <w:rPr>
                <w:rFonts w:hint="default" w:ascii="Times New Roman" w:hAnsi="Times New Roman" w:eastAsia="宋体" w:cs="Times New Roman"/>
                <w:color w:val="auto"/>
                <w:kern w:val="0"/>
                <w:sz w:val="21"/>
                <w:szCs w:val="21"/>
                <w:lang w:val="en-US" w:eastAsia="zh-CN"/>
              </w:rPr>
              <w:t>，监测结果统计如下：</w:t>
            </w:r>
          </w:p>
          <w:p w14:paraId="3D7698DC">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center"/>
              <w:textAlignment w:val="auto"/>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表3</w:t>
            </w:r>
            <w:r>
              <w:rPr>
                <w:rFonts w:hint="eastAsia" w:ascii="Times New Roman" w:hAnsi="Times New Roman" w:eastAsia="宋体" w:cs="Times New Roman"/>
                <w:b/>
                <w:bCs/>
                <w:color w:val="auto"/>
                <w:kern w:val="0"/>
                <w:sz w:val="21"/>
                <w:szCs w:val="21"/>
                <w:lang w:val="en-US" w:eastAsia="zh-CN"/>
              </w:rPr>
              <w:t>-2</w:t>
            </w:r>
            <w:r>
              <w:rPr>
                <w:rFonts w:hint="default" w:ascii="Times New Roman" w:hAnsi="Times New Roman" w:eastAsia="宋体" w:cs="Times New Roman"/>
                <w:b/>
                <w:bCs/>
                <w:color w:val="auto"/>
                <w:kern w:val="0"/>
                <w:sz w:val="21"/>
                <w:szCs w:val="21"/>
                <w:lang w:val="en-US" w:eastAsia="zh-CN"/>
              </w:rPr>
              <w:t xml:space="preserve"> </w:t>
            </w:r>
            <w:r>
              <w:rPr>
                <w:rFonts w:hint="eastAsia" w:ascii="Times New Roman" w:hAnsi="Times New Roman" w:eastAsia="宋体" w:cs="Times New Roman"/>
                <w:b/>
                <w:bCs/>
                <w:color w:val="auto"/>
                <w:kern w:val="0"/>
                <w:sz w:val="21"/>
                <w:szCs w:val="21"/>
                <w:lang w:val="en-US" w:eastAsia="zh-CN"/>
              </w:rPr>
              <w:t xml:space="preserve"> </w:t>
            </w:r>
            <w:r>
              <w:rPr>
                <w:rFonts w:hint="default" w:ascii="Times New Roman" w:hAnsi="Times New Roman" w:eastAsia="宋体" w:cs="Times New Roman"/>
                <w:b/>
                <w:bCs/>
                <w:color w:val="auto"/>
                <w:kern w:val="0"/>
                <w:sz w:val="21"/>
                <w:szCs w:val="21"/>
                <w:lang w:val="en-US" w:eastAsia="zh-CN"/>
              </w:rPr>
              <w:t>区域空气质量现状评价表</w:t>
            </w:r>
          </w:p>
          <w:tbl>
            <w:tblPr>
              <w:tblStyle w:val="29"/>
              <w:tblW w:w="8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2495"/>
              <w:gridCol w:w="1238"/>
              <w:gridCol w:w="1094"/>
              <w:gridCol w:w="1213"/>
              <w:gridCol w:w="1070"/>
            </w:tblGrid>
            <w:tr w14:paraId="3349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947" w:type="dxa"/>
                  <w:noWrap w:val="0"/>
                  <w:vAlign w:val="center"/>
                </w:tcPr>
                <w:p w14:paraId="421A1196">
                  <w:pPr>
                    <w:keepNext w:val="0"/>
                    <w:keepLines w:val="0"/>
                    <w:pageBreakBefore w:val="0"/>
                    <w:widowControl/>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污染物</w:t>
                  </w:r>
                </w:p>
              </w:tc>
              <w:tc>
                <w:tcPr>
                  <w:tcW w:w="2495" w:type="dxa"/>
                  <w:noWrap w:val="0"/>
                  <w:vAlign w:val="center"/>
                </w:tcPr>
                <w:p w14:paraId="6E2EB452">
                  <w:pPr>
                    <w:keepNext w:val="0"/>
                    <w:keepLines w:val="0"/>
                    <w:pageBreakBefore w:val="0"/>
                    <w:widowControl/>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年评价指标</w:t>
                  </w:r>
                </w:p>
              </w:tc>
              <w:tc>
                <w:tcPr>
                  <w:tcW w:w="1238" w:type="dxa"/>
                  <w:noWrap w:val="0"/>
                  <w:vAlign w:val="center"/>
                </w:tcPr>
                <w:p w14:paraId="1CCF12E7">
                  <w:pPr>
                    <w:keepNext w:val="0"/>
                    <w:keepLines w:val="0"/>
                    <w:pageBreakBefore w:val="0"/>
                    <w:widowControl/>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现状浓度</w:t>
                  </w:r>
                </w:p>
                <w:p w14:paraId="4E3CCD2F">
                  <w:pPr>
                    <w:keepNext w:val="0"/>
                    <w:keepLines w:val="0"/>
                    <w:pageBreakBefore w:val="0"/>
                    <w:widowControl/>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（µg/m</w:t>
                  </w:r>
                  <w:r>
                    <w:rPr>
                      <w:rFonts w:ascii="Times New Roman" w:hAnsi="Times New Roman" w:eastAsia="宋体" w:cs="Times New Roman"/>
                      <w:color w:val="auto"/>
                      <w:kern w:val="0"/>
                      <w:sz w:val="21"/>
                      <w:szCs w:val="21"/>
                      <w:vertAlign w:val="superscript"/>
                    </w:rPr>
                    <w:t>3</w:t>
                  </w:r>
                  <w:r>
                    <w:rPr>
                      <w:rFonts w:ascii="Times New Roman" w:hAnsi="Times New Roman" w:eastAsia="宋体" w:cs="Times New Roman"/>
                      <w:color w:val="auto"/>
                      <w:kern w:val="0"/>
                      <w:sz w:val="21"/>
                      <w:szCs w:val="21"/>
                    </w:rPr>
                    <w:t>）</w:t>
                  </w:r>
                </w:p>
              </w:tc>
              <w:tc>
                <w:tcPr>
                  <w:tcW w:w="1094" w:type="dxa"/>
                  <w:noWrap w:val="0"/>
                  <w:vAlign w:val="center"/>
                </w:tcPr>
                <w:p w14:paraId="03751CF8">
                  <w:pPr>
                    <w:keepNext w:val="0"/>
                    <w:keepLines w:val="0"/>
                    <w:pageBreakBefore w:val="0"/>
                    <w:widowControl/>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标准值</w:t>
                  </w:r>
                </w:p>
                <w:p w14:paraId="35B7DA88">
                  <w:pPr>
                    <w:keepNext w:val="0"/>
                    <w:keepLines w:val="0"/>
                    <w:pageBreakBefore w:val="0"/>
                    <w:widowControl/>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（µg/m</w:t>
                  </w:r>
                  <w:r>
                    <w:rPr>
                      <w:rFonts w:ascii="Times New Roman" w:hAnsi="Times New Roman" w:eastAsia="宋体" w:cs="Times New Roman"/>
                      <w:color w:val="auto"/>
                      <w:kern w:val="0"/>
                      <w:sz w:val="21"/>
                      <w:szCs w:val="21"/>
                      <w:vertAlign w:val="superscript"/>
                    </w:rPr>
                    <w:t>3</w:t>
                  </w:r>
                  <w:r>
                    <w:rPr>
                      <w:rFonts w:ascii="Times New Roman" w:hAnsi="Times New Roman" w:eastAsia="宋体" w:cs="Times New Roman"/>
                      <w:color w:val="auto"/>
                      <w:kern w:val="0"/>
                      <w:sz w:val="21"/>
                      <w:szCs w:val="21"/>
                    </w:rPr>
                    <w:t>）</w:t>
                  </w:r>
                </w:p>
              </w:tc>
              <w:tc>
                <w:tcPr>
                  <w:tcW w:w="1213" w:type="dxa"/>
                  <w:noWrap w:val="0"/>
                  <w:vAlign w:val="center"/>
                </w:tcPr>
                <w:p w14:paraId="05AFB9B5">
                  <w:pPr>
                    <w:keepNext w:val="0"/>
                    <w:keepLines w:val="0"/>
                    <w:pageBreakBefore w:val="0"/>
                    <w:widowControl/>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占标率/%</w:t>
                  </w:r>
                </w:p>
              </w:tc>
              <w:tc>
                <w:tcPr>
                  <w:tcW w:w="1070" w:type="dxa"/>
                  <w:noWrap w:val="0"/>
                  <w:vAlign w:val="center"/>
                </w:tcPr>
                <w:p w14:paraId="31BF3F4B">
                  <w:pPr>
                    <w:keepNext w:val="0"/>
                    <w:keepLines w:val="0"/>
                    <w:pageBreakBefore w:val="0"/>
                    <w:widowControl/>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达标情况</w:t>
                  </w:r>
                </w:p>
              </w:tc>
            </w:tr>
            <w:tr w14:paraId="17229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47" w:type="dxa"/>
                  <w:vMerge w:val="restart"/>
                  <w:noWrap w:val="0"/>
                  <w:vAlign w:val="center"/>
                </w:tcPr>
                <w:p w14:paraId="35AD2D1E">
                  <w:pPr>
                    <w:keepNext w:val="0"/>
                    <w:keepLines w:val="0"/>
                    <w:pageBreakBefore w:val="0"/>
                    <w:widowControl/>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SO</w:t>
                  </w:r>
                  <w:r>
                    <w:rPr>
                      <w:rFonts w:ascii="Times New Roman" w:hAnsi="Times New Roman" w:eastAsia="宋体" w:cs="Times New Roman"/>
                      <w:color w:val="auto"/>
                      <w:kern w:val="0"/>
                      <w:sz w:val="21"/>
                      <w:szCs w:val="21"/>
                      <w:vertAlign w:val="subscript"/>
                    </w:rPr>
                    <w:t>2</w:t>
                  </w:r>
                </w:p>
              </w:tc>
              <w:tc>
                <w:tcPr>
                  <w:tcW w:w="2495" w:type="dxa"/>
                  <w:noWrap w:val="0"/>
                  <w:vAlign w:val="center"/>
                </w:tcPr>
                <w:p w14:paraId="6AE99779">
                  <w:pPr>
                    <w:keepNext w:val="0"/>
                    <w:keepLines w:val="0"/>
                    <w:pageBreakBefore w:val="0"/>
                    <w:widowControl/>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年平均质量浓度</w:t>
                  </w:r>
                </w:p>
              </w:tc>
              <w:tc>
                <w:tcPr>
                  <w:tcW w:w="1238" w:type="dxa"/>
                  <w:noWrap w:val="0"/>
                  <w:vAlign w:val="center"/>
                </w:tcPr>
                <w:p w14:paraId="753474A0">
                  <w:pPr>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13.43</w:t>
                  </w:r>
                </w:p>
              </w:tc>
              <w:tc>
                <w:tcPr>
                  <w:tcW w:w="1094" w:type="dxa"/>
                  <w:noWrap w:val="0"/>
                  <w:vAlign w:val="center"/>
                </w:tcPr>
                <w:p w14:paraId="1C4879FB">
                  <w:pPr>
                    <w:keepNext w:val="0"/>
                    <w:keepLines w:val="0"/>
                    <w:pageBreakBefore w:val="0"/>
                    <w:widowControl/>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60</w:t>
                  </w:r>
                </w:p>
              </w:tc>
              <w:tc>
                <w:tcPr>
                  <w:tcW w:w="1213" w:type="dxa"/>
                  <w:noWrap w:val="0"/>
                  <w:vAlign w:val="center"/>
                </w:tcPr>
                <w:p w14:paraId="284D732E">
                  <w:pPr>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22.39</w:t>
                  </w:r>
                </w:p>
              </w:tc>
              <w:tc>
                <w:tcPr>
                  <w:tcW w:w="1070" w:type="dxa"/>
                  <w:noWrap w:val="0"/>
                  <w:vAlign w:val="center"/>
                </w:tcPr>
                <w:p w14:paraId="50FE1A4D">
                  <w:pPr>
                    <w:keepNext w:val="0"/>
                    <w:keepLines w:val="0"/>
                    <w:pageBreakBefore w:val="0"/>
                    <w:widowControl/>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达标</w:t>
                  </w:r>
                </w:p>
              </w:tc>
            </w:tr>
            <w:tr w14:paraId="4CCF5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47" w:type="dxa"/>
                  <w:vMerge w:val="continue"/>
                  <w:noWrap w:val="0"/>
                  <w:vAlign w:val="center"/>
                </w:tcPr>
                <w:p w14:paraId="1054DF73">
                  <w:pPr>
                    <w:keepNext w:val="0"/>
                    <w:keepLines w:val="0"/>
                    <w:pageBreakBefore w:val="0"/>
                    <w:widowControl/>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p>
              </w:tc>
              <w:tc>
                <w:tcPr>
                  <w:tcW w:w="2495" w:type="dxa"/>
                  <w:noWrap w:val="0"/>
                  <w:vAlign w:val="center"/>
                </w:tcPr>
                <w:p w14:paraId="68D239DF">
                  <w:pPr>
                    <w:keepNext w:val="0"/>
                    <w:keepLines w:val="0"/>
                    <w:pageBreakBefore w:val="0"/>
                    <w:widowControl/>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98%日平均质量浓度</w:t>
                  </w:r>
                </w:p>
              </w:tc>
              <w:tc>
                <w:tcPr>
                  <w:tcW w:w="1238" w:type="dxa"/>
                  <w:noWrap w:val="0"/>
                  <w:vAlign w:val="center"/>
                </w:tcPr>
                <w:p w14:paraId="26F6DE0B">
                  <w:pPr>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29.00</w:t>
                  </w:r>
                </w:p>
              </w:tc>
              <w:tc>
                <w:tcPr>
                  <w:tcW w:w="1094" w:type="dxa"/>
                  <w:noWrap w:val="0"/>
                  <w:vAlign w:val="center"/>
                </w:tcPr>
                <w:p w14:paraId="79DA9687">
                  <w:pPr>
                    <w:keepNext w:val="0"/>
                    <w:keepLines w:val="0"/>
                    <w:pageBreakBefore w:val="0"/>
                    <w:widowControl/>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150</w:t>
                  </w:r>
                </w:p>
              </w:tc>
              <w:tc>
                <w:tcPr>
                  <w:tcW w:w="1213" w:type="dxa"/>
                  <w:noWrap w:val="0"/>
                  <w:vAlign w:val="center"/>
                </w:tcPr>
                <w:p w14:paraId="1BB8CEF9">
                  <w:pPr>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19.33</w:t>
                  </w:r>
                </w:p>
              </w:tc>
              <w:tc>
                <w:tcPr>
                  <w:tcW w:w="1070" w:type="dxa"/>
                  <w:noWrap w:val="0"/>
                  <w:vAlign w:val="center"/>
                </w:tcPr>
                <w:p w14:paraId="02BB1618">
                  <w:pPr>
                    <w:keepNext w:val="0"/>
                    <w:keepLines w:val="0"/>
                    <w:pageBreakBefore w:val="0"/>
                    <w:widowControl/>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达标</w:t>
                  </w:r>
                </w:p>
              </w:tc>
            </w:tr>
            <w:tr w14:paraId="47120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47" w:type="dxa"/>
                  <w:vMerge w:val="restart"/>
                  <w:noWrap w:val="0"/>
                  <w:vAlign w:val="center"/>
                </w:tcPr>
                <w:p w14:paraId="0B2FD1B4">
                  <w:pPr>
                    <w:keepNext w:val="0"/>
                    <w:keepLines w:val="0"/>
                    <w:pageBreakBefore w:val="0"/>
                    <w:widowControl/>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NO</w:t>
                  </w:r>
                  <w:r>
                    <w:rPr>
                      <w:rFonts w:ascii="Times New Roman" w:hAnsi="Times New Roman" w:eastAsia="宋体" w:cs="Times New Roman"/>
                      <w:color w:val="auto"/>
                      <w:kern w:val="0"/>
                      <w:sz w:val="21"/>
                      <w:szCs w:val="21"/>
                      <w:vertAlign w:val="subscript"/>
                    </w:rPr>
                    <w:t>2</w:t>
                  </w:r>
                </w:p>
              </w:tc>
              <w:tc>
                <w:tcPr>
                  <w:tcW w:w="2495" w:type="dxa"/>
                  <w:noWrap w:val="0"/>
                  <w:vAlign w:val="center"/>
                </w:tcPr>
                <w:p w14:paraId="5C2E8A2F">
                  <w:pPr>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年平均质量浓度</w:t>
                  </w:r>
                </w:p>
              </w:tc>
              <w:tc>
                <w:tcPr>
                  <w:tcW w:w="1238" w:type="dxa"/>
                  <w:noWrap w:val="0"/>
                  <w:vAlign w:val="center"/>
                </w:tcPr>
                <w:p w14:paraId="3D308CDC">
                  <w:pPr>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16.00</w:t>
                  </w:r>
                </w:p>
              </w:tc>
              <w:tc>
                <w:tcPr>
                  <w:tcW w:w="1094" w:type="dxa"/>
                  <w:noWrap w:val="0"/>
                  <w:vAlign w:val="center"/>
                </w:tcPr>
                <w:p w14:paraId="347485BF">
                  <w:pPr>
                    <w:keepNext w:val="0"/>
                    <w:keepLines w:val="0"/>
                    <w:pageBreakBefore w:val="0"/>
                    <w:widowControl/>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40</w:t>
                  </w:r>
                </w:p>
              </w:tc>
              <w:tc>
                <w:tcPr>
                  <w:tcW w:w="1213" w:type="dxa"/>
                  <w:noWrap w:val="0"/>
                  <w:vAlign w:val="center"/>
                </w:tcPr>
                <w:p w14:paraId="301B9841">
                  <w:pPr>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39.99</w:t>
                  </w:r>
                </w:p>
              </w:tc>
              <w:tc>
                <w:tcPr>
                  <w:tcW w:w="1070" w:type="dxa"/>
                  <w:noWrap w:val="0"/>
                  <w:vAlign w:val="center"/>
                </w:tcPr>
                <w:p w14:paraId="646E3532">
                  <w:pPr>
                    <w:keepNext w:val="0"/>
                    <w:keepLines w:val="0"/>
                    <w:pageBreakBefore w:val="0"/>
                    <w:widowControl/>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达标</w:t>
                  </w:r>
                </w:p>
              </w:tc>
            </w:tr>
            <w:tr w14:paraId="317F2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47" w:type="dxa"/>
                  <w:vMerge w:val="continue"/>
                  <w:noWrap w:val="0"/>
                  <w:vAlign w:val="center"/>
                </w:tcPr>
                <w:p w14:paraId="3E90CF23">
                  <w:pPr>
                    <w:keepNext w:val="0"/>
                    <w:keepLines w:val="0"/>
                    <w:pageBreakBefore w:val="0"/>
                    <w:widowControl/>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p>
              </w:tc>
              <w:tc>
                <w:tcPr>
                  <w:tcW w:w="2495" w:type="dxa"/>
                  <w:noWrap w:val="0"/>
                  <w:vAlign w:val="center"/>
                </w:tcPr>
                <w:p w14:paraId="599C82BE">
                  <w:pPr>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98%日平均质</w:t>
                  </w:r>
                  <w:r>
                    <w:rPr>
                      <w:rFonts w:hint="eastAsia" w:ascii="Times New Roman" w:hAnsi="Times New Roman" w:eastAsia="宋体" w:cs="Times New Roman"/>
                      <w:color w:val="auto"/>
                      <w:sz w:val="21"/>
                      <w:szCs w:val="21"/>
                    </w:rPr>
                    <w:t>量</w:t>
                  </w:r>
                  <w:r>
                    <w:rPr>
                      <w:rFonts w:ascii="Times New Roman" w:hAnsi="Times New Roman" w:eastAsia="宋体" w:cs="Times New Roman"/>
                      <w:color w:val="auto"/>
                      <w:sz w:val="21"/>
                      <w:szCs w:val="21"/>
                    </w:rPr>
                    <w:t>浓度</w:t>
                  </w:r>
                </w:p>
              </w:tc>
              <w:tc>
                <w:tcPr>
                  <w:tcW w:w="1238" w:type="dxa"/>
                  <w:noWrap w:val="0"/>
                  <w:vAlign w:val="center"/>
                </w:tcPr>
                <w:p w14:paraId="115FD0A6">
                  <w:pPr>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25.00</w:t>
                  </w:r>
                </w:p>
              </w:tc>
              <w:tc>
                <w:tcPr>
                  <w:tcW w:w="1094" w:type="dxa"/>
                  <w:noWrap w:val="0"/>
                  <w:vAlign w:val="center"/>
                </w:tcPr>
                <w:p w14:paraId="24A385FB">
                  <w:pPr>
                    <w:keepNext w:val="0"/>
                    <w:keepLines w:val="0"/>
                    <w:pageBreakBefore w:val="0"/>
                    <w:widowControl/>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80</w:t>
                  </w:r>
                </w:p>
              </w:tc>
              <w:tc>
                <w:tcPr>
                  <w:tcW w:w="1213" w:type="dxa"/>
                  <w:noWrap w:val="0"/>
                  <w:vAlign w:val="center"/>
                </w:tcPr>
                <w:p w14:paraId="01EDBF6D">
                  <w:pPr>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31.25</w:t>
                  </w:r>
                </w:p>
              </w:tc>
              <w:tc>
                <w:tcPr>
                  <w:tcW w:w="1070" w:type="dxa"/>
                  <w:noWrap w:val="0"/>
                  <w:vAlign w:val="center"/>
                </w:tcPr>
                <w:p w14:paraId="40EF0824">
                  <w:pPr>
                    <w:keepNext w:val="0"/>
                    <w:keepLines w:val="0"/>
                    <w:pageBreakBefore w:val="0"/>
                    <w:widowControl/>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达标</w:t>
                  </w:r>
                </w:p>
              </w:tc>
            </w:tr>
            <w:tr w14:paraId="54EC0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47" w:type="dxa"/>
                  <w:vMerge w:val="restart"/>
                  <w:noWrap w:val="0"/>
                  <w:vAlign w:val="center"/>
                </w:tcPr>
                <w:p w14:paraId="44991B42">
                  <w:pPr>
                    <w:keepNext w:val="0"/>
                    <w:keepLines w:val="0"/>
                    <w:pageBreakBefore w:val="0"/>
                    <w:widowControl/>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PM</w:t>
                  </w:r>
                  <w:r>
                    <w:rPr>
                      <w:rFonts w:ascii="Times New Roman" w:hAnsi="Times New Roman" w:eastAsia="宋体" w:cs="Times New Roman"/>
                      <w:color w:val="auto"/>
                      <w:kern w:val="0"/>
                      <w:sz w:val="21"/>
                      <w:szCs w:val="21"/>
                      <w:vertAlign w:val="subscript"/>
                    </w:rPr>
                    <w:t>10</w:t>
                  </w:r>
                </w:p>
              </w:tc>
              <w:tc>
                <w:tcPr>
                  <w:tcW w:w="2495" w:type="dxa"/>
                  <w:noWrap w:val="0"/>
                  <w:vAlign w:val="center"/>
                </w:tcPr>
                <w:p w14:paraId="31BED97F">
                  <w:pPr>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年平均质量浓度</w:t>
                  </w:r>
                </w:p>
              </w:tc>
              <w:tc>
                <w:tcPr>
                  <w:tcW w:w="1238" w:type="dxa"/>
                  <w:noWrap w:val="0"/>
                  <w:vAlign w:val="center"/>
                </w:tcPr>
                <w:p w14:paraId="420E00EF">
                  <w:pPr>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37.34</w:t>
                  </w:r>
                </w:p>
              </w:tc>
              <w:tc>
                <w:tcPr>
                  <w:tcW w:w="1094" w:type="dxa"/>
                  <w:noWrap w:val="0"/>
                  <w:vAlign w:val="center"/>
                </w:tcPr>
                <w:p w14:paraId="1BB6185F">
                  <w:pPr>
                    <w:keepNext w:val="0"/>
                    <w:keepLines w:val="0"/>
                    <w:pageBreakBefore w:val="0"/>
                    <w:widowControl/>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70</w:t>
                  </w:r>
                </w:p>
              </w:tc>
              <w:tc>
                <w:tcPr>
                  <w:tcW w:w="1213" w:type="dxa"/>
                  <w:noWrap w:val="0"/>
                  <w:vAlign w:val="center"/>
                </w:tcPr>
                <w:p w14:paraId="4EF0C596">
                  <w:pPr>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53.35</w:t>
                  </w:r>
                </w:p>
              </w:tc>
              <w:tc>
                <w:tcPr>
                  <w:tcW w:w="1070" w:type="dxa"/>
                  <w:noWrap w:val="0"/>
                  <w:vAlign w:val="center"/>
                </w:tcPr>
                <w:p w14:paraId="73D18EF2">
                  <w:pPr>
                    <w:keepNext w:val="0"/>
                    <w:keepLines w:val="0"/>
                    <w:pageBreakBefore w:val="0"/>
                    <w:widowControl/>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达标</w:t>
                  </w:r>
                </w:p>
              </w:tc>
            </w:tr>
            <w:tr w14:paraId="77719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47" w:type="dxa"/>
                  <w:vMerge w:val="continue"/>
                  <w:noWrap w:val="0"/>
                  <w:vAlign w:val="center"/>
                </w:tcPr>
                <w:p w14:paraId="09A35F63">
                  <w:pPr>
                    <w:keepNext w:val="0"/>
                    <w:keepLines w:val="0"/>
                    <w:pageBreakBefore w:val="0"/>
                    <w:widowControl/>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p>
              </w:tc>
              <w:tc>
                <w:tcPr>
                  <w:tcW w:w="2495" w:type="dxa"/>
                  <w:noWrap w:val="0"/>
                  <w:vAlign w:val="center"/>
                </w:tcPr>
                <w:p w14:paraId="30A45323">
                  <w:pPr>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95%日平均质量浓度</w:t>
                  </w:r>
                </w:p>
              </w:tc>
              <w:tc>
                <w:tcPr>
                  <w:tcW w:w="1238" w:type="dxa"/>
                  <w:noWrap w:val="0"/>
                  <w:vAlign w:val="center"/>
                </w:tcPr>
                <w:p w14:paraId="1B72A4B3">
                  <w:pPr>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82.00</w:t>
                  </w:r>
                </w:p>
              </w:tc>
              <w:tc>
                <w:tcPr>
                  <w:tcW w:w="1094" w:type="dxa"/>
                  <w:noWrap w:val="0"/>
                  <w:vAlign w:val="center"/>
                </w:tcPr>
                <w:p w14:paraId="1169983A">
                  <w:pPr>
                    <w:keepNext w:val="0"/>
                    <w:keepLines w:val="0"/>
                    <w:pageBreakBefore w:val="0"/>
                    <w:widowControl/>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150</w:t>
                  </w:r>
                </w:p>
              </w:tc>
              <w:tc>
                <w:tcPr>
                  <w:tcW w:w="1213" w:type="dxa"/>
                  <w:noWrap w:val="0"/>
                  <w:vAlign w:val="center"/>
                </w:tcPr>
                <w:p w14:paraId="47EC8945">
                  <w:pPr>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54.67</w:t>
                  </w:r>
                </w:p>
              </w:tc>
              <w:tc>
                <w:tcPr>
                  <w:tcW w:w="1070" w:type="dxa"/>
                  <w:noWrap w:val="0"/>
                  <w:vAlign w:val="center"/>
                </w:tcPr>
                <w:p w14:paraId="7908C8D8">
                  <w:pPr>
                    <w:keepNext w:val="0"/>
                    <w:keepLines w:val="0"/>
                    <w:pageBreakBefore w:val="0"/>
                    <w:widowControl/>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达标</w:t>
                  </w:r>
                </w:p>
              </w:tc>
            </w:tr>
            <w:tr w14:paraId="2FAB9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47" w:type="dxa"/>
                  <w:vMerge w:val="restart"/>
                  <w:noWrap w:val="0"/>
                  <w:vAlign w:val="center"/>
                </w:tcPr>
                <w:p w14:paraId="6373C9ED">
                  <w:pPr>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PM</w:t>
                  </w:r>
                  <w:r>
                    <w:rPr>
                      <w:rFonts w:ascii="Times New Roman" w:hAnsi="Times New Roman" w:eastAsia="宋体" w:cs="Times New Roman"/>
                      <w:color w:val="auto"/>
                      <w:kern w:val="0"/>
                      <w:sz w:val="21"/>
                      <w:szCs w:val="21"/>
                      <w:vertAlign w:val="subscript"/>
                    </w:rPr>
                    <w:t>2.5</w:t>
                  </w:r>
                </w:p>
              </w:tc>
              <w:tc>
                <w:tcPr>
                  <w:tcW w:w="2495" w:type="dxa"/>
                  <w:noWrap w:val="0"/>
                  <w:vAlign w:val="center"/>
                </w:tcPr>
                <w:p w14:paraId="2A3CE5CF">
                  <w:pPr>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年平均质量浓度</w:t>
                  </w:r>
                </w:p>
              </w:tc>
              <w:tc>
                <w:tcPr>
                  <w:tcW w:w="1238" w:type="dxa"/>
                  <w:noWrap w:val="0"/>
                  <w:vAlign w:val="center"/>
                </w:tcPr>
                <w:p w14:paraId="358A3DDA">
                  <w:pPr>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23.73</w:t>
                  </w:r>
                </w:p>
              </w:tc>
              <w:tc>
                <w:tcPr>
                  <w:tcW w:w="1094" w:type="dxa"/>
                  <w:noWrap w:val="0"/>
                  <w:vAlign w:val="center"/>
                </w:tcPr>
                <w:p w14:paraId="7E9DB60B">
                  <w:pPr>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35</w:t>
                  </w:r>
                </w:p>
              </w:tc>
              <w:tc>
                <w:tcPr>
                  <w:tcW w:w="1213" w:type="dxa"/>
                  <w:noWrap w:val="0"/>
                  <w:vAlign w:val="center"/>
                </w:tcPr>
                <w:p w14:paraId="7D775FD4">
                  <w:pPr>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67.80</w:t>
                  </w:r>
                </w:p>
              </w:tc>
              <w:tc>
                <w:tcPr>
                  <w:tcW w:w="1070" w:type="dxa"/>
                  <w:noWrap w:val="0"/>
                  <w:vAlign w:val="center"/>
                </w:tcPr>
                <w:p w14:paraId="39D4B072">
                  <w:pPr>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达标</w:t>
                  </w:r>
                </w:p>
              </w:tc>
            </w:tr>
            <w:tr w14:paraId="721CA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47" w:type="dxa"/>
                  <w:vMerge w:val="continue"/>
                  <w:noWrap w:val="0"/>
                  <w:vAlign w:val="center"/>
                </w:tcPr>
                <w:p w14:paraId="544476FA">
                  <w:pPr>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p>
              </w:tc>
              <w:tc>
                <w:tcPr>
                  <w:tcW w:w="2495" w:type="dxa"/>
                  <w:noWrap w:val="0"/>
                  <w:vAlign w:val="center"/>
                </w:tcPr>
                <w:p w14:paraId="7DF52FE9">
                  <w:pPr>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95%日平均质量浓度</w:t>
                  </w:r>
                </w:p>
              </w:tc>
              <w:tc>
                <w:tcPr>
                  <w:tcW w:w="1238" w:type="dxa"/>
                  <w:noWrap w:val="0"/>
                  <w:vAlign w:val="center"/>
                </w:tcPr>
                <w:p w14:paraId="1481D192">
                  <w:pPr>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53.00</w:t>
                  </w:r>
                </w:p>
              </w:tc>
              <w:tc>
                <w:tcPr>
                  <w:tcW w:w="1094" w:type="dxa"/>
                  <w:noWrap w:val="0"/>
                  <w:vAlign w:val="center"/>
                </w:tcPr>
                <w:p w14:paraId="42F2669C">
                  <w:pPr>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75</w:t>
                  </w:r>
                </w:p>
              </w:tc>
              <w:tc>
                <w:tcPr>
                  <w:tcW w:w="1213" w:type="dxa"/>
                  <w:noWrap w:val="0"/>
                  <w:vAlign w:val="center"/>
                </w:tcPr>
                <w:p w14:paraId="518FDF02">
                  <w:pPr>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70.67</w:t>
                  </w:r>
                </w:p>
              </w:tc>
              <w:tc>
                <w:tcPr>
                  <w:tcW w:w="1070" w:type="dxa"/>
                  <w:noWrap w:val="0"/>
                  <w:vAlign w:val="center"/>
                </w:tcPr>
                <w:p w14:paraId="69EFC7F3">
                  <w:pPr>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达标</w:t>
                  </w:r>
                </w:p>
              </w:tc>
            </w:tr>
            <w:tr w14:paraId="191FD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47" w:type="dxa"/>
                  <w:noWrap w:val="0"/>
                  <w:vAlign w:val="center"/>
                </w:tcPr>
                <w:p w14:paraId="1212CC9A">
                  <w:pPr>
                    <w:keepNext w:val="0"/>
                    <w:keepLines w:val="0"/>
                    <w:pageBreakBefore w:val="0"/>
                    <w:widowControl/>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CO</w:t>
                  </w:r>
                </w:p>
              </w:tc>
              <w:tc>
                <w:tcPr>
                  <w:tcW w:w="2495" w:type="dxa"/>
                  <w:noWrap w:val="0"/>
                  <w:vAlign w:val="center"/>
                </w:tcPr>
                <w:p w14:paraId="76B2EA89">
                  <w:pPr>
                    <w:keepNext w:val="0"/>
                    <w:keepLines w:val="0"/>
                    <w:pageBreakBefore w:val="0"/>
                    <w:widowControl/>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95%日平均质量浓度</w:t>
                  </w:r>
                </w:p>
              </w:tc>
              <w:tc>
                <w:tcPr>
                  <w:tcW w:w="1238" w:type="dxa"/>
                  <w:noWrap w:val="0"/>
                  <w:vAlign w:val="center"/>
                </w:tcPr>
                <w:p w14:paraId="5368E926">
                  <w:pPr>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900.00</w:t>
                  </w:r>
                </w:p>
              </w:tc>
              <w:tc>
                <w:tcPr>
                  <w:tcW w:w="1094" w:type="dxa"/>
                  <w:noWrap w:val="0"/>
                  <w:vAlign w:val="center"/>
                </w:tcPr>
                <w:p w14:paraId="4A8C5942">
                  <w:pPr>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4000</w:t>
                  </w:r>
                </w:p>
              </w:tc>
              <w:tc>
                <w:tcPr>
                  <w:tcW w:w="1213" w:type="dxa"/>
                  <w:noWrap w:val="0"/>
                  <w:vAlign w:val="center"/>
                </w:tcPr>
                <w:p w14:paraId="2DCDAADF">
                  <w:pPr>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22.50</w:t>
                  </w:r>
                </w:p>
              </w:tc>
              <w:tc>
                <w:tcPr>
                  <w:tcW w:w="1070" w:type="dxa"/>
                  <w:noWrap w:val="0"/>
                  <w:vAlign w:val="center"/>
                </w:tcPr>
                <w:p w14:paraId="4D31F796">
                  <w:pPr>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达标</w:t>
                  </w:r>
                </w:p>
              </w:tc>
            </w:tr>
            <w:tr w14:paraId="593EE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947" w:type="dxa"/>
                  <w:noWrap w:val="0"/>
                  <w:vAlign w:val="center"/>
                </w:tcPr>
                <w:p w14:paraId="5884B51F">
                  <w:pPr>
                    <w:keepNext w:val="0"/>
                    <w:keepLines w:val="0"/>
                    <w:pageBreakBefore w:val="0"/>
                    <w:widowControl/>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ascii="Times New Roman" w:hAnsi="Times New Roman" w:eastAsia="宋体" w:cs="Times New Roman"/>
                      <w:color w:val="auto"/>
                      <w:sz w:val="21"/>
                      <w:szCs w:val="21"/>
                    </w:rPr>
                    <w:t>O</w:t>
                  </w:r>
                  <w:r>
                    <w:rPr>
                      <w:rFonts w:ascii="Times New Roman" w:hAnsi="Times New Roman" w:eastAsia="宋体" w:cs="Times New Roman"/>
                      <w:color w:val="auto"/>
                      <w:sz w:val="21"/>
                      <w:szCs w:val="21"/>
                      <w:vertAlign w:val="subscript"/>
                    </w:rPr>
                    <w:t>3</w:t>
                  </w:r>
                </w:p>
              </w:tc>
              <w:tc>
                <w:tcPr>
                  <w:tcW w:w="2495" w:type="dxa"/>
                  <w:noWrap w:val="0"/>
                  <w:vAlign w:val="center"/>
                </w:tcPr>
                <w:p w14:paraId="4EF0C2CE">
                  <w:pPr>
                    <w:keepNext w:val="0"/>
                    <w:keepLines w:val="0"/>
                    <w:pageBreakBefore w:val="0"/>
                    <w:widowControl/>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90%日最大8小时平均质量浓度</w:t>
                  </w:r>
                </w:p>
              </w:tc>
              <w:tc>
                <w:tcPr>
                  <w:tcW w:w="1238" w:type="dxa"/>
                  <w:noWrap w:val="0"/>
                  <w:vAlign w:val="center"/>
                </w:tcPr>
                <w:p w14:paraId="181B26EB">
                  <w:pPr>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128.00</w:t>
                  </w:r>
                </w:p>
              </w:tc>
              <w:tc>
                <w:tcPr>
                  <w:tcW w:w="1094" w:type="dxa"/>
                  <w:noWrap w:val="0"/>
                  <w:vAlign w:val="center"/>
                </w:tcPr>
                <w:p w14:paraId="65160CD9">
                  <w:pPr>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160</w:t>
                  </w:r>
                </w:p>
              </w:tc>
              <w:tc>
                <w:tcPr>
                  <w:tcW w:w="1213" w:type="dxa"/>
                  <w:noWrap w:val="0"/>
                  <w:vAlign w:val="center"/>
                </w:tcPr>
                <w:p w14:paraId="6F512944">
                  <w:pPr>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80</w:t>
                  </w:r>
                  <w:r>
                    <w:rPr>
                      <w:rFonts w:hint="default" w:ascii="Times New Roman" w:hAnsi="Times New Roman" w:eastAsia="宋体" w:cs="Times New Roman"/>
                      <w:color w:val="auto"/>
                      <w:kern w:val="0"/>
                      <w:sz w:val="21"/>
                      <w:szCs w:val="21"/>
                      <w:lang w:val="en-US" w:eastAsia="zh-CN"/>
                    </w:rPr>
                    <w:t>.00</w:t>
                  </w:r>
                </w:p>
              </w:tc>
              <w:tc>
                <w:tcPr>
                  <w:tcW w:w="1070" w:type="dxa"/>
                  <w:noWrap w:val="0"/>
                  <w:vAlign w:val="center"/>
                </w:tcPr>
                <w:p w14:paraId="02C87F7F">
                  <w:pPr>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ascii="Times New Roman" w:hAnsi="Times New Roman" w:eastAsia="宋体" w:cs="Times New Roman"/>
                      <w:color w:val="auto"/>
                      <w:kern w:val="0"/>
                      <w:sz w:val="21"/>
                      <w:szCs w:val="21"/>
                    </w:rPr>
                  </w:pPr>
                  <w:r>
                    <w:rPr>
                      <w:rFonts w:ascii="Times New Roman" w:hAnsi="Times New Roman" w:eastAsia="宋体" w:cs="Times New Roman"/>
                      <w:color w:val="auto"/>
                      <w:kern w:val="0"/>
                      <w:sz w:val="21"/>
                      <w:szCs w:val="21"/>
                    </w:rPr>
                    <w:t>达标</w:t>
                  </w:r>
                </w:p>
              </w:tc>
            </w:tr>
          </w:tbl>
          <w:p w14:paraId="69A70F0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根据</w:t>
            </w:r>
            <w:r>
              <w:rPr>
                <w:rFonts w:hint="eastAsia" w:cs="Times New Roman"/>
                <w:color w:val="auto"/>
                <w:kern w:val="0"/>
                <w:sz w:val="21"/>
                <w:szCs w:val="21"/>
                <w:lang w:val="en-US" w:eastAsia="zh-CN"/>
              </w:rPr>
              <w:t>上表</w:t>
            </w:r>
            <w:r>
              <w:rPr>
                <w:rFonts w:hint="default" w:ascii="Times New Roman" w:hAnsi="Times New Roman" w:eastAsia="宋体" w:cs="Times New Roman"/>
                <w:color w:val="auto"/>
                <w:kern w:val="0"/>
                <w:sz w:val="21"/>
                <w:szCs w:val="21"/>
                <w:lang w:val="en-US" w:eastAsia="zh-CN"/>
              </w:rPr>
              <w:t>可以判定，项目所在区域PM</w:t>
            </w:r>
            <w:r>
              <w:rPr>
                <w:rFonts w:hint="default" w:ascii="Times New Roman" w:hAnsi="Times New Roman" w:eastAsia="宋体" w:cs="Times New Roman"/>
                <w:color w:val="auto"/>
                <w:kern w:val="0"/>
                <w:sz w:val="21"/>
                <w:szCs w:val="21"/>
                <w:vertAlign w:val="subscript"/>
                <w:lang w:val="en-US" w:eastAsia="zh-CN"/>
              </w:rPr>
              <w:t>10</w:t>
            </w:r>
            <w:r>
              <w:rPr>
                <w:rFonts w:hint="default" w:ascii="Times New Roman" w:hAnsi="Times New Roman" w:eastAsia="宋体" w:cs="Times New Roman"/>
                <w:color w:val="auto"/>
                <w:kern w:val="0"/>
                <w:sz w:val="21"/>
                <w:szCs w:val="21"/>
                <w:lang w:val="en-US" w:eastAsia="zh-CN"/>
              </w:rPr>
              <w:t>、PM</w:t>
            </w:r>
            <w:r>
              <w:rPr>
                <w:rFonts w:hint="default" w:ascii="Times New Roman" w:hAnsi="Times New Roman" w:eastAsia="宋体" w:cs="Times New Roman"/>
                <w:color w:val="auto"/>
                <w:kern w:val="0"/>
                <w:sz w:val="21"/>
                <w:szCs w:val="21"/>
                <w:vertAlign w:val="subscript"/>
                <w:lang w:val="en-US" w:eastAsia="zh-CN"/>
              </w:rPr>
              <w:t>2.5</w:t>
            </w:r>
            <w:r>
              <w:rPr>
                <w:rFonts w:hint="default" w:ascii="Times New Roman" w:hAnsi="Times New Roman" w:eastAsia="宋体" w:cs="Times New Roman"/>
                <w:color w:val="auto"/>
                <w:kern w:val="0"/>
                <w:sz w:val="21"/>
                <w:szCs w:val="21"/>
                <w:lang w:val="en-US" w:eastAsia="zh-CN"/>
              </w:rPr>
              <w:t>、SO</w:t>
            </w:r>
            <w:r>
              <w:rPr>
                <w:rFonts w:hint="default" w:ascii="Times New Roman" w:hAnsi="Times New Roman" w:eastAsia="宋体" w:cs="Times New Roman"/>
                <w:color w:val="auto"/>
                <w:kern w:val="0"/>
                <w:sz w:val="21"/>
                <w:szCs w:val="21"/>
                <w:vertAlign w:val="subscript"/>
                <w:lang w:val="en-US" w:eastAsia="zh-CN"/>
              </w:rPr>
              <w:t>2</w:t>
            </w:r>
            <w:r>
              <w:rPr>
                <w:rFonts w:hint="default" w:ascii="Times New Roman" w:hAnsi="Times New Roman" w:eastAsia="宋体" w:cs="Times New Roman"/>
                <w:color w:val="auto"/>
                <w:kern w:val="0"/>
                <w:sz w:val="21"/>
                <w:szCs w:val="21"/>
                <w:lang w:val="en-US" w:eastAsia="zh-CN"/>
              </w:rPr>
              <w:t>、NO</w:t>
            </w:r>
            <w:r>
              <w:rPr>
                <w:rFonts w:hint="default" w:ascii="Times New Roman" w:hAnsi="Times New Roman" w:eastAsia="宋体" w:cs="Times New Roman"/>
                <w:color w:val="auto"/>
                <w:kern w:val="0"/>
                <w:sz w:val="21"/>
                <w:szCs w:val="21"/>
                <w:vertAlign w:val="subscript"/>
                <w:lang w:val="en-US" w:eastAsia="zh-CN"/>
              </w:rPr>
              <w:t>2</w:t>
            </w:r>
            <w:r>
              <w:rPr>
                <w:rFonts w:hint="default" w:ascii="Times New Roman" w:hAnsi="Times New Roman" w:eastAsia="宋体" w:cs="Times New Roman"/>
                <w:color w:val="auto"/>
                <w:kern w:val="0"/>
                <w:sz w:val="21"/>
                <w:szCs w:val="21"/>
                <w:lang w:val="en-US" w:eastAsia="zh-CN"/>
              </w:rPr>
              <w:t>、CO、O</w:t>
            </w:r>
            <w:r>
              <w:rPr>
                <w:rFonts w:hint="default" w:ascii="Times New Roman" w:hAnsi="Times New Roman" w:eastAsia="宋体" w:cs="Times New Roman"/>
                <w:color w:val="auto"/>
                <w:kern w:val="0"/>
                <w:sz w:val="21"/>
                <w:szCs w:val="21"/>
                <w:vertAlign w:val="subscript"/>
                <w:lang w:val="en-US" w:eastAsia="zh-CN"/>
              </w:rPr>
              <w:t>3</w:t>
            </w:r>
            <w:r>
              <w:rPr>
                <w:rFonts w:hint="default" w:ascii="Times New Roman" w:hAnsi="Times New Roman" w:eastAsia="宋体" w:cs="Times New Roman"/>
                <w:color w:val="auto"/>
                <w:kern w:val="0"/>
                <w:sz w:val="21"/>
                <w:szCs w:val="21"/>
                <w:lang w:val="en-US" w:eastAsia="zh-CN"/>
              </w:rPr>
              <w:t>六项污染物全部达标，所在区域环境空气质量达标，为达标区。</w:t>
            </w:r>
          </w:p>
          <w:p w14:paraId="1C1FB0F9">
            <w:pPr>
              <w:widowControl w:val="0"/>
              <w:bidi w:val="0"/>
              <w:spacing w:line="360" w:lineRule="auto"/>
              <w:ind w:firstLine="420" w:firstLineChars="20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（3）特征污染因子现状</w:t>
            </w:r>
          </w:p>
          <w:p w14:paraId="174D31A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本项目特征污染物为TSP、氟化物、NOx，为了解项目所在区域环境质量中的特征污染物现状，</w:t>
            </w:r>
            <w:r>
              <w:rPr>
                <w:rFonts w:hint="eastAsia" w:cs="Times New Roman"/>
                <w:color w:val="auto"/>
                <w:kern w:val="0"/>
                <w:sz w:val="21"/>
                <w:szCs w:val="21"/>
                <w:lang w:val="en-US" w:eastAsia="zh-CN"/>
              </w:rPr>
              <w:t>本项目引用</w:t>
            </w:r>
            <w:r>
              <w:rPr>
                <w:rFonts w:hint="eastAsia"/>
                <w:color w:val="auto"/>
                <w:szCs w:val="21"/>
                <w:lang w:val="en-US" w:eastAsia="zh-CN"/>
              </w:rPr>
              <w:t>华宁胜美琉璃瓦厂</w:t>
            </w:r>
            <w:r>
              <w:rPr>
                <w:rFonts w:hint="eastAsia" w:ascii="Times New Roman" w:hAnsi="Times New Roman" w:eastAsia="宋体" w:cs="Times New Roman"/>
                <w:color w:val="auto"/>
                <w:kern w:val="0"/>
                <w:sz w:val="21"/>
                <w:szCs w:val="21"/>
                <w:lang w:val="en-US" w:eastAsia="zh-CN"/>
              </w:rPr>
              <w:t>于2024年</w:t>
            </w:r>
            <w:r>
              <w:rPr>
                <w:rFonts w:hint="eastAsia" w:cs="Times New Roman"/>
                <w:color w:val="auto"/>
                <w:kern w:val="0"/>
                <w:sz w:val="21"/>
                <w:szCs w:val="21"/>
                <w:lang w:val="en-US" w:eastAsia="zh-CN"/>
              </w:rPr>
              <w:t>12</w:t>
            </w:r>
            <w:r>
              <w:rPr>
                <w:rFonts w:hint="eastAsia" w:ascii="Times New Roman" w:hAnsi="Times New Roman" w:eastAsia="宋体" w:cs="Times New Roman"/>
                <w:color w:val="auto"/>
                <w:kern w:val="0"/>
                <w:sz w:val="21"/>
                <w:szCs w:val="21"/>
                <w:lang w:val="en-US" w:eastAsia="zh-CN"/>
              </w:rPr>
              <w:t>月</w:t>
            </w:r>
            <w:r>
              <w:rPr>
                <w:rFonts w:hint="eastAsia" w:cs="Times New Roman"/>
                <w:color w:val="auto"/>
                <w:kern w:val="0"/>
                <w:sz w:val="21"/>
                <w:szCs w:val="21"/>
                <w:lang w:val="en-US" w:eastAsia="zh-CN"/>
              </w:rPr>
              <w:t>31</w:t>
            </w:r>
            <w:r>
              <w:rPr>
                <w:rFonts w:hint="eastAsia" w:ascii="Times New Roman" w:hAnsi="Times New Roman" w:eastAsia="宋体" w:cs="Times New Roman"/>
                <w:color w:val="auto"/>
                <w:kern w:val="0"/>
                <w:sz w:val="21"/>
                <w:szCs w:val="21"/>
                <w:lang w:val="en-US" w:eastAsia="zh-CN"/>
              </w:rPr>
              <w:t>日~202</w:t>
            </w:r>
            <w:r>
              <w:rPr>
                <w:rFonts w:hint="eastAsia" w:cs="Times New Roman"/>
                <w:color w:val="auto"/>
                <w:kern w:val="0"/>
                <w:sz w:val="21"/>
                <w:szCs w:val="21"/>
                <w:lang w:val="en-US" w:eastAsia="zh-CN"/>
              </w:rPr>
              <w:t>5</w:t>
            </w:r>
            <w:r>
              <w:rPr>
                <w:rFonts w:hint="eastAsia" w:ascii="Times New Roman" w:hAnsi="Times New Roman" w:eastAsia="宋体" w:cs="Times New Roman"/>
                <w:color w:val="auto"/>
                <w:kern w:val="0"/>
                <w:sz w:val="21"/>
                <w:szCs w:val="21"/>
                <w:lang w:val="en-US" w:eastAsia="zh-CN"/>
              </w:rPr>
              <w:t>年</w:t>
            </w:r>
            <w:r>
              <w:rPr>
                <w:rFonts w:hint="eastAsia" w:cs="Times New Roman"/>
                <w:color w:val="auto"/>
                <w:kern w:val="0"/>
                <w:sz w:val="21"/>
                <w:szCs w:val="21"/>
                <w:lang w:val="en-US" w:eastAsia="zh-CN"/>
              </w:rPr>
              <w:t>1</w:t>
            </w:r>
            <w:r>
              <w:rPr>
                <w:rFonts w:hint="eastAsia" w:ascii="Times New Roman" w:hAnsi="Times New Roman" w:eastAsia="宋体" w:cs="Times New Roman"/>
                <w:color w:val="auto"/>
                <w:kern w:val="0"/>
                <w:sz w:val="21"/>
                <w:szCs w:val="21"/>
                <w:lang w:val="en-US" w:eastAsia="zh-CN"/>
              </w:rPr>
              <w:t>月</w:t>
            </w:r>
            <w:r>
              <w:rPr>
                <w:rFonts w:hint="eastAsia" w:cs="Times New Roman"/>
                <w:color w:val="auto"/>
                <w:kern w:val="0"/>
                <w:sz w:val="21"/>
                <w:szCs w:val="21"/>
                <w:lang w:val="en-US" w:eastAsia="zh-CN"/>
              </w:rPr>
              <w:t>2</w:t>
            </w:r>
            <w:r>
              <w:rPr>
                <w:rFonts w:hint="eastAsia" w:ascii="Times New Roman" w:hAnsi="Times New Roman" w:eastAsia="宋体" w:cs="Times New Roman"/>
                <w:color w:val="auto"/>
                <w:kern w:val="0"/>
                <w:sz w:val="21"/>
                <w:szCs w:val="21"/>
                <w:lang w:val="en-US" w:eastAsia="zh-CN"/>
              </w:rPr>
              <w:t>日对</w:t>
            </w:r>
            <w:r>
              <w:rPr>
                <w:rFonts w:hint="eastAsia" w:cs="Times New Roman"/>
                <w:color w:val="auto"/>
                <w:kern w:val="0"/>
                <w:sz w:val="21"/>
                <w:szCs w:val="21"/>
                <w:lang w:val="en-US" w:eastAsia="zh-CN"/>
              </w:rPr>
              <w:t>委托云南清源环境科技有限公司对区域内TSP、氟化物、</w:t>
            </w:r>
            <w:r>
              <w:rPr>
                <w:rFonts w:hint="eastAsia" w:ascii="Times New Roman" w:hAnsi="Times New Roman" w:eastAsia="宋体" w:cs="Times New Roman"/>
                <w:color w:val="auto"/>
                <w:kern w:val="0"/>
                <w:sz w:val="21"/>
                <w:szCs w:val="21"/>
                <w:lang w:val="en-US" w:eastAsia="zh-CN"/>
              </w:rPr>
              <w:t>NOx现状监测</w:t>
            </w:r>
            <w:r>
              <w:rPr>
                <w:rFonts w:hint="eastAsia" w:cs="Times New Roman"/>
                <w:color w:val="auto"/>
                <w:kern w:val="0"/>
                <w:sz w:val="21"/>
                <w:szCs w:val="21"/>
                <w:lang w:val="en-US" w:eastAsia="zh-CN"/>
              </w:rPr>
              <w:t>结果，</w:t>
            </w:r>
            <w:r>
              <w:rPr>
                <w:rFonts w:hint="eastAsia" w:ascii="Times New Roman" w:hAnsi="Times New Roman" w:eastAsia="宋体" w:cs="Times New Roman"/>
                <w:color w:val="auto"/>
                <w:kern w:val="0"/>
                <w:sz w:val="21"/>
                <w:szCs w:val="21"/>
                <w:lang w:val="en-US" w:eastAsia="zh-CN"/>
              </w:rPr>
              <w:t>监测结果统计见下表，补充检测报告见附件。</w:t>
            </w:r>
          </w:p>
          <w:p w14:paraId="3922CE6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表3</w:t>
            </w:r>
            <w:r>
              <w:rPr>
                <w:rFonts w:hint="eastAsia" w:ascii="Times New Roman" w:hAnsi="Times New Roman" w:eastAsia="宋体" w:cs="Times New Roman"/>
                <w:b/>
                <w:bCs/>
                <w:color w:val="auto"/>
                <w:kern w:val="2"/>
                <w:sz w:val="21"/>
                <w:szCs w:val="21"/>
                <w:lang w:val="en-US" w:eastAsia="zh-CN" w:bidi="ar-SA"/>
              </w:rPr>
              <w:t xml:space="preserve">-3-1  </w:t>
            </w:r>
            <w:r>
              <w:rPr>
                <w:rFonts w:hint="default" w:ascii="Times New Roman" w:hAnsi="Times New Roman" w:eastAsia="宋体" w:cs="Times New Roman"/>
                <w:b/>
                <w:bCs/>
                <w:color w:val="auto"/>
                <w:kern w:val="2"/>
                <w:sz w:val="21"/>
                <w:szCs w:val="21"/>
                <w:lang w:val="en-US" w:eastAsia="zh-CN" w:bidi="ar-SA"/>
              </w:rPr>
              <w:t>环境空气质量现状补充监测点位布设情况一览表</w:t>
            </w:r>
          </w:p>
          <w:tbl>
            <w:tblPr>
              <w:tblStyle w:val="29"/>
              <w:tblW w:w="79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27"/>
              <w:gridCol w:w="3205"/>
              <w:gridCol w:w="1383"/>
              <w:gridCol w:w="1983"/>
            </w:tblGrid>
            <w:tr w14:paraId="2EC33F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6" w:hRule="atLeast"/>
                <w:jc w:val="center"/>
              </w:trPr>
              <w:tc>
                <w:tcPr>
                  <w:tcW w:w="1427" w:type="dxa"/>
                  <w:tcBorders>
                    <w:left w:val="single" w:color="auto" w:sz="4" w:space="0"/>
                    <w:right w:val="single" w:color="auto" w:sz="4" w:space="0"/>
                  </w:tcBorders>
                  <w:noWrap w:val="0"/>
                  <w:vAlign w:val="center"/>
                </w:tcPr>
                <w:p w14:paraId="2B5F6F2E">
                  <w:pPr>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检测类别</w:t>
                  </w:r>
                </w:p>
              </w:tc>
              <w:tc>
                <w:tcPr>
                  <w:tcW w:w="3205" w:type="dxa"/>
                  <w:tcBorders>
                    <w:left w:val="single" w:color="auto" w:sz="4" w:space="0"/>
                    <w:right w:val="single" w:color="auto" w:sz="4" w:space="0"/>
                  </w:tcBorders>
                  <w:noWrap w:val="0"/>
                  <w:vAlign w:val="center"/>
                </w:tcPr>
                <w:p w14:paraId="00ADDC3D">
                  <w:pPr>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检测点位</w:t>
                  </w:r>
                </w:p>
              </w:tc>
              <w:tc>
                <w:tcPr>
                  <w:tcW w:w="1383" w:type="dxa"/>
                  <w:tcBorders>
                    <w:left w:val="single" w:color="auto" w:sz="4" w:space="0"/>
                  </w:tcBorders>
                  <w:noWrap w:val="0"/>
                  <w:vAlign w:val="center"/>
                </w:tcPr>
                <w:p w14:paraId="57AE8958">
                  <w:pPr>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检测项目</w:t>
                  </w:r>
                </w:p>
              </w:tc>
              <w:tc>
                <w:tcPr>
                  <w:tcW w:w="1983" w:type="dxa"/>
                  <w:tcBorders>
                    <w:left w:val="single" w:color="auto" w:sz="4" w:space="0"/>
                  </w:tcBorders>
                  <w:noWrap w:val="0"/>
                  <w:vAlign w:val="center"/>
                </w:tcPr>
                <w:p w14:paraId="5F1AD731">
                  <w:pPr>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检测频次</w:t>
                  </w:r>
                </w:p>
              </w:tc>
            </w:tr>
            <w:tr w14:paraId="4E32B0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9" w:hRule="atLeast"/>
                <w:jc w:val="center"/>
              </w:trPr>
              <w:tc>
                <w:tcPr>
                  <w:tcW w:w="1427" w:type="dxa"/>
                  <w:tcBorders>
                    <w:left w:val="single" w:color="auto" w:sz="4" w:space="0"/>
                    <w:right w:val="single" w:color="auto" w:sz="4" w:space="0"/>
                  </w:tcBorders>
                  <w:noWrap w:val="0"/>
                  <w:vAlign w:val="center"/>
                </w:tcPr>
                <w:p w14:paraId="4BA65C21">
                  <w:pPr>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环境空气</w:t>
                  </w:r>
                </w:p>
              </w:tc>
              <w:tc>
                <w:tcPr>
                  <w:tcW w:w="3205" w:type="dxa"/>
                  <w:tcBorders>
                    <w:left w:val="single" w:color="auto" w:sz="4" w:space="0"/>
                    <w:right w:val="single" w:color="auto" w:sz="4" w:space="0"/>
                  </w:tcBorders>
                  <w:noWrap w:val="0"/>
                  <w:vAlign w:val="center"/>
                </w:tcPr>
                <w:p w14:paraId="21C436AE">
                  <w:pPr>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东经</w:t>
                  </w:r>
                  <w:r>
                    <w:rPr>
                      <w:rFonts w:hint="eastAsia" w:ascii="Times New Roman" w:hAnsi="Times New Roman" w:eastAsia="宋体" w:cs="Times New Roman"/>
                      <w:color w:val="auto"/>
                      <w:kern w:val="2"/>
                      <w:sz w:val="21"/>
                      <w:szCs w:val="21"/>
                      <w:lang w:val="en-US" w:eastAsia="zh-CN" w:bidi="ar-SA"/>
                    </w:rPr>
                    <w:t>102°55'09.613"</w:t>
                  </w:r>
                  <w:r>
                    <w:rPr>
                      <w:rFonts w:hint="eastAsia" w:cs="Times New Roman"/>
                      <w:color w:val="auto"/>
                      <w:kern w:val="2"/>
                      <w:sz w:val="21"/>
                      <w:szCs w:val="21"/>
                      <w:lang w:val="en-US" w:eastAsia="zh-CN" w:bidi="ar-SA"/>
                    </w:rPr>
                    <w:t>北纬</w:t>
                  </w:r>
                  <w:r>
                    <w:rPr>
                      <w:rFonts w:hint="eastAsia" w:ascii="Times New Roman" w:hAnsi="Times New Roman" w:eastAsia="宋体" w:cs="Times New Roman"/>
                      <w:color w:val="auto"/>
                      <w:kern w:val="2"/>
                      <w:sz w:val="21"/>
                      <w:szCs w:val="21"/>
                      <w:lang w:val="en-US" w:eastAsia="zh-CN" w:bidi="ar-SA"/>
                    </w:rPr>
                    <w:t>24°12'30.967"</w:t>
                  </w:r>
                </w:p>
              </w:tc>
              <w:tc>
                <w:tcPr>
                  <w:tcW w:w="1383" w:type="dxa"/>
                  <w:tcBorders>
                    <w:left w:val="single" w:color="auto" w:sz="4" w:space="0"/>
                  </w:tcBorders>
                  <w:noWrap w:val="0"/>
                  <w:vAlign w:val="center"/>
                </w:tcPr>
                <w:p w14:paraId="01F70836">
                  <w:pPr>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Cs/>
                      <w:color w:val="auto"/>
                      <w:kern w:val="2"/>
                      <w:sz w:val="21"/>
                      <w:szCs w:val="21"/>
                      <w:highlight w:val="none"/>
                      <w:lang w:val="en-US" w:eastAsia="zh-CN" w:bidi="ar-SA"/>
                    </w:rPr>
                    <w:t>TSP、氟化物、NOx</w:t>
                  </w:r>
                </w:p>
              </w:tc>
              <w:tc>
                <w:tcPr>
                  <w:tcW w:w="1983" w:type="dxa"/>
                  <w:tcBorders>
                    <w:left w:val="single" w:color="auto" w:sz="4" w:space="0"/>
                  </w:tcBorders>
                  <w:noWrap w:val="0"/>
                  <w:vAlign w:val="center"/>
                </w:tcPr>
                <w:p w14:paraId="0BB65FD5">
                  <w:pPr>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采样3天，每点每天检测1次</w:t>
                  </w:r>
                </w:p>
              </w:tc>
            </w:tr>
          </w:tbl>
          <w:p w14:paraId="1EACC36C">
            <w:pPr>
              <w:widowControl w:val="0"/>
              <w:spacing w:line="240" w:lineRule="auto"/>
              <w:ind w:firstLine="0" w:firstLineChars="0"/>
              <w:jc w:val="center"/>
              <w:rPr>
                <w:rFonts w:hint="default" w:ascii="Times New Roman" w:hAnsi="Times New Roman" w:eastAsia="宋体" w:cs="黑体"/>
                <w:b/>
                <w:color w:val="auto"/>
                <w:kern w:val="2"/>
                <w:sz w:val="21"/>
                <w:szCs w:val="24"/>
                <w:highlight w:val="none"/>
                <w:lang w:val="en-US" w:eastAsia="zh-CN" w:bidi="ar-SA"/>
              </w:rPr>
            </w:pPr>
            <w:r>
              <w:rPr>
                <w:rFonts w:hint="eastAsia" w:ascii="Times New Roman" w:hAnsi="Times New Roman" w:eastAsia="宋体" w:cs="黑体"/>
                <w:b/>
                <w:color w:val="auto"/>
                <w:kern w:val="2"/>
                <w:sz w:val="21"/>
                <w:szCs w:val="24"/>
                <w:highlight w:val="none"/>
                <w:lang w:val="en-US" w:eastAsia="zh-CN" w:bidi="ar-SA"/>
              </w:rPr>
              <w:t>表3-3</w:t>
            </w:r>
            <w:r>
              <w:rPr>
                <w:rFonts w:hint="eastAsia" w:cs="黑体"/>
                <w:b/>
                <w:color w:val="auto"/>
                <w:kern w:val="2"/>
                <w:sz w:val="21"/>
                <w:szCs w:val="24"/>
                <w:highlight w:val="none"/>
                <w:lang w:val="en-US" w:eastAsia="zh-CN" w:bidi="ar-SA"/>
              </w:rPr>
              <w:t>-2</w:t>
            </w:r>
            <w:r>
              <w:rPr>
                <w:rFonts w:hint="eastAsia" w:ascii="Times New Roman" w:hAnsi="Times New Roman" w:eastAsia="宋体" w:cs="黑体"/>
                <w:b/>
                <w:color w:val="auto"/>
                <w:kern w:val="2"/>
                <w:sz w:val="21"/>
                <w:szCs w:val="24"/>
                <w:highlight w:val="none"/>
                <w:lang w:val="en-US" w:eastAsia="zh-CN" w:bidi="ar-SA"/>
              </w:rPr>
              <w:t xml:space="preserve">  环境空气监测结果一览表</w:t>
            </w:r>
          </w:p>
          <w:tbl>
            <w:tblPr>
              <w:tblStyle w:val="30"/>
              <w:tblW w:w="80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51"/>
              <w:gridCol w:w="2280"/>
              <w:gridCol w:w="1394"/>
              <w:gridCol w:w="1033"/>
              <w:gridCol w:w="1019"/>
            </w:tblGrid>
            <w:tr w14:paraId="4ED315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9" w:hRule="atLeast"/>
                <w:tblHeader/>
                <w:jc w:val="center"/>
              </w:trPr>
              <w:tc>
                <w:tcPr>
                  <w:tcW w:w="2351" w:type="dxa"/>
                  <w:tcBorders>
                    <w:tl2br w:val="nil"/>
                    <w:tr2bl w:val="nil"/>
                  </w:tcBorders>
                  <w:vAlign w:val="center"/>
                </w:tcPr>
                <w:p w14:paraId="0DEBEDFF">
                  <w:pPr>
                    <w:pStyle w:val="81"/>
                    <w:keepNext w:val="0"/>
                    <w:keepLines w:val="0"/>
                    <w:pageBreakBefore w:val="0"/>
                    <w:kinsoku/>
                    <w:wordWrap/>
                    <w:overflowPunct/>
                    <w:topLinePunct w:val="0"/>
                    <w:autoSpaceDE/>
                    <w:autoSpaceDN/>
                    <w:bidi w:val="0"/>
                    <w:adjustRightInd/>
                    <w:snapToGrid w:val="0"/>
                    <w:spacing w:before="95" w:beforeLines="30" w:after="95" w:afterLines="30"/>
                    <w:ind w:left="-84" w:leftChars="-40" w:right="-84" w:rightChars="-40" w:firstLine="0" w:firstLineChars="0"/>
                    <w:jc w:val="center"/>
                    <w:rPr>
                      <w:b/>
                      <w:bCs/>
                      <w:color w:val="auto"/>
                    </w:rPr>
                  </w:pPr>
                  <w:r>
                    <w:rPr>
                      <w:b/>
                      <w:bCs/>
                      <w:color w:val="auto"/>
                    </w:rPr>
                    <w:t>采样时间</w:t>
                  </w:r>
                </w:p>
              </w:tc>
              <w:tc>
                <w:tcPr>
                  <w:tcW w:w="2280" w:type="dxa"/>
                  <w:tcBorders>
                    <w:tl2br w:val="nil"/>
                    <w:tr2bl w:val="nil"/>
                  </w:tcBorders>
                  <w:vAlign w:val="center"/>
                </w:tcPr>
                <w:p w14:paraId="41C9F1CA">
                  <w:pPr>
                    <w:pStyle w:val="81"/>
                    <w:keepNext w:val="0"/>
                    <w:keepLines w:val="0"/>
                    <w:pageBreakBefore w:val="0"/>
                    <w:kinsoku/>
                    <w:wordWrap/>
                    <w:overflowPunct/>
                    <w:topLinePunct w:val="0"/>
                    <w:autoSpaceDE/>
                    <w:autoSpaceDN/>
                    <w:bidi w:val="0"/>
                    <w:adjustRightInd/>
                    <w:snapToGrid w:val="0"/>
                    <w:spacing w:before="95" w:beforeLines="30" w:after="95" w:afterLines="30"/>
                    <w:ind w:left="-84" w:leftChars="-40" w:right="-84" w:rightChars="-40" w:firstLine="0" w:firstLineChars="0"/>
                    <w:jc w:val="center"/>
                    <w:rPr>
                      <w:b/>
                      <w:bCs/>
                      <w:color w:val="auto"/>
                    </w:rPr>
                  </w:pPr>
                  <w:r>
                    <w:rPr>
                      <w:b/>
                      <w:bCs/>
                      <w:color w:val="auto"/>
                    </w:rPr>
                    <w:t>采样时段</w:t>
                  </w:r>
                </w:p>
              </w:tc>
              <w:tc>
                <w:tcPr>
                  <w:tcW w:w="1394" w:type="dxa"/>
                  <w:tcBorders>
                    <w:tl2br w:val="nil"/>
                    <w:tr2bl w:val="nil"/>
                  </w:tcBorders>
                  <w:vAlign w:val="center"/>
                </w:tcPr>
                <w:p w14:paraId="11BFB997">
                  <w:pPr>
                    <w:pStyle w:val="81"/>
                    <w:keepNext w:val="0"/>
                    <w:keepLines w:val="0"/>
                    <w:pageBreakBefore w:val="0"/>
                    <w:kinsoku/>
                    <w:wordWrap/>
                    <w:overflowPunct/>
                    <w:topLinePunct w:val="0"/>
                    <w:autoSpaceDE/>
                    <w:autoSpaceDN/>
                    <w:bidi w:val="0"/>
                    <w:adjustRightInd/>
                    <w:snapToGrid w:val="0"/>
                    <w:spacing w:before="95" w:beforeLines="30" w:after="95" w:afterLines="30"/>
                    <w:ind w:left="-84" w:leftChars="-40" w:right="-84" w:rightChars="-40" w:firstLine="0" w:firstLineChars="0"/>
                    <w:jc w:val="center"/>
                    <w:rPr>
                      <w:b/>
                      <w:bCs/>
                      <w:color w:val="auto"/>
                    </w:rPr>
                  </w:pPr>
                  <w:r>
                    <w:rPr>
                      <w:b/>
                      <w:bCs/>
                      <w:color w:val="auto"/>
                    </w:rPr>
                    <w:t>总悬浮颗粒物（μg/m³）</w:t>
                  </w:r>
                </w:p>
              </w:tc>
              <w:tc>
                <w:tcPr>
                  <w:tcW w:w="1033" w:type="dxa"/>
                  <w:tcBorders>
                    <w:tl2br w:val="nil"/>
                    <w:tr2bl w:val="nil"/>
                  </w:tcBorders>
                  <w:vAlign w:val="center"/>
                </w:tcPr>
                <w:p w14:paraId="689AE58A">
                  <w:pPr>
                    <w:pStyle w:val="81"/>
                    <w:keepNext w:val="0"/>
                    <w:keepLines w:val="0"/>
                    <w:pageBreakBefore w:val="0"/>
                    <w:kinsoku/>
                    <w:wordWrap/>
                    <w:overflowPunct/>
                    <w:topLinePunct w:val="0"/>
                    <w:autoSpaceDE/>
                    <w:autoSpaceDN/>
                    <w:bidi w:val="0"/>
                    <w:adjustRightInd/>
                    <w:snapToGrid w:val="0"/>
                    <w:spacing w:before="95" w:beforeLines="30" w:after="95" w:afterLines="30"/>
                    <w:ind w:left="-84" w:leftChars="-40" w:right="-84" w:rightChars="-40" w:firstLine="0" w:firstLineChars="0"/>
                    <w:jc w:val="center"/>
                    <w:rPr>
                      <w:b/>
                      <w:bCs/>
                      <w:color w:val="auto"/>
                    </w:rPr>
                  </w:pPr>
                  <w:r>
                    <w:rPr>
                      <w:rFonts w:hint="eastAsia" w:ascii="Times New Roman" w:hAnsi="Times New Roman" w:cs="Times New Roman"/>
                      <w:b/>
                      <w:bCs/>
                      <w:color w:val="auto"/>
                      <w:sz w:val="21"/>
                      <w:szCs w:val="21"/>
                      <w:lang w:val="en-US" w:eastAsia="zh-CN"/>
                    </w:rPr>
                    <w:t>氟化物</w:t>
                  </w:r>
                  <w:r>
                    <w:rPr>
                      <w:rFonts w:hint="default" w:ascii="Times New Roman" w:hAnsi="Times New Roman" w:cs="Times New Roman"/>
                      <w:b/>
                      <w:bCs/>
                      <w:color w:val="auto"/>
                      <w:sz w:val="21"/>
                      <w:szCs w:val="21"/>
                    </w:rPr>
                    <w:t>（</w:t>
                  </w:r>
                  <w:r>
                    <w:rPr>
                      <w:rFonts w:hint="default" w:ascii="Times New Roman" w:hAnsi="Times New Roman" w:cs="Times New Roman"/>
                      <w:b/>
                      <w:bCs/>
                      <w:color w:val="auto"/>
                      <w:sz w:val="21"/>
                      <w:szCs w:val="21"/>
                      <w:lang w:val="en-US" w:eastAsia="zh-CN"/>
                    </w:rPr>
                    <w:t>μg</w:t>
                  </w:r>
                  <w:r>
                    <w:rPr>
                      <w:rFonts w:hint="default" w:ascii="Times New Roman" w:hAnsi="Times New Roman" w:cs="Times New Roman"/>
                      <w:b/>
                      <w:bCs/>
                      <w:color w:val="auto"/>
                      <w:sz w:val="21"/>
                      <w:szCs w:val="21"/>
                    </w:rPr>
                    <w:t>/m³）</w:t>
                  </w:r>
                </w:p>
              </w:tc>
              <w:tc>
                <w:tcPr>
                  <w:tcW w:w="1019" w:type="dxa"/>
                  <w:tcBorders>
                    <w:tl2br w:val="nil"/>
                    <w:tr2bl w:val="nil"/>
                  </w:tcBorders>
                  <w:vAlign w:val="center"/>
                </w:tcPr>
                <w:p w14:paraId="07147439">
                  <w:pPr>
                    <w:pStyle w:val="81"/>
                    <w:keepNext w:val="0"/>
                    <w:keepLines w:val="0"/>
                    <w:pageBreakBefore w:val="0"/>
                    <w:kinsoku/>
                    <w:wordWrap/>
                    <w:overflowPunct/>
                    <w:topLinePunct w:val="0"/>
                    <w:autoSpaceDE/>
                    <w:autoSpaceDN/>
                    <w:bidi w:val="0"/>
                    <w:adjustRightInd/>
                    <w:snapToGrid w:val="0"/>
                    <w:spacing w:before="95" w:beforeLines="30" w:after="95" w:afterLines="30"/>
                    <w:ind w:left="-84" w:leftChars="-40" w:right="-84" w:rightChars="-40" w:firstLine="0" w:firstLineChars="0"/>
                    <w:jc w:val="center"/>
                    <w:rPr>
                      <w:b/>
                      <w:bCs/>
                      <w:color w:val="auto"/>
                    </w:rPr>
                  </w:pPr>
                  <w:r>
                    <w:rPr>
                      <w:rFonts w:hint="default" w:ascii="Times New Roman" w:hAnsi="Times New Roman" w:eastAsia="宋体" w:cs="Times New Roman"/>
                      <w:b/>
                      <w:bCs/>
                      <w:color w:val="auto"/>
                      <w:sz w:val="21"/>
                      <w:szCs w:val="21"/>
                    </w:rPr>
                    <w:t>氮氧化物（</w:t>
                  </w:r>
                  <w:r>
                    <w:rPr>
                      <w:rFonts w:hint="default" w:ascii="Times New Roman" w:hAnsi="Times New Roman" w:cs="Times New Roman"/>
                      <w:b/>
                      <w:bCs/>
                      <w:color w:val="auto"/>
                      <w:sz w:val="21"/>
                      <w:szCs w:val="21"/>
                      <w:lang w:val="en-US" w:eastAsia="zh-CN"/>
                    </w:rPr>
                    <w:t>μ</w:t>
                  </w:r>
                  <w:r>
                    <w:rPr>
                      <w:rFonts w:hint="default" w:ascii="Times New Roman" w:hAnsi="Times New Roman" w:eastAsia="宋体" w:cs="Times New Roman"/>
                      <w:b/>
                      <w:bCs/>
                      <w:color w:val="auto"/>
                      <w:sz w:val="21"/>
                      <w:szCs w:val="21"/>
                    </w:rPr>
                    <w:t>g/m³）</w:t>
                  </w:r>
                </w:p>
              </w:tc>
            </w:tr>
            <w:tr w14:paraId="718C37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atLeast"/>
                <w:tblHeader/>
                <w:jc w:val="center"/>
              </w:trPr>
              <w:tc>
                <w:tcPr>
                  <w:tcW w:w="2351" w:type="dxa"/>
                  <w:tcBorders>
                    <w:tl2br w:val="nil"/>
                    <w:tr2bl w:val="nil"/>
                  </w:tcBorders>
                  <w:vAlign w:val="center"/>
                </w:tcPr>
                <w:p w14:paraId="0D3BF5B6">
                  <w:pPr>
                    <w:keepNext w:val="0"/>
                    <w:keepLines w:val="0"/>
                    <w:pageBreakBefore w:val="0"/>
                    <w:widowControl/>
                    <w:kinsoku/>
                    <w:wordWrap/>
                    <w:overflowPunct/>
                    <w:topLinePunct w:val="0"/>
                    <w:autoSpaceDE/>
                    <w:autoSpaceDN/>
                    <w:bidi w:val="0"/>
                    <w:adjustRightInd/>
                    <w:snapToGrid w:val="0"/>
                    <w:spacing w:before="95" w:beforeLines="30" w:after="95" w:afterLines="30"/>
                    <w:ind w:left="-84" w:leftChars="-40" w:right="-84" w:rightChars="-40"/>
                    <w:jc w:val="center"/>
                    <w:textAlignment w:val="center"/>
                    <w:rPr>
                      <w:rFonts w:hint="default" w:eastAsia="宋体"/>
                      <w:color w:val="auto"/>
                      <w:lang w:val="en-US" w:eastAsia="zh-CN"/>
                    </w:rPr>
                  </w:pPr>
                  <w:r>
                    <w:rPr>
                      <w:rFonts w:hint="eastAsia"/>
                      <w:color w:val="auto"/>
                      <w:lang w:val="en-US" w:eastAsia="zh-CN"/>
                    </w:rPr>
                    <w:t>2024.12.31~2025.01.01</w:t>
                  </w:r>
                </w:p>
              </w:tc>
              <w:tc>
                <w:tcPr>
                  <w:tcW w:w="2280" w:type="dxa"/>
                  <w:tcBorders>
                    <w:tl2br w:val="nil"/>
                    <w:tr2bl w:val="nil"/>
                  </w:tcBorders>
                  <w:vAlign w:val="center"/>
                </w:tcPr>
                <w:p w14:paraId="1190927F">
                  <w:pPr>
                    <w:keepNext w:val="0"/>
                    <w:keepLines w:val="0"/>
                    <w:pageBreakBefore w:val="0"/>
                    <w:widowControl/>
                    <w:kinsoku/>
                    <w:wordWrap/>
                    <w:overflowPunct/>
                    <w:topLinePunct w:val="0"/>
                    <w:autoSpaceDE/>
                    <w:autoSpaceDN/>
                    <w:bidi w:val="0"/>
                    <w:adjustRightInd/>
                    <w:snapToGrid w:val="0"/>
                    <w:spacing w:before="95" w:beforeLines="30" w:after="95" w:afterLines="30"/>
                    <w:ind w:left="-84" w:leftChars="-40" w:right="-84" w:rightChars="-40"/>
                    <w:jc w:val="center"/>
                    <w:textAlignment w:val="center"/>
                    <w:rPr>
                      <w:color w:val="auto"/>
                    </w:rPr>
                  </w:pPr>
                  <w:r>
                    <w:rPr>
                      <w:rFonts w:hint="eastAsia"/>
                      <w:color w:val="auto"/>
                    </w:rPr>
                    <w:t>09:</w:t>
                  </w:r>
                  <w:r>
                    <w:rPr>
                      <w:rFonts w:hint="eastAsia"/>
                      <w:color w:val="auto"/>
                      <w:lang w:val="en-US" w:eastAsia="zh-CN"/>
                    </w:rPr>
                    <w:t>45</w:t>
                  </w:r>
                  <w:r>
                    <w:rPr>
                      <w:rFonts w:hint="eastAsia"/>
                      <w:color w:val="auto"/>
                    </w:rPr>
                    <w:t>~次日09:</w:t>
                  </w:r>
                  <w:r>
                    <w:rPr>
                      <w:rFonts w:hint="eastAsia"/>
                      <w:color w:val="auto"/>
                      <w:lang w:val="en-US" w:eastAsia="zh-CN"/>
                    </w:rPr>
                    <w:t>45</w:t>
                  </w:r>
                </w:p>
              </w:tc>
              <w:tc>
                <w:tcPr>
                  <w:tcW w:w="1394" w:type="dxa"/>
                  <w:tcBorders>
                    <w:tl2br w:val="nil"/>
                    <w:tr2bl w:val="nil"/>
                  </w:tcBorders>
                  <w:vAlign w:val="center"/>
                </w:tcPr>
                <w:p w14:paraId="3034BA37">
                  <w:pPr>
                    <w:keepNext w:val="0"/>
                    <w:keepLines w:val="0"/>
                    <w:pageBreakBefore w:val="0"/>
                    <w:kinsoku/>
                    <w:wordWrap/>
                    <w:overflowPunct/>
                    <w:topLinePunct w:val="0"/>
                    <w:autoSpaceDE/>
                    <w:autoSpaceDN/>
                    <w:bidi w:val="0"/>
                    <w:adjustRightInd/>
                    <w:snapToGrid w:val="0"/>
                    <w:spacing w:before="95" w:beforeLines="30" w:after="95" w:afterLines="30"/>
                    <w:ind w:left="-84" w:leftChars="-40" w:right="-84" w:rightChars="-40"/>
                    <w:jc w:val="center"/>
                    <w:rPr>
                      <w:rFonts w:hint="default" w:eastAsia="宋体"/>
                      <w:color w:val="auto"/>
                      <w:lang w:val="en-US" w:eastAsia="zh-CN"/>
                    </w:rPr>
                  </w:pPr>
                  <w:r>
                    <w:rPr>
                      <w:rFonts w:hint="eastAsia"/>
                      <w:color w:val="auto"/>
                      <w:lang w:val="en-US" w:eastAsia="zh-CN"/>
                    </w:rPr>
                    <w:t>88</w:t>
                  </w:r>
                </w:p>
              </w:tc>
              <w:tc>
                <w:tcPr>
                  <w:tcW w:w="1033" w:type="dxa"/>
                  <w:tcBorders>
                    <w:tl2br w:val="nil"/>
                    <w:tr2bl w:val="nil"/>
                  </w:tcBorders>
                  <w:vAlign w:val="center"/>
                </w:tcPr>
                <w:p w14:paraId="3D2C7E2E">
                  <w:pPr>
                    <w:keepNext w:val="0"/>
                    <w:keepLines w:val="0"/>
                    <w:pageBreakBefore w:val="0"/>
                    <w:kinsoku/>
                    <w:wordWrap/>
                    <w:overflowPunct/>
                    <w:topLinePunct w:val="0"/>
                    <w:autoSpaceDE/>
                    <w:autoSpaceDN/>
                    <w:bidi w:val="0"/>
                    <w:adjustRightInd/>
                    <w:snapToGrid w:val="0"/>
                    <w:spacing w:before="95" w:beforeLines="30" w:after="95" w:afterLines="30"/>
                    <w:ind w:left="-84" w:leftChars="-40" w:right="-84" w:rightChars="-40"/>
                    <w:jc w:val="center"/>
                    <w:rPr>
                      <w:rFonts w:hint="default"/>
                      <w:color w:val="auto"/>
                      <w:lang w:val="en-US" w:eastAsia="zh-CN"/>
                    </w:rPr>
                  </w:pPr>
                  <w:r>
                    <w:rPr>
                      <w:rFonts w:hint="eastAsia"/>
                      <w:color w:val="auto"/>
                      <w:lang w:val="en-US" w:eastAsia="zh-CN"/>
                    </w:rPr>
                    <w:t>1.1</w:t>
                  </w:r>
                </w:p>
              </w:tc>
              <w:tc>
                <w:tcPr>
                  <w:tcW w:w="1019" w:type="dxa"/>
                  <w:tcBorders>
                    <w:tl2br w:val="nil"/>
                    <w:tr2bl w:val="nil"/>
                  </w:tcBorders>
                  <w:vAlign w:val="center"/>
                </w:tcPr>
                <w:p w14:paraId="6D1BD74D">
                  <w:pPr>
                    <w:keepNext w:val="0"/>
                    <w:keepLines w:val="0"/>
                    <w:pageBreakBefore w:val="0"/>
                    <w:kinsoku/>
                    <w:wordWrap/>
                    <w:overflowPunct/>
                    <w:topLinePunct w:val="0"/>
                    <w:autoSpaceDE/>
                    <w:autoSpaceDN/>
                    <w:bidi w:val="0"/>
                    <w:adjustRightInd/>
                    <w:snapToGrid w:val="0"/>
                    <w:spacing w:before="95" w:beforeLines="30" w:after="95" w:afterLines="30"/>
                    <w:ind w:left="-84" w:leftChars="-40" w:right="-84" w:rightChars="-40"/>
                    <w:jc w:val="center"/>
                    <w:rPr>
                      <w:rFonts w:hint="default"/>
                      <w:color w:val="auto"/>
                      <w:lang w:val="en-US" w:eastAsia="zh-CN"/>
                    </w:rPr>
                  </w:pPr>
                  <w:r>
                    <w:rPr>
                      <w:rFonts w:hint="eastAsia"/>
                      <w:color w:val="auto"/>
                      <w:lang w:val="en-US" w:eastAsia="zh-CN"/>
                    </w:rPr>
                    <w:t>59</w:t>
                  </w:r>
                </w:p>
              </w:tc>
            </w:tr>
            <w:tr w14:paraId="3F6F5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atLeast"/>
                <w:tblHeader/>
                <w:jc w:val="center"/>
              </w:trPr>
              <w:tc>
                <w:tcPr>
                  <w:tcW w:w="2351" w:type="dxa"/>
                  <w:tcBorders>
                    <w:tl2br w:val="nil"/>
                    <w:tr2bl w:val="nil"/>
                  </w:tcBorders>
                  <w:vAlign w:val="center"/>
                </w:tcPr>
                <w:p w14:paraId="198AE20E">
                  <w:pPr>
                    <w:keepNext w:val="0"/>
                    <w:keepLines w:val="0"/>
                    <w:pageBreakBefore w:val="0"/>
                    <w:widowControl/>
                    <w:kinsoku/>
                    <w:wordWrap/>
                    <w:overflowPunct/>
                    <w:topLinePunct w:val="0"/>
                    <w:autoSpaceDE/>
                    <w:autoSpaceDN/>
                    <w:bidi w:val="0"/>
                    <w:adjustRightInd/>
                    <w:snapToGrid w:val="0"/>
                    <w:spacing w:before="95" w:beforeLines="30" w:after="95" w:afterLines="30"/>
                    <w:ind w:left="-84" w:leftChars="-40" w:right="-84" w:rightChars="-40"/>
                    <w:jc w:val="center"/>
                    <w:textAlignment w:val="center"/>
                    <w:rPr>
                      <w:rFonts w:hint="default" w:eastAsia="宋体"/>
                      <w:color w:val="auto"/>
                      <w:lang w:val="en-US" w:eastAsia="zh-CN"/>
                    </w:rPr>
                  </w:pPr>
                  <w:r>
                    <w:rPr>
                      <w:rFonts w:hint="eastAsia"/>
                      <w:color w:val="auto"/>
                      <w:lang w:val="en-US" w:eastAsia="zh-CN"/>
                    </w:rPr>
                    <w:t>2025.01.01~2025.01.02</w:t>
                  </w:r>
                </w:p>
              </w:tc>
              <w:tc>
                <w:tcPr>
                  <w:tcW w:w="2280" w:type="dxa"/>
                  <w:tcBorders>
                    <w:tl2br w:val="nil"/>
                    <w:tr2bl w:val="nil"/>
                  </w:tcBorders>
                  <w:vAlign w:val="center"/>
                </w:tcPr>
                <w:p w14:paraId="3C4CD535">
                  <w:pPr>
                    <w:keepNext w:val="0"/>
                    <w:keepLines w:val="0"/>
                    <w:pageBreakBefore w:val="0"/>
                    <w:widowControl/>
                    <w:kinsoku/>
                    <w:wordWrap/>
                    <w:overflowPunct/>
                    <w:topLinePunct w:val="0"/>
                    <w:autoSpaceDE/>
                    <w:autoSpaceDN/>
                    <w:bidi w:val="0"/>
                    <w:adjustRightInd/>
                    <w:snapToGrid w:val="0"/>
                    <w:spacing w:before="95" w:beforeLines="30" w:after="95" w:afterLines="30"/>
                    <w:ind w:left="-84" w:leftChars="-40" w:right="-84" w:rightChars="-40"/>
                    <w:jc w:val="center"/>
                    <w:textAlignment w:val="center"/>
                    <w:rPr>
                      <w:color w:val="auto"/>
                    </w:rPr>
                  </w:pPr>
                  <w:r>
                    <w:rPr>
                      <w:rFonts w:hint="eastAsia"/>
                      <w:color w:val="auto"/>
                    </w:rPr>
                    <w:t>09:</w:t>
                  </w:r>
                  <w:r>
                    <w:rPr>
                      <w:rFonts w:hint="eastAsia"/>
                      <w:color w:val="auto"/>
                      <w:lang w:val="en-US" w:eastAsia="zh-CN"/>
                    </w:rPr>
                    <w:t>50</w:t>
                  </w:r>
                  <w:r>
                    <w:rPr>
                      <w:rFonts w:hint="eastAsia"/>
                      <w:color w:val="auto"/>
                    </w:rPr>
                    <w:t>~次日09:</w:t>
                  </w:r>
                  <w:r>
                    <w:rPr>
                      <w:rFonts w:hint="eastAsia"/>
                      <w:color w:val="auto"/>
                      <w:lang w:val="en-US" w:eastAsia="zh-CN"/>
                    </w:rPr>
                    <w:t>50</w:t>
                  </w:r>
                </w:p>
              </w:tc>
              <w:tc>
                <w:tcPr>
                  <w:tcW w:w="1394" w:type="dxa"/>
                  <w:tcBorders>
                    <w:tl2br w:val="nil"/>
                    <w:tr2bl w:val="nil"/>
                  </w:tcBorders>
                  <w:vAlign w:val="center"/>
                </w:tcPr>
                <w:p w14:paraId="775D875E">
                  <w:pPr>
                    <w:keepNext w:val="0"/>
                    <w:keepLines w:val="0"/>
                    <w:pageBreakBefore w:val="0"/>
                    <w:kinsoku/>
                    <w:wordWrap/>
                    <w:overflowPunct/>
                    <w:topLinePunct w:val="0"/>
                    <w:autoSpaceDE/>
                    <w:autoSpaceDN/>
                    <w:bidi w:val="0"/>
                    <w:adjustRightInd/>
                    <w:snapToGrid w:val="0"/>
                    <w:spacing w:before="95" w:beforeLines="30" w:after="95" w:afterLines="30"/>
                    <w:ind w:left="-84" w:leftChars="-40" w:right="-84" w:rightChars="-40"/>
                    <w:jc w:val="center"/>
                    <w:rPr>
                      <w:rFonts w:hint="default" w:eastAsia="宋体"/>
                      <w:color w:val="auto"/>
                      <w:lang w:val="en-US" w:eastAsia="zh-CN"/>
                    </w:rPr>
                  </w:pPr>
                  <w:r>
                    <w:rPr>
                      <w:rFonts w:hint="eastAsia"/>
                      <w:color w:val="auto"/>
                      <w:lang w:val="en-US" w:eastAsia="zh-CN"/>
                    </w:rPr>
                    <w:t>70</w:t>
                  </w:r>
                </w:p>
              </w:tc>
              <w:tc>
                <w:tcPr>
                  <w:tcW w:w="1033" w:type="dxa"/>
                  <w:tcBorders>
                    <w:tl2br w:val="nil"/>
                    <w:tr2bl w:val="nil"/>
                  </w:tcBorders>
                  <w:vAlign w:val="center"/>
                </w:tcPr>
                <w:p w14:paraId="598021C0">
                  <w:pPr>
                    <w:keepNext w:val="0"/>
                    <w:keepLines w:val="0"/>
                    <w:pageBreakBefore w:val="0"/>
                    <w:kinsoku/>
                    <w:wordWrap/>
                    <w:overflowPunct/>
                    <w:topLinePunct w:val="0"/>
                    <w:autoSpaceDE/>
                    <w:autoSpaceDN/>
                    <w:bidi w:val="0"/>
                    <w:adjustRightInd/>
                    <w:snapToGrid w:val="0"/>
                    <w:spacing w:before="95" w:beforeLines="30" w:after="95" w:afterLines="30"/>
                    <w:ind w:left="-84" w:leftChars="-40" w:right="-84" w:rightChars="-40"/>
                    <w:jc w:val="center"/>
                    <w:rPr>
                      <w:rFonts w:hint="default"/>
                      <w:color w:val="auto"/>
                      <w:lang w:val="en-US" w:eastAsia="zh-CN"/>
                    </w:rPr>
                  </w:pPr>
                  <w:r>
                    <w:rPr>
                      <w:rFonts w:hint="eastAsia"/>
                      <w:color w:val="auto"/>
                      <w:lang w:val="en-US" w:eastAsia="zh-CN"/>
                    </w:rPr>
                    <w:t>1.0</w:t>
                  </w:r>
                </w:p>
              </w:tc>
              <w:tc>
                <w:tcPr>
                  <w:tcW w:w="1019" w:type="dxa"/>
                  <w:tcBorders>
                    <w:tl2br w:val="nil"/>
                    <w:tr2bl w:val="nil"/>
                  </w:tcBorders>
                  <w:vAlign w:val="center"/>
                </w:tcPr>
                <w:p w14:paraId="06C13D44">
                  <w:pPr>
                    <w:keepNext w:val="0"/>
                    <w:keepLines w:val="0"/>
                    <w:pageBreakBefore w:val="0"/>
                    <w:kinsoku/>
                    <w:wordWrap/>
                    <w:overflowPunct/>
                    <w:topLinePunct w:val="0"/>
                    <w:autoSpaceDE/>
                    <w:autoSpaceDN/>
                    <w:bidi w:val="0"/>
                    <w:adjustRightInd/>
                    <w:snapToGrid w:val="0"/>
                    <w:spacing w:before="95" w:beforeLines="30" w:after="95" w:afterLines="30"/>
                    <w:ind w:left="-84" w:leftChars="-40" w:right="-84" w:rightChars="-40"/>
                    <w:jc w:val="center"/>
                    <w:rPr>
                      <w:rFonts w:hint="default"/>
                      <w:color w:val="auto"/>
                      <w:lang w:val="en-US" w:eastAsia="zh-CN"/>
                    </w:rPr>
                  </w:pPr>
                  <w:r>
                    <w:rPr>
                      <w:rFonts w:hint="eastAsia"/>
                      <w:color w:val="auto"/>
                      <w:lang w:val="en-US" w:eastAsia="zh-CN"/>
                    </w:rPr>
                    <w:t>61</w:t>
                  </w:r>
                </w:p>
              </w:tc>
            </w:tr>
            <w:tr w14:paraId="0A75DE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atLeast"/>
                <w:tblHeader/>
                <w:jc w:val="center"/>
              </w:trPr>
              <w:tc>
                <w:tcPr>
                  <w:tcW w:w="2351" w:type="dxa"/>
                  <w:tcBorders>
                    <w:tl2br w:val="nil"/>
                    <w:tr2bl w:val="nil"/>
                  </w:tcBorders>
                  <w:vAlign w:val="center"/>
                </w:tcPr>
                <w:p w14:paraId="379BA6D1">
                  <w:pPr>
                    <w:keepNext w:val="0"/>
                    <w:keepLines w:val="0"/>
                    <w:pageBreakBefore w:val="0"/>
                    <w:widowControl/>
                    <w:kinsoku/>
                    <w:wordWrap/>
                    <w:overflowPunct/>
                    <w:topLinePunct w:val="0"/>
                    <w:autoSpaceDE/>
                    <w:autoSpaceDN/>
                    <w:bidi w:val="0"/>
                    <w:adjustRightInd/>
                    <w:snapToGrid w:val="0"/>
                    <w:spacing w:before="95" w:beforeLines="30" w:after="95" w:afterLines="30"/>
                    <w:ind w:left="-84" w:leftChars="-40" w:right="-84" w:rightChars="-40"/>
                    <w:jc w:val="center"/>
                    <w:textAlignment w:val="center"/>
                    <w:rPr>
                      <w:rFonts w:hint="default" w:eastAsia="宋体"/>
                      <w:color w:val="auto"/>
                      <w:lang w:val="en-US" w:eastAsia="zh-CN"/>
                    </w:rPr>
                  </w:pPr>
                  <w:r>
                    <w:rPr>
                      <w:rFonts w:hint="eastAsia"/>
                      <w:color w:val="auto"/>
                      <w:lang w:val="en-US" w:eastAsia="zh-CN"/>
                    </w:rPr>
                    <w:t>2025.01.02~2025.01.03</w:t>
                  </w:r>
                </w:p>
              </w:tc>
              <w:tc>
                <w:tcPr>
                  <w:tcW w:w="2280" w:type="dxa"/>
                  <w:tcBorders>
                    <w:tl2br w:val="nil"/>
                    <w:tr2bl w:val="nil"/>
                  </w:tcBorders>
                  <w:vAlign w:val="center"/>
                </w:tcPr>
                <w:p w14:paraId="1AB2E71C">
                  <w:pPr>
                    <w:keepNext w:val="0"/>
                    <w:keepLines w:val="0"/>
                    <w:pageBreakBefore w:val="0"/>
                    <w:widowControl/>
                    <w:kinsoku/>
                    <w:wordWrap/>
                    <w:overflowPunct/>
                    <w:topLinePunct w:val="0"/>
                    <w:autoSpaceDE/>
                    <w:autoSpaceDN/>
                    <w:bidi w:val="0"/>
                    <w:adjustRightInd/>
                    <w:snapToGrid w:val="0"/>
                    <w:spacing w:before="95" w:beforeLines="30" w:after="95" w:afterLines="30"/>
                    <w:ind w:left="-84" w:leftChars="-40" w:right="-84" w:rightChars="-40"/>
                    <w:jc w:val="center"/>
                    <w:textAlignment w:val="center"/>
                    <w:rPr>
                      <w:color w:val="auto"/>
                    </w:rPr>
                  </w:pPr>
                  <w:r>
                    <w:rPr>
                      <w:rFonts w:hint="eastAsia"/>
                      <w:color w:val="auto"/>
                    </w:rPr>
                    <w:t>09:</w:t>
                  </w:r>
                  <w:r>
                    <w:rPr>
                      <w:rFonts w:hint="eastAsia"/>
                      <w:color w:val="auto"/>
                      <w:lang w:val="en-US" w:eastAsia="zh-CN"/>
                    </w:rPr>
                    <w:t>54</w:t>
                  </w:r>
                  <w:r>
                    <w:rPr>
                      <w:rFonts w:hint="eastAsia"/>
                      <w:color w:val="auto"/>
                    </w:rPr>
                    <w:t>~次日09:</w:t>
                  </w:r>
                  <w:r>
                    <w:rPr>
                      <w:rFonts w:hint="eastAsia"/>
                      <w:color w:val="auto"/>
                      <w:lang w:val="en-US" w:eastAsia="zh-CN"/>
                    </w:rPr>
                    <w:t>54</w:t>
                  </w:r>
                </w:p>
              </w:tc>
              <w:tc>
                <w:tcPr>
                  <w:tcW w:w="1394" w:type="dxa"/>
                  <w:tcBorders>
                    <w:tl2br w:val="nil"/>
                    <w:tr2bl w:val="nil"/>
                  </w:tcBorders>
                  <w:vAlign w:val="center"/>
                </w:tcPr>
                <w:p w14:paraId="14D8F1FD">
                  <w:pPr>
                    <w:keepNext w:val="0"/>
                    <w:keepLines w:val="0"/>
                    <w:pageBreakBefore w:val="0"/>
                    <w:kinsoku/>
                    <w:wordWrap/>
                    <w:overflowPunct/>
                    <w:topLinePunct w:val="0"/>
                    <w:autoSpaceDE/>
                    <w:autoSpaceDN/>
                    <w:bidi w:val="0"/>
                    <w:adjustRightInd/>
                    <w:snapToGrid w:val="0"/>
                    <w:spacing w:before="95" w:beforeLines="30" w:after="95" w:afterLines="30"/>
                    <w:ind w:left="-84" w:leftChars="-40" w:right="-84" w:rightChars="-40"/>
                    <w:jc w:val="center"/>
                    <w:rPr>
                      <w:rFonts w:hint="default" w:eastAsia="宋体"/>
                      <w:color w:val="auto"/>
                      <w:lang w:val="en-US" w:eastAsia="zh-CN"/>
                    </w:rPr>
                  </w:pPr>
                  <w:r>
                    <w:rPr>
                      <w:rFonts w:hint="eastAsia"/>
                      <w:color w:val="auto"/>
                      <w:lang w:val="en-US" w:eastAsia="zh-CN"/>
                    </w:rPr>
                    <w:t>76</w:t>
                  </w:r>
                </w:p>
              </w:tc>
              <w:tc>
                <w:tcPr>
                  <w:tcW w:w="1033" w:type="dxa"/>
                  <w:tcBorders>
                    <w:tl2br w:val="nil"/>
                    <w:tr2bl w:val="nil"/>
                  </w:tcBorders>
                  <w:vAlign w:val="center"/>
                </w:tcPr>
                <w:p w14:paraId="1418DBF6">
                  <w:pPr>
                    <w:keepNext w:val="0"/>
                    <w:keepLines w:val="0"/>
                    <w:pageBreakBefore w:val="0"/>
                    <w:kinsoku/>
                    <w:wordWrap/>
                    <w:overflowPunct/>
                    <w:topLinePunct w:val="0"/>
                    <w:autoSpaceDE/>
                    <w:autoSpaceDN/>
                    <w:bidi w:val="0"/>
                    <w:adjustRightInd/>
                    <w:snapToGrid w:val="0"/>
                    <w:spacing w:before="95" w:beforeLines="30" w:after="95" w:afterLines="30"/>
                    <w:ind w:left="-84" w:leftChars="-40" w:right="-84" w:rightChars="-40"/>
                    <w:jc w:val="center"/>
                    <w:rPr>
                      <w:rFonts w:hint="default"/>
                      <w:color w:val="auto"/>
                      <w:lang w:val="en-US" w:eastAsia="zh-CN"/>
                    </w:rPr>
                  </w:pPr>
                  <w:r>
                    <w:rPr>
                      <w:rFonts w:hint="eastAsia"/>
                      <w:color w:val="auto"/>
                      <w:lang w:val="en-US" w:eastAsia="zh-CN"/>
                    </w:rPr>
                    <w:t>1.1</w:t>
                  </w:r>
                </w:p>
              </w:tc>
              <w:tc>
                <w:tcPr>
                  <w:tcW w:w="1019" w:type="dxa"/>
                  <w:tcBorders>
                    <w:tl2br w:val="nil"/>
                    <w:tr2bl w:val="nil"/>
                  </w:tcBorders>
                  <w:vAlign w:val="center"/>
                </w:tcPr>
                <w:p w14:paraId="75CBADC6">
                  <w:pPr>
                    <w:keepNext w:val="0"/>
                    <w:keepLines w:val="0"/>
                    <w:pageBreakBefore w:val="0"/>
                    <w:kinsoku/>
                    <w:wordWrap/>
                    <w:overflowPunct/>
                    <w:topLinePunct w:val="0"/>
                    <w:autoSpaceDE/>
                    <w:autoSpaceDN/>
                    <w:bidi w:val="0"/>
                    <w:adjustRightInd/>
                    <w:snapToGrid w:val="0"/>
                    <w:spacing w:before="95" w:beforeLines="30" w:after="95" w:afterLines="30"/>
                    <w:ind w:left="-84" w:leftChars="-40" w:right="-84" w:rightChars="-40"/>
                    <w:jc w:val="center"/>
                    <w:rPr>
                      <w:rFonts w:hint="default"/>
                      <w:color w:val="auto"/>
                      <w:lang w:val="en-US" w:eastAsia="zh-CN"/>
                    </w:rPr>
                  </w:pPr>
                  <w:r>
                    <w:rPr>
                      <w:rFonts w:hint="eastAsia"/>
                      <w:color w:val="auto"/>
                      <w:lang w:val="en-US" w:eastAsia="zh-CN"/>
                    </w:rPr>
                    <w:t>53</w:t>
                  </w:r>
                </w:p>
              </w:tc>
            </w:tr>
            <w:tr w14:paraId="3D46C7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atLeast"/>
                <w:tblHeader/>
                <w:jc w:val="center"/>
              </w:trPr>
              <w:tc>
                <w:tcPr>
                  <w:tcW w:w="4631" w:type="dxa"/>
                  <w:gridSpan w:val="2"/>
                  <w:tcBorders>
                    <w:tl2br w:val="nil"/>
                    <w:tr2bl w:val="nil"/>
                  </w:tcBorders>
                  <w:vAlign w:val="center"/>
                </w:tcPr>
                <w:p w14:paraId="3F1909E6">
                  <w:pPr>
                    <w:keepNext w:val="0"/>
                    <w:keepLines w:val="0"/>
                    <w:pageBreakBefore w:val="0"/>
                    <w:widowControl/>
                    <w:kinsoku/>
                    <w:wordWrap/>
                    <w:overflowPunct/>
                    <w:topLinePunct w:val="0"/>
                    <w:autoSpaceDE/>
                    <w:autoSpaceDN/>
                    <w:bidi w:val="0"/>
                    <w:adjustRightInd/>
                    <w:snapToGrid w:val="0"/>
                    <w:spacing w:before="95" w:beforeLines="30" w:after="95" w:afterLines="30"/>
                    <w:ind w:left="-84" w:leftChars="-40" w:right="-84" w:rightChars="-40"/>
                    <w:jc w:val="center"/>
                    <w:textAlignment w:val="center"/>
                    <w:rPr>
                      <w:rFonts w:hint="eastAsia" w:eastAsia="宋体"/>
                      <w:color w:val="auto"/>
                      <w:kern w:val="0"/>
                      <w:lang w:eastAsia="zh-CN" w:bidi="ar"/>
                    </w:rPr>
                  </w:pPr>
                  <w:r>
                    <w:rPr>
                      <w:rFonts w:hint="eastAsia" w:eastAsiaTheme="minorEastAsia"/>
                      <w:color w:val="auto"/>
                      <w:lang w:eastAsia="zh-CN"/>
                    </w:rPr>
                    <w:t>限值</w:t>
                  </w:r>
                </w:p>
              </w:tc>
              <w:tc>
                <w:tcPr>
                  <w:tcW w:w="1394" w:type="dxa"/>
                  <w:tcBorders>
                    <w:tl2br w:val="nil"/>
                    <w:tr2bl w:val="nil"/>
                  </w:tcBorders>
                  <w:vAlign w:val="center"/>
                </w:tcPr>
                <w:p w14:paraId="0CAD2C1B">
                  <w:pPr>
                    <w:keepNext w:val="0"/>
                    <w:keepLines w:val="0"/>
                    <w:pageBreakBefore w:val="0"/>
                    <w:widowControl/>
                    <w:kinsoku/>
                    <w:wordWrap/>
                    <w:overflowPunct/>
                    <w:topLinePunct w:val="0"/>
                    <w:autoSpaceDE/>
                    <w:autoSpaceDN/>
                    <w:bidi w:val="0"/>
                    <w:adjustRightInd/>
                    <w:snapToGrid w:val="0"/>
                    <w:spacing w:before="95" w:beforeLines="30" w:after="95" w:afterLines="30"/>
                    <w:ind w:left="-84" w:leftChars="-40" w:right="-84" w:rightChars="-40"/>
                    <w:jc w:val="center"/>
                    <w:textAlignment w:val="center"/>
                    <w:rPr>
                      <w:color w:val="auto"/>
                    </w:rPr>
                  </w:pPr>
                  <w:r>
                    <w:rPr>
                      <w:rFonts w:hint="eastAsia"/>
                      <w:color w:val="auto"/>
                    </w:rPr>
                    <w:t>≤300</w:t>
                  </w:r>
                </w:p>
              </w:tc>
              <w:tc>
                <w:tcPr>
                  <w:tcW w:w="1033" w:type="dxa"/>
                  <w:tcBorders>
                    <w:tl2br w:val="nil"/>
                    <w:tr2bl w:val="nil"/>
                  </w:tcBorders>
                  <w:vAlign w:val="center"/>
                </w:tcPr>
                <w:p w14:paraId="7E7EDAA3">
                  <w:pPr>
                    <w:keepNext w:val="0"/>
                    <w:keepLines w:val="0"/>
                    <w:pageBreakBefore w:val="0"/>
                    <w:widowControl/>
                    <w:kinsoku/>
                    <w:wordWrap/>
                    <w:overflowPunct/>
                    <w:topLinePunct w:val="0"/>
                    <w:autoSpaceDE/>
                    <w:autoSpaceDN/>
                    <w:bidi w:val="0"/>
                    <w:adjustRightInd/>
                    <w:snapToGrid w:val="0"/>
                    <w:spacing w:before="95" w:beforeLines="30" w:after="95" w:afterLines="30"/>
                    <w:ind w:left="-84" w:leftChars="-40" w:right="-84" w:rightChars="-40"/>
                    <w:jc w:val="center"/>
                    <w:textAlignment w:val="center"/>
                    <w:rPr>
                      <w:rFonts w:hint="eastAsia" w:eastAsia="宋体"/>
                      <w:color w:val="auto"/>
                      <w:lang w:eastAsia="zh-CN"/>
                    </w:rPr>
                  </w:pPr>
                  <w:r>
                    <w:rPr>
                      <w:rFonts w:hint="eastAsia"/>
                      <w:color w:val="auto"/>
                    </w:rPr>
                    <w:t>≤</w:t>
                  </w:r>
                  <w:r>
                    <w:rPr>
                      <w:rFonts w:hint="eastAsia"/>
                      <w:color w:val="auto"/>
                      <w:lang w:val="en-US" w:eastAsia="zh-CN"/>
                    </w:rPr>
                    <w:t>7</w:t>
                  </w:r>
                </w:p>
              </w:tc>
              <w:tc>
                <w:tcPr>
                  <w:tcW w:w="1019" w:type="dxa"/>
                  <w:tcBorders>
                    <w:tl2br w:val="nil"/>
                    <w:tr2bl w:val="nil"/>
                  </w:tcBorders>
                  <w:vAlign w:val="center"/>
                </w:tcPr>
                <w:p w14:paraId="3A63EC8C">
                  <w:pPr>
                    <w:keepNext w:val="0"/>
                    <w:keepLines w:val="0"/>
                    <w:pageBreakBefore w:val="0"/>
                    <w:widowControl/>
                    <w:kinsoku/>
                    <w:wordWrap/>
                    <w:overflowPunct/>
                    <w:topLinePunct w:val="0"/>
                    <w:autoSpaceDE/>
                    <w:autoSpaceDN/>
                    <w:bidi w:val="0"/>
                    <w:adjustRightInd/>
                    <w:snapToGrid w:val="0"/>
                    <w:spacing w:before="95" w:beforeLines="30" w:after="95" w:afterLines="30"/>
                    <w:ind w:left="-84" w:leftChars="-40" w:right="-84" w:rightChars="-40"/>
                    <w:jc w:val="center"/>
                    <w:textAlignment w:val="center"/>
                    <w:rPr>
                      <w:rFonts w:hint="default" w:eastAsia="宋体"/>
                      <w:color w:val="auto"/>
                      <w:lang w:val="en-US" w:eastAsia="zh-CN"/>
                    </w:rPr>
                  </w:pPr>
                  <w:r>
                    <w:rPr>
                      <w:rFonts w:hint="eastAsia"/>
                      <w:color w:val="auto"/>
                    </w:rPr>
                    <w:t>≤</w:t>
                  </w:r>
                  <w:r>
                    <w:rPr>
                      <w:rFonts w:hint="eastAsia"/>
                      <w:color w:val="auto"/>
                      <w:lang w:val="en-US" w:eastAsia="zh-CN"/>
                    </w:rPr>
                    <w:t>100</w:t>
                  </w:r>
                </w:p>
              </w:tc>
            </w:tr>
          </w:tbl>
          <w:p w14:paraId="6C9864D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根据</w:t>
            </w:r>
            <w:r>
              <w:rPr>
                <w:rFonts w:hint="eastAsia" w:cs="Times New Roman"/>
                <w:color w:val="auto"/>
                <w:kern w:val="0"/>
                <w:sz w:val="21"/>
                <w:szCs w:val="21"/>
                <w:lang w:val="en-US" w:eastAsia="zh-CN"/>
              </w:rPr>
              <w:t>引用的现状</w:t>
            </w:r>
            <w:r>
              <w:rPr>
                <w:rFonts w:hint="eastAsia" w:ascii="Times New Roman" w:hAnsi="Times New Roman" w:eastAsia="宋体" w:cs="Times New Roman"/>
                <w:color w:val="auto"/>
                <w:kern w:val="0"/>
                <w:sz w:val="21"/>
                <w:szCs w:val="21"/>
                <w:lang w:val="en-US" w:eastAsia="zh-CN"/>
              </w:rPr>
              <w:t>监测结果可知，项目区域TSP、氟化物、NOx浓度满足《环境空气质量标准》（GB3095-2012）及2018年修改单中的二级标准限值，区域环境空气质量良好。</w:t>
            </w:r>
          </w:p>
          <w:p w14:paraId="0A83367F">
            <w:pPr>
              <w:pStyle w:val="45"/>
              <w:bidi w:val="0"/>
              <w:rPr>
                <w:rFonts w:hint="default"/>
                <w:color w:val="auto"/>
                <w:lang w:val="en-US" w:eastAsia="zh-CN"/>
              </w:rPr>
            </w:pPr>
            <w:r>
              <w:rPr>
                <w:rFonts w:hint="eastAsia"/>
                <w:color w:val="auto"/>
                <w:lang w:val="en-US" w:eastAsia="zh-CN"/>
              </w:rPr>
              <w:t>3.2 环境水质量现状</w:t>
            </w:r>
          </w:p>
          <w:p w14:paraId="178131E1">
            <w:pPr>
              <w:pStyle w:val="71"/>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20" w:firstLineChars="200"/>
              <w:jc w:val="both"/>
              <w:textAlignment w:val="baseline"/>
              <w:outlineLvl w:val="9"/>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地表水环境质量标准</w:t>
            </w:r>
          </w:p>
          <w:p w14:paraId="52E2F7EB">
            <w:pPr>
              <w:widowControl w:val="0"/>
              <w:bidi w:val="0"/>
              <w:spacing w:line="360" w:lineRule="auto"/>
              <w:ind w:firstLine="420" w:firstLineChars="20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本项目所在区域处于白龙河径流区，白龙河位于项目厂址</w:t>
            </w:r>
            <w:r>
              <w:rPr>
                <w:rFonts w:hint="eastAsia" w:cs="Times New Roman"/>
                <w:color w:val="auto"/>
                <w:kern w:val="2"/>
                <w:sz w:val="21"/>
                <w:szCs w:val="21"/>
                <w:lang w:val="en-US" w:eastAsia="zh-CN" w:bidi="ar-SA"/>
              </w:rPr>
              <w:t>西北侧</w:t>
            </w:r>
            <w:r>
              <w:rPr>
                <w:rFonts w:hint="eastAsia" w:ascii="Times New Roman" w:hAnsi="Times New Roman" w:eastAsia="宋体" w:cs="Times New Roman"/>
                <w:color w:val="auto"/>
                <w:kern w:val="2"/>
                <w:sz w:val="21"/>
                <w:szCs w:val="21"/>
                <w:lang w:val="en-US" w:eastAsia="zh-CN" w:bidi="ar-SA"/>
              </w:rPr>
              <w:t>约</w:t>
            </w:r>
            <w:r>
              <w:rPr>
                <w:rFonts w:hint="eastAsia" w:cs="Times New Roman"/>
                <w:color w:val="auto"/>
                <w:kern w:val="2"/>
                <w:sz w:val="21"/>
                <w:szCs w:val="21"/>
                <w:lang w:val="en-US" w:eastAsia="zh-CN" w:bidi="ar-SA"/>
              </w:rPr>
              <w:t>156</w:t>
            </w:r>
            <w:r>
              <w:rPr>
                <w:rFonts w:hint="eastAsia" w:ascii="Times New Roman" w:hAnsi="Times New Roman" w:eastAsia="宋体" w:cs="Times New Roman"/>
                <w:color w:val="auto"/>
                <w:kern w:val="2"/>
                <w:sz w:val="21"/>
                <w:szCs w:val="21"/>
                <w:lang w:val="en-US" w:eastAsia="zh-CN" w:bidi="ar-SA"/>
              </w:rPr>
              <w:t>m，下游汇入龙洞河</w:t>
            </w:r>
            <w:r>
              <w:rPr>
                <w:rFonts w:hint="eastAsia" w:cs="Times New Roman"/>
                <w:color w:val="auto"/>
                <w:kern w:val="2"/>
                <w:sz w:val="21"/>
                <w:szCs w:val="21"/>
                <w:lang w:val="en-US" w:eastAsia="zh-CN" w:bidi="ar-SA"/>
              </w:rPr>
              <w:t>后</w:t>
            </w:r>
            <w:r>
              <w:rPr>
                <w:rFonts w:hint="eastAsia" w:ascii="Times New Roman" w:hAnsi="Times New Roman" w:eastAsia="宋体" w:cs="Times New Roman"/>
                <w:color w:val="auto"/>
                <w:kern w:val="2"/>
                <w:sz w:val="21"/>
                <w:szCs w:val="21"/>
                <w:lang w:val="en-US" w:eastAsia="zh-CN" w:bidi="ar-SA"/>
              </w:rPr>
              <w:t>进入曲江，最终汇入南盘江。</w:t>
            </w:r>
            <w:r>
              <w:rPr>
                <w:rFonts w:hint="default" w:ascii="Times New Roman" w:hAnsi="Times New Roman" w:eastAsia="宋体" w:cs="Times New Roman"/>
                <w:color w:val="auto"/>
                <w:kern w:val="2"/>
                <w:sz w:val="21"/>
                <w:szCs w:val="21"/>
                <w:lang w:val="en-US" w:eastAsia="zh-CN" w:bidi="ar-SA"/>
              </w:rPr>
              <w:t>根据《云南省水功能区划》（2014年版），</w:t>
            </w:r>
            <w:r>
              <w:rPr>
                <w:rFonts w:hint="eastAsia" w:ascii="Times New Roman" w:hAnsi="Times New Roman" w:eastAsia="宋体" w:cs="Times New Roman"/>
                <w:color w:val="auto"/>
                <w:kern w:val="2"/>
                <w:sz w:val="21"/>
                <w:szCs w:val="21"/>
                <w:lang w:val="en-US" w:eastAsia="zh-CN" w:bidi="ar-SA"/>
              </w:rPr>
              <w:t>项目</w:t>
            </w:r>
            <w:r>
              <w:rPr>
                <w:rFonts w:hint="default" w:ascii="Times New Roman" w:hAnsi="Times New Roman" w:eastAsia="宋体" w:cs="Times New Roman"/>
                <w:color w:val="auto"/>
                <w:kern w:val="2"/>
                <w:sz w:val="21"/>
                <w:szCs w:val="21"/>
                <w:lang w:val="en-US" w:eastAsia="zh-CN" w:bidi="ar-SA"/>
              </w:rPr>
              <w:t>区地表水属于珠江流域南盘江干流曲江支流峨山小街-入南盘江口河段，</w:t>
            </w:r>
            <w:r>
              <w:rPr>
                <w:rFonts w:hint="eastAsia" w:ascii="Times New Roman" w:hAnsi="Times New Roman" w:eastAsia="宋体" w:cs="Times New Roman"/>
                <w:color w:val="auto"/>
                <w:kern w:val="2"/>
                <w:sz w:val="21"/>
                <w:szCs w:val="21"/>
                <w:lang w:val="en-US" w:eastAsia="zh-CN" w:bidi="ar-SA"/>
              </w:rPr>
              <w:t>为农业用水、工业用水</w:t>
            </w:r>
            <w:r>
              <w:rPr>
                <w:rFonts w:hint="default" w:ascii="Times New Roman" w:hAnsi="Times New Roman" w:eastAsia="宋体" w:cs="Times New Roman"/>
                <w:color w:val="auto"/>
                <w:kern w:val="2"/>
                <w:sz w:val="21"/>
                <w:szCs w:val="21"/>
                <w:lang w:val="en-US" w:eastAsia="zh-CN" w:bidi="ar-SA"/>
              </w:rPr>
              <w:t>，2030年水质保护目标为Ⅲ类，水质执行《地表水环境质量标准》（GB3838-2002）Ⅲ类标准。</w:t>
            </w:r>
            <w:r>
              <w:rPr>
                <w:rFonts w:hint="eastAsia" w:ascii="Times New Roman" w:hAnsi="Times New Roman" w:eastAsia="宋体" w:cs="Times New Roman"/>
                <w:color w:val="auto"/>
                <w:kern w:val="2"/>
                <w:sz w:val="21"/>
                <w:szCs w:val="21"/>
                <w:lang w:val="en-US" w:eastAsia="zh-CN" w:bidi="ar-SA"/>
              </w:rPr>
              <w:t>标准限值如下所示。</w:t>
            </w:r>
          </w:p>
          <w:p w14:paraId="737913AC">
            <w:pPr>
              <w:widowControl w:val="0"/>
              <w:bidi w:val="0"/>
              <w:spacing w:line="360" w:lineRule="auto"/>
              <w:ind w:firstLine="422" w:firstLineChars="200"/>
              <w:jc w:val="center"/>
              <w:rPr>
                <w:rFonts w:hint="eastAsia" w:ascii="Times New Roman" w:hAnsi="Times New Roman" w:eastAsia="宋体" w:cs="Times New Roman"/>
                <w:b/>
                <w:bCs/>
                <w:color w:val="auto"/>
                <w:kern w:val="2"/>
                <w:sz w:val="21"/>
                <w:szCs w:val="21"/>
                <w:lang w:val="en-US" w:eastAsia="zh-CN" w:bidi="ar-SA"/>
              </w:rPr>
            </w:pPr>
            <w:r>
              <w:rPr>
                <w:rFonts w:ascii="Times New Roman" w:hAnsi="Times New Roman" w:eastAsia="宋体" w:cs="Times New Roman"/>
                <w:b/>
                <w:bCs/>
                <w:color w:val="auto"/>
                <w:kern w:val="2"/>
                <w:sz w:val="21"/>
                <w:szCs w:val="21"/>
                <w:lang w:val="en-US" w:eastAsia="zh-CN" w:bidi="ar-SA"/>
              </w:rPr>
              <w:t>表</w:t>
            </w:r>
            <w:r>
              <w:rPr>
                <w:rFonts w:hint="eastAsia" w:ascii="Times New Roman" w:hAnsi="Times New Roman" w:eastAsia="宋体" w:cs="Times New Roman"/>
                <w:b/>
                <w:bCs/>
                <w:color w:val="auto"/>
                <w:kern w:val="2"/>
                <w:sz w:val="21"/>
                <w:szCs w:val="21"/>
                <w:lang w:val="en-US" w:eastAsia="zh-CN" w:bidi="ar-SA"/>
              </w:rPr>
              <w:t>3-</w:t>
            </w:r>
            <w:r>
              <w:rPr>
                <w:rFonts w:hint="eastAsia" w:cs="Times New Roman"/>
                <w:b/>
                <w:bCs/>
                <w:color w:val="auto"/>
                <w:kern w:val="2"/>
                <w:sz w:val="21"/>
                <w:szCs w:val="21"/>
                <w:lang w:val="en-US" w:eastAsia="zh-CN" w:bidi="ar-SA"/>
              </w:rPr>
              <w:t>4</w:t>
            </w:r>
            <w:r>
              <w:rPr>
                <w:rFonts w:hint="eastAsia" w:ascii="Times New Roman" w:hAnsi="Times New Roman" w:eastAsia="宋体" w:cs="Times New Roman"/>
                <w:b/>
                <w:bCs/>
                <w:color w:val="auto"/>
                <w:kern w:val="2"/>
                <w:sz w:val="21"/>
                <w:szCs w:val="21"/>
                <w:lang w:val="en-US" w:eastAsia="zh-CN" w:bidi="ar-SA"/>
              </w:rPr>
              <w:t xml:space="preserve"> </w:t>
            </w:r>
            <w:r>
              <w:rPr>
                <w:rFonts w:ascii="Times New Roman" w:hAnsi="Times New Roman" w:eastAsia="宋体" w:cs="Times New Roman"/>
                <w:b/>
                <w:bCs/>
                <w:color w:val="auto"/>
                <w:kern w:val="2"/>
                <w:sz w:val="21"/>
                <w:szCs w:val="21"/>
                <w:lang w:val="en-US" w:eastAsia="zh-CN" w:bidi="ar-SA"/>
              </w:rPr>
              <w:t xml:space="preserve"> 地表水环境质量</w:t>
            </w:r>
            <w:r>
              <w:rPr>
                <w:rFonts w:hint="eastAsia" w:ascii="Times New Roman" w:hAnsi="Times New Roman" w:eastAsia="宋体" w:cs="Times New Roman"/>
                <w:b/>
                <w:bCs/>
                <w:color w:val="auto"/>
                <w:kern w:val="2"/>
                <w:sz w:val="21"/>
                <w:szCs w:val="21"/>
                <w:lang w:val="en-US" w:eastAsia="zh-CN" w:bidi="ar-SA"/>
              </w:rPr>
              <w:t>Ⅲ类</w:t>
            </w:r>
            <w:r>
              <w:rPr>
                <w:rFonts w:ascii="Times New Roman" w:hAnsi="Times New Roman" w:eastAsia="宋体" w:cs="Times New Roman"/>
                <w:b/>
                <w:bCs/>
                <w:color w:val="auto"/>
                <w:kern w:val="2"/>
                <w:sz w:val="21"/>
                <w:szCs w:val="21"/>
                <w:lang w:val="en-US" w:eastAsia="zh-CN" w:bidi="ar-SA"/>
              </w:rPr>
              <w:t xml:space="preserve">标准限值 </w:t>
            </w:r>
            <w:r>
              <w:rPr>
                <w:rFonts w:hint="eastAsia" w:ascii="Times New Roman" w:hAnsi="Times New Roman" w:eastAsia="宋体" w:cs="Times New Roman"/>
                <w:b/>
                <w:bCs/>
                <w:color w:val="auto"/>
                <w:kern w:val="2"/>
                <w:sz w:val="21"/>
                <w:szCs w:val="21"/>
                <w:lang w:val="en-US" w:eastAsia="zh-CN" w:bidi="ar-SA"/>
              </w:rPr>
              <w:t xml:space="preserve"> </w:t>
            </w:r>
            <w:r>
              <w:rPr>
                <w:rFonts w:ascii="Times New Roman" w:hAnsi="Times New Roman" w:eastAsia="宋体" w:cs="Times New Roman"/>
                <w:b/>
                <w:bCs/>
                <w:color w:val="auto"/>
                <w:kern w:val="2"/>
                <w:sz w:val="21"/>
                <w:szCs w:val="21"/>
                <w:lang w:val="en-US" w:eastAsia="zh-CN" w:bidi="ar-SA"/>
              </w:rPr>
              <w:t>单位：mg/L（pH无量纲）</w:t>
            </w:r>
          </w:p>
          <w:tbl>
            <w:tblPr>
              <w:tblStyle w:val="29"/>
              <w:tblW w:w="503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1117"/>
              <w:gridCol w:w="1155"/>
              <w:gridCol w:w="2021"/>
              <w:gridCol w:w="1155"/>
              <w:gridCol w:w="1060"/>
            </w:tblGrid>
            <w:tr w14:paraId="26C3F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941" w:type="pct"/>
                  <w:noWrap w:val="0"/>
                  <w:vAlign w:val="center"/>
                </w:tcPr>
                <w:p w14:paraId="32D2FF9A">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项目</w:t>
                  </w:r>
                </w:p>
              </w:tc>
              <w:tc>
                <w:tcPr>
                  <w:tcW w:w="696" w:type="pct"/>
                  <w:noWrap w:val="0"/>
                  <w:vAlign w:val="center"/>
                </w:tcPr>
                <w:p w14:paraId="1284CD4B">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pH</w:t>
                  </w:r>
                </w:p>
              </w:tc>
              <w:tc>
                <w:tcPr>
                  <w:tcW w:w="720" w:type="pct"/>
                  <w:noWrap w:val="0"/>
                  <w:vAlign w:val="center"/>
                </w:tcPr>
                <w:p w14:paraId="2EA99FBC">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溶解氧</w:t>
                  </w:r>
                </w:p>
              </w:tc>
              <w:tc>
                <w:tcPr>
                  <w:tcW w:w="1260" w:type="pct"/>
                  <w:noWrap w:val="0"/>
                  <w:vAlign w:val="center"/>
                </w:tcPr>
                <w:p w14:paraId="2053C803">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高锰酸盐指数</w:t>
                  </w:r>
                </w:p>
              </w:tc>
              <w:tc>
                <w:tcPr>
                  <w:tcW w:w="720" w:type="pct"/>
                  <w:noWrap w:val="0"/>
                  <w:vAlign w:val="center"/>
                </w:tcPr>
                <w:p w14:paraId="539BC9CA">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COD</w:t>
                  </w:r>
                </w:p>
              </w:tc>
              <w:tc>
                <w:tcPr>
                  <w:tcW w:w="661" w:type="pct"/>
                  <w:noWrap w:val="0"/>
                  <w:vAlign w:val="center"/>
                </w:tcPr>
                <w:p w14:paraId="5E5C81D7">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BOD</w:t>
                  </w:r>
                  <w:r>
                    <w:rPr>
                      <w:rFonts w:hint="default" w:ascii="Times New Roman" w:hAnsi="Times New Roman" w:eastAsia="宋体" w:cs="Times New Roman"/>
                      <w:color w:val="auto"/>
                      <w:kern w:val="2"/>
                      <w:sz w:val="21"/>
                      <w:szCs w:val="21"/>
                      <w:vertAlign w:val="subscript"/>
                      <w:lang w:val="en-US" w:eastAsia="zh-CN" w:bidi="ar-SA"/>
                    </w:rPr>
                    <w:t>5</w:t>
                  </w:r>
                </w:p>
              </w:tc>
            </w:tr>
            <w:tr w14:paraId="618B1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941" w:type="pct"/>
                  <w:noWrap w:val="0"/>
                  <w:vAlign w:val="center"/>
                </w:tcPr>
                <w:p w14:paraId="36ED9D0A">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Ⅲ类水质标准</w:t>
                  </w:r>
                </w:p>
              </w:tc>
              <w:tc>
                <w:tcPr>
                  <w:tcW w:w="696" w:type="pct"/>
                  <w:noWrap w:val="0"/>
                  <w:vAlign w:val="center"/>
                </w:tcPr>
                <w:p w14:paraId="76B55840">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6~9</w:t>
                  </w:r>
                </w:p>
              </w:tc>
              <w:tc>
                <w:tcPr>
                  <w:tcW w:w="720" w:type="pct"/>
                  <w:noWrap w:val="0"/>
                  <w:vAlign w:val="center"/>
                </w:tcPr>
                <w:p w14:paraId="182BD639">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w:t>
                  </w:r>
                </w:p>
              </w:tc>
              <w:tc>
                <w:tcPr>
                  <w:tcW w:w="1260" w:type="pct"/>
                  <w:noWrap w:val="0"/>
                  <w:vAlign w:val="center"/>
                </w:tcPr>
                <w:p w14:paraId="53260DD4">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w:t>
                  </w:r>
                </w:p>
              </w:tc>
              <w:tc>
                <w:tcPr>
                  <w:tcW w:w="720" w:type="pct"/>
                  <w:noWrap w:val="0"/>
                  <w:vAlign w:val="center"/>
                </w:tcPr>
                <w:p w14:paraId="5672AD5C">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w:t>
                  </w:r>
                </w:p>
              </w:tc>
              <w:tc>
                <w:tcPr>
                  <w:tcW w:w="661" w:type="pct"/>
                  <w:noWrap w:val="0"/>
                  <w:vAlign w:val="center"/>
                </w:tcPr>
                <w:p w14:paraId="44EFBEC6">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w:t>
                  </w:r>
                </w:p>
              </w:tc>
            </w:tr>
            <w:tr w14:paraId="2BD60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941" w:type="pct"/>
                  <w:noWrap w:val="0"/>
                  <w:vAlign w:val="center"/>
                </w:tcPr>
                <w:p w14:paraId="0A5167DF">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项目</w:t>
                  </w:r>
                </w:p>
              </w:tc>
              <w:tc>
                <w:tcPr>
                  <w:tcW w:w="696" w:type="pct"/>
                  <w:noWrap w:val="0"/>
                  <w:vAlign w:val="center"/>
                </w:tcPr>
                <w:p w14:paraId="2CBA9474">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NH</w:t>
                  </w:r>
                  <w:r>
                    <w:rPr>
                      <w:rFonts w:hint="default" w:ascii="Times New Roman" w:hAnsi="Times New Roman" w:eastAsia="宋体" w:cs="Times New Roman"/>
                      <w:color w:val="auto"/>
                      <w:kern w:val="2"/>
                      <w:sz w:val="21"/>
                      <w:szCs w:val="21"/>
                      <w:vertAlign w:val="subscript"/>
                      <w:lang w:val="en-US" w:eastAsia="zh-CN" w:bidi="ar-SA"/>
                    </w:rPr>
                    <w:t>3</w:t>
                  </w:r>
                  <w:r>
                    <w:rPr>
                      <w:rFonts w:hint="default" w:ascii="Times New Roman" w:hAnsi="Times New Roman" w:eastAsia="宋体" w:cs="Times New Roman"/>
                      <w:color w:val="auto"/>
                      <w:kern w:val="2"/>
                      <w:sz w:val="21"/>
                      <w:szCs w:val="21"/>
                      <w:lang w:val="en-US" w:eastAsia="zh-CN" w:bidi="ar-SA"/>
                    </w:rPr>
                    <w:t>-N</w:t>
                  </w:r>
                </w:p>
              </w:tc>
              <w:tc>
                <w:tcPr>
                  <w:tcW w:w="720" w:type="pct"/>
                  <w:noWrap w:val="0"/>
                  <w:vAlign w:val="center"/>
                </w:tcPr>
                <w:p w14:paraId="0EC553A0">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TP</w:t>
                  </w:r>
                </w:p>
              </w:tc>
              <w:tc>
                <w:tcPr>
                  <w:tcW w:w="1260" w:type="pct"/>
                  <w:noWrap w:val="0"/>
                  <w:vAlign w:val="center"/>
                </w:tcPr>
                <w:p w14:paraId="2034C885">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总氮</w:t>
                  </w:r>
                </w:p>
              </w:tc>
              <w:tc>
                <w:tcPr>
                  <w:tcW w:w="720" w:type="pct"/>
                  <w:noWrap w:val="0"/>
                  <w:vAlign w:val="center"/>
                </w:tcPr>
                <w:p w14:paraId="7BCAE89D">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铜</w:t>
                  </w:r>
                </w:p>
              </w:tc>
              <w:tc>
                <w:tcPr>
                  <w:tcW w:w="661" w:type="pct"/>
                  <w:noWrap w:val="0"/>
                  <w:vAlign w:val="center"/>
                </w:tcPr>
                <w:p w14:paraId="50E3BF70">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锌</w:t>
                  </w:r>
                </w:p>
              </w:tc>
            </w:tr>
            <w:tr w14:paraId="7D582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941" w:type="pct"/>
                  <w:noWrap w:val="0"/>
                  <w:vAlign w:val="center"/>
                </w:tcPr>
                <w:p w14:paraId="206D026A">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Ⅲ类水质标准</w:t>
                  </w:r>
                </w:p>
              </w:tc>
              <w:tc>
                <w:tcPr>
                  <w:tcW w:w="696" w:type="pct"/>
                  <w:noWrap w:val="0"/>
                  <w:vAlign w:val="center"/>
                </w:tcPr>
                <w:p w14:paraId="0EFDFDFB">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c>
                <w:tcPr>
                  <w:tcW w:w="720" w:type="pct"/>
                  <w:noWrap w:val="0"/>
                  <w:vAlign w:val="center"/>
                </w:tcPr>
                <w:p w14:paraId="07B00D91">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≤0.2</w:t>
                  </w:r>
                </w:p>
              </w:tc>
              <w:tc>
                <w:tcPr>
                  <w:tcW w:w="1260" w:type="pct"/>
                  <w:noWrap w:val="0"/>
                  <w:vAlign w:val="center"/>
                </w:tcPr>
                <w:p w14:paraId="63F87D9F">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c>
                <w:tcPr>
                  <w:tcW w:w="720" w:type="pct"/>
                  <w:noWrap w:val="0"/>
                  <w:vAlign w:val="center"/>
                </w:tcPr>
                <w:p w14:paraId="15AEC02D">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c>
                <w:tcPr>
                  <w:tcW w:w="661" w:type="pct"/>
                  <w:noWrap w:val="0"/>
                  <w:vAlign w:val="center"/>
                </w:tcPr>
                <w:p w14:paraId="734D4689">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r>
            <w:tr w14:paraId="670C2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941" w:type="pct"/>
                  <w:noWrap w:val="0"/>
                  <w:vAlign w:val="center"/>
                </w:tcPr>
                <w:p w14:paraId="5100DEA1">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项目</w:t>
                  </w:r>
                </w:p>
              </w:tc>
              <w:tc>
                <w:tcPr>
                  <w:tcW w:w="696" w:type="pct"/>
                  <w:noWrap w:val="0"/>
                  <w:vAlign w:val="center"/>
                </w:tcPr>
                <w:p w14:paraId="3C8EC1C1">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氟化物</w:t>
                  </w:r>
                </w:p>
              </w:tc>
              <w:tc>
                <w:tcPr>
                  <w:tcW w:w="720" w:type="pct"/>
                  <w:noWrap w:val="0"/>
                  <w:vAlign w:val="center"/>
                </w:tcPr>
                <w:p w14:paraId="1D211B0B">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硒</w:t>
                  </w:r>
                </w:p>
              </w:tc>
              <w:tc>
                <w:tcPr>
                  <w:tcW w:w="1260" w:type="pct"/>
                  <w:noWrap w:val="0"/>
                  <w:vAlign w:val="center"/>
                </w:tcPr>
                <w:p w14:paraId="1466433A">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砷</w:t>
                  </w:r>
                </w:p>
              </w:tc>
              <w:tc>
                <w:tcPr>
                  <w:tcW w:w="720" w:type="pct"/>
                  <w:noWrap w:val="0"/>
                  <w:vAlign w:val="center"/>
                </w:tcPr>
                <w:p w14:paraId="05B16994">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汞</w:t>
                  </w:r>
                </w:p>
              </w:tc>
              <w:tc>
                <w:tcPr>
                  <w:tcW w:w="661" w:type="pct"/>
                  <w:noWrap w:val="0"/>
                  <w:vAlign w:val="center"/>
                </w:tcPr>
                <w:p w14:paraId="47A1CCA0">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镉</w:t>
                  </w:r>
                </w:p>
              </w:tc>
            </w:tr>
            <w:tr w14:paraId="6DC8C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941" w:type="pct"/>
                  <w:noWrap w:val="0"/>
                  <w:vAlign w:val="center"/>
                </w:tcPr>
                <w:p w14:paraId="73DDF8F3">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Ⅲ类水质标准</w:t>
                  </w:r>
                </w:p>
              </w:tc>
              <w:tc>
                <w:tcPr>
                  <w:tcW w:w="696" w:type="pct"/>
                  <w:noWrap w:val="0"/>
                  <w:vAlign w:val="center"/>
                </w:tcPr>
                <w:p w14:paraId="74FC2D26">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c>
                <w:tcPr>
                  <w:tcW w:w="720" w:type="pct"/>
                  <w:noWrap w:val="0"/>
                  <w:vAlign w:val="center"/>
                </w:tcPr>
                <w:p w14:paraId="4A934429">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≤0.01</w:t>
                  </w:r>
                </w:p>
              </w:tc>
              <w:tc>
                <w:tcPr>
                  <w:tcW w:w="1260" w:type="pct"/>
                  <w:noWrap w:val="0"/>
                  <w:vAlign w:val="center"/>
                </w:tcPr>
                <w:p w14:paraId="53071546">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≤0.05</w:t>
                  </w:r>
                </w:p>
              </w:tc>
              <w:tc>
                <w:tcPr>
                  <w:tcW w:w="720" w:type="pct"/>
                  <w:noWrap w:val="0"/>
                  <w:vAlign w:val="center"/>
                </w:tcPr>
                <w:p w14:paraId="0D562865">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≤0.0001</w:t>
                  </w:r>
                </w:p>
              </w:tc>
              <w:tc>
                <w:tcPr>
                  <w:tcW w:w="661" w:type="pct"/>
                  <w:noWrap w:val="0"/>
                  <w:vAlign w:val="center"/>
                </w:tcPr>
                <w:p w14:paraId="6F369827">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≤0.005</w:t>
                  </w:r>
                </w:p>
              </w:tc>
            </w:tr>
            <w:tr w14:paraId="27AD2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941" w:type="pct"/>
                  <w:noWrap w:val="0"/>
                  <w:vAlign w:val="center"/>
                </w:tcPr>
                <w:p w14:paraId="7038DE31">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项目</w:t>
                  </w:r>
                </w:p>
              </w:tc>
              <w:tc>
                <w:tcPr>
                  <w:tcW w:w="696" w:type="pct"/>
                  <w:noWrap w:val="0"/>
                  <w:vAlign w:val="center"/>
                </w:tcPr>
                <w:p w14:paraId="32739B1A">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六价铬</w:t>
                  </w:r>
                </w:p>
              </w:tc>
              <w:tc>
                <w:tcPr>
                  <w:tcW w:w="720" w:type="pct"/>
                  <w:noWrap w:val="0"/>
                  <w:vAlign w:val="center"/>
                </w:tcPr>
                <w:p w14:paraId="6D197674">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铅</w:t>
                  </w:r>
                </w:p>
              </w:tc>
              <w:tc>
                <w:tcPr>
                  <w:tcW w:w="1260" w:type="pct"/>
                  <w:noWrap w:val="0"/>
                  <w:vAlign w:val="center"/>
                </w:tcPr>
                <w:p w14:paraId="171C2EE1">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氰化物</w:t>
                  </w:r>
                </w:p>
              </w:tc>
              <w:tc>
                <w:tcPr>
                  <w:tcW w:w="720" w:type="pct"/>
                  <w:noWrap w:val="0"/>
                  <w:vAlign w:val="center"/>
                </w:tcPr>
                <w:p w14:paraId="0EA045D7">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挥发酚</w:t>
                  </w:r>
                </w:p>
              </w:tc>
              <w:tc>
                <w:tcPr>
                  <w:tcW w:w="661" w:type="pct"/>
                  <w:noWrap w:val="0"/>
                  <w:vAlign w:val="center"/>
                </w:tcPr>
                <w:p w14:paraId="2D6A9581">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石油类</w:t>
                  </w:r>
                </w:p>
              </w:tc>
            </w:tr>
            <w:tr w14:paraId="122B5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941" w:type="pct"/>
                  <w:noWrap w:val="0"/>
                  <w:vAlign w:val="center"/>
                </w:tcPr>
                <w:p w14:paraId="02D7AE7E">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Ⅲ类水质标准</w:t>
                  </w:r>
                </w:p>
              </w:tc>
              <w:tc>
                <w:tcPr>
                  <w:tcW w:w="696" w:type="pct"/>
                  <w:noWrap w:val="0"/>
                  <w:vAlign w:val="center"/>
                </w:tcPr>
                <w:p w14:paraId="59A87EE8">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≤0.05</w:t>
                  </w:r>
                </w:p>
              </w:tc>
              <w:tc>
                <w:tcPr>
                  <w:tcW w:w="720" w:type="pct"/>
                  <w:noWrap w:val="0"/>
                  <w:vAlign w:val="center"/>
                </w:tcPr>
                <w:p w14:paraId="40EC3BB2">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≤0.05</w:t>
                  </w:r>
                </w:p>
              </w:tc>
              <w:tc>
                <w:tcPr>
                  <w:tcW w:w="1260" w:type="pct"/>
                  <w:noWrap w:val="0"/>
                  <w:vAlign w:val="center"/>
                </w:tcPr>
                <w:p w14:paraId="64D3E9F9">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≤0.02</w:t>
                  </w:r>
                </w:p>
              </w:tc>
              <w:tc>
                <w:tcPr>
                  <w:tcW w:w="720" w:type="pct"/>
                  <w:noWrap w:val="0"/>
                  <w:vAlign w:val="center"/>
                </w:tcPr>
                <w:p w14:paraId="1650FF76">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≤0.005</w:t>
                  </w:r>
                </w:p>
              </w:tc>
              <w:tc>
                <w:tcPr>
                  <w:tcW w:w="661" w:type="pct"/>
                  <w:noWrap w:val="0"/>
                  <w:vAlign w:val="center"/>
                </w:tcPr>
                <w:p w14:paraId="11AD51DF">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≤0.05</w:t>
                  </w:r>
                </w:p>
              </w:tc>
            </w:tr>
            <w:tr w14:paraId="54335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941" w:type="pct"/>
                  <w:noWrap w:val="0"/>
                  <w:vAlign w:val="center"/>
                </w:tcPr>
                <w:p w14:paraId="4934AC64">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项目</w:t>
                  </w:r>
                </w:p>
              </w:tc>
              <w:tc>
                <w:tcPr>
                  <w:tcW w:w="696" w:type="pct"/>
                  <w:noWrap w:val="0"/>
                  <w:vAlign w:val="center"/>
                </w:tcPr>
                <w:p w14:paraId="4F20F34F">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阴离子表面活性剂</w:t>
                  </w:r>
                </w:p>
              </w:tc>
              <w:tc>
                <w:tcPr>
                  <w:tcW w:w="720" w:type="pct"/>
                  <w:noWrap w:val="0"/>
                  <w:vAlign w:val="center"/>
                </w:tcPr>
                <w:p w14:paraId="39263D63">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硫化物</w:t>
                  </w:r>
                </w:p>
              </w:tc>
              <w:tc>
                <w:tcPr>
                  <w:tcW w:w="1260" w:type="pct"/>
                  <w:noWrap w:val="0"/>
                  <w:vAlign w:val="center"/>
                </w:tcPr>
                <w:p w14:paraId="0E7225CF">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粪大肠菌群（个/L）</w:t>
                  </w:r>
                </w:p>
              </w:tc>
              <w:tc>
                <w:tcPr>
                  <w:tcW w:w="1381" w:type="pct"/>
                  <w:gridSpan w:val="2"/>
                  <w:vMerge w:val="restart"/>
                  <w:noWrap w:val="0"/>
                  <w:vAlign w:val="center"/>
                </w:tcPr>
                <w:p w14:paraId="4895BFF7">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r>
            <w:tr w14:paraId="0BB53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941" w:type="pct"/>
                  <w:noWrap w:val="0"/>
                  <w:vAlign w:val="center"/>
                </w:tcPr>
                <w:p w14:paraId="024C525E">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Ⅲ类水质标准</w:t>
                  </w:r>
                </w:p>
              </w:tc>
              <w:tc>
                <w:tcPr>
                  <w:tcW w:w="696" w:type="pct"/>
                  <w:noWrap w:val="0"/>
                  <w:vAlign w:val="center"/>
                </w:tcPr>
                <w:p w14:paraId="1456EC51">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≤0.2</w:t>
                  </w:r>
                </w:p>
              </w:tc>
              <w:tc>
                <w:tcPr>
                  <w:tcW w:w="720" w:type="pct"/>
                  <w:noWrap w:val="0"/>
                  <w:vAlign w:val="center"/>
                </w:tcPr>
                <w:p w14:paraId="3DE80269">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≤0.2</w:t>
                  </w:r>
                </w:p>
              </w:tc>
              <w:tc>
                <w:tcPr>
                  <w:tcW w:w="1260" w:type="pct"/>
                  <w:noWrap w:val="0"/>
                  <w:vAlign w:val="center"/>
                </w:tcPr>
                <w:p w14:paraId="519C2662">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10000</w:t>
                  </w:r>
                </w:p>
              </w:tc>
              <w:tc>
                <w:tcPr>
                  <w:tcW w:w="1381" w:type="pct"/>
                  <w:gridSpan w:val="2"/>
                  <w:vMerge w:val="continue"/>
                  <w:noWrap w:val="0"/>
                  <w:vAlign w:val="center"/>
                </w:tcPr>
                <w:p w14:paraId="06F0EF98">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bl>
          <w:p w14:paraId="086F3232">
            <w:pPr>
              <w:pStyle w:val="71"/>
              <w:keepNext w:val="0"/>
              <w:keepLines w:val="0"/>
              <w:pageBreakBefore w:val="0"/>
              <w:widowControl w:val="0"/>
              <w:numPr>
                <w:ilvl w:val="0"/>
                <w:numId w:val="0"/>
              </w:numPr>
              <w:kinsoku/>
              <w:wordWrap/>
              <w:overflowPunct/>
              <w:topLinePunct w:val="0"/>
              <w:autoSpaceDE/>
              <w:autoSpaceDN/>
              <w:bidi w:val="0"/>
              <w:adjustRightInd/>
              <w:snapToGrid/>
              <w:spacing w:line="360" w:lineRule="auto"/>
              <w:ind w:left="105" w:leftChars="50" w:right="0" w:rightChars="0" w:firstLine="420" w:firstLineChars="200"/>
              <w:jc w:val="both"/>
              <w:textAlignment w:val="baseline"/>
              <w:outlineLvl w:val="9"/>
              <w:rPr>
                <w:rFonts w:hint="eastAsia" w:ascii="宋体" w:hAnsi="宋体" w:eastAsia="宋体" w:cs="宋体"/>
                <w:color w:val="auto"/>
                <w:sz w:val="21"/>
                <w:szCs w:val="21"/>
                <w:vertAlign w:val="baseline"/>
                <w:lang w:eastAsia="zh-CN"/>
              </w:rPr>
            </w:pPr>
            <w:r>
              <w:rPr>
                <w:rStyle w:val="72"/>
                <w:rFonts w:hint="eastAsia"/>
                <w:color w:val="auto"/>
                <w:lang w:eastAsia="zh-CN"/>
              </w:rPr>
              <w:t>（</w:t>
            </w:r>
            <w:r>
              <w:rPr>
                <w:rStyle w:val="72"/>
                <w:rFonts w:hint="eastAsia"/>
                <w:color w:val="auto"/>
                <w:lang w:val="en-US" w:eastAsia="zh-CN"/>
              </w:rPr>
              <w:t>2</w:t>
            </w:r>
            <w:r>
              <w:rPr>
                <w:rStyle w:val="72"/>
                <w:rFonts w:hint="eastAsia"/>
                <w:color w:val="auto"/>
                <w:lang w:eastAsia="zh-CN"/>
              </w:rPr>
              <w:t>）</w:t>
            </w:r>
            <w:r>
              <w:rPr>
                <w:rStyle w:val="72"/>
                <w:rFonts w:hint="eastAsia"/>
                <w:color w:val="auto"/>
                <w:lang w:val="en-US" w:eastAsia="zh-CN"/>
              </w:rPr>
              <w:t>地表水</w:t>
            </w:r>
            <w:r>
              <w:rPr>
                <w:rFonts w:hint="eastAsia" w:ascii="宋体" w:hAnsi="宋体" w:eastAsia="宋体" w:cs="宋体"/>
                <w:color w:val="auto"/>
                <w:sz w:val="21"/>
                <w:szCs w:val="21"/>
                <w:vertAlign w:val="baseline"/>
                <w:lang w:val="en-US" w:eastAsia="zh-CN"/>
              </w:rPr>
              <w:t>质量现状</w:t>
            </w:r>
          </w:p>
          <w:p w14:paraId="096DFCD0">
            <w:pPr>
              <w:widowControl w:val="0"/>
              <w:bidi w:val="0"/>
              <w:spacing w:line="360" w:lineRule="auto"/>
              <w:ind w:firstLine="420" w:firstLineChars="200"/>
              <w:jc w:val="both"/>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本项目2025年8月20日向玉溪市生态环境局申请调用白龙河2023-2024年现状监测数据（涉密），文本不公示数据，根据玉溪市生态环境局提供的数据，白龙河水质为</w:t>
            </w:r>
            <w:r>
              <w:rPr>
                <w:rFonts w:hint="default" w:ascii="Times New Roman" w:hAnsi="Times New Roman" w:eastAsia="宋体" w:cs="Times New Roman"/>
                <w:color w:val="auto"/>
                <w:kern w:val="2"/>
                <w:sz w:val="21"/>
                <w:szCs w:val="21"/>
                <w:lang w:val="en-US" w:eastAsia="zh-CN" w:bidi="ar-SA"/>
              </w:rPr>
              <w:t>《地表水环境质量标准》（GB3838-2002）Ⅳ类标准</w:t>
            </w:r>
            <w:r>
              <w:rPr>
                <w:rFonts w:hint="eastAsia" w:cs="Times New Roman"/>
                <w:color w:val="auto"/>
                <w:kern w:val="2"/>
                <w:sz w:val="21"/>
                <w:szCs w:val="21"/>
                <w:lang w:val="en-US" w:eastAsia="zh-CN" w:bidi="ar-SA"/>
              </w:rPr>
              <w:t>，受上游生活源（普沼村，本项目西北2.15km处）污染，化学需氧量和总磷超</w:t>
            </w:r>
            <w:r>
              <w:rPr>
                <w:rFonts w:hint="default" w:ascii="Times New Roman" w:hAnsi="Times New Roman" w:eastAsia="宋体" w:cs="Times New Roman"/>
                <w:color w:val="auto"/>
                <w:kern w:val="2"/>
                <w:sz w:val="21"/>
                <w:szCs w:val="21"/>
                <w:lang w:val="en-US" w:eastAsia="zh-CN" w:bidi="ar-SA"/>
              </w:rPr>
              <w:t>《地表水环境质量标准》（GB3838-2002）Ⅲ类标准</w:t>
            </w:r>
            <w:r>
              <w:rPr>
                <w:rFonts w:hint="eastAsia" w:cs="Times New Roman"/>
                <w:color w:val="auto"/>
                <w:kern w:val="2"/>
                <w:sz w:val="21"/>
                <w:szCs w:val="21"/>
                <w:lang w:val="en-US" w:eastAsia="zh-CN" w:bidi="ar-SA"/>
              </w:rPr>
              <w:t>。本项目废水不外排，对周围地表水影响较小。</w:t>
            </w:r>
          </w:p>
          <w:p w14:paraId="2CA51328">
            <w:pPr>
              <w:pStyle w:val="45"/>
              <w:bidi w:val="0"/>
              <w:rPr>
                <w:rFonts w:hint="default"/>
                <w:color w:val="auto"/>
                <w:lang w:val="en-US" w:eastAsia="zh-CN"/>
              </w:rPr>
            </w:pPr>
            <w:r>
              <w:rPr>
                <w:rFonts w:hint="eastAsia"/>
                <w:color w:val="auto"/>
                <w:lang w:val="en-US" w:eastAsia="zh-CN"/>
              </w:rPr>
              <w:t>3.3 声环境质量现状</w:t>
            </w:r>
          </w:p>
          <w:p w14:paraId="31C60706">
            <w:pPr>
              <w:pStyle w:val="38"/>
              <w:bidi w:val="0"/>
              <w:rPr>
                <w:rFonts w:hint="eastAsia"/>
                <w:color w:val="auto"/>
                <w:lang w:val="en-US" w:eastAsia="zh-CN"/>
              </w:rPr>
            </w:pPr>
            <w:r>
              <w:rPr>
                <w:rFonts w:hint="eastAsia"/>
                <w:color w:val="auto"/>
                <w:lang w:val="en-US" w:eastAsia="zh-CN"/>
              </w:rPr>
              <w:t>（1</w:t>
            </w:r>
            <w:r>
              <w:rPr>
                <w:rFonts w:hint="eastAsia"/>
                <w:color w:val="auto"/>
                <w:lang w:eastAsia="zh-CN"/>
              </w:rPr>
              <w:t>）</w:t>
            </w:r>
            <w:r>
              <w:rPr>
                <w:rFonts w:hint="eastAsia"/>
                <w:color w:val="auto"/>
                <w:lang w:val="en-US" w:eastAsia="zh-CN"/>
              </w:rPr>
              <w:t>声环境质量标准</w:t>
            </w:r>
          </w:p>
          <w:p w14:paraId="0CC6247C">
            <w:pPr>
              <w:widowControl w:val="0"/>
              <w:bidi w:val="0"/>
              <w:spacing w:line="360" w:lineRule="auto"/>
              <w:ind w:firstLine="420" w:firstLineChars="20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本项目区域主要为工业、居住混杂区，按《声环境功能区划分技术规范》（GB/T15190-2014）属于2类声环境功能区，执行</w:t>
            </w:r>
            <w:r>
              <w:rPr>
                <w:rFonts w:ascii="Times New Roman" w:hAnsi="Times New Roman" w:eastAsia="宋体" w:cs="Times New Roman"/>
                <w:color w:val="auto"/>
                <w:kern w:val="2"/>
                <w:sz w:val="21"/>
                <w:szCs w:val="21"/>
                <w:lang w:val="en-US" w:eastAsia="zh-CN" w:bidi="ar-SA"/>
              </w:rPr>
              <w:t>《声环境质量标准》（GB3096-2008）2类标准</w:t>
            </w:r>
            <w:r>
              <w:rPr>
                <w:rFonts w:hint="eastAsia" w:ascii="Times New Roman" w:hAnsi="Times New Roman" w:eastAsia="宋体" w:cs="Times New Roman"/>
                <w:color w:val="auto"/>
                <w:kern w:val="2"/>
                <w:sz w:val="21"/>
                <w:szCs w:val="21"/>
                <w:lang w:val="en-US" w:eastAsia="zh-CN" w:bidi="ar-SA"/>
              </w:rPr>
              <w:t>，标准限值如下所示</w:t>
            </w:r>
            <w:r>
              <w:rPr>
                <w:rFonts w:ascii="Times New Roman" w:hAnsi="Times New Roman" w:eastAsia="宋体" w:cs="Times New Roman"/>
                <w:color w:val="auto"/>
                <w:kern w:val="2"/>
                <w:sz w:val="21"/>
                <w:szCs w:val="21"/>
                <w:lang w:val="en-US" w:eastAsia="zh-CN" w:bidi="ar-SA"/>
              </w:rPr>
              <w:t>。</w:t>
            </w:r>
          </w:p>
          <w:p w14:paraId="4FBAD5CA">
            <w:pPr>
              <w:pStyle w:val="41"/>
              <w:bidi w:val="0"/>
              <w:rPr>
                <w:rFonts w:hint="eastAsia"/>
                <w:color w:val="auto"/>
                <w:lang w:val="en-US" w:eastAsia="zh-CN"/>
              </w:rPr>
            </w:pPr>
            <w:r>
              <w:rPr>
                <w:rFonts w:hint="eastAsia"/>
                <w:color w:val="auto"/>
                <w:lang w:val="en-US" w:eastAsia="zh-CN"/>
              </w:rPr>
              <w:t>表3-7  声环境质量标准限  单位：dB(A)</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2"/>
              <w:gridCol w:w="1696"/>
              <w:gridCol w:w="1650"/>
              <w:gridCol w:w="2954"/>
            </w:tblGrid>
            <w:tr w14:paraId="5E980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dxa"/>
                  <w:noWrap w:val="0"/>
                  <w:vAlign w:val="center"/>
                </w:tcPr>
                <w:p w14:paraId="67729CEF">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color w:val="auto"/>
                    </w:rPr>
                  </w:pPr>
                  <w:r>
                    <w:rPr>
                      <w:color w:val="auto"/>
                    </w:rPr>
                    <w:t>类别</w:t>
                  </w:r>
                </w:p>
              </w:tc>
              <w:tc>
                <w:tcPr>
                  <w:tcW w:w="1696" w:type="dxa"/>
                  <w:noWrap w:val="0"/>
                  <w:vAlign w:val="center"/>
                </w:tcPr>
                <w:p w14:paraId="47E74793">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eastAsia"/>
                      <w:color w:val="auto"/>
                      <w:lang w:val="en-US" w:eastAsia="zh-CN"/>
                    </w:rPr>
                  </w:pPr>
                  <w:r>
                    <w:rPr>
                      <w:color w:val="auto"/>
                    </w:rPr>
                    <w:t>昼</w:t>
                  </w:r>
                  <w:r>
                    <w:rPr>
                      <w:rFonts w:hint="eastAsia"/>
                      <w:color w:val="auto"/>
                      <w:lang w:val="en-US" w:eastAsia="zh-CN"/>
                    </w:rPr>
                    <w:t>间</w:t>
                  </w:r>
                </w:p>
              </w:tc>
              <w:tc>
                <w:tcPr>
                  <w:tcW w:w="1650" w:type="dxa"/>
                  <w:noWrap w:val="0"/>
                  <w:vAlign w:val="center"/>
                </w:tcPr>
                <w:p w14:paraId="0BB3A9DA">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color w:val="auto"/>
                    </w:rPr>
                  </w:pPr>
                  <w:r>
                    <w:rPr>
                      <w:color w:val="auto"/>
                    </w:rPr>
                    <w:t>夜间</w:t>
                  </w:r>
                </w:p>
              </w:tc>
              <w:tc>
                <w:tcPr>
                  <w:tcW w:w="2954" w:type="dxa"/>
                  <w:noWrap w:val="0"/>
                  <w:vAlign w:val="center"/>
                </w:tcPr>
                <w:p w14:paraId="18DB9EAA">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eastAsia"/>
                      <w:color w:val="auto"/>
                      <w:lang w:val="en-US" w:eastAsia="zh-CN"/>
                    </w:rPr>
                  </w:pPr>
                  <w:r>
                    <w:rPr>
                      <w:rFonts w:hint="eastAsia"/>
                      <w:color w:val="auto"/>
                      <w:lang w:val="en-US" w:eastAsia="zh-CN"/>
                    </w:rPr>
                    <w:t>评价区域</w:t>
                  </w:r>
                </w:p>
              </w:tc>
            </w:tr>
            <w:tr w14:paraId="1D574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dxa"/>
                  <w:noWrap w:val="0"/>
                  <w:vAlign w:val="center"/>
                </w:tcPr>
                <w:p w14:paraId="54C21F41">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color w:val="auto"/>
                    </w:rPr>
                  </w:pPr>
                  <w:r>
                    <w:rPr>
                      <w:color w:val="auto"/>
                    </w:rPr>
                    <w:t>2类</w:t>
                  </w:r>
                </w:p>
              </w:tc>
              <w:tc>
                <w:tcPr>
                  <w:tcW w:w="1696" w:type="dxa"/>
                  <w:noWrap w:val="0"/>
                  <w:vAlign w:val="center"/>
                </w:tcPr>
                <w:p w14:paraId="684BEDEF">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color w:val="auto"/>
                    </w:rPr>
                  </w:pPr>
                  <w:r>
                    <w:rPr>
                      <w:color w:val="auto"/>
                    </w:rPr>
                    <w:t>60</w:t>
                  </w:r>
                </w:p>
              </w:tc>
              <w:tc>
                <w:tcPr>
                  <w:tcW w:w="1650" w:type="dxa"/>
                  <w:noWrap w:val="0"/>
                  <w:vAlign w:val="center"/>
                </w:tcPr>
                <w:p w14:paraId="7A8CAB4F">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color w:val="auto"/>
                    </w:rPr>
                  </w:pPr>
                  <w:r>
                    <w:rPr>
                      <w:color w:val="auto"/>
                    </w:rPr>
                    <w:t>50</w:t>
                  </w:r>
                </w:p>
              </w:tc>
              <w:tc>
                <w:tcPr>
                  <w:tcW w:w="2954" w:type="dxa"/>
                  <w:noWrap w:val="0"/>
                  <w:vAlign w:val="center"/>
                </w:tcPr>
                <w:p w14:paraId="0D84F54E">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color w:val="auto"/>
                      <w:lang w:val="en-US" w:eastAsia="zh-CN"/>
                    </w:rPr>
                  </w:pPr>
                  <w:r>
                    <w:rPr>
                      <w:rFonts w:hint="eastAsia"/>
                      <w:color w:val="auto"/>
                      <w:lang w:val="en-US" w:eastAsia="zh-CN"/>
                    </w:rPr>
                    <w:t>厂界东、西、南、北侧</w:t>
                  </w:r>
                </w:p>
              </w:tc>
            </w:tr>
          </w:tbl>
          <w:p w14:paraId="37535B24">
            <w:pPr>
              <w:pStyle w:val="38"/>
              <w:keepNext w:val="0"/>
              <w:keepLines w:val="0"/>
              <w:pageBreakBefore w:val="0"/>
              <w:widowControl w:val="0"/>
              <w:kinsoku/>
              <w:wordWrap/>
              <w:overflowPunct/>
              <w:topLinePunct w:val="0"/>
              <w:autoSpaceDE/>
              <w:autoSpaceDN/>
              <w:bidi w:val="0"/>
              <w:snapToGrid w:val="0"/>
              <w:spacing w:line="360" w:lineRule="auto"/>
              <w:textAlignment w:val="auto"/>
              <w:rPr>
                <w:rFonts w:hint="eastAsia"/>
                <w:color w:val="auto"/>
                <w:lang w:val="en-US" w:eastAsia="zh-CN"/>
              </w:rPr>
            </w:pPr>
            <w:r>
              <w:rPr>
                <w:rFonts w:hint="eastAsia"/>
                <w:color w:val="auto"/>
                <w:lang w:val="en-US" w:eastAsia="zh-CN"/>
              </w:rPr>
              <w:t>（2）声环境质量现状</w:t>
            </w:r>
          </w:p>
          <w:p w14:paraId="7B8A3111">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eastAsia" w:ascii="Times New Roman" w:hAnsi="Times New Roman" w:eastAsia="宋体" w:cs="Times New Roman"/>
                <w:color w:val="auto"/>
                <w:lang w:val="en-US" w:eastAsia="zh-CN"/>
              </w:rPr>
            </w:pPr>
            <w:r>
              <w:rPr>
                <w:rFonts w:hint="eastAsia" w:cs="Times New Roman"/>
                <w:color w:val="auto"/>
                <w:kern w:val="0"/>
                <w:sz w:val="21"/>
                <w:szCs w:val="21"/>
              </w:rPr>
              <w:t>经现场踏勘，项目区</w:t>
            </w:r>
            <w:r>
              <w:rPr>
                <w:rFonts w:hint="eastAsia" w:cs="Times New Roman"/>
                <w:color w:val="auto"/>
                <w:sz w:val="21"/>
                <w:szCs w:val="21"/>
              </w:rPr>
              <w:t>厂界外周边</w:t>
            </w:r>
            <w:r>
              <w:rPr>
                <w:rFonts w:cs="Times New Roman"/>
                <w:color w:val="auto"/>
                <w:sz w:val="21"/>
                <w:szCs w:val="21"/>
              </w:rPr>
              <w:t>50</w:t>
            </w:r>
            <w:r>
              <w:rPr>
                <w:rFonts w:hint="eastAsia" w:cs="Times New Roman"/>
                <w:color w:val="auto"/>
                <w:sz w:val="21"/>
                <w:szCs w:val="21"/>
                <w:lang w:val="en-US" w:eastAsia="zh-CN"/>
              </w:rPr>
              <w:t>m</w:t>
            </w:r>
            <w:r>
              <w:rPr>
                <w:rFonts w:hint="eastAsia" w:cs="Times New Roman"/>
                <w:color w:val="auto"/>
                <w:sz w:val="21"/>
                <w:szCs w:val="21"/>
              </w:rPr>
              <w:t>范围内</w:t>
            </w:r>
            <w:r>
              <w:rPr>
                <w:rFonts w:hint="eastAsia" w:cs="Times New Roman"/>
                <w:color w:val="auto"/>
                <w:sz w:val="21"/>
                <w:szCs w:val="21"/>
                <w:lang w:eastAsia="zh-CN"/>
              </w:rPr>
              <w:t>不</w:t>
            </w:r>
            <w:r>
              <w:rPr>
                <w:rFonts w:hint="eastAsia" w:cs="Times New Roman"/>
                <w:color w:val="auto"/>
                <w:sz w:val="21"/>
                <w:szCs w:val="21"/>
              </w:rPr>
              <w:t>存在声环境保护目标，无需进行现状监测</w:t>
            </w:r>
            <w:r>
              <w:rPr>
                <w:rFonts w:hint="eastAsia" w:cs="Times New Roman"/>
                <w:color w:val="auto"/>
                <w:sz w:val="21"/>
                <w:szCs w:val="21"/>
                <w:lang w:eastAsia="zh-CN"/>
              </w:rPr>
              <w:t>，</w:t>
            </w:r>
            <w:r>
              <w:rPr>
                <w:rFonts w:hint="eastAsia" w:cs="Times New Roman"/>
                <w:bCs/>
                <w:color w:val="auto"/>
                <w:sz w:val="21"/>
                <w:szCs w:val="21"/>
              </w:rPr>
              <w:t>本</w:t>
            </w:r>
            <w:r>
              <w:rPr>
                <w:rFonts w:cs="Times New Roman"/>
                <w:bCs/>
                <w:color w:val="auto"/>
                <w:sz w:val="21"/>
                <w:szCs w:val="21"/>
              </w:rPr>
              <w:t>项目</w:t>
            </w:r>
            <w:r>
              <w:rPr>
                <w:rFonts w:hint="eastAsia" w:ascii="宋体" w:hAnsi="宋体" w:cs="宋体"/>
                <w:b w:val="0"/>
                <w:bCs/>
                <w:color w:val="auto"/>
                <w:sz w:val="21"/>
                <w:szCs w:val="21"/>
                <w:lang w:val="en-US" w:eastAsia="zh-CN"/>
              </w:rPr>
              <w:t>周围为工业聚居区，声环境质量一般</w:t>
            </w:r>
            <w:r>
              <w:rPr>
                <w:rFonts w:hint="eastAsia" w:cs="Times New Roman"/>
                <w:color w:val="auto"/>
                <w:kern w:val="0"/>
                <w:sz w:val="21"/>
                <w:szCs w:val="21"/>
                <w:lang w:eastAsia="zh-CN"/>
              </w:rPr>
              <w:t>。</w:t>
            </w:r>
          </w:p>
          <w:p w14:paraId="520B97B5">
            <w:pPr>
              <w:pStyle w:val="45"/>
              <w:bidi w:val="0"/>
              <w:rPr>
                <w:rFonts w:hint="eastAsia" w:eastAsia="宋体"/>
                <w:color w:val="auto"/>
                <w:lang w:eastAsia="zh-CN"/>
              </w:rPr>
            </w:pPr>
            <w:r>
              <w:rPr>
                <w:rFonts w:hint="eastAsia"/>
                <w:color w:val="auto"/>
                <w:lang w:val="en-US" w:eastAsia="zh-CN"/>
              </w:rPr>
              <w:t>3.4</w:t>
            </w:r>
            <w:r>
              <w:rPr>
                <w:rFonts w:hint="eastAsia" w:eastAsia="宋体"/>
                <w:color w:val="auto"/>
                <w:lang w:val="en-US" w:eastAsia="zh-CN"/>
              </w:rPr>
              <w:t xml:space="preserve"> </w:t>
            </w:r>
            <w:r>
              <w:rPr>
                <w:rFonts w:hint="eastAsia" w:eastAsia="宋体"/>
                <w:color w:val="auto"/>
                <w:lang w:eastAsia="zh-CN"/>
              </w:rPr>
              <w:t>地下水</w:t>
            </w:r>
            <w:r>
              <w:rPr>
                <w:rFonts w:hint="eastAsia" w:eastAsia="宋体"/>
                <w:color w:val="auto"/>
                <w:lang w:val="en-US" w:eastAsia="zh-CN"/>
              </w:rPr>
              <w:t>及土壤</w:t>
            </w:r>
            <w:r>
              <w:rPr>
                <w:rFonts w:hint="eastAsia" w:eastAsia="宋体"/>
                <w:color w:val="auto"/>
                <w:lang w:eastAsia="zh-CN"/>
              </w:rPr>
              <w:t>环境质量</w:t>
            </w:r>
          </w:p>
          <w:p w14:paraId="500BF986">
            <w:pPr>
              <w:widowControl w:val="0"/>
              <w:bidi w:val="0"/>
              <w:spacing w:line="360" w:lineRule="auto"/>
              <w:ind w:firstLine="420" w:firstLineChars="20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本项目厂界外500m范围内无集中式饮用水水源和热水、矿泉水、温泉等特殊地下水源环境目标。项目不开采利用地下水，也不进行地下水回灌或向地下水排放废水，运营期项目排放的废气主要是颗粒物、SO</w:t>
            </w:r>
            <w:r>
              <w:rPr>
                <w:rFonts w:hint="eastAsia" w:ascii="Times New Roman" w:hAnsi="Times New Roman" w:eastAsia="宋体" w:cs="Times New Roman"/>
                <w:color w:val="auto"/>
                <w:kern w:val="2"/>
                <w:sz w:val="21"/>
                <w:szCs w:val="21"/>
                <w:vertAlign w:val="subscript"/>
                <w:lang w:val="en-US" w:eastAsia="zh-CN" w:bidi="ar-SA"/>
              </w:rPr>
              <w:t>2</w:t>
            </w:r>
            <w:r>
              <w:rPr>
                <w:rFonts w:hint="eastAsia" w:ascii="Times New Roman" w:hAnsi="Times New Roman" w:eastAsia="宋体" w:cs="Times New Roman"/>
                <w:color w:val="auto"/>
                <w:kern w:val="2"/>
                <w:sz w:val="21"/>
                <w:szCs w:val="21"/>
                <w:lang w:val="en-US" w:eastAsia="zh-CN" w:bidi="ar-SA"/>
              </w:rPr>
              <w:t>、NOx、氟化物，不含《有毒有害大气污染物名录》中的污染物，不会对土壤造成大气沉降影响；项目</w:t>
            </w:r>
            <w:r>
              <w:rPr>
                <w:rFonts w:hint="eastAsia" w:cs="Times New Roman"/>
                <w:color w:val="auto"/>
                <w:kern w:val="2"/>
                <w:sz w:val="21"/>
                <w:szCs w:val="21"/>
                <w:lang w:val="en-US" w:eastAsia="zh-CN" w:bidi="ar-SA"/>
              </w:rPr>
              <w:t>生活污水</w:t>
            </w:r>
            <w:r>
              <w:rPr>
                <w:rFonts w:hint="eastAsia"/>
                <w:b w:val="0"/>
                <w:bCs/>
                <w:color w:val="auto"/>
                <w:sz w:val="21"/>
                <w:szCs w:val="21"/>
                <w:lang w:val="en-US" w:eastAsia="zh-CN"/>
              </w:rPr>
              <w:t>委托环卫车辆运送至华宁北控环保水务有限公司管理运营的华宁县城污水处理厂处理</w:t>
            </w:r>
            <w:r>
              <w:rPr>
                <w:rFonts w:hint="eastAsia" w:cs="Times New Roman"/>
                <w:color w:val="auto"/>
                <w:kern w:val="2"/>
                <w:sz w:val="21"/>
                <w:szCs w:val="21"/>
                <w:lang w:val="en-US" w:eastAsia="zh-CN" w:bidi="ar-SA"/>
              </w:rPr>
              <w:t>；生产废水循环使用不外排</w:t>
            </w:r>
            <w:r>
              <w:rPr>
                <w:rFonts w:hint="eastAsia" w:ascii="Times New Roman" w:hAnsi="Times New Roman" w:eastAsia="宋体" w:cs="Times New Roman"/>
                <w:color w:val="auto"/>
                <w:kern w:val="2"/>
                <w:sz w:val="21"/>
                <w:szCs w:val="21"/>
                <w:lang w:val="en-US" w:eastAsia="zh-CN" w:bidi="ar-SA"/>
              </w:rPr>
              <w:t>，厂房内地面均按相关标准进行防渗处理，不存在地下水、土壤污染途径项目。根据《建设项目环境影响报告表编制技术指南（污染影响类）》（试行）要求，无需进行地下水、土壤环境现状调查。</w:t>
            </w:r>
          </w:p>
          <w:p w14:paraId="65BFD2A8">
            <w:pPr>
              <w:pStyle w:val="45"/>
              <w:bidi w:val="0"/>
              <w:rPr>
                <w:rFonts w:hint="eastAsia" w:eastAsia="宋体"/>
                <w:color w:val="auto"/>
                <w:lang w:eastAsia="zh-CN"/>
              </w:rPr>
            </w:pPr>
            <w:r>
              <w:rPr>
                <w:rFonts w:hint="eastAsia"/>
                <w:color w:val="auto"/>
                <w:lang w:val="en-US" w:eastAsia="zh-CN"/>
              </w:rPr>
              <w:t>3.5</w:t>
            </w:r>
            <w:r>
              <w:rPr>
                <w:rFonts w:hint="eastAsia" w:eastAsia="宋体"/>
                <w:color w:val="auto"/>
                <w:lang w:eastAsia="zh-CN"/>
              </w:rPr>
              <w:t>生态环境</w:t>
            </w:r>
            <w:r>
              <w:rPr>
                <w:rFonts w:eastAsia="宋体"/>
                <w:color w:val="auto"/>
              </w:rPr>
              <w:t>质量</w:t>
            </w:r>
          </w:p>
          <w:p w14:paraId="1549FBC1">
            <w:pPr>
              <w:widowControl w:val="0"/>
              <w:bidi w:val="0"/>
              <w:spacing w:line="360" w:lineRule="auto"/>
              <w:ind w:firstLine="420" w:firstLineChars="200"/>
              <w:jc w:val="both"/>
              <w:rPr>
                <w:rFonts w:hint="default"/>
                <w:color w:val="auto"/>
                <w:lang w:val="en-US" w:eastAsia="zh-CN"/>
              </w:rPr>
            </w:pPr>
            <w:r>
              <w:rPr>
                <w:rFonts w:hint="eastAsia" w:ascii="Times New Roman" w:hAnsi="Times New Roman" w:eastAsia="宋体" w:cs="Times New Roman"/>
                <w:i w:val="0"/>
                <w:iCs w:val="0"/>
                <w:caps w:val="0"/>
                <w:color w:val="auto"/>
                <w:spacing w:val="0"/>
                <w:kern w:val="2"/>
                <w:sz w:val="21"/>
                <w:szCs w:val="21"/>
                <w:shd w:val="clear" w:fill="FFFFFF"/>
                <w:lang w:val="en-US" w:eastAsia="zh-CN" w:bidi="ar-SA"/>
              </w:rPr>
              <w:t>本项目位于</w:t>
            </w:r>
            <w:r>
              <w:rPr>
                <w:rFonts w:hint="eastAsia" w:cs="Times New Roman"/>
                <w:color w:val="auto"/>
                <w:sz w:val="21"/>
                <w:szCs w:val="21"/>
                <w:lang w:val="en-US" w:eastAsia="zh-CN"/>
              </w:rPr>
              <w:t>云南省玉溪市华宁县</w:t>
            </w:r>
            <w:r>
              <w:rPr>
                <w:rFonts w:hint="default" w:ascii="Times New Roman" w:hAnsi="Times New Roman" w:cs="Times New Roman"/>
                <w:color w:val="auto"/>
                <w:sz w:val="21"/>
                <w:szCs w:val="21"/>
                <w:lang w:val="en-US" w:eastAsia="zh-CN"/>
              </w:rPr>
              <w:t>宁州街道上村社区松树地</w:t>
            </w:r>
            <w:r>
              <w:rPr>
                <w:rFonts w:hint="eastAsia" w:ascii="Times New Roman" w:hAnsi="Times New Roman" w:eastAsia="宋体" w:cs="Times New Roman"/>
                <w:i w:val="0"/>
                <w:iCs w:val="0"/>
                <w:caps w:val="0"/>
                <w:color w:val="auto"/>
                <w:spacing w:val="0"/>
                <w:kern w:val="2"/>
                <w:sz w:val="21"/>
                <w:szCs w:val="21"/>
                <w:shd w:val="clear" w:fill="FFFFFF"/>
                <w:lang w:val="en-US" w:eastAsia="zh-CN" w:bidi="ar-SA"/>
              </w:rPr>
              <w:t>，</w:t>
            </w:r>
            <w:r>
              <w:rPr>
                <w:rFonts w:hint="eastAsia" w:cs="Times New Roman"/>
                <w:color w:val="auto"/>
                <w:sz w:val="21"/>
                <w:szCs w:val="21"/>
                <w:u w:val="none"/>
                <w:lang w:val="en-US" w:eastAsia="zh-CN"/>
              </w:rPr>
              <w:t>华宁县白塔山陶器厂</w:t>
            </w:r>
            <w:r>
              <w:rPr>
                <w:rFonts w:hint="eastAsia" w:cs="Times New Roman"/>
                <w:color w:val="auto"/>
                <w:kern w:val="2"/>
                <w:sz w:val="21"/>
                <w:szCs w:val="21"/>
                <w:lang w:val="en-US" w:eastAsia="zh-CN" w:bidi="ar-SA"/>
              </w:rPr>
              <w:t>于2021年通过国有土地出让，取得《不动产权证》，文号：云（2021）华宁县不动产权第0000286号，厂区规划工业用地10624.66㎡；2025年2月21日取得了华宁县自然资源局出具的《华宁县2025年度第一批次村庄建设用地》的缴费通知，企业依法缴纳费用，取得了0.8928公顷的建设用地使用权；全厂合计占地面积为19552.66㎡。</w:t>
            </w:r>
            <w:r>
              <w:rPr>
                <w:rFonts w:hint="eastAsia" w:ascii="Times New Roman" w:hAnsi="Times New Roman" w:eastAsia="宋体" w:cs="Times New Roman"/>
                <w:color w:val="auto"/>
                <w:kern w:val="2"/>
                <w:sz w:val="21"/>
                <w:szCs w:val="21"/>
                <w:lang w:val="en-US" w:eastAsia="zh-CN" w:bidi="ar-SA"/>
              </w:rPr>
              <w:t>项目利用现有</w:t>
            </w:r>
            <w:r>
              <w:rPr>
                <w:rFonts w:hint="eastAsia" w:cs="Times New Roman"/>
                <w:color w:val="auto"/>
                <w:kern w:val="2"/>
                <w:sz w:val="21"/>
                <w:szCs w:val="21"/>
                <w:lang w:val="en-US" w:eastAsia="zh-CN" w:bidi="ar-SA"/>
              </w:rPr>
              <w:t>厂房建设</w:t>
            </w:r>
            <w:r>
              <w:rPr>
                <w:rFonts w:hint="eastAsia" w:ascii="Times New Roman" w:hAnsi="Times New Roman" w:eastAsia="宋体" w:cs="Times New Roman"/>
                <w:color w:val="auto"/>
                <w:kern w:val="2"/>
                <w:sz w:val="21"/>
                <w:szCs w:val="21"/>
                <w:lang w:val="en-US" w:eastAsia="zh-CN" w:bidi="ar-SA"/>
              </w:rPr>
              <w:t>，用地范围内没有生态环境保护目标，</w:t>
            </w:r>
            <w:r>
              <w:rPr>
                <w:rFonts w:hint="eastAsia"/>
                <w:color w:val="auto"/>
                <w:sz w:val="21"/>
                <w:szCs w:val="21"/>
                <w:lang w:val="en-US" w:eastAsia="zh-CN"/>
              </w:rPr>
              <w:t>无原生植被及其他植被。工程区域内生物物种单一，生物多样性较差，生</w:t>
            </w:r>
            <w:r>
              <w:rPr>
                <w:rFonts w:hint="eastAsia"/>
                <w:color w:val="auto"/>
                <w:lang w:val="en-US" w:eastAsia="zh-CN"/>
              </w:rPr>
              <w:t>态环境自身调控能力较弱，受人为影响较大。</w:t>
            </w:r>
            <w:r>
              <w:rPr>
                <w:rFonts w:hint="eastAsia" w:ascii="Times New Roman" w:hAnsi="Times New Roman" w:eastAsia="宋体" w:cs="Times New Roman"/>
                <w:color w:val="auto"/>
                <w:kern w:val="2"/>
                <w:sz w:val="21"/>
                <w:szCs w:val="21"/>
                <w:lang w:val="en-US" w:eastAsia="zh-CN" w:bidi="ar-SA"/>
              </w:rPr>
              <w:t>不需要进行生态现状调查。</w:t>
            </w:r>
          </w:p>
        </w:tc>
      </w:tr>
      <w:tr w14:paraId="6DF826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800" w:type="dxa"/>
            <w:noWrap w:val="0"/>
            <w:vAlign w:val="center"/>
          </w:tcPr>
          <w:p w14:paraId="429A6155">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环境</w:t>
            </w:r>
          </w:p>
          <w:p w14:paraId="4B99B956">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保护</w:t>
            </w:r>
          </w:p>
          <w:p w14:paraId="421EDC30">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目标</w:t>
            </w:r>
          </w:p>
        </w:tc>
        <w:tc>
          <w:tcPr>
            <w:tcW w:w="8190" w:type="dxa"/>
            <w:noWrap w:val="0"/>
            <w:vAlign w:val="center"/>
          </w:tcPr>
          <w:p w14:paraId="154CDA14">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color w:val="auto"/>
                <w:sz w:val="21"/>
                <w:szCs w:val="21"/>
                <w:lang w:eastAsia="zh-CN"/>
              </w:rPr>
            </w:pPr>
            <w:r>
              <w:rPr>
                <w:color w:val="auto"/>
                <w:sz w:val="21"/>
                <w:szCs w:val="21"/>
              </w:rPr>
              <w:t>根据现场踏勘，本项目厂界外</w:t>
            </w:r>
            <w:r>
              <w:rPr>
                <w:rFonts w:cs="Times New Roman"/>
                <w:color w:val="auto"/>
                <w:sz w:val="21"/>
                <w:szCs w:val="21"/>
              </w:rPr>
              <w:t>500m范围内无自然保护区、风景名胜区，无文化区、地下水集中式饮用水</w:t>
            </w:r>
            <w:r>
              <w:rPr>
                <w:rFonts w:hint="eastAsia" w:cs="Times New Roman"/>
                <w:color w:val="auto"/>
                <w:sz w:val="21"/>
                <w:szCs w:val="21"/>
                <w:lang w:eastAsia="zh-CN"/>
              </w:rPr>
              <w:t>水</w:t>
            </w:r>
            <w:r>
              <w:rPr>
                <w:rFonts w:cs="Times New Roman"/>
                <w:color w:val="auto"/>
                <w:sz w:val="21"/>
                <w:szCs w:val="21"/>
              </w:rPr>
              <w:t>源及热水、矿泉水</w:t>
            </w:r>
            <w:r>
              <w:rPr>
                <w:rFonts w:hint="eastAsia" w:cs="Times New Roman"/>
                <w:color w:val="auto"/>
                <w:sz w:val="21"/>
                <w:szCs w:val="21"/>
                <w:lang w:eastAsia="zh-CN"/>
              </w:rPr>
              <w:t>、</w:t>
            </w:r>
            <w:r>
              <w:rPr>
                <w:rFonts w:cs="Times New Roman"/>
                <w:color w:val="auto"/>
                <w:sz w:val="21"/>
                <w:szCs w:val="21"/>
              </w:rPr>
              <w:t>温泉等特殊地下水资源</w:t>
            </w:r>
            <w:r>
              <w:rPr>
                <w:rFonts w:hint="eastAsia" w:cs="Times New Roman"/>
                <w:color w:val="auto"/>
                <w:sz w:val="21"/>
                <w:szCs w:val="21"/>
              </w:rPr>
              <w:t>；</w:t>
            </w:r>
            <w:r>
              <w:rPr>
                <w:color w:val="auto"/>
                <w:sz w:val="21"/>
                <w:szCs w:val="21"/>
              </w:rPr>
              <w:t>50m</w:t>
            </w:r>
            <w:r>
              <w:rPr>
                <w:rFonts w:hint="eastAsia"/>
                <w:color w:val="auto"/>
                <w:sz w:val="21"/>
                <w:szCs w:val="21"/>
                <w:lang w:eastAsia="zh-CN"/>
              </w:rPr>
              <w:t>范围</w:t>
            </w:r>
            <w:r>
              <w:rPr>
                <w:rFonts w:hint="eastAsia"/>
                <w:color w:val="auto"/>
                <w:sz w:val="21"/>
                <w:szCs w:val="21"/>
              </w:rPr>
              <w:t>内</w:t>
            </w:r>
            <w:r>
              <w:rPr>
                <w:rFonts w:hint="eastAsia"/>
                <w:color w:val="auto"/>
                <w:sz w:val="21"/>
                <w:szCs w:val="21"/>
                <w:lang w:eastAsia="zh-CN"/>
              </w:rPr>
              <w:t>无</w:t>
            </w:r>
            <w:r>
              <w:rPr>
                <w:color w:val="auto"/>
                <w:sz w:val="21"/>
                <w:szCs w:val="21"/>
              </w:rPr>
              <w:t>噪声保护目标</w:t>
            </w:r>
            <w:r>
              <w:rPr>
                <w:rFonts w:hint="eastAsia"/>
                <w:color w:val="auto"/>
                <w:sz w:val="21"/>
                <w:szCs w:val="21"/>
                <w:lang w:eastAsia="zh-CN"/>
              </w:rPr>
              <w:t>，</w:t>
            </w:r>
            <w:r>
              <w:rPr>
                <w:color w:val="auto"/>
                <w:sz w:val="21"/>
                <w:szCs w:val="21"/>
              </w:rPr>
              <w:t>无生态环境保护目标。本项目</w:t>
            </w:r>
            <w:r>
              <w:rPr>
                <w:rFonts w:hint="eastAsia"/>
                <w:color w:val="auto"/>
                <w:sz w:val="21"/>
                <w:szCs w:val="21"/>
              </w:rPr>
              <w:t>主要环境保护目标</w:t>
            </w:r>
            <w:r>
              <w:rPr>
                <w:color w:val="auto"/>
                <w:sz w:val="21"/>
                <w:szCs w:val="21"/>
              </w:rPr>
              <w:t>见下表</w:t>
            </w:r>
            <w:r>
              <w:rPr>
                <w:rFonts w:hint="default" w:ascii="Times New Roman" w:hAnsi="Times New Roman" w:eastAsia="宋体" w:cs="Times New Roman"/>
                <w:color w:val="auto"/>
                <w:sz w:val="21"/>
                <w:szCs w:val="21"/>
                <w:lang w:eastAsia="zh-CN"/>
              </w:rPr>
              <w:t>。</w:t>
            </w:r>
          </w:p>
          <w:p w14:paraId="0B00FD2B">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3.</w:t>
            </w:r>
            <w:r>
              <w:rPr>
                <w:rFonts w:hint="eastAsia" w:cs="Times New Roman"/>
                <w:b/>
                <w:bCs/>
                <w:color w:val="auto"/>
                <w:sz w:val="21"/>
                <w:szCs w:val="21"/>
                <w:lang w:val="en-US" w:eastAsia="zh-CN" w:bidi="ar-SA"/>
              </w:rPr>
              <w:t>6</w:t>
            </w:r>
            <w:r>
              <w:rPr>
                <w:rFonts w:hint="default" w:ascii="Times New Roman" w:hAnsi="Times New Roman" w:eastAsia="宋体" w:cs="Times New Roman"/>
                <w:b/>
                <w:bCs/>
                <w:color w:val="auto"/>
                <w:sz w:val="21"/>
                <w:szCs w:val="21"/>
                <w:lang w:val="en-US" w:eastAsia="zh-CN" w:bidi="ar-SA"/>
              </w:rPr>
              <w:t xml:space="preserve"> </w:t>
            </w:r>
            <w:r>
              <w:rPr>
                <w:rFonts w:hint="eastAsia" w:ascii="Times New Roman" w:hAnsi="Times New Roman" w:eastAsia="宋体" w:cs="Times New Roman"/>
                <w:b/>
                <w:bCs/>
                <w:color w:val="auto"/>
                <w:sz w:val="21"/>
                <w:szCs w:val="21"/>
                <w:lang w:val="en-US" w:eastAsia="zh-CN" w:bidi="ar-SA"/>
              </w:rPr>
              <w:t>项目区周边</w:t>
            </w:r>
            <w:r>
              <w:rPr>
                <w:rFonts w:hint="default" w:ascii="Times New Roman" w:hAnsi="Times New Roman" w:eastAsia="宋体" w:cs="Times New Roman"/>
                <w:b/>
                <w:bCs/>
                <w:color w:val="auto"/>
                <w:sz w:val="21"/>
                <w:szCs w:val="21"/>
                <w:lang w:val="en-US" w:eastAsia="zh-CN" w:bidi="ar-SA"/>
              </w:rPr>
              <w:t>环境保护目标</w:t>
            </w:r>
          </w:p>
          <w:p w14:paraId="34F81BD9">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b/>
                <w:bCs/>
                <w:color w:val="auto"/>
                <w:sz w:val="21"/>
                <w:szCs w:val="21"/>
                <w:lang w:val="en-US" w:eastAsia="zh-CN" w:bidi="ar-SA"/>
              </w:rPr>
            </w:pPr>
          </w:p>
          <w:p w14:paraId="428D7339">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表3-</w:t>
            </w:r>
            <w:r>
              <w:rPr>
                <w:rFonts w:hint="eastAsia" w:cs="Times New Roman"/>
                <w:b/>
                <w:bCs/>
                <w:color w:val="auto"/>
                <w:sz w:val="21"/>
                <w:szCs w:val="21"/>
                <w:lang w:val="en-US" w:eastAsia="zh-CN" w:bidi="ar-SA"/>
              </w:rPr>
              <w:t>9</w:t>
            </w:r>
            <w:r>
              <w:rPr>
                <w:rFonts w:hint="default" w:ascii="Times New Roman" w:hAnsi="Times New Roman" w:eastAsia="宋体" w:cs="Times New Roman"/>
                <w:b/>
                <w:bCs/>
                <w:color w:val="auto"/>
                <w:sz w:val="21"/>
                <w:szCs w:val="21"/>
                <w:lang w:val="en-US" w:eastAsia="zh-CN" w:bidi="ar-SA"/>
              </w:rPr>
              <w:t xml:space="preserve">  大气环境保护目标一览表</w:t>
            </w:r>
          </w:p>
          <w:tbl>
            <w:tblPr>
              <w:tblStyle w:val="30"/>
              <w:tblW w:w="79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090"/>
              <w:gridCol w:w="867"/>
              <w:gridCol w:w="887"/>
              <w:gridCol w:w="969"/>
              <w:gridCol w:w="938"/>
              <w:gridCol w:w="2128"/>
            </w:tblGrid>
            <w:tr w14:paraId="02A39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1119" w:type="dxa"/>
                  <w:vMerge w:val="restart"/>
                  <w:vAlign w:val="center"/>
                </w:tcPr>
                <w:p w14:paraId="5EF8A788">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jc w:val="center"/>
                    <w:textAlignment w:val="auto"/>
                    <w:rPr>
                      <w:rFonts w:hint="default" w:ascii="Times New Roman" w:hAnsi="Times New Roman" w:eastAsia="宋体" w:cs="Times New Roman"/>
                      <w:b/>
                      <w:bCs/>
                      <w:color w:val="auto"/>
                      <w:sz w:val="21"/>
                      <w:szCs w:val="21"/>
                      <w:vertAlign w:val="baseline"/>
                      <w:lang w:val="en-US" w:eastAsia="zh-CN" w:bidi="ar-SA"/>
                    </w:rPr>
                  </w:pPr>
                  <w:r>
                    <w:rPr>
                      <w:rFonts w:hint="eastAsia" w:ascii="Times New Roman" w:hAnsi="Times New Roman" w:eastAsia="宋体" w:cs="Times New Roman"/>
                      <w:b/>
                      <w:bCs/>
                      <w:color w:val="auto"/>
                      <w:sz w:val="21"/>
                      <w:szCs w:val="21"/>
                      <w:vertAlign w:val="baseline"/>
                      <w:lang w:val="en-US" w:eastAsia="zh-CN" w:bidi="ar-SA"/>
                    </w:rPr>
                    <w:t>保护类别</w:t>
                  </w:r>
                </w:p>
              </w:tc>
              <w:tc>
                <w:tcPr>
                  <w:tcW w:w="1090" w:type="dxa"/>
                  <w:vMerge w:val="restart"/>
                  <w:vAlign w:val="center"/>
                </w:tcPr>
                <w:p w14:paraId="618F5A95">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jc w:val="center"/>
                    <w:textAlignment w:val="auto"/>
                    <w:rPr>
                      <w:rFonts w:hint="default" w:ascii="Times New Roman" w:hAnsi="Times New Roman" w:eastAsia="宋体" w:cs="Times New Roman"/>
                      <w:b/>
                      <w:bCs/>
                      <w:color w:val="auto"/>
                      <w:sz w:val="21"/>
                      <w:szCs w:val="21"/>
                      <w:vertAlign w:val="baseline"/>
                      <w:lang w:val="en-US" w:eastAsia="zh-CN" w:bidi="ar-SA"/>
                    </w:rPr>
                  </w:pPr>
                  <w:r>
                    <w:rPr>
                      <w:rFonts w:hint="eastAsia" w:ascii="Times New Roman" w:hAnsi="Times New Roman" w:eastAsia="宋体" w:cs="Times New Roman"/>
                      <w:b/>
                      <w:bCs/>
                      <w:color w:val="auto"/>
                      <w:sz w:val="21"/>
                      <w:szCs w:val="21"/>
                      <w:vertAlign w:val="baseline"/>
                      <w:lang w:val="en-US" w:eastAsia="zh-CN" w:bidi="ar-SA"/>
                    </w:rPr>
                    <w:t>名称</w:t>
                  </w:r>
                </w:p>
              </w:tc>
              <w:tc>
                <w:tcPr>
                  <w:tcW w:w="1754" w:type="dxa"/>
                  <w:gridSpan w:val="2"/>
                  <w:vAlign w:val="center"/>
                </w:tcPr>
                <w:p w14:paraId="17143424">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jc w:val="center"/>
                    <w:textAlignment w:val="auto"/>
                    <w:rPr>
                      <w:rFonts w:hint="default" w:ascii="Times New Roman" w:hAnsi="Times New Roman" w:eastAsia="宋体" w:cs="Times New Roman"/>
                      <w:b/>
                      <w:bCs/>
                      <w:color w:val="auto"/>
                      <w:sz w:val="21"/>
                      <w:szCs w:val="21"/>
                      <w:vertAlign w:val="baseline"/>
                      <w:lang w:val="en-US" w:eastAsia="zh-CN" w:bidi="ar-SA"/>
                    </w:rPr>
                  </w:pPr>
                  <w:r>
                    <w:rPr>
                      <w:rFonts w:hint="eastAsia" w:ascii="Times New Roman" w:hAnsi="Times New Roman" w:eastAsia="宋体" w:cs="Times New Roman"/>
                      <w:b/>
                      <w:bCs/>
                      <w:color w:val="auto"/>
                      <w:sz w:val="21"/>
                      <w:szCs w:val="21"/>
                      <w:vertAlign w:val="baseline"/>
                      <w:lang w:val="en-US" w:eastAsia="zh-CN" w:bidi="ar-SA"/>
                    </w:rPr>
                    <w:t>坐标</w:t>
                  </w:r>
                </w:p>
              </w:tc>
              <w:tc>
                <w:tcPr>
                  <w:tcW w:w="969" w:type="dxa"/>
                  <w:vMerge w:val="restart"/>
                  <w:vAlign w:val="center"/>
                </w:tcPr>
                <w:p w14:paraId="7D6EFEBA">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jc w:val="center"/>
                    <w:textAlignment w:val="auto"/>
                    <w:rPr>
                      <w:rFonts w:hint="default" w:ascii="Times New Roman" w:hAnsi="Times New Roman" w:eastAsia="宋体" w:cs="Times New Roman"/>
                      <w:b/>
                      <w:bCs/>
                      <w:color w:val="auto"/>
                      <w:sz w:val="21"/>
                      <w:szCs w:val="21"/>
                      <w:vertAlign w:val="baseline"/>
                      <w:lang w:val="en-US" w:eastAsia="zh-CN" w:bidi="ar-SA"/>
                    </w:rPr>
                  </w:pPr>
                  <w:r>
                    <w:rPr>
                      <w:rFonts w:hint="eastAsia" w:ascii="Times New Roman" w:hAnsi="Times New Roman" w:eastAsia="宋体" w:cs="Times New Roman"/>
                      <w:b/>
                      <w:bCs/>
                      <w:color w:val="auto"/>
                      <w:sz w:val="21"/>
                      <w:szCs w:val="21"/>
                      <w:vertAlign w:val="baseline"/>
                      <w:lang w:val="en-US" w:eastAsia="zh-CN" w:bidi="ar-SA"/>
                    </w:rPr>
                    <w:t>与厂界的方位</w:t>
                  </w:r>
                </w:p>
              </w:tc>
              <w:tc>
                <w:tcPr>
                  <w:tcW w:w="938" w:type="dxa"/>
                  <w:vMerge w:val="restart"/>
                  <w:vAlign w:val="center"/>
                </w:tcPr>
                <w:p w14:paraId="19275103">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jc w:val="center"/>
                    <w:textAlignment w:val="auto"/>
                    <w:rPr>
                      <w:rFonts w:hint="eastAsia" w:ascii="Times New Roman" w:hAnsi="Times New Roman" w:eastAsia="宋体" w:cs="Times New Roman"/>
                      <w:b/>
                      <w:bCs/>
                      <w:color w:val="auto"/>
                      <w:sz w:val="21"/>
                      <w:szCs w:val="21"/>
                      <w:vertAlign w:val="baseline"/>
                      <w:lang w:val="en-US" w:eastAsia="zh-CN" w:bidi="ar-SA"/>
                    </w:rPr>
                  </w:pPr>
                  <w:r>
                    <w:rPr>
                      <w:rFonts w:hint="eastAsia" w:ascii="Times New Roman" w:hAnsi="Times New Roman" w:eastAsia="宋体" w:cs="Times New Roman"/>
                      <w:b/>
                      <w:bCs/>
                      <w:color w:val="auto"/>
                      <w:sz w:val="21"/>
                      <w:szCs w:val="21"/>
                      <w:vertAlign w:val="baseline"/>
                      <w:lang w:val="en-US" w:eastAsia="zh-CN" w:bidi="ar-SA"/>
                    </w:rPr>
                    <w:t>与厂界的距离</w:t>
                  </w:r>
                </w:p>
              </w:tc>
              <w:tc>
                <w:tcPr>
                  <w:tcW w:w="2128" w:type="dxa"/>
                  <w:vMerge w:val="restart"/>
                  <w:vAlign w:val="center"/>
                </w:tcPr>
                <w:p w14:paraId="7E609AC7">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jc w:val="center"/>
                    <w:textAlignment w:val="auto"/>
                    <w:rPr>
                      <w:rFonts w:hint="default" w:ascii="Times New Roman" w:hAnsi="Times New Roman" w:eastAsia="宋体" w:cs="Times New Roman"/>
                      <w:b/>
                      <w:bCs/>
                      <w:color w:val="auto"/>
                      <w:sz w:val="21"/>
                      <w:szCs w:val="21"/>
                      <w:vertAlign w:val="baseline"/>
                      <w:lang w:val="en-US" w:eastAsia="zh-CN" w:bidi="ar-SA"/>
                    </w:rPr>
                  </w:pPr>
                  <w:r>
                    <w:rPr>
                      <w:rFonts w:hint="eastAsia" w:ascii="Times New Roman" w:hAnsi="Times New Roman" w:eastAsia="宋体" w:cs="Times New Roman"/>
                      <w:b/>
                      <w:bCs/>
                      <w:color w:val="auto"/>
                      <w:sz w:val="21"/>
                      <w:szCs w:val="21"/>
                      <w:vertAlign w:val="baseline"/>
                      <w:lang w:val="en-US" w:eastAsia="zh-CN" w:bidi="ar-SA"/>
                    </w:rPr>
                    <w:t>执行标准</w:t>
                  </w:r>
                </w:p>
              </w:tc>
            </w:tr>
            <w:tr w14:paraId="6974A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119" w:type="dxa"/>
                  <w:vMerge w:val="continue"/>
                  <w:vAlign w:val="center"/>
                </w:tcPr>
                <w:p w14:paraId="1314BEAC">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jc w:val="center"/>
                    <w:textAlignment w:val="auto"/>
                    <w:rPr>
                      <w:rFonts w:hint="eastAsia" w:ascii="Times New Roman" w:hAnsi="Times New Roman" w:eastAsia="宋体" w:cs="Times New Roman"/>
                      <w:b/>
                      <w:bCs/>
                      <w:color w:val="auto"/>
                      <w:sz w:val="21"/>
                      <w:szCs w:val="21"/>
                      <w:vertAlign w:val="baseline"/>
                      <w:lang w:val="en-US" w:eastAsia="zh-CN" w:bidi="ar-SA"/>
                    </w:rPr>
                  </w:pPr>
                </w:p>
              </w:tc>
              <w:tc>
                <w:tcPr>
                  <w:tcW w:w="1090" w:type="dxa"/>
                  <w:vMerge w:val="continue"/>
                  <w:vAlign w:val="center"/>
                </w:tcPr>
                <w:p w14:paraId="622D3886">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jc w:val="center"/>
                    <w:textAlignment w:val="auto"/>
                    <w:rPr>
                      <w:rFonts w:hint="eastAsia" w:ascii="Times New Roman" w:hAnsi="Times New Roman" w:eastAsia="宋体" w:cs="Times New Roman"/>
                      <w:b/>
                      <w:bCs/>
                      <w:color w:val="auto"/>
                      <w:sz w:val="21"/>
                      <w:szCs w:val="21"/>
                      <w:vertAlign w:val="baseline"/>
                      <w:lang w:val="en-US" w:eastAsia="zh-CN" w:bidi="ar-SA"/>
                    </w:rPr>
                  </w:pPr>
                </w:p>
              </w:tc>
              <w:tc>
                <w:tcPr>
                  <w:tcW w:w="867" w:type="dxa"/>
                  <w:vAlign w:val="center"/>
                </w:tcPr>
                <w:p w14:paraId="47716392">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jc w:val="center"/>
                    <w:textAlignment w:val="auto"/>
                    <w:rPr>
                      <w:rFonts w:hint="default" w:ascii="Times New Roman" w:hAnsi="Times New Roman" w:eastAsia="宋体" w:cs="Times New Roman"/>
                      <w:b/>
                      <w:bCs/>
                      <w:color w:val="auto"/>
                      <w:sz w:val="21"/>
                      <w:szCs w:val="21"/>
                      <w:vertAlign w:val="baseline"/>
                      <w:lang w:val="en-US" w:eastAsia="zh-CN" w:bidi="ar-SA"/>
                    </w:rPr>
                  </w:pPr>
                  <w:r>
                    <w:rPr>
                      <w:rFonts w:hint="eastAsia" w:ascii="Times New Roman" w:hAnsi="Times New Roman" w:eastAsia="宋体" w:cs="Times New Roman"/>
                      <w:b/>
                      <w:bCs/>
                      <w:color w:val="auto"/>
                      <w:sz w:val="21"/>
                      <w:szCs w:val="21"/>
                      <w:vertAlign w:val="baseline"/>
                      <w:lang w:val="en-US" w:eastAsia="zh-CN" w:bidi="ar-SA"/>
                    </w:rPr>
                    <w:t>经度</w:t>
                  </w:r>
                </w:p>
              </w:tc>
              <w:tc>
                <w:tcPr>
                  <w:tcW w:w="887" w:type="dxa"/>
                  <w:vAlign w:val="center"/>
                </w:tcPr>
                <w:p w14:paraId="5189879D">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jc w:val="center"/>
                    <w:textAlignment w:val="auto"/>
                    <w:rPr>
                      <w:rFonts w:hint="eastAsia" w:ascii="Times New Roman" w:hAnsi="Times New Roman" w:eastAsia="宋体" w:cs="Times New Roman"/>
                      <w:b/>
                      <w:bCs/>
                      <w:color w:val="auto"/>
                      <w:sz w:val="21"/>
                      <w:szCs w:val="21"/>
                      <w:vertAlign w:val="baseline"/>
                      <w:lang w:val="en-US" w:eastAsia="zh-CN" w:bidi="ar-SA"/>
                    </w:rPr>
                  </w:pPr>
                  <w:r>
                    <w:rPr>
                      <w:rFonts w:hint="eastAsia" w:ascii="Times New Roman" w:hAnsi="Times New Roman" w:eastAsia="宋体" w:cs="Times New Roman"/>
                      <w:b/>
                      <w:bCs/>
                      <w:color w:val="auto"/>
                      <w:sz w:val="21"/>
                      <w:szCs w:val="21"/>
                      <w:vertAlign w:val="baseline"/>
                      <w:lang w:val="en-US" w:eastAsia="zh-CN" w:bidi="ar-SA"/>
                    </w:rPr>
                    <w:t>纬度</w:t>
                  </w:r>
                </w:p>
              </w:tc>
              <w:tc>
                <w:tcPr>
                  <w:tcW w:w="969" w:type="dxa"/>
                  <w:vMerge w:val="continue"/>
                  <w:vAlign w:val="center"/>
                </w:tcPr>
                <w:p w14:paraId="0D436D46">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jc w:val="center"/>
                    <w:textAlignment w:val="auto"/>
                    <w:rPr>
                      <w:rFonts w:hint="default" w:ascii="Times New Roman" w:hAnsi="Times New Roman" w:eastAsia="宋体" w:cs="Times New Roman"/>
                      <w:b/>
                      <w:bCs/>
                      <w:color w:val="auto"/>
                      <w:sz w:val="21"/>
                      <w:szCs w:val="21"/>
                      <w:vertAlign w:val="baseline"/>
                      <w:lang w:val="en-US" w:eastAsia="zh-CN" w:bidi="ar-SA"/>
                    </w:rPr>
                  </w:pPr>
                </w:p>
              </w:tc>
              <w:tc>
                <w:tcPr>
                  <w:tcW w:w="938" w:type="dxa"/>
                  <w:vMerge w:val="continue"/>
                  <w:vAlign w:val="center"/>
                </w:tcPr>
                <w:p w14:paraId="1A445A0E">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jc w:val="center"/>
                    <w:textAlignment w:val="auto"/>
                    <w:rPr>
                      <w:rFonts w:hint="default" w:ascii="Times New Roman" w:hAnsi="Times New Roman" w:eastAsia="宋体" w:cs="Times New Roman"/>
                      <w:b/>
                      <w:bCs/>
                      <w:color w:val="auto"/>
                      <w:sz w:val="21"/>
                      <w:szCs w:val="21"/>
                      <w:vertAlign w:val="baseline"/>
                      <w:lang w:val="en-US" w:eastAsia="zh-CN" w:bidi="ar-SA"/>
                    </w:rPr>
                  </w:pPr>
                </w:p>
              </w:tc>
              <w:tc>
                <w:tcPr>
                  <w:tcW w:w="2128" w:type="dxa"/>
                  <w:vMerge w:val="continue"/>
                  <w:vAlign w:val="center"/>
                </w:tcPr>
                <w:p w14:paraId="3B914860">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jc w:val="center"/>
                    <w:textAlignment w:val="auto"/>
                    <w:rPr>
                      <w:rFonts w:hint="default" w:ascii="Times New Roman" w:hAnsi="Times New Roman" w:eastAsia="宋体" w:cs="Times New Roman"/>
                      <w:b/>
                      <w:bCs/>
                      <w:color w:val="auto"/>
                      <w:sz w:val="21"/>
                      <w:szCs w:val="21"/>
                      <w:vertAlign w:val="baseline"/>
                      <w:lang w:val="en-US" w:eastAsia="zh-CN" w:bidi="ar-SA"/>
                    </w:rPr>
                  </w:pPr>
                </w:p>
              </w:tc>
            </w:tr>
            <w:tr w14:paraId="5F308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1119" w:type="dxa"/>
                  <w:vAlign w:val="center"/>
                </w:tcPr>
                <w:p w14:paraId="70AE3C8C">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bidi="ar-SA"/>
                    </w:rPr>
                    <w:t>地表水</w:t>
                  </w:r>
                </w:p>
              </w:tc>
              <w:tc>
                <w:tcPr>
                  <w:tcW w:w="1090" w:type="dxa"/>
                  <w:vAlign w:val="center"/>
                </w:tcPr>
                <w:p w14:paraId="09030359">
                  <w:pPr>
                    <w:keepNext w:val="0"/>
                    <w:keepLines w:val="0"/>
                    <w:pageBreakBefore w:val="0"/>
                    <w:widowControl/>
                    <w:kinsoku/>
                    <w:wordWrap/>
                    <w:overflowPunct/>
                    <w:topLinePunct w:val="0"/>
                    <w:autoSpaceDE/>
                    <w:autoSpaceDN/>
                    <w:bidi w:val="0"/>
                    <w:adjustRightInd w:val="0"/>
                    <w:snapToGrid w:val="0"/>
                    <w:spacing w:before="95" w:beforeLines="30" w:after="95" w:afterLines="30"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val="en-US" w:eastAsia="zh-CN"/>
                    </w:rPr>
                    <w:t>白龙河</w:t>
                  </w:r>
                </w:p>
              </w:tc>
              <w:tc>
                <w:tcPr>
                  <w:tcW w:w="1754" w:type="dxa"/>
                  <w:gridSpan w:val="2"/>
                  <w:vAlign w:val="center"/>
                </w:tcPr>
                <w:p w14:paraId="0841959F">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bidi="ar-SA"/>
                    </w:rPr>
                    <w:t>/</w:t>
                  </w:r>
                </w:p>
              </w:tc>
              <w:tc>
                <w:tcPr>
                  <w:tcW w:w="969" w:type="dxa"/>
                  <w:vAlign w:val="center"/>
                </w:tcPr>
                <w:p w14:paraId="42955365">
                  <w:pPr>
                    <w:keepNext w:val="0"/>
                    <w:keepLines w:val="0"/>
                    <w:pageBreakBefore w:val="0"/>
                    <w:widowControl/>
                    <w:kinsoku/>
                    <w:wordWrap/>
                    <w:overflowPunct/>
                    <w:topLinePunct w:val="0"/>
                    <w:autoSpaceDE/>
                    <w:autoSpaceDN/>
                    <w:bidi w:val="0"/>
                    <w:adjustRightInd w:val="0"/>
                    <w:snapToGrid w:val="0"/>
                    <w:spacing w:before="95" w:beforeLines="30" w:after="95" w:afterLines="30" w:line="240" w:lineRule="auto"/>
                    <w:ind w:left="0" w:leftChars="0" w:firstLine="0" w:firstLineChars="0"/>
                    <w:jc w:val="center"/>
                    <w:textAlignment w:val="auto"/>
                    <w:rPr>
                      <w:rFonts w:hint="eastAsia"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rPr>
                    <w:t>西</w:t>
                  </w:r>
                  <w:r>
                    <w:rPr>
                      <w:rFonts w:hint="eastAsia" w:cs="Times New Roman"/>
                      <w:b w:val="0"/>
                      <w:bCs w:val="0"/>
                      <w:color w:val="auto"/>
                      <w:sz w:val="21"/>
                      <w:szCs w:val="21"/>
                      <w:vertAlign w:val="baseline"/>
                      <w:lang w:val="en-US" w:eastAsia="zh-CN"/>
                    </w:rPr>
                    <w:t>北</w:t>
                  </w:r>
                </w:p>
              </w:tc>
              <w:tc>
                <w:tcPr>
                  <w:tcW w:w="938" w:type="dxa"/>
                  <w:vAlign w:val="center"/>
                </w:tcPr>
                <w:p w14:paraId="3E508373">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bidi="ar-SA"/>
                    </w:rPr>
                  </w:pPr>
                  <w:r>
                    <w:rPr>
                      <w:rFonts w:hint="eastAsia" w:cs="Times New Roman"/>
                      <w:b w:val="0"/>
                      <w:bCs w:val="0"/>
                      <w:color w:val="auto"/>
                      <w:sz w:val="21"/>
                      <w:szCs w:val="21"/>
                      <w:vertAlign w:val="baseline"/>
                      <w:lang w:val="en-US" w:eastAsia="zh-CN"/>
                    </w:rPr>
                    <w:t>156</w:t>
                  </w:r>
                  <w:r>
                    <w:rPr>
                      <w:rFonts w:hint="default" w:ascii="Times New Roman" w:hAnsi="Times New Roman" w:eastAsia="宋体" w:cs="Times New Roman"/>
                      <w:b w:val="0"/>
                      <w:bCs w:val="0"/>
                      <w:color w:val="auto"/>
                      <w:sz w:val="21"/>
                      <w:szCs w:val="21"/>
                      <w:vertAlign w:val="baseline"/>
                      <w:lang w:val="en-US" w:eastAsia="zh-CN"/>
                    </w:rPr>
                    <w:t>m</w:t>
                  </w:r>
                </w:p>
              </w:tc>
              <w:tc>
                <w:tcPr>
                  <w:tcW w:w="2128" w:type="dxa"/>
                  <w:vAlign w:val="center"/>
                </w:tcPr>
                <w:p w14:paraId="4E685C39">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default" w:ascii="Times New Roman" w:hAnsi="Times New Roman" w:eastAsia="宋体" w:cs="Times New Roman"/>
                      <w:color w:val="auto"/>
                      <w:kern w:val="0"/>
                      <w:sz w:val="21"/>
                      <w:szCs w:val="21"/>
                      <w:lang w:val="en-US" w:eastAsia="zh-CN" w:bidi="ar-SA"/>
                    </w:rPr>
                    <w:t>《地表水环境质量标准》</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GB3838-2002</w:t>
                  </w: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Ⅲ类标准</w:t>
                  </w:r>
                </w:p>
              </w:tc>
            </w:tr>
            <w:tr w14:paraId="7A963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1119" w:type="dxa"/>
                  <w:vAlign w:val="center"/>
                </w:tcPr>
                <w:p w14:paraId="0EA0FE4D">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bidi="ar-SA"/>
                    </w:rPr>
                    <w:t>地下水</w:t>
                  </w:r>
                </w:p>
              </w:tc>
              <w:tc>
                <w:tcPr>
                  <w:tcW w:w="6879" w:type="dxa"/>
                  <w:gridSpan w:val="6"/>
                  <w:vAlign w:val="center"/>
                </w:tcPr>
                <w:p w14:paraId="6A52E89B">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厂界外500米范</w:t>
                  </w:r>
                  <w:r>
                    <w:rPr>
                      <w:rFonts w:hint="eastAsia" w:ascii="Times New Roman" w:hAnsi="Times New Roman" w:eastAsia="宋体" w:cs="Times New Roman"/>
                      <w:color w:val="auto"/>
                      <w:sz w:val="21"/>
                      <w:szCs w:val="21"/>
                      <w:lang w:val="en-US" w:eastAsia="zh-CN" w:bidi="ar-SA"/>
                    </w:rPr>
                    <w:t>围</w:t>
                  </w:r>
                  <w:r>
                    <w:rPr>
                      <w:rFonts w:hint="default" w:ascii="Times New Roman" w:hAnsi="Times New Roman" w:eastAsia="宋体" w:cs="Times New Roman"/>
                      <w:color w:val="auto"/>
                      <w:sz w:val="21"/>
                      <w:szCs w:val="21"/>
                      <w:lang w:val="en-US" w:eastAsia="zh-CN" w:bidi="ar-SA"/>
                    </w:rPr>
                    <w:t>内无地下水集中式饮用水水源和热水、矿泉水、温泉等特殊地下水资源。</w:t>
                  </w:r>
                </w:p>
              </w:tc>
            </w:tr>
            <w:tr w14:paraId="05102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1119" w:type="dxa"/>
                  <w:vAlign w:val="center"/>
                </w:tcPr>
                <w:p w14:paraId="55DC0E5F">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jc w:val="center"/>
                    <w:textAlignment w:val="auto"/>
                    <w:rPr>
                      <w:rFonts w:hint="eastAsia" w:ascii="Times New Roman" w:hAnsi="Times New Roman" w:eastAsia="宋体" w:cs="Times New Roman"/>
                      <w:b w:val="0"/>
                      <w:bCs w:val="0"/>
                      <w:color w:val="auto"/>
                      <w:sz w:val="21"/>
                      <w:szCs w:val="21"/>
                      <w:vertAlign w:val="baseline"/>
                      <w:lang w:val="en-US" w:eastAsia="zh-CN" w:bidi="ar-SA"/>
                    </w:rPr>
                  </w:pPr>
                  <w:r>
                    <w:rPr>
                      <w:rFonts w:hint="eastAsia" w:ascii="Times New Roman" w:hAnsi="Times New Roman" w:eastAsia="宋体" w:cs="Times New Roman"/>
                      <w:b w:val="0"/>
                      <w:bCs w:val="0"/>
                      <w:color w:val="auto"/>
                      <w:sz w:val="21"/>
                      <w:szCs w:val="21"/>
                      <w:vertAlign w:val="baseline"/>
                      <w:lang w:val="en-US" w:eastAsia="zh-CN" w:bidi="ar-SA"/>
                    </w:rPr>
                    <w:t>生态</w:t>
                  </w:r>
                </w:p>
              </w:tc>
              <w:tc>
                <w:tcPr>
                  <w:tcW w:w="6879" w:type="dxa"/>
                  <w:gridSpan w:val="6"/>
                  <w:vAlign w:val="center"/>
                </w:tcPr>
                <w:p w14:paraId="08575E72">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不涉及《环境影响评价技术导则生态环境》(HJ19-2011）的特殊生态敏感区、重要生态敏感区等</w:t>
                  </w:r>
                  <w:r>
                    <w:rPr>
                      <w:rFonts w:hint="eastAsia" w:ascii="Times New Roman" w:hAnsi="Times New Roman" w:eastAsia="宋体" w:cs="Times New Roman"/>
                      <w:color w:val="auto"/>
                      <w:sz w:val="21"/>
                      <w:szCs w:val="21"/>
                      <w:lang w:val="en-US" w:eastAsia="zh-CN" w:bidi="ar-SA"/>
                    </w:rPr>
                    <w:t>生态环境保护目标。</w:t>
                  </w:r>
                </w:p>
              </w:tc>
            </w:tr>
            <w:tr w14:paraId="0BE18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1119" w:type="dxa"/>
                  <w:vAlign w:val="center"/>
                </w:tcPr>
                <w:p w14:paraId="333A5AFB">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cs="Times New Roman"/>
                      <w:b w:val="0"/>
                      <w:bCs w:val="0"/>
                      <w:color w:val="auto"/>
                      <w:sz w:val="21"/>
                      <w:szCs w:val="21"/>
                      <w:vertAlign w:val="baseline"/>
                      <w:lang w:val="en-US" w:eastAsia="zh-CN" w:bidi="ar-SA"/>
                    </w:rPr>
                    <w:t>大气环境</w:t>
                  </w:r>
                </w:p>
              </w:tc>
              <w:tc>
                <w:tcPr>
                  <w:tcW w:w="6879" w:type="dxa"/>
                  <w:gridSpan w:val="6"/>
                  <w:vAlign w:val="center"/>
                </w:tcPr>
                <w:p w14:paraId="6D79B4B9">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500m范围内无保护目标</w:t>
                  </w:r>
                </w:p>
              </w:tc>
            </w:tr>
            <w:tr w14:paraId="38D45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1119" w:type="dxa"/>
                  <w:vAlign w:val="center"/>
                </w:tcPr>
                <w:p w14:paraId="6B3B0A20">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bidi="ar-SA"/>
                    </w:rPr>
                  </w:pPr>
                  <w:r>
                    <w:rPr>
                      <w:rFonts w:hint="eastAsia" w:cs="Times New Roman"/>
                      <w:b w:val="0"/>
                      <w:bCs w:val="0"/>
                      <w:color w:val="auto"/>
                      <w:sz w:val="21"/>
                      <w:szCs w:val="21"/>
                      <w:vertAlign w:val="baseline"/>
                      <w:lang w:val="en-US" w:eastAsia="zh-CN" w:bidi="ar-SA"/>
                    </w:rPr>
                    <w:t>声环境</w:t>
                  </w:r>
                </w:p>
              </w:tc>
              <w:tc>
                <w:tcPr>
                  <w:tcW w:w="6879" w:type="dxa"/>
                  <w:gridSpan w:val="6"/>
                  <w:vAlign w:val="center"/>
                </w:tcPr>
                <w:p w14:paraId="00F5F69E">
                  <w:pPr>
                    <w:keepNext w:val="0"/>
                    <w:keepLines w:val="0"/>
                    <w:pageBreakBefore w:val="0"/>
                    <w:widowControl w:val="0"/>
                    <w:kinsoku/>
                    <w:wordWrap/>
                    <w:overflowPunct/>
                    <w:topLinePunct w:val="0"/>
                    <w:autoSpaceDE w:val="0"/>
                    <w:autoSpaceDN w:val="0"/>
                    <w:bidi w:val="0"/>
                    <w:adjustRightInd w:val="0"/>
                    <w:snapToGrid w:val="0"/>
                    <w:spacing w:before="95" w:beforeLines="30" w:after="95" w:afterLines="30" w:line="240" w:lineRule="auto"/>
                    <w:jc w:val="center"/>
                    <w:textAlignment w:val="auto"/>
                    <w:rPr>
                      <w:rFonts w:hint="default" w:ascii="Times New Roman" w:hAnsi="Times New Roman" w:eastAsia="宋体" w:cs="Times New Roman"/>
                      <w:color w:val="auto"/>
                      <w:sz w:val="21"/>
                      <w:szCs w:val="21"/>
                      <w:lang w:val="en-US" w:eastAsia="zh-CN" w:bidi="ar-SA"/>
                    </w:rPr>
                  </w:pPr>
                  <w:r>
                    <w:rPr>
                      <w:rFonts w:hint="eastAsia" w:cs="Times New Roman"/>
                      <w:color w:val="auto"/>
                      <w:sz w:val="21"/>
                      <w:szCs w:val="21"/>
                      <w:lang w:val="en-US" w:eastAsia="zh-CN" w:bidi="ar-SA"/>
                    </w:rPr>
                    <w:t>50m范围内无保护目标</w:t>
                  </w:r>
                </w:p>
              </w:tc>
            </w:tr>
          </w:tbl>
          <w:p w14:paraId="07675B11">
            <w:pPr>
              <w:adjustRightInd w:val="0"/>
              <w:snapToGrid w:val="0"/>
              <w:jc w:val="both"/>
              <w:rPr>
                <w:rFonts w:ascii="宋体" w:hAnsi="宋体" w:cs="宋体"/>
                <w:color w:val="auto"/>
                <w:kern w:val="0"/>
                <w:szCs w:val="21"/>
              </w:rPr>
            </w:pPr>
          </w:p>
        </w:tc>
      </w:tr>
      <w:tr w14:paraId="26EE2F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7" w:hRule="atLeast"/>
          <w:jc w:val="center"/>
        </w:trPr>
        <w:tc>
          <w:tcPr>
            <w:tcW w:w="800" w:type="dxa"/>
            <w:noWrap w:val="0"/>
            <w:tcMar>
              <w:left w:w="28" w:type="dxa"/>
              <w:right w:w="28" w:type="dxa"/>
            </w:tcMar>
            <w:vAlign w:val="center"/>
          </w:tcPr>
          <w:p w14:paraId="43E5CD1D">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污染</w:t>
            </w:r>
          </w:p>
          <w:p w14:paraId="3BDB0B2B">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物排</w:t>
            </w:r>
          </w:p>
          <w:p w14:paraId="7A95A651">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放控</w:t>
            </w:r>
          </w:p>
          <w:p w14:paraId="0E4420CD">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制标</w:t>
            </w:r>
          </w:p>
          <w:p w14:paraId="531E14D5">
            <w:pPr>
              <w:adjustRightInd w:val="0"/>
              <w:snapToGrid w:val="0"/>
              <w:jc w:val="center"/>
              <w:rPr>
                <w:rFonts w:ascii="宋体" w:hAnsi="宋体" w:cs="宋体"/>
                <w:color w:val="auto"/>
                <w:kern w:val="0"/>
                <w:szCs w:val="21"/>
              </w:rPr>
            </w:pPr>
            <w:r>
              <w:rPr>
                <w:rFonts w:hint="eastAsia" w:ascii="宋体" w:hAnsi="宋体" w:cs="宋体"/>
                <w:color w:val="auto"/>
                <w:kern w:val="0"/>
                <w:szCs w:val="21"/>
              </w:rPr>
              <w:t>准</w:t>
            </w:r>
          </w:p>
        </w:tc>
        <w:tc>
          <w:tcPr>
            <w:tcW w:w="8190" w:type="dxa"/>
            <w:noWrap w:val="0"/>
            <w:vAlign w:val="center"/>
          </w:tcPr>
          <w:p w14:paraId="30408CA6">
            <w:pPr>
              <w:pStyle w:val="45"/>
              <w:bidi w:val="0"/>
              <w:rPr>
                <w:rFonts w:hint="default"/>
                <w:color w:val="auto"/>
                <w:lang w:val="en-US" w:eastAsia="zh-CN"/>
              </w:rPr>
            </w:pPr>
            <w:r>
              <w:rPr>
                <w:rFonts w:hint="eastAsia"/>
                <w:color w:val="auto"/>
                <w:lang w:val="en-US" w:eastAsia="zh-CN"/>
              </w:rPr>
              <w:t>3.7 大气污染物排放标准</w:t>
            </w:r>
          </w:p>
          <w:p w14:paraId="3637F0C1">
            <w:pPr>
              <w:pStyle w:val="45"/>
              <w:bidi w:val="0"/>
              <w:rPr>
                <w:rFonts w:hint="eastAsia"/>
                <w:color w:val="auto"/>
                <w:lang w:val="en-US" w:eastAsia="zh-CN"/>
              </w:rPr>
            </w:pPr>
            <w:r>
              <w:rPr>
                <w:rFonts w:hint="eastAsia"/>
                <w:color w:val="auto"/>
                <w:lang w:val="en-US" w:eastAsia="zh-CN"/>
              </w:rPr>
              <w:t>3.7.1 施工期</w:t>
            </w:r>
          </w:p>
          <w:p w14:paraId="4B326A39">
            <w:pPr>
              <w:pStyle w:val="38"/>
              <w:bidi w:val="0"/>
              <w:rPr>
                <w:rFonts w:hint="eastAsia"/>
                <w:color w:val="auto"/>
                <w:lang w:val="en-US" w:eastAsia="zh-CN"/>
              </w:rPr>
            </w:pPr>
            <w:r>
              <w:rPr>
                <w:rFonts w:hint="eastAsia"/>
                <w:color w:val="auto"/>
                <w:lang w:val="en-US" w:eastAsia="zh-CN"/>
              </w:rPr>
              <w:t>施工期粉尘执行《大气污染物综合排放标准》（GB16297-2025）表2新污染源大气污染物排放限值中无组织排放浓度监控限值。具体标准限值见下表。</w:t>
            </w:r>
          </w:p>
          <w:p w14:paraId="1EFD99F4">
            <w:pPr>
              <w:pStyle w:val="41"/>
              <w:bidi w:val="0"/>
              <w:rPr>
                <w:rFonts w:hint="eastAsia"/>
                <w:color w:val="auto"/>
                <w:lang w:val="en-US" w:eastAsia="zh-CN"/>
              </w:rPr>
            </w:pPr>
            <w:r>
              <w:rPr>
                <w:rFonts w:hint="eastAsia"/>
                <w:color w:val="auto"/>
                <w:lang w:val="en-US" w:eastAsia="zh-CN"/>
              </w:rPr>
              <w:t>表3-10  大气污染物无组织排放标准限值一览表  单位：mg/m</w:t>
            </w:r>
            <w:r>
              <w:rPr>
                <w:rFonts w:hint="eastAsia"/>
                <w:color w:val="auto"/>
                <w:vertAlign w:val="superscript"/>
                <w:lang w:val="en-US" w:eastAsia="zh-CN"/>
              </w:rPr>
              <w:t>3</w:t>
            </w:r>
          </w:p>
          <w:tbl>
            <w:tblPr>
              <w:tblStyle w:val="29"/>
              <w:tblW w:w="804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865"/>
              <w:gridCol w:w="5177"/>
            </w:tblGrid>
            <w:tr w14:paraId="3580B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865" w:type="dxa"/>
                  <w:tcBorders>
                    <w:top w:val="single" w:color="auto" w:sz="4" w:space="0"/>
                    <w:left w:val="single" w:color="auto" w:sz="6" w:space="0"/>
                    <w:bottom w:val="single" w:color="auto" w:sz="4" w:space="0"/>
                    <w:right w:val="single" w:color="auto" w:sz="6" w:space="0"/>
                  </w:tcBorders>
                  <w:noWrap w:val="0"/>
                  <w:vAlign w:val="center"/>
                </w:tcPr>
                <w:p w14:paraId="7F0F2FCC">
                  <w:pPr>
                    <w:pStyle w:val="39"/>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eastAsia"/>
                      <w:b/>
                      <w:bCs/>
                      <w:color w:val="auto"/>
                      <w:lang w:val="en-US" w:eastAsia="zh-CN"/>
                    </w:rPr>
                  </w:pPr>
                  <w:r>
                    <w:rPr>
                      <w:rFonts w:hint="eastAsia"/>
                      <w:b/>
                      <w:bCs/>
                      <w:color w:val="auto"/>
                      <w:lang w:val="en-US" w:eastAsia="zh-CN"/>
                    </w:rPr>
                    <w:t>污染物名称</w:t>
                  </w:r>
                </w:p>
              </w:tc>
              <w:tc>
                <w:tcPr>
                  <w:tcW w:w="5177" w:type="dxa"/>
                  <w:tcBorders>
                    <w:top w:val="single" w:color="auto" w:sz="6" w:space="0"/>
                    <w:left w:val="nil"/>
                    <w:bottom w:val="single" w:color="auto" w:sz="6" w:space="0"/>
                    <w:right w:val="single" w:color="auto" w:sz="4" w:space="0"/>
                  </w:tcBorders>
                  <w:noWrap w:val="0"/>
                  <w:vAlign w:val="center"/>
                </w:tcPr>
                <w:p w14:paraId="1D4E6CBF">
                  <w:pPr>
                    <w:pStyle w:val="39"/>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eastAsia"/>
                      <w:b/>
                      <w:bCs/>
                      <w:color w:val="auto"/>
                      <w:lang w:val="en-US" w:eastAsia="zh-CN"/>
                    </w:rPr>
                  </w:pPr>
                  <w:r>
                    <w:rPr>
                      <w:rFonts w:hint="eastAsia"/>
                      <w:b/>
                      <w:bCs/>
                      <w:color w:val="auto"/>
                      <w:lang w:val="en-US" w:eastAsia="zh-CN"/>
                    </w:rPr>
                    <w:t>周界外浓度最高点无组织排放标准限值</w:t>
                  </w:r>
                </w:p>
              </w:tc>
            </w:tr>
            <w:tr w14:paraId="18E0C7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865" w:type="dxa"/>
                  <w:tcBorders>
                    <w:top w:val="single" w:color="auto" w:sz="4" w:space="0"/>
                    <w:left w:val="single" w:color="auto" w:sz="6" w:space="0"/>
                    <w:bottom w:val="single" w:color="auto" w:sz="4" w:space="0"/>
                    <w:right w:val="single" w:color="auto" w:sz="6" w:space="0"/>
                  </w:tcBorders>
                  <w:noWrap w:val="0"/>
                  <w:vAlign w:val="center"/>
                </w:tcPr>
                <w:p w14:paraId="04811F97">
                  <w:pPr>
                    <w:pStyle w:val="39"/>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eastAsia"/>
                      <w:color w:val="auto"/>
                      <w:lang w:val="en-US" w:eastAsia="zh-CN"/>
                    </w:rPr>
                  </w:pPr>
                  <w:r>
                    <w:rPr>
                      <w:rFonts w:hint="eastAsia"/>
                      <w:color w:val="auto"/>
                      <w:lang w:val="en-US" w:eastAsia="zh-CN"/>
                    </w:rPr>
                    <w:t>颗粒物</w:t>
                  </w:r>
                </w:p>
              </w:tc>
              <w:tc>
                <w:tcPr>
                  <w:tcW w:w="5177" w:type="dxa"/>
                  <w:tcBorders>
                    <w:top w:val="single" w:color="auto" w:sz="6" w:space="0"/>
                    <w:left w:val="nil"/>
                    <w:bottom w:val="single" w:color="auto" w:sz="6" w:space="0"/>
                    <w:right w:val="single" w:color="auto" w:sz="4" w:space="0"/>
                  </w:tcBorders>
                  <w:noWrap w:val="0"/>
                  <w:vAlign w:val="center"/>
                </w:tcPr>
                <w:p w14:paraId="0128FF1D">
                  <w:pPr>
                    <w:pStyle w:val="39"/>
                    <w:keepNext w:val="0"/>
                    <w:keepLines w:val="0"/>
                    <w:pageBreakBefore w:val="0"/>
                    <w:widowControl w:val="0"/>
                    <w:kinsoku/>
                    <w:wordWrap/>
                    <w:overflowPunct/>
                    <w:topLinePunct w:val="0"/>
                    <w:autoSpaceDE/>
                    <w:autoSpaceDN/>
                    <w:bidi w:val="0"/>
                    <w:adjustRightInd/>
                    <w:snapToGrid w:val="0"/>
                    <w:spacing w:before="95" w:beforeLines="30" w:after="95" w:afterLines="30"/>
                    <w:textAlignment w:val="auto"/>
                    <w:rPr>
                      <w:rFonts w:hint="eastAsia"/>
                      <w:color w:val="auto"/>
                      <w:lang w:val="en-US" w:eastAsia="zh-CN"/>
                    </w:rPr>
                  </w:pPr>
                  <w:r>
                    <w:rPr>
                      <w:rFonts w:hint="default" w:ascii="Times New Roman" w:hAnsi="Times New Roman" w:cs="Times New Roman"/>
                      <w:color w:val="auto"/>
                      <w:lang w:val="en-US" w:eastAsia="zh-CN"/>
                    </w:rPr>
                    <w:t>≤</w:t>
                  </w:r>
                  <w:r>
                    <w:rPr>
                      <w:rFonts w:hint="eastAsia"/>
                      <w:color w:val="auto"/>
                      <w:lang w:val="en-US" w:eastAsia="zh-CN"/>
                    </w:rPr>
                    <w:t>1.0</w:t>
                  </w:r>
                </w:p>
              </w:tc>
            </w:tr>
          </w:tbl>
          <w:p w14:paraId="2689A4A0">
            <w:pPr>
              <w:pStyle w:val="45"/>
              <w:bidi w:val="0"/>
              <w:rPr>
                <w:rFonts w:hint="eastAsia"/>
                <w:color w:val="auto"/>
                <w:lang w:val="en-US" w:eastAsia="zh-CN"/>
              </w:rPr>
            </w:pPr>
            <w:r>
              <w:rPr>
                <w:rFonts w:hint="eastAsia"/>
                <w:color w:val="auto"/>
                <w:lang w:val="en-US" w:eastAsia="zh-CN"/>
              </w:rPr>
              <w:t>3.7.2 运营期</w:t>
            </w:r>
          </w:p>
          <w:p w14:paraId="5F572DA1">
            <w:pPr>
              <w:pStyle w:val="38"/>
              <w:bidi w:val="0"/>
              <w:rPr>
                <w:rFonts w:hint="eastAsia"/>
                <w:color w:val="auto"/>
                <w:lang w:val="en-US" w:eastAsia="zh-CN"/>
              </w:rPr>
            </w:pPr>
            <w:r>
              <w:rPr>
                <w:rFonts w:hint="eastAsia"/>
                <w:color w:val="auto"/>
                <w:lang w:val="en-US" w:eastAsia="zh-CN"/>
              </w:rPr>
              <w:t>（1）有组织废气</w:t>
            </w:r>
          </w:p>
          <w:p w14:paraId="257CA219">
            <w:pPr>
              <w:keepNext w:val="0"/>
              <w:keepLines w:val="0"/>
              <w:pageBreakBefore w:val="0"/>
              <w:widowControl w:val="0"/>
              <w:numPr>
                <w:ilvl w:val="0"/>
                <w:numId w:val="0"/>
              </w:numPr>
              <w:kinsoku/>
              <w:wordWrap/>
              <w:overflowPunct/>
              <w:topLinePunct w:val="0"/>
              <w:bidi w:val="0"/>
              <w:adjustRightInd w:val="0"/>
              <w:snapToGrid w:val="0"/>
              <w:spacing w:line="360" w:lineRule="auto"/>
              <w:ind w:firstLine="420" w:firstLineChars="200"/>
              <w:jc w:val="left"/>
              <w:textAlignment w:val="auto"/>
              <w:rPr>
                <w:rFonts w:hint="default" w:eastAsia="宋体"/>
                <w:color w:val="auto"/>
                <w:kern w:val="0"/>
                <w:szCs w:val="21"/>
                <w:lang w:val="en-US" w:eastAsia="zh-CN"/>
              </w:rPr>
            </w:pPr>
            <w:r>
              <w:rPr>
                <w:rFonts w:hint="eastAsia" w:eastAsia="宋体"/>
                <w:color w:val="auto"/>
                <w:kern w:val="0"/>
                <w:szCs w:val="21"/>
                <w:lang w:val="en-US" w:eastAsia="zh-CN"/>
              </w:rPr>
              <w:t>①DA00</w:t>
            </w:r>
            <w:r>
              <w:rPr>
                <w:rFonts w:hint="eastAsia"/>
                <w:color w:val="auto"/>
                <w:kern w:val="0"/>
                <w:szCs w:val="21"/>
                <w:lang w:val="en-US" w:eastAsia="zh-CN"/>
              </w:rPr>
              <w:t>1</w:t>
            </w:r>
            <w:r>
              <w:rPr>
                <w:rFonts w:hint="eastAsia" w:eastAsia="宋体"/>
                <w:color w:val="auto"/>
                <w:kern w:val="0"/>
                <w:szCs w:val="21"/>
                <w:lang w:val="en-US" w:eastAsia="zh-CN"/>
              </w:rPr>
              <w:t>焙烧排放口</w:t>
            </w:r>
          </w:p>
          <w:p w14:paraId="015D7CA4">
            <w:pPr>
              <w:keepNext w:val="0"/>
              <w:keepLines w:val="0"/>
              <w:pageBreakBefore w:val="0"/>
              <w:widowControl w:val="0"/>
              <w:numPr>
                <w:ilvl w:val="0"/>
                <w:numId w:val="0"/>
              </w:numPr>
              <w:kinsoku/>
              <w:wordWrap/>
              <w:overflowPunct/>
              <w:topLinePunct w:val="0"/>
              <w:bidi w:val="0"/>
              <w:adjustRightInd w:val="0"/>
              <w:snapToGrid w:val="0"/>
              <w:spacing w:line="360" w:lineRule="auto"/>
              <w:ind w:firstLine="420" w:firstLineChars="200"/>
              <w:jc w:val="left"/>
              <w:textAlignment w:val="auto"/>
              <w:rPr>
                <w:rFonts w:hint="eastAsia" w:cs="Times New Roman"/>
                <w:color w:val="auto"/>
                <w:kern w:val="0"/>
                <w:szCs w:val="21"/>
                <w:lang w:val="en-US" w:eastAsia="zh-CN"/>
              </w:rPr>
            </w:pPr>
            <w:r>
              <w:rPr>
                <w:rFonts w:hint="eastAsia" w:eastAsia="宋体"/>
                <w:color w:val="auto"/>
                <w:kern w:val="0"/>
                <w:szCs w:val="21"/>
                <w:lang w:val="en-US" w:eastAsia="zh-CN"/>
              </w:rPr>
              <w:t>本项目产品</w:t>
            </w:r>
            <w:r>
              <w:rPr>
                <w:rFonts w:hint="eastAsia"/>
                <w:color w:val="auto"/>
                <w:kern w:val="0"/>
                <w:szCs w:val="21"/>
                <w:lang w:val="en-US" w:eastAsia="zh-CN"/>
              </w:rPr>
              <w:t>仿古砖瓦为砖瓦制品，</w:t>
            </w:r>
            <w:r>
              <w:rPr>
                <w:rFonts w:hint="eastAsia" w:eastAsia="宋体"/>
                <w:color w:val="auto"/>
                <w:kern w:val="0"/>
                <w:szCs w:val="21"/>
                <w:lang w:val="en-US" w:eastAsia="zh-CN"/>
              </w:rPr>
              <w:t>焙烧工序</w:t>
            </w:r>
            <w:r>
              <w:rPr>
                <w:rFonts w:hint="eastAsia"/>
                <w:color w:val="auto"/>
                <w:kern w:val="0"/>
                <w:szCs w:val="21"/>
                <w:lang w:val="en-US" w:eastAsia="zh-CN"/>
              </w:rPr>
              <w:t>使用炉窑，产生的废气中污染物为颗粒物、二氧化硫、氮氧化物，故</w:t>
            </w:r>
            <w:r>
              <w:rPr>
                <w:rFonts w:hint="eastAsia" w:eastAsia="宋体"/>
                <w:color w:val="auto"/>
                <w:kern w:val="0"/>
                <w:szCs w:val="21"/>
              </w:rPr>
              <w:t>有组织废气</w:t>
            </w:r>
            <w:r>
              <w:rPr>
                <w:rFonts w:hint="eastAsia" w:eastAsia="宋体"/>
                <w:color w:val="auto"/>
                <w:kern w:val="0"/>
                <w:szCs w:val="21"/>
                <w:lang w:val="en-US" w:eastAsia="zh-CN"/>
              </w:rPr>
              <w:t>执行</w:t>
            </w:r>
            <w:r>
              <w:rPr>
                <w:rFonts w:hint="eastAsia" w:eastAsia="宋体"/>
                <w:color w:val="auto"/>
                <w:kern w:val="0"/>
                <w:szCs w:val="21"/>
              </w:rPr>
              <w:t>《砖瓦工业大气污染物排放标准》（GB29620-2013）</w:t>
            </w:r>
            <w:r>
              <w:rPr>
                <w:rFonts w:hint="eastAsia" w:eastAsia="宋体"/>
                <w:color w:val="auto"/>
                <w:kern w:val="0"/>
                <w:szCs w:val="21"/>
                <w:lang w:val="en-US" w:eastAsia="zh-CN"/>
              </w:rPr>
              <w:t>及修改单中“表2 新建企业大气污染物排放限值”</w:t>
            </w:r>
            <w:r>
              <w:rPr>
                <w:rFonts w:hint="default" w:ascii="Times New Roman" w:hAnsi="Times New Roman" w:eastAsia="宋体" w:cs="Times New Roman"/>
                <w:color w:val="auto"/>
                <w:kern w:val="0"/>
                <w:szCs w:val="21"/>
                <w:lang w:val="en-US" w:eastAsia="zh-CN"/>
              </w:rPr>
              <w:t>要求</w:t>
            </w:r>
            <w:r>
              <w:rPr>
                <w:rFonts w:hint="eastAsia" w:cs="Times New Roman"/>
                <w:color w:val="auto"/>
                <w:kern w:val="0"/>
                <w:szCs w:val="21"/>
                <w:lang w:val="en-US" w:eastAsia="zh-CN"/>
              </w:rPr>
              <w:t>。</w:t>
            </w:r>
          </w:p>
          <w:p w14:paraId="58378A04">
            <w:pPr>
              <w:keepNext w:val="0"/>
              <w:keepLines w:val="0"/>
              <w:pageBreakBefore w:val="0"/>
              <w:widowControl w:val="0"/>
              <w:numPr>
                <w:ilvl w:val="0"/>
                <w:numId w:val="0"/>
              </w:numPr>
              <w:kinsoku/>
              <w:wordWrap/>
              <w:overflowPunct/>
              <w:topLinePunct w:val="0"/>
              <w:bidi w:val="0"/>
              <w:adjustRightInd w:val="0"/>
              <w:snapToGrid w:val="0"/>
              <w:spacing w:line="360" w:lineRule="auto"/>
              <w:ind w:firstLine="420" w:firstLineChars="200"/>
              <w:jc w:val="left"/>
              <w:textAlignment w:val="auto"/>
              <w:rPr>
                <w:rFonts w:hint="default" w:ascii="Times New Roman" w:hAnsi="Times New Roman" w:eastAsia="宋体" w:cs="Times New Roman"/>
                <w:b/>
                <w:bCs/>
                <w:color w:val="auto"/>
                <w:kern w:val="0"/>
                <w:sz w:val="21"/>
                <w:szCs w:val="21"/>
                <w:lang w:val="en-US" w:eastAsia="zh-CN"/>
              </w:rPr>
            </w:pPr>
            <w:r>
              <w:rPr>
                <w:rFonts w:hint="eastAsia" w:cs="Times New Roman"/>
                <w:color w:val="auto"/>
                <w:kern w:val="0"/>
                <w:szCs w:val="21"/>
                <w:lang w:val="en-US" w:eastAsia="zh-CN"/>
              </w:rPr>
              <w:t>本项目处理后的废气合并到同一个排气筒后，经布袋除尘+脱硫塔处理达标后排放，排气筒高15m，排放口编码为DA001。</w:t>
            </w:r>
            <w:r>
              <w:rPr>
                <w:rFonts w:hint="default" w:ascii="Times New Roman" w:hAnsi="Times New Roman" w:eastAsia="宋体" w:cs="Times New Roman"/>
                <w:color w:val="auto"/>
                <w:kern w:val="0"/>
                <w:szCs w:val="21"/>
                <w:lang w:val="en-US" w:eastAsia="zh-CN"/>
              </w:rPr>
              <w:t>具体标准限值见下表</w:t>
            </w:r>
            <w:r>
              <w:rPr>
                <w:rFonts w:hint="eastAsia" w:eastAsia="宋体" w:cs="Times New Roman"/>
                <w:color w:val="auto"/>
                <w:kern w:val="0"/>
                <w:szCs w:val="21"/>
                <w:lang w:val="en-US" w:eastAsia="zh-CN"/>
              </w:rPr>
              <w:t>。</w:t>
            </w:r>
          </w:p>
          <w:p w14:paraId="7C1A3358">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表3-1</w:t>
            </w:r>
            <w:r>
              <w:rPr>
                <w:rFonts w:hint="eastAsia" w:cs="Times New Roman"/>
                <w:b/>
                <w:bCs/>
                <w:color w:val="auto"/>
                <w:kern w:val="0"/>
                <w:sz w:val="21"/>
                <w:szCs w:val="21"/>
                <w:lang w:val="en-US" w:eastAsia="zh-CN" w:bidi="ar-SA"/>
              </w:rPr>
              <w:t>1</w:t>
            </w:r>
            <w:r>
              <w:rPr>
                <w:rFonts w:hint="default" w:ascii="Times New Roman" w:hAnsi="Times New Roman" w:eastAsia="宋体" w:cs="Times New Roman"/>
                <w:b/>
                <w:bCs/>
                <w:color w:val="auto"/>
                <w:kern w:val="0"/>
                <w:sz w:val="21"/>
                <w:szCs w:val="21"/>
                <w:lang w:val="en-US" w:eastAsia="zh-CN" w:bidi="ar-SA"/>
              </w:rPr>
              <w:t xml:space="preserve">  DA00</w:t>
            </w:r>
            <w:r>
              <w:rPr>
                <w:rFonts w:hint="eastAsia" w:cs="Times New Roman"/>
                <w:b/>
                <w:bCs/>
                <w:color w:val="auto"/>
                <w:kern w:val="0"/>
                <w:sz w:val="21"/>
                <w:szCs w:val="21"/>
                <w:lang w:val="en-US" w:eastAsia="zh-CN" w:bidi="ar-SA"/>
              </w:rPr>
              <w:t>1</w:t>
            </w:r>
            <w:r>
              <w:rPr>
                <w:rFonts w:hint="eastAsia" w:ascii="Times New Roman" w:hAnsi="Times New Roman" w:eastAsia="宋体" w:cs="Times New Roman"/>
                <w:b/>
                <w:bCs/>
                <w:color w:val="auto"/>
                <w:kern w:val="0"/>
                <w:sz w:val="21"/>
                <w:szCs w:val="21"/>
                <w:lang w:val="en-US" w:eastAsia="zh-CN" w:bidi="ar-SA"/>
              </w:rPr>
              <w:t>污染物</w:t>
            </w:r>
            <w:r>
              <w:rPr>
                <w:rFonts w:hint="default" w:ascii="Times New Roman" w:hAnsi="Times New Roman" w:eastAsia="宋体" w:cs="Times New Roman"/>
                <w:b/>
                <w:bCs/>
                <w:color w:val="auto"/>
                <w:kern w:val="0"/>
                <w:sz w:val="21"/>
                <w:szCs w:val="21"/>
                <w:lang w:val="en-US" w:eastAsia="zh-CN" w:bidi="ar-SA"/>
              </w:rPr>
              <w:t>排放标准</w:t>
            </w:r>
          </w:p>
          <w:tbl>
            <w:tblPr>
              <w:tblStyle w:val="29"/>
              <w:tblW w:w="7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6"/>
              <w:gridCol w:w="3803"/>
            </w:tblGrid>
            <w:tr w14:paraId="4207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blHeader/>
                <w:jc w:val="center"/>
              </w:trPr>
              <w:tc>
                <w:tcPr>
                  <w:tcW w:w="3996" w:type="dxa"/>
                  <w:shd w:val="clear" w:color="auto" w:fill="FDFDFC"/>
                  <w:noWrap w:val="0"/>
                  <w:vAlign w:val="center"/>
                </w:tcPr>
                <w:p w14:paraId="7959FC8A">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right="0"/>
                    <w:jc w:val="center"/>
                    <w:textAlignment w:val="auto"/>
                    <w:rPr>
                      <w:rFonts w:hint="default" w:ascii="Times New Roman" w:hAnsi="Times New Roman" w:eastAsia="宋体" w:cs="Times New Roman"/>
                      <w:b/>
                      <w:bCs/>
                      <w:color w:val="auto"/>
                      <w:szCs w:val="21"/>
                      <w:vertAlign w:val="baseline"/>
                      <w:lang w:val="en-US" w:eastAsia="zh-CN"/>
                    </w:rPr>
                  </w:pPr>
                  <w:r>
                    <w:rPr>
                      <w:rFonts w:hint="default" w:ascii="Times New Roman" w:hAnsi="Times New Roman" w:eastAsia="宋体" w:cs="Times New Roman"/>
                      <w:b/>
                      <w:bCs/>
                      <w:color w:val="auto"/>
                      <w:szCs w:val="21"/>
                      <w:vertAlign w:val="baseline"/>
                      <w:lang w:val="en-US" w:eastAsia="zh-CN"/>
                    </w:rPr>
                    <w:t>污染物</w:t>
                  </w:r>
                  <w:r>
                    <w:rPr>
                      <w:rFonts w:hint="eastAsia" w:eastAsia="宋体" w:cs="Times New Roman"/>
                      <w:b/>
                      <w:bCs/>
                      <w:color w:val="auto"/>
                      <w:szCs w:val="21"/>
                      <w:vertAlign w:val="baseline"/>
                      <w:lang w:val="en-US" w:eastAsia="zh-CN"/>
                    </w:rPr>
                    <w:t>项目</w:t>
                  </w:r>
                </w:p>
              </w:tc>
              <w:tc>
                <w:tcPr>
                  <w:tcW w:w="3803" w:type="dxa"/>
                  <w:shd w:val="clear" w:color="auto" w:fill="auto"/>
                  <w:noWrap w:val="0"/>
                  <w:vAlign w:val="center"/>
                </w:tcPr>
                <w:p w14:paraId="1751F120">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right="0"/>
                    <w:jc w:val="center"/>
                    <w:textAlignment w:val="auto"/>
                    <w:rPr>
                      <w:rFonts w:hint="default" w:ascii="Times New Roman" w:hAnsi="Times New Roman" w:eastAsia="宋体" w:cs="Times New Roman"/>
                      <w:b/>
                      <w:bCs/>
                      <w:color w:val="auto"/>
                      <w:szCs w:val="21"/>
                      <w:vertAlign w:val="baseline"/>
                      <w:lang w:val="en-US" w:eastAsia="zh-CN"/>
                    </w:rPr>
                  </w:pPr>
                  <w:r>
                    <w:rPr>
                      <w:rFonts w:hint="eastAsia" w:eastAsia="宋体" w:cs="Times New Roman"/>
                      <w:b/>
                      <w:bCs/>
                      <w:color w:val="auto"/>
                      <w:szCs w:val="21"/>
                      <w:vertAlign w:val="baseline"/>
                      <w:lang w:val="en-US" w:eastAsia="zh-CN"/>
                    </w:rPr>
                    <w:t>标准限值</w:t>
                  </w:r>
                </w:p>
              </w:tc>
            </w:tr>
            <w:tr w14:paraId="6F77D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3996" w:type="dxa"/>
                  <w:shd w:val="clear" w:color="auto" w:fill="FDFDFC"/>
                  <w:noWrap w:val="0"/>
                  <w:vAlign w:val="center"/>
                </w:tcPr>
                <w:p w14:paraId="4C64903E">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right="0"/>
                    <w:jc w:val="center"/>
                    <w:textAlignment w:val="auto"/>
                    <w:rPr>
                      <w:rFonts w:hint="eastAsia" w:ascii="Times New Roman" w:hAnsi="Times New Roman" w:eastAsia="宋体" w:cs="Times New Roman"/>
                      <w:color w:val="auto"/>
                      <w:szCs w:val="21"/>
                      <w:vertAlign w:val="baseline"/>
                      <w:lang w:val="en-US" w:eastAsia="zh-CN"/>
                    </w:rPr>
                  </w:pPr>
                  <w:r>
                    <w:rPr>
                      <w:rFonts w:hint="eastAsia" w:ascii="Times New Roman" w:hAnsi="Times New Roman" w:eastAsia="宋体" w:cs="Times New Roman"/>
                      <w:color w:val="auto"/>
                      <w:szCs w:val="21"/>
                      <w:vertAlign w:val="baseline"/>
                      <w:lang w:val="en-US" w:eastAsia="zh-CN"/>
                    </w:rPr>
                    <w:t>颗粒物</w:t>
                  </w:r>
                </w:p>
              </w:tc>
              <w:tc>
                <w:tcPr>
                  <w:tcW w:w="3803" w:type="dxa"/>
                  <w:shd w:val="clear" w:color="auto" w:fill="auto"/>
                  <w:noWrap w:val="0"/>
                  <w:vAlign w:val="center"/>
                </w:tcPr>
                <w:p w14:paraId="4D5C29EA">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right="0"/>
                    <w:jc w:val="center"/>
                    <w:textAlignment w:val="auto"/>
                    <w:rPr>
                      <w:rFonts w:hint="default" w:ascii="Times New Roman" w:hAnsi="Times New Roman" w:eastAsia="宋体" w:cs="Times New Roman"/>
                      <w:color w:val="auto"/>
                      <w:szCs w:val="21"/>
                      <w:vertAlign w:val="baseline"/>
                      <w:lang w:val="en-US" w:eastAsia="zh-CN"/>
                    </w:rPr>
                  </w:pPr>
                  <w:r>
                    <w:rPr>
                      <w:rFonts w:hint="eastAsia" w:cs="Times New Roman"/>
                      <w:color w:val="auto"/>
                      <w:szCs w:val="21"/>
                      <w:vertAlign w:val="baseline"/>
                      <w:lang w:val="en-US" w:eastAsia="zh-CN"/>
                    </w:rPr>
                    <w:t>3</w:t>
                  </w:r>
                  <w:r>
                    <w:rPr>
                      <w:rFonts w:hint="eastAsia" w:eastAsia="宋体" w:cs="Times New Roman"/>
                      <w:color w:val="auto"/>
                      <w:szCs w:val="21"/>
                      <w:vertAlign w:val="baseline"/>
                      <w:lang w:val="en-US" w:eastAsia="zh-CN"/>
                    </w:rPr>
                    <w:t>0</w:t>
                  </w:r>
                </w:p>
              </w:tc>
            </w:tr>
            <w:tr w14:paraId="4A27A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3996" w:type="dxa"/>
                  <w:shd w:val="clear" w:color="auto" w:fill="FDFDFC"/>
                  <w:noWrap w:val="0"/>
                  <w:vAlign w:val="center"/>
                </w:tcPr>
                <w:p w14:paraId="5F61957D">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right="0"/>
                    <w:jc w:val="center"/>
                    <w:textAlignment w:val="auto"/>
                    <w:rPr>
                      <w:rFonts w:hint="default" w:ascii="Times New Roman" w:hAnsi="Times New Roman" w:eastAsia="宋体" w:cs="Times New Roman"/>
                      <w:color w:val="auto"/>
                      <w:szCs w:val="21"/>
                      <w:vertAlign w:val="baseline"/>
                      <w:lang w:val="en-US" w:eastAsia="zh-CN"/>
                    </w:rPr>
                  </w:pPr>
                  <w:r>
                    <w:rPr>
                      <w:rFonts w:hint="eastAsia" w:ascii="Times New Roman" w:hAnsi="Times New Roman" w:eastAsia="宋体" w:cs="Times New Roman"/>
                      <w:color w:val="auto"/>
                      <w:szCs w:val="21"/>
                      <w:vertAlign w:val="baseline"/>
                      <w:lang w:val="en-US" w:eastAsia="zh-CN"/>
                    </w:rPr>
                    <w:t>二氧化硫</w:t>
                  </w:r>
                </w:p>
              </w:tc>
              <w:tc>
                <w:tcPr>
                  <w:tcW w:w="3803" w:type="dxa"/>
                  <w:shd w:val="clear" w:color="auto" w:fill="auto"/>
                  <w:noWrap w:val="0"/>
                  <w:vAlign w:val="center"/>
                </w:tcPr>
                <w:p w14:paraId="366D0F0E">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right="0"/>
                    <w:jc w:val="center"/>
                    <w:textAlignment w:val="auto"/>
                    <w:rPr>
                      <w:rFonts w:hint="default" w:ascii="Times New Roman" w:hAnsi="Times New Roman" w:eastAsia="宋体" w:cs="Times New Roman"/>
                      <w:color w:val="auto"/>
                      <w:szCs w:val="21"/>
                      <w:vertAlign w:val="baseline"/>
                      <w:lang w:val="en-US" w:eastAsia="zh-CN"/>
                    </w:rPr>
                  </w:pPr>
                  <w:r>
                    <w:rPr>
                      <w:rFonts w:hint="eastAsia" w:cs="Times New Roman"/>
                      <w:color w:val="auto"/>
                      <w:szCs w:val="21"/>
                      <w:vertAlign w:val="baseline"/>
                      <w:lang w:val="en-US" w:eastAsia="zh-CN"/>
                    </w:rPr>
                    <w:t>15</w:t>
                  </w:r>
                  <w:r>
                    <w:rPr>
                      <w:rFonts w:hint="eastAsia" w:eastAsia="宋体" w:cs="Times New Roman"/>
                      <w:color w:val="auto"/>
                      <w:szCs w:val="21"/>
                      <w:vertAlign w:val="baseline"/>
                      <w:lang w:val="en-US" w:eastAsia="zh-CN"/>
                    </w:rPr>
                    <w:t>0</w:t>
                  </w:r>
                </w:p>
              </w:tc>
            </w:tr>
            <w:tr w14:paraId="1E164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3996" w:type="dxa"/>
                  <w:shd w:val="clear" w:color="auto" w:fill="FDFDFC"/>
                  <w:noWrap w:val="0"/>
                  <w:vAlign w:val="center"/>
                </w:tcPr>
                <w:p w14:paraId="0F29DA4C">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right="0"/>
                    <w:jc w:val="center"/>
                    <w:textAlignment w:val="auto"/>
                    <w:rPr>
                      <w:rFonts w:hint="default" w:ascii="Times New Roman" w:hAnsi="Times New Roman" w:eastAsia="宋体" w:cs="Times New Roman"/>
                      <w:color w:val="auto"/>
                      <w:szCs w:val="21"/>
                      <w:vertAlign w:val="baseline"/>
                      <w:lang w:val="en-US" w:eastAsia="zh-CN"/>
                    </w:rPr>
                  </w:pPr>
                  <w:r>
                    <w:rPr>
                      <w:rFonts w:hint="eastAsia" w:ascii="Times New Roman" w:hAnsi="Times New Roman" w:eastAsia="宋体" w:cs="Times New Roman"/>
                      <w:color w:val="auto"/>
                      <w:szCs w:val="21"/>
                      <w:vertAlign w:val="baseline"/>
                      <w:lang w:val="en-US" w:eastAsia="zh-CN"/>
                    </w:rPr>
                    <w:t>氮氧化物</w:t>
                  </w:r>
                </w:p>
              </w:tc>
              <w:tc>
                <w:tcPr>
                  <w:tcW w:w="3803" w:type="dxa"/>
                  <w:shd w:val="clear" w:color="auto" w:fill="auto"/>
                  <w:noWrap w:val="0"/>
                  <w:vAlign w:val="center"/>
                </w:tcPr>
                <w:p w14:paraId="1220597D">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right="0"/>
                    <w:jc w:val="center"/>
                    <w:textAlignment w:val="auto"/>
                    <w:rPr>
                      <w:rFonts w:hint="default" w:ascii="Times New Roman" w:hAnsi="Times New Roman" w:eastAsia="宋体" w:cs="Times New Roman"/>
                      <w:color w:val="auto"/>
                      <w:szCs w:val="21"/>
                      <w:vertAlign w:val="baseline"/>
                      <w:lang w:val="en-US" w:eastAsia="zh-CN"/>
                    </w:rPr>
                  </w:pPr>
                  <w:r>
                    <w:rPr>
                      <w:rFonts w:hint="eastAsia" w:cs="Times New Roman"/>
                      <w:color w:val="auto"/>
                      <w:szCs w:val="21"/>
                      <w:vertAlign w:val="baseline"/>
                      <w:lang w:val="en-US" w:eastAsia="zh-CN"/>
                    </w:rPr>
                    <w:t>2</w:t>
                  </w:r>
                  <w:r>
                    <w:rPr>
                      <w:rFonts w:hint="eastAsia" w:eastAsia="宋体" w:cs="Times New Roman"/>
                      <w:color w:val="auto"/>
                      <w:szCs w:val="21"/>
                      <w:vertAlign w:val="baseline"/>
                      <w:lang w:val="en-US" w:eastAsia="zh-CN"/>
                    </w:rPr>
                    <w:t>00</w:t>
                  </w:r>
                </w:p>
              </w:tc>
            </w:tr>
            <w:tr w14:paraId="3342E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blHeader/>
                <w:jc w:val="center"/>
              </w:trPr>
              <w:tc>
                <w:tcPr>
                  <w:tcW w:w="3996" w:type="dxa"/>
                  <w:shd w:val="clear" w:color="auto" w:fill="FDFDFC"/>
                  <w:noWrap w:val="0"/>
                  <w:vAlign w:val="center"/>
                </w:tcPr>
                <w:p w14:paraId="2DFB101F">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right="0"/>
                    <w:jc w:val="center"/>
                    <w:textAlignment w:val="auto"/>
                    <w:rPr>
                      <w:rFonts w:hint="eastAsia" w:ascii="Times New Roman" w:hAnsi="Times New Roman" w:eastAsia="宋体" w:cs="Times New Roman"/>
                      <w:color w:val="auto"/>
                      <w:szCs w:val="21"/>
                      <w:vertAlign w:val="baseline"/>
                      <w:lang w:val="en-US" w:eastAsia="zh-CN"/>
                    </w:rPr>
                  </w:pPr>
                  <w:r>
                    <w:rPr>
                      <w:rFonts w:hint="eastAsia" w:cs="Times New Roman"/>
                      <w:color w:val="auto"/>
                      <w:szCs w:val="21"/>
                      <w:vertAlign w:val="baseline"/>
                      <w:lang w:val="en-US" w:eastAsia="zh-CN"/>
                    </w:rPr>
                    <w:t>氟化物</w:t>
                  </w:r>
                </w:p>
              </w:tc>
              <w:tc>
                <w:tcPr>
                  <w:tcW w:w="3803" w:type="dxa"/>
                  <w:shd w:val="clear" w:color="auto" w:fill="auto"/>
                  <w:noWrap w:val="0"/>
                  <w:vAlign w:val="center"/>
                </w:tcPr>
                <w:p w14:paraId="3D735972">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right="0"/>
                    <w:jc w:val="center"/>
                    <w:textAlignment w:val="auto"/>
                    <w:rPr>
                      <w:rFonts w:hint="eastAsia" w:ascii="Times New Roman" w:hAnsi="Times New Roman" w:eastAsia="宋体" w:cs="Times New Roman"/>
                      <w:color w:val="auto"/>
                      <w:szCs w:val="21"/>
                      <w:vertAlign w:val="baseline"/>
                      <w:lang w:val="en-US" w:eastAsia="zh-CN"/>
                    </w:rPr>
                  </w:pPr>
                  <w:r>
                    <w:rPr>
                      <w:rFonts w:hint="eastAsia" w:cs="Times New Roman"/>
                      <w:color w:val="auto"/>
                      <w:szCs w:val="21"/>
                      <w:vertAlign w:val="baseline"/>
                      <w:lang w:val="en-US" w:eastAsia="zh-CN"/>
                    </w:rPr>
                    <w:t>3</w:t>
                  </w:r>
                </w:p>
              </w:tc>
            </w:tr>
          </w:tbl>
          <w:p w14:paraId="21ADEEC7">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jc w:val="both"/>
              <w:textAlignment w:val="auto"/>
              <w:rPr>
                <w:rFonts w:hint="default" w:ascii="Times New Roman" w:hAnsi="Times New Roman" w:eastAsia="宋体" w:cs="Times New Roman"/>
                <w:b/>
                <w:bCs/>
                <w:color w:val="auto"/>
                <w:kern w:val="0"/>
                <w:sz w:val="21"/>
                <w:szCs w:val="21"/>
                <w:lang w:val="en-US" w:eastAsia="zh-CN" w:bidi="ar-SA"/>
              </w:rPr>
            </w:pPr>
            <w:r>
              <w:rPr>
                <w:rFonts w:hint="eastAsia" w:ascii="宋体" w:hAnsi="宋体" w:eastAsia="宋体" w:cs="宋体"/>
                <w:b/>
                <w:bCs/>
                <w:color w:val="auto"/>
                <w:kern w:val="0"/>
                <w:sz w:val="21"/>
                <w:szCs w:val="21"/>
                <w:lang w:val="en-US" w:eastAsia="zh-CN" w:bidi="ar-SA"/>
              </w:rPr>
              <w:t>②</w:t>
            </w:r>
            <w:r>
              <w:rPr>
                <w:rFonts w:hint="eastAsia" w:ascii="Times New Roman" w:hAnsi="Times New Roman" w:eastAsia="宋体" w:cs="Times New Roman"/>
                <w:b/>
                <w:bCs/>
                <w:color w:val="auto"/>
                <w:kern w:val="0"/>
                <w:sz w:val="21"/>
                <w:szCs w:val="21"/>
                <w:lang w:val="en-US" w:eastAsia="zh-CN" w:bidi="ar-SA"/>
              </w:rPr>
              <w:t>无组织废气</w:t>
            </w:r>
          </w:p>
          <w:p w14:paraId="4B186923">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无</w:t>
            </w:r>
            <w:r>
              <w:rPr>
                <w:rFonts w:hint="default" w:ascii="Times New Roman" w:hAnsi="Times New Roman" w:eastAsia="宋体" w:cs="Times New Roman"/>
                <w:color w:val="auto"/>
                <w:kern w:val="0"/>
                <w:sz w:val="21"/>
                <w:szCs w:val="21"/>
                <w:lang w:val="en-US" w:eastAsia="zh-CN" w:bidi="ar-SA"/>
              </w:rPr>
              <w:t>组织</w:t>
            </w:r>
            <w:r>
              <w:rPr>
                <w:rFonts w:hint="eastAsia" w:cs="Times New Roman"/>
                <w:color w:val="auto"/>
                <w:kern w:val="0"/>
                <w:sz w:val="21"/>
                <w:szCs w:val="21"/>
                <w:lang w:val="en-US" w:eastAsia="zh-CN" w:bidi="ar-SA"/>
              </w:rPr>
              <w:t>废气</w:t>
            </w:r>
            <w:r>
              <w:rPr>
                <w:rFonts w:hint="default" w:ascii="Times New Roman" w:hAnsi="Times New Roman" w:eastAsia="宋体" w:cs="Times New Roman"/>
                <w:color w:val="auto"/>
                <w:kern w:val="0"/>
                <w:sz w:val="21"/>
                <w:szCs w:val="21"/>
                <w:lang w:val="en-US" w:eastAsia="zh-CN" w:bidi="ar-SA"/>
              </w:rPr>
              <w:t>执行《砖瓦工业大气污染物排放标准》（GB29620-2013）中“表</w:t>
            </w:r>
            <w:r>
              <w:rPr>
                <w:rFonts w:hint="eastAsia" w:cs="Times New Roman"/>
                <w:color w:val="auto"/>
                <w:kern w:val="0"/>
                <w:sz w:val="21"/>
                <w:szCs w:val="21"/>
                <w:lang w:val="en-US" w:eastAsia="zh-CN" w:bidi="ar-SA"/>
              </w:rPr>
              <w:t>3</w:t>
            </w:r>
            <w:r>
              <w:rPr>
                <w:rFonts w:hint="default" w:ascii="Times New Roman" w:hAnsi="Times New Roman" w:eastAsia="宋体" w:cs="Times New Roman"/>
                <w:color w:val="auto"/>
                <w:kern w:val="0"/>
                <w:sz w:val="21"/>
                <w:szCs w:val="21"/>
                <w:lang w:val="en-US" w:eastAsia="zh-CN" w:bidi="ar-SA"/>
              </w:rPr>
              <w:t xml:space="preserve"> </w:t>
            </w:r>
            <w:r>
              <w:rPr>
                <w:rFonts w:hint="eastAsia" w:cs="Times New Roman"/>
                <w:color w:val="auto"/>
                <w:kern w:val="0"/>
                <w:sz w:val="21"/>
                <w:szCs w:val="21"/>
                <w:lang w:val="en-US" w:eastAsia="zh-CN" w:bidi="ar-SA"/>
              </w:rPr>
              <w:t>现有和</w:t>
            </w:r>
            <w:r>
              <w:rPr>
                <w:rFonts w:hint="default" w:ascii="Times New Roman" w:hAnsi="Times New Roman" w:eastAsia="宋体" w:cs="Times New Roman"/>
                <w:color w:val="auto"/>
                <w:kern w:val="0"/>
                <w:sz w:val="21"/>
                <w:szCs w:val="21"/>
                <w:lang w:val="en-US" w:eastAsia="zh-CN" w:bidi="ar-SA"/>
              </w:rPr>
              <w:t>新建企业</w:t>
            </w:r>
            <w:r>
              <w:rPr>
                <w:rFonts w:hint="eastAsia" w:cs="Times New Roman"/>
                <w:color w:val="auto"/>
                <w:kern w:val="0"/>
                <w:sz w:val="21"/>
                <w:szCs w:val="21"/>
                <w:lang w:val="en-US" w:eastAsia="zh-CN" w:bidi="ar-SA"/>
              </w:rPr>
              <w:t>边界</w:t>
            </w:r>
            <w:r>
              <w:rPr>
                <w:rFonts w:hint="default" w:ascii="Times New Roman" w:hAnsi="Times New Roman" w:eastAsia="宋体" w:cs="Times New Roman"/>
                <w:color w:val="auto"/>
                <w:kern w:val="0"/>
                <w:sz w:val="21"/>
                <w:szCs w:val="21"/>
                <w:lang w:val="en-US" w:eastAsia="zh-CN" w:bidi="ar-SA"/>
              </w:rPr>
              <w:t>大气污染物</w:t>
            </w:r>
            <w:r>
              <w:rPr>
                <w:rFonts w:hint="eastAsia" w:cs="Times New Roman"/>
                <w:color w:val="auto"/>
                <w:kern w:val="0"/>
                <w:sz w:val="21"/>
                <w:szCs w:val="21"/>
                <w:lang w:val="en-US" w:eastAsia="zh-CN" w:bidi="ar-SA"/>
              </w:rPr>
              <w:t>浓度</w:t>
            </w:r>
            <w:r>
              <w:rPr>
                <w:rFonts w:hint="default" w:ascii="Times New Roman" w:hAnsi="Times New Roman" w:eastAsia="宋体" w:cs="Times New Roman"/>
                <w:color w:val="auto"/>
                <w:kern w:val="0"/>
                <w:sz w:val="21"/>
                <w:szCs w:val="21"/>
                <w:lang w:val="en-US" w:eastAsia="zh-CN" w:bidi="ar-SA"/>
              </w:rPr>
              <w:t>限值”要求。具体标准限值见下表。</w:t>
            </w:r>
          </w:p>
          <w:p w14:paraId="7577E2FC">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表3-1</w:t>
            </w:r>
            <w:r>
              <w:rPr>
                <w:rFonts w:hint="eastAsia" w:cs="Times New Roman"/>
                <w:b/>
                <w:bCs/>
                <w:color w:val="auto"/>
                <w:kern w:val="0"/>
                <w:sz w:val="21"/>
                <w:szCs w:val="21"/>
                <w:lang w:val="en-US" w:eastAsia="zh-CN" w:bidi="ar-SA"/>
              </w:rPr>
              <w:t>2</w:t>
            </w:r>
            <w:r>
              <w:rPr>
                <w:rFonts w:hint="default" w:ascii="Times New Roman" w:hAnsi="Times New Roman" w:eastAsia="宋体" w:cs="Times New Roman"/>
                <w:b/>
                <w:bCs/>
                <w:color w:val="auto"/>
                <w:kern w:val="0"/>
                <w:sz w:val="21"/>
                <w:szCs w:val="21"/>
                <w:lang w:val="en-US" w:eastAsia="zh-CN" w:bidi="ar-SA"/>
              </w:rPr>
              <w:t xml:space="preserve">  无组织污染物排放标准</w:t>
            </w:r>
          </w:p>
          <w:tbl>
            <w:tblPr>
              <w:tblStyle w:val="29"/>
              <w:tblW w:w="80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2"/>
              <w:gridCol w:w="1424"/>
              <w:gridCol w:w="2860"/>
              <w:gridCol w:w="2333"/>
            </w:tblGrid>
            <w:tr w14:paraId="6AD2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blHeader/>
                <w:jc w:val="center"/>
              </w:trPr>
              <w:tc>
                <w:tcPr>
                  <w:tcW w:w="1402" w:type="dxa"/>
                  <w:vMerge w:val="restart"/>
                  <w:shd w:val="clear" w:color="auto" w:fill="FDFDFC"/>
                  <w:noWrap w:val="0"/>
                  <w:vAlign w:val="center"/>
                </w:tcPr>
                <w:p w14:paraId="175FA5BE">
                  <w:pPr>
                    <w:keepNext w:val="0"/>
                    <w:keepLines w:val="0"/>
                    <w:pageBreakBefore w:val="0"/>
                    <w:widowControl/>
                    <w:suppressLineNumbers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w:t>
                  </w:r>
                </w:p>
              </w:tc>
              <w:tc>
                <w:tcPr>
                  <w:tcW w:w="6617" w:type="dxa"/>
                  <w:gridSpan w:val="3"/>
                  <w:shd w:val="clear" w:color="auto" w:fill="auto"/>
                  <w:noWrap w:val="0"/>
                  <w:vAlign w:val="center"/>
                </w:tcPr>
                <w:p w14:paraId="6D64EC2A">
                  <w:pPr>
                    <w:keepNext w:val="0"/>
                    <w:keepLines w:val="0"/>
                    <w:pageBreakBefore w:val="0"/>
                    <w:widowControl/>
                    <w:suppressLineNumbers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无组织排放监控浓度限值</w:t>
                  </w:r>
                </w:p>
              </w:tc>
            </w:tr>
            <w:tr w14:paraId="6C2E6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blHeader/>
                <w:jc w:val="center"/>
              </w:trPr>
              <w:tc>
                <w:tcPr>
                  <w:tcW w:w="1402" w:type="dxa"/>
                  <w:vMerge w:val="continue"/>
                  <w:shd w:val="clear" w:color="auto" w:fill="FDFDFC"/>
                  <w:noWrap w:val="0"/>
                  <w:vAlign w:val="center"/>
                </w:tcPr>
                <w:p w14:paraId="1303B840">
                  <w:pPr>
                    <w:keepNext w:val="0"/>
                    <w:keepLines w:val="0"/>
                    <w:pageBreakBefore w:val="0"/>
                    <w:widowControl/>
                    <w:kinsoku/>
                    <w:wordWrap/>
                    <w:overflowPunct/>
                    <w:topLinePunct w:val="0"/>
                    <w:autoSpaceDE/>
                    <w:autoSpaceDN/>
                    <w:bidi w:val="0"/>
                    <w:adjustRightInd w:val="0"/>
                    <w:snapToGrid w:val="0"/>
                    <w:spacing w:before="95" w:beforeLines="30" w:after="95" w:afterLines="30"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4284" w:type="dxa"/>
                  <w:gridSpan w:val="2"/>
                  <w:shd w:val="clear" w:color="auto" w:fill="auto"/>
                  <w:noWrap w:val="0"/>
                  <w:vAlign w:val="center"/>
                </w:tcPr>
                <w:p w14:paraId="68C037FF">
                  <w:pPr>
                    <w:keepNext w:val="0"/>
                    <w:keepLines w:val="0"/>
                    <w:pageBreakBefore w:val="0"/>
                    <w:widowControl/>
                    <w:suppressLineNumbers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最高允许排放浓度mg/</w:t>
                  </w:r>
                  <w:r>
                    <w:rPr>
                      <w:rFonts w:hint="eastAsia" w:cs="Times New Roman"/>
                      <w:i w:val="0"/>
                      <w:iCs w:val="0"/>
                      <w:color w:val="auto"/>
                      <w:kern w:val="0"/>
                      <w:sz w:val="21"/>
                      <w:szCs w:val="21"/>
                      <w:u w:val="none"/>
                      <w:lang w:val="en-US" w:eastAsia="zh-CN" w:bidi="ar"/>
                    </w:rPr>
                    <w:t>m³</w:t>
                  </w:r>
                </w:p>
              </w:tc>
              <w:tc>
                <w:tcPr>
                  <w:tcW w:w="2333" w:type="dxa"/>
                  <w:noWrap w:val="0"/>
                  <w:vAlign w:val="center"/>
                </w:tcPr>
                <w:p w14:paraId="6712593B">
                  <w:pPr>
                    <w:keepNext w:val="0"/>
                    <w:keepLines w:val="0"/>
                    <w:pageBreakBefore w:val="0"/>
                    <w:widowControl/>
                    <w:suppressLineNumbers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监测位置</w:t>
                  </w:r>
                </w:p>
              </w:tc>
            </w:tr>
            <w:tr w14:paraId="1DC5F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blHeader/>
                <w:jc w:val="center"/>
              </w:trPr>
              <w:tc>
                <w:tcPr>
                  <w:tcW w:w="1402" w:type="dxa"/>
                  <w:shd w:val="clear" w:color="auto" w:fill="FDFDFC"/>
                  <w:noWrap w:val="0"/>
                  <w:vAlign w:val="center"/>
                </w:tcPr>
                <w:p w14:paraId="66159778">
                  <w:pPr>
                    <w:keepNext w:val="0"/>
                    <w:keepLines w:val="0"/>
                    <w:pageBreakBefore w:val="0"/>
                    <w:widowControl/>
                    <w:kinsoku/>
                    <w:wordWrap/>
                    <w:overflowPunct/>
                    <w:topLinePunct w:val="0"/>
                    <w:autoSpaceDE/>
                    <w:autoSpaceDN/>
                    <w:bidi w:val="0"/>
                    <w:adjustRightInd w:val="0"/>
                    <w:snapToGrid w:val="0"/>
                    <w:spacing w:before="95" w:beforeLines="30" w:after="95" w:afterLines="30" w:line="240" w:lineRule="auto"/>
                    <w:ind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颗粒物</w:t>
                  </w:r>
                </w:p>
              </w:tc>
              <w:tc>
                <w:tcPr>
                  <w:tcW w:w="1424" w:type="dxa"/>
                  <w:shd w:val="clear" w:color="auto" w:fill="auto"/>
                  <w:noWrap w:val="0"/>
                  <w:vAlign w:val="center"/>
                </w:tcPr>
                <w:p w14:paraId="7C2EEACC">
                  <w:pPr>
                    <w:keepNext w:val="0"/>
                    <w:keepLines w:val="0"/>
                    <w:pageBreakBefore w:val="0"/>
                    <w:widowControl/>
                    <w:suppressLineNumbers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center"/>
                    <w:rPr>
                      <w:rStyle w:val="79"/>
                      <w:rFonts w:hint="default" w:ascii="Times New Roman" w:hAnsi="Times New Roman" w:eastAsia="宋体" w:cs="Times New Roman"/>
                      <w:color w:val="auto"/>
                      <w:sz w:val="21"/>
                      <w:szCs w:val="21"/>
                      <w:vertAlign w:val="baseline"/>
                      <w:lang w:val="en-US" w:eastAsia="zh-CN" w:bidi="ar"/>
                    </w:rPr>
                  </w:pPr>
                  <w:r>
                    <w:rPr>
                      <w:rStyle w:val="79"/>
                      <w:rFonts w:hint="eastAsia" w:cs="Times New Roman"/>
                      <w:color w:val="auto"/>
                      <w:sz w:val="21"/>
                      <w:szCs w:val="21"/>
                      <w:vertAlign w:val="baseline"/>
                      <w:lang w:val="en-US" w:eastAsia="zh-CN" w:bidi="ar"/>
                    </w:rPr>
                    <w:t>1.0</w:t>
                  </w:r>
                </w:p>
              </w:tc>
              <w:tc>
                <w:tcPr>
                  <w:tcW w:w="2860" w:type="dxa"/>
                  <w:vMerge w:val="restart"/>
                  <w:shd w:val="clear" w:color="auto" w:fill="FCFDFC"/>
                  <w:noWrap w:val="0"/>
                  <w:vAlign w:val="center"/>
                </w:tcPr>
                <w:p w14:paraId="7A56C4CD">
                  <w:pPr>
                    <w:keepNext w:val="0"/>
                    <w:keepLines w:val="0"/>
                    <w:pageBreakBefore w:val="0"/>
                    <w:widowControl/>
                    <w:suppressLineNumbers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监控点处</w:t>
                  </w:r>
                  <w:r>
                    <w:rPr>
                      <w:rFonts w:hint="eastAsia" w:cs="Times New Roman"/>
                      <w:i w:val="0"/>
                      <w:iCs w:val="0"/>
                      <w:color w:val="auto"/>
                      <w:kern w:val="0"/>
                      <w:sz w:val="21"/>
                      <w:szCs w:val="21"/>
                      <w:u w:val="none"/>
                      <w:lang w:val="en-US" w:eastAsia="zh-CN" w:bidi="ar"/>
                    </w:rPr>
                    <w:t>任何</w:t>
                  </w:r>
                  <w:r>
                    <w:rPr>
                      <w:rFonts w:hint="default" w:ascii="Times New Roman" w:hAnsi="Times New Roman" w:eastAsia="宋体" w:cs="Times New Roman"/>
                      <w:i w:val="0"/>
                      <w:iCs w:val="0"/>
                      <w:color w:val="auto"/>
                      <w:kern w:val="0"/>
                      <w:sz w:val="21"/>
                      <w:szCs w:val="21"/>
                      <w:u w:val="none"/>
                      <w:lang w:val="en-US" w:eastAsia="zh-CN" w:bidi="ar"/>
                    </w:rPr>
                    <w:t>1h平均浓度值</w:t>
                  </w:r>
                </w:p>
              </w:tc>
              <w:tc>
                <w:tcPr>
                  <w:tcW w:w="2333" w:type="dxa"/>
                  <w:vMerge w:val="restart"/>
                  <w:noWrap w:val="0"/>
                  <w:vAlign w:val="center"/>
                </w:tcPr>
                <w:p w14:paraId="0EDE4258">
                  <w:pPr>
                    <w:keepNext w:val="0"/>
                    <w:keepLines w:val="0"/>
                    <w:pageBreakBefore w:val="0"/>
                    <w:widowControl/>
                    <w:suppressLineNumbers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企业边界设置监控点</w:t>
                  </w:r>
                </w:p>
              </w:tc>
            </w:tr>
            <w:tr w14:paraId="54FB6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blHeader/>
                <w:jc w:val="center"/>
              </w:trPr>
              <w:tc>
                <w:tcPr>
                  <w:tcW w:w="1402" w:type="dxa"/>
                  <w:shd w:val="clear" w:color="auto" w:fill="FDFDFC"/>
                  <w:noWrap w:val="0"/>
                  <w:vAlign w:val="center"/>
                </w:tcPr>
                <w:p w14:paraId="7F9159EE">
                  <w:pPr>
                    <w:keepNext w:val="0"/>
                    <w:keepLines w:val="0"/>
                    <w:pageBreakBefore w:val="0"/>
                    <w:widowControl/>
                    <w:kinsoku/>
                    <w:wordWrap/>
                    <w:overflowPunct/>
                    <w:topLinePunct w:val="0"/>
                    <w:autoSpaceDE/>
                    <w:autoSpaceDN/>
                    <w:bidi w:val="0"/>
                    <w:adjustRightInd w:val="0"/>
                    <w:snapToGrid w:val="0"/>
                    <w:spacing w:before="95" w:beforeLines="30" w:after="95" w:afterLines="30" w:line="240" w:lineRule="auto"/>
                    <w:ind w:firstLine="0" w:firstLineChars="0"/>
                    <w:jc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二氧化硫</w:t>
                  </w:r>
                </w:p>
              </w:tc>
              <w:tc>
                <w:tcPr>
                  <w:tcW w:w="1424" w:type="dxa"/>
                  <w:shd w:val="clear" w:color="auto" w:fill="auto"/>
                  <w:noWrap w:val="0"/>
                  <w:vAlign w:val="center"/>
                </w:tcPr>
                <w:p w14:paraId="1C3251E7">
                  <w:pPr>
                    <w:keepNext w:val="0"/>
                    <w:keepLines w:val="0"/>
                    <w:pageBreakBefore w:val="0"/>
                    <w:widowControl/>
                    <w:suppressLineNumbers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center"/>
                    <w:rPr>
                      <w:rStyle w:val="79"/>
                      <w:rFonts w:hint="default" w:ascii="Times New Roman" w:hAnsi="Times New Roman" w:eastAsia="宋体" w:cs="Times New Roman"/>
                      <w:color w:val="auto"/>
                      <w:sz w:val="21"/>
                      <w:szCs w:val="21"/>
                      <w:vertAlign w:val="baseline"/>
                      <w:lang w:val="en-US" w:eastAsia="zh-CN" w:bidi="ar"/>
                    </w:rPr>
                  </w:pPr>
                  <w:r>
                    <w:rPr>
                      <w:rStyle w:val="79"/>
                      <w:rFonts w:hint="eastAsia" w:cs="Times New Roman"/>
                      <w:color w:val="auto"/>
                      <w:sz w:val="21"/>
                      <w:szCs w:val="21"/>
                      <w:vertAlign w:val="baseline"/>
                      <w:lang w:val="en-US" w:eastAsia="zh-CN" w:bidi="ar"/>
                    </w:rPr>
                    <w:t>0.5</w:t>
                  </w:r>
                </w:p>
              </w:tc>
              <w:tc>
                <w:tcPr>
                  <w:tcW w:w="2860" w:type="dxa"/>
                  <w:vMerge w:val="continue"/>
                  <w:shd w:val="clear" w:color="auto" w:fill="FCFDFC"/>
                  <w:noWrap w:val="0"/>
                  <w:vAlign w:val="center"/>
                </w:tcPr>
                <w:p w14:paraId="6F0A9766">
                  <w:pPr>
                    <w:keepNext w:val="0"/>
                    <w:keepLines w:val="0"/>
                    <w:pageBreakBefore w:val="0"/>
                    <w:widowControl/>
                    <w:suppressLineNumbers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333" w:type="dxa"/>
                  <w:vMerge w:val="continue"/>
                  <w:noWrap w:val="0"/>
                  <w:vAlign w:val="center"/>
                </w:tcPr>
                <w:p w14:paraId="73E4EDAD">
                  <w:pPr>
                    <w:keepNext w:val="0"/>
                    <w:keepLines w:val="0"/>
                    <w:pageBreakBefore w:val="0"/>
                    <w:widowControl/>
                    <w:suppressLineNumbers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3422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blHeader/>
                <w:jc w:val="center"/>
              </w:trPr>
              <w:tc>
                <w:tcPr>
                  <w:tcW w:w="1402" w:type="dxa"/>
                  <w:shd w:val="clear" w:color="auto" w:fill="FDFDFC"/>
                  <w:noWrap w:val="0"/>
                  <w:vAlign w:val="center"/>
                </w:tcPr>
                <w:p w14:paraId="1CAFB2D5">
                  <w:pPr>
                    <w:keepNext w:val="0"/>
                    <w:keepLines w:val="0"/>
                    <w:pageBreakBefore w:val="0"/>
                    <w:widowControl/>
                    <w:kinsoku/>
                    <w:wordWrap/>
                    <w:overflowPunct/>
                    <w:topLinePunct w:val="0"/>
                    <w:autoSpaceDE/>
                    <w:autoSpaceDN/>
                    <w:bidi w:val="0"/>
                    <w:adjustRightInd w:val="0"/>
                    <w:snapToGrid w:val="0"/>
                    <w:spacing w:before="95" w:beforeLines="30" w:after="95" w:afterLines="30" w:line="240" w:lineRule="auto"/>
                    <w:ind w:firstLine="0" w:firstLineChars="0"/>
                    <w:jc w:val="center"/>
                    <w:rPr>
                      <w:rFonts w:hint="default" w:cs="Times New Roman"/>
                      <w:i w:val="0"/>
                      <w:iCs w:val="0"/>
                      <w:color w:val="auto"/>
                      <w:kern w:val="2"/>
                      <w:sz w:val="21"/>
                      <w:szCs w:val="21"/>
                      <w:u w:val="none"/>
                      <w:lang w:val="en-US" w:eastAsia="zh-CN" w:bidi="ar-SA"/>
                    </w:rPr>
                  </w:pPr>
                  <w:r>
                    <w:rPr>
                      <w:rFonts w:hint="eastAsia" w:cs="Times New Roman"/>
                      <w:i w:val="0"/>
                      <w:iCs w:val="0"/>
                      <w:color w:val="auto"/>
                      <w:kern w:val="2"/>
                      <w:sz w:val="21"/>
                      <w:szCs w:val="21"/>
                      <w:u w:val="none"/>
                      <w:lang w:val="en-US" w:eastAsia="zh-CN" w:bidi="ar-SA"/>
                    </w:rPr>
                    <w:t>氟化物</w:t>
                  </w:r>
                </w:p>
              </w:tc>
              <w:tc>
                <w:tcPr>
                  <w:tcW w:w="1424" w:type="dxa"/>
                  <w:shd w:val="clear" w:color="auto" w:fill="auto"/>
                  <w:noWrap w:val="0"/>
                  <w:vAlign w:val="center"/>
                </w:tcPr>
                <w:p w14:paraId="70ACB694">
                  <w:pPr>
                    <w:keepNext w:val="0"/>
                    <w:keepLines w:val="0"/>
                    <w:pageBreakBefore w:val="0"/>
                    <w:widowControl/>
                    <w:suppressLineNumbers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center"/>
                    <w:rPr>
                      <w:rStyle w:val="79"/>
                      <w:rFonts w:hint="default" w:ascii="Times New Roman" w:hAnsi="Times New Roman" w:eastAsia="宋体" w:cs="Times New Roman"/>
                      <w:color w:val="auto"/>
                      <w:sz w:val="21"/>
                      <w:szCs w:val="21"/>
                      <w:vertAlign w:val="baseline"/>
                      <w:lang w:val="en-US" w:eastAsia="zh-CN" w:bidi="ar"/>
                    </w:rPr>
                  </w:pPr>
                  <w:r>
                    <w:rPr>
                      <w:rStyle w:val="79"/>
                      <w:rFonts w:hint="eastAsia" w:cs="Times New Roman"/>
                      <w:color w:val="auto"/>
                      <w:sz w:val="21"/>
                      <w:szCs w:val="21"/>
                      <w:vertAlign w:val="baseline"/>
                      <w:lang w:val="en-US" w:eastAsia="zh-CN" w:bidi="ar"/>
                    </w:rPr>
                    <w:t>0.02</w:t>
                  </w:r>
                </w:p>
              </w:tc>
              <w:tc>
                <w:tcPr>
                  <w:tcW w:w="2860" w:type="dxa"/>
                  <w:vMerge w:val="continue"/>
                  <w:shd w:val="clear" w:color="auto" w:fill="FCFDFC"/>
                  <w:noWrap w:val="0"/>
                  <w:vAlign w:val="center"/>
                </w:tcPr>
                <w:p w14:paraId="1DC9324F">
                  <w:pPr>
                    <w:keepNext w:val="0"/>
                    <w:keepLines w:val="0"/>
                    <w:pageBreakBefore w:val="0"/>
                    <w:widowControl/>
                    <w:suppressLineNumbers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333" w:type="dxa"/>
                  <w:vMerge w:val="continue"/>
                  <w:noWrap w:val="0"/>
                  <w:vAlign w:val="center"/>
                </w:tcPr>
                <w:p w14:paraId="0AB71AA5">
                  <w:pPr>
                    <w:keepNext w:val="0"/>
                    <w:keepLines w:val="0"/>
                    <w:pageBreakBefore w:val="0"/>
                    <w:widowControl/>
                    <w:suppressLineNumbers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bl>
          <w:p w14:paraId="01694ADF">
            <w:pPr>
              <w:pStyle w:val="45"/>
              <w:bidi w:val="0"/>
              <w:rPr>
                <w:rFonts w:hint="eastAsia"/>
                <w:color w:val="auto"/>
                <w:lang w:val="en-US" w:eastAsia="zh-CN"/>
              </w:rPr>
            </w:pPr>
            <w:r>
              <w:rPr>
                <w:rFonts w:hint="eastAsia"/>
                <w:color w:val="auto"/>
                <w:lang w:val="en-US" w:eastAsia="zh-CN"/>
              </w:rPr>
              <w:t>3.8 废水排放标准</w:t>
            </w:r>
          </w:p>
          <w:p w14:paraId="3EA290B1">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b/>
                <w:bCs/>
                <w:color w:val="auto"/>
                <w:sz w:val="21"/>
                <w:szCs w:val="21"/>
              </w:rPr>
            </w:pPr>
            <w:r>
              <w:rPr>
                <w:rFonts w:hint="eastAsia"/>
                <w:b/>
                <w:bCs/>
                <w:color w:val="auto"/>
                <w:sz w:val="21"/>
                <w:szCs w:val="21"/>
                <w:lang w:val="en-US" w:eastAsia="zh-CN"/>
              </w:rPr>
              <w:t>（1</w:t>
            </w:r>
            <w:r>
              <w:rPr>
                <w:rFonts w:hint="eastAsia"/>
                <w:b/>
                <w:bCs/>
                <w:color w:val="auto"/>
                <w:sz w:val="21"/>
                <w:szCs w:val="21"/>
                <w:lang w:eastAsia="zh-CN"/>
              </w:rPr>
              <w:t>）施工</w:t>
            </w:r>
            <w:r>
              <w:rPr>
                <w:rFonts w:hint="eastAsia"/>
                <w:b/>
                <w:bCs/>
                <w:color w:val="auto"/>
                <w:sz w:val="21"/>
                <w:szCs w:val="21"/>
                <w:lang w:val="en-US" w:eastAsia="zh-CN"/>
              </w:rPr>
              <w:t>期</w:t>
            </w:r>
          </w:p>
          <w:p w14:paraId="1B8B4C17">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b/>
                <w:bCs/>
                <w:color w:val="auto"/>
                <w:sz w:val="21"/>
                <w:szCs w:val="21"/>
                <w:lang w:val="en-US" w:eastAsia="zh-CN"/>
              </w:rPr>
            </w:pPr>
            <w:r>
              <w:rPr>
                <w:color w:val="auto"/>
                <w:sz w:val="21"/>
                <w:szCs w:val="21"/>
                <w:highlight w:val="none"/>
              </w:rPr>
              <w:t>项目施工期废水仅为</w:t>
            </w:r>
            <w:r>
              <w:rPr>
                <w:rFonts w:hint="eastAsia"/>
                <w:color w:val="auto"/>
                <w:sz w:val="21"/>
                <w:szCs w:val="21"/>
                <w:highlight w:val="none"/>
              </w:rPr>
              <w:t>施工废水</w:t>
            </w:r>
            <w:r>
              <w:rPr>
                <w:color w:val="auto"/>
                <w:sz w:val="21"/>
                <w:szCs w:val="21"/>
                <w:highlight w:val="none"/>
              </w:rPr>
              <w:t>，</w:t>
            </w:r>
            <w:r>
              <w:rPr>
                <w:rFonts w:hint="eastAsia"/>
                <w:color w:val="auto"/>
                <w:sz w:val="21"/>
                <w:szCs w:val="21"/>
                <w:highlight w:val="none"/>
              </w:rPr>
              <w:t>经</w:t>
            </w:r>
            <w:r>
              <w:rPr>
                <w:rFonts w:hint="eastAsia"/>
                <w:color w:val="auto"/>
                <w:sz w:val="21"/>
                <w:szCs w:val="21"/>
                <w:highlight w:val="none"/>
                <w:lang w:eastAsia="zh-CN"/>
              </w:rPr>
              <w:t>沉淀池</w:t>
            </w:r>
            <w:r>
              <w:rPr>
                <w:rFonts w:hint="eastAsia"/>
                <w:color w:val="auto"/>
                <w:sz w:val="21"/>
                <w:szCs w:val="21"/>
                <w:highlight w:val="none"/>
              </w:rPr>
              <w:t>沉淀处理后全部</w:t>
            </w:r>
            <w:r>
              <w:rPr>
                <w:rFonts w:hint="eastAsia"/>
                <w:color w:val="auto"/>
                <w:sz w:val="21"/>
                <w:szCs w:val="21"/>
                <w:highlight w:val="none"/>
                <w:lang w:eastAsia="zh-CN"/>
              </w:rPr>
              <w:t>回</w:t>
            </w:r>
            <w:r>
              <w:rPr>
                <w:rFonts w:hint="eastAsia"/>
                <w:color w:val="auto"/>
                <w:sz w:val="21"/>
                <w:szCs w:val="21"/>
                <w:highlight w:val="none"/>
              </w:rPr>
              <w:t>用于施工场地洒水降尘</w:t>
            </w:r>
            <w:r>
              <w:rPr>
                <w:rFonts w:hint="eastAsia"/>
                <w:color w:val="auto"/>
                <w:sz w:val="21"/>
                <w:szCs w:val="21"/>
                <w:highlight w:val="none"/>
                <w:lang w:eastAsia="zh-CN"/>
              </w:rPr>
              <w:t>，</w:t>
            </w:r>
            <w:r>
              <w:rPr>
                <w:rFonts w:hint="eastAsia"/>
                <w:color w:val="auto"/>
                <w:sz w:val="21"/>
                <w:szCs w:val="21"/>
                <w:highlight w:val="none"/>
              </w:rPr>
              <w:t>不外排</w:t>
            </w:r>
            <w:r>
              <w:rPr>
                <w:color w:val="auto"/>
                <w:sz w:val="21"/>
                <w:szCs w:val="21"/>
                <w:highlight w:val="none"/>
              </w:rPr>
              <w:t>。</w:t>
            </w:r>
          </w:p>
          <w:p w14:paraId="7300EF51">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color w:val="auto"/>
                <w:sz w:val="21"/>
                <w:szCs w:val="21"/>
              </w:rPr>
            </w:pPr>
            <w:r>
              <w:rPr>
                <w:rFonts w:hint="eastAsia"/>
                <w:b/>
                <w:bCs/>
                <w:color w:val="auto"/>
                <w:sz w:val="21"/>
                <w:szCs w:val="21"/>
                <w:lang w:val="en-US" w:eastAsia="zh-CN"/>
              </w:rPr>
              <w:t>（2</w:t>
            </w:r>
            <w:r>
              <w:rPr>
                <w:rFonts w:hint="eastAsia"/>
                <w:b/>
                <w:bCs/>
                <w:color w:val="auto"/>
                <w:sz w:val="21"/>
                <w:szCs w:val="21"/>
                <w:lang w:eastAsia="zh-CN"/>
              </w:rPr>
              <w:t>）</w:t>
            </w:r>
            <w:r>
              <w:rPr>
                <w:rFonts w:hint="eastAsia"/>
                <w:b/>
                <w:bCs/>
                <w:color w:val="auto"/>
                <w:sz w:val="21"/>
                <w:szCs w:val="21"/>
                <w:lang w:val="en-US" w:eastAsia="zh-CN"/>
              </w:rPr>
              <w:t>运营期</w:t>
            </w:r>
          </w:p>
          <w:p w14:paraId="7575853B">
            <w:pPr>
              <w:pStyle w:val="38"/>
              <w:keepNext w:val="0"/>
              <w:keepLines w:val="0"/>
              <w:pageBreakBefore w:val="0"/>
              <w:wordWrap/>
              <w:topLinePunct w:val="0"/>
              <w:autoSpaceDE/>
              <w:autoSpaceDN/>
              <w:bidi w:val="0"/>
              <w:snapToGrid w:val="0"/>
              <w:rPr>
                <w:rFonts w:hint="default" w:ascii="Times New Roman" w:hAnsi="Times New Roman" w:eastAsia="宋体" w:cs="Times New Roman"/>
                <w:bCs/>
                <w:color w:val="auto"/>
                <w:sz w:val="21"/>
                <w:szCs w:val="21"/>
                <w:lang w:val="en-US" w:eastAsia="zh-CN"/>
              </w:rPr>
            </w:pPr>
            <w:r>
              <w:rPr>
                <w:rFonts w:hint="eastAsia"/>
                <w:color w:val="auto"/>
                <w:sz w:val="21"/>
                <w:szCs w:val="21"/>
              </w:rPr>
              <w:t>本项目</w:t>
            </w:r>
            <w:r>
              <w:rPr>
                <w:rFonts w:hint="eastAsia"/>
                <w:color w:val="auto"/>
                <w:sz w:val="21"/>
                <w:szCs w:val="21"/>
                <w:lang w:val="en-US" w:eastAsia="zh-CN"/>
              </w:rPr>
              <w:t>生产废水为脱硫塔循环水废水，循环使用不外排；</w:t>
            </w:r>
            <w:r>
              <w:rPr>
                <w:rFonts w:hint="eastAsia"/>
                <w:b w:val="0"/>
                <w:bCs/>
                <w:color w:val="auto"/>
                <w:sz w:val="21"/>
                <w:szCs w:val="21"/>
                <w:lang w:eastAsia="zh-CN"/>
              </w:rPr>
              <w:t>生活污水经化粪池处理</w:t>
            </w:r>
            <w:r>
              <w:rPr>
                <w:rFonts w:hint="eastAsia"/>
                <w:b w:val="0"/>
                <w:bCs/>
                <w:color w:val="auto"/>
                <w:sz w:val="21"/>
                <w:szCs w:val="21"/>
              </w:rPr>
              <w:t>后</w:t>
            </w:r>
            <w:r>
              <w:rPr>
                <w:rFonts w:hint="eastAsia"/>
                <w:b w:val="0"/>
                <w:bCs/>
                <w:color w:val="auto"/>
                <w:sz w:val="21"/>
                <w:szCs w:val="21"/>
                <w:lang w:val="en-US" w:eastAsia="zh-CN"/>
              </w:rPr>
              <w:t>委托环卫车辆运送至华宁北控环保水务有限公司管理运营的华宁县城污水处理厂处理</w:t>
            </w:r>
            <w:r>
              <w:rPr>
                <w:rFonts w:hint="eastAsia"/>
                <w:color w:val="auto"/>
                <w:sz w:val="21"/>
                <w:szCs w:val="21"/>
                <w:lang w:val="en-US" w:eastAsia="zh-CN"/>
              </w:rPr>
              <w:t>；</w:t>
            </w:r>
          </w:p>
          <w:p w14:paraId="6B71BBFB">
            <w:pPr>
              <w:pStyle w:val="38"/>
              <w:ind w:firstLine="420"/>
              <w:rPr>
                <w:rFonts w:hint="default" w:ascii="Times New Roman" w:hAnsi="Times New Roman" w:eastAsia="宋体" w:cs="Times New Roman"/>
                <w:color w:val="auto"/>
                <w:sz w:val="21"/>
                <w:szCs w:val="21"/>
              </w:rPr>
            </w:pPr>
            <w:r>
              <w:rPr>
                <w:rFonts w:hint="eastAsia" w:ascii="Times New Roman" w:hAnsi="Times New Roman" w:cs="Times New Roman"/>
                <w:bCs/>
                <w:color w:val="auto"/>
                <w:sz w:val="21"/>
                <w:szCs w:val="21"/>
                <w:lang w:val="en-US" w:eastAsia="zh-CN"/>
              </w:rPr>
              <w:t>生活污水排入城镇污水处理厂</w:t>
            </w:r>
            <w:r>
              <w:rPr>
                <w:rFonts w:hint="default" w:ascii="Times New Roman" w:hAnsi="Times New Roman" w:eastAsia="宋体" w:cs="Times New Roman"/>
                <w:bCs/>
                <w:color w:val="auto"/>
                <w:sz w:val="21"/>
                <w:szCs w:val="21"/>
                <w:lang w:val="en-US" w:eastAsia="zh-CN"/>
              </w:rPr>
              <w:t>执行</w:t>
            </w:r>
            <w:r>
              <w:rPr>
                <w:rFonts w:hint="default" w:ascii="Times New Roman" w:hAnsi="Times New Roman" w:eastAsia="宋体" w:cs="Times New Roman"/>
                <w:bCs/>
                <w:color w:val="auto"/>
                <w:kern w:val="2"/>
                <w:sz w:val="21"/>
                <w:szCs w:val="21"/>
              </w:rPr>
              <w:t>《污水综合排放标准》</w:t>
            </w:r>
            <w:r>
              <w:rPr>
                <w:rFonts w:hint="default" w:ascii="Times New Roman" w:hAnsi="Times New Roman" w:eastAsia="宋体" w:cs="Times New Roman"/>
                <w:bCs/>
                <w:color w:val="auto"/>
                <w:kern w:val="2"/>
                <w:sz w:val="21"/>
                <w:szCs w:val="21"/>
                <w:lang w:eastAsia="zh-CN"/>
              </w:rPr>
              <w:t>（</w:t>
            </w:r>
            <w:r>
              <w:rPr>
                <w:rFonts w:hint="default" w:ascii="Times New Roman" w:hAnsi="Times New Roman" w:eastAsia="宋体" w:cs="Times New Roman"/>
                <w:bCs/>
                <w:color w:val="auto"/>
                <w:kern w:val="2"/>
                <w:sz w:val="21"/>
                <w:szCs w:val="21"/>
              </w:rPr>
              <w:t>GB8978-1996</w:t>
            </w:r>
            <w:r>
              <w:rPr>
                <w:rFonts w:hint="default" w:ascii="Times New Roman" w:hAnsi="Times New Roman" w:eastAsia="宋体" w:cs="Times New Roman"/>
                <w:bCs/>
                <w:color w:val="auto"/>
                <w:kern w:val="2"/>
                <w:sz w:val="21"/>
                <w:szCs w:val="21"/>
                <w:lang w:eastAsia="zh-CN"/>
              </w:rPr>
              <w:t>）</w:t>
            </w:r>
            <w:r>
              <w:rPr>
                <w:rFonts w:hint="default" w:ascii="Times New Roman" w:hAnsi="Times New Roman" w:eastAsia="宋体" w:cs="Times New Roman"/>
                <w:bCs/>
                <w:color w:val="auto"/>
                <w:kern w:val="2"/>
                <w:sz w:val="21"/>
                <w:szCs w:val="21"/>
                <w:lang w:val="en-US" w:eastAsia="zh-CN"/>
              </w:rPr>
              <w:t>表4</w:t>
            </w:r>
            <w:r>
              <w:rPr>
                <w:rFonts w:hint="default" w:ascii="Times New Roman" w:hAnsi="Times New Roman" w:eastAsia="宋体" w:cs="Times New Roman"/>
                <w:bCs/>
                <w:color w:val="auto"/>
                <w:kern w:val="2"/>
                <w:sz w:val="21"/>
                <w:szCs w:val="21"/>
              </w:rPr>
              <w:t>三级标准和《污水排入城镇下水道水质标准》（GB/T31962-2015）表1B等级标准</w:t>
            </w:r>
            <w:r>
              <w:rPr>
                <w:rFonts w:hint="eastAsia" w:ascii="Times New Roman" w:hAnsi="Times New Roman" w:cs="Times New Roman"/>
                <w:bCs/>
                <w:color w:val="auto"/>
                <w:kern w:val="2"/>
                <w:sz w:val="21"/>
                <w:szCs w:val="21"/>
                <w:lang w:eastAsia="zh-CN"/>
              </w:rPr>
              <w:t>，</w:t>
            </w:r>
            <w:r>
              <w:rPr>
                <w:rFonts w:hint="eastAsia" w:ascii="Times New Roman" w:hAnsi="Times New Roman" w:cs="Times New Roman"/>
                <w:bCs/>
                <w:color w:val="auto"/>
                <w:kern w:val="2"/>
                <w:sz w:val="21"/>
                <w:szCs w:val="21"/>
                <w:lang w:val="en-US" w:eastAsia="zh-CN"/>
              </w:rPr>
              <w:t>两者从严取值执行</w:t>
            </w:r>
            <w:r>
              <w:rPr>
                <w:rFonts w:hint="default" w:ascii="Times New Roman" w:hAnsi="Times New Roman" w:eastAsia="宋体" w:cs="Times New Roman"/>
                <w:bCs/>
                <w:color w:val="auto"/>
                <w:kern w:val="2"/>
                <w:sz w:val="21"/>
                <w:szCs w:val="21"/>
                <w:lang w:eastAsia="zh-CN"/>
              </w:rPr>
              <w:t>，</w:t>
            </w:r>
            <w:r>
              <w:rPr>
                <w:rFonts w:hint="default" w:ascii="Times New Roman" w:hAnsi="Times New Roman" w:eastAsia="宋体" w:cs="Times New Roman"/>
                <w:bCs/>
                <w:color w:val="auto"/>
                <w:kern w:val="2"/>
                <w:sz w:val="21"/>
                <w:szCs w:val="21"/>
                <w:lang w:val="en-US" w:eastAsia="zh-CN"/>
              </w:rPr>
              <w:t>排放标准如下表</w:t>
            </w:r>
            <w:r>
              <w:rPr>
                <w:rFonts w:hint="default" w:ascii="Times New Roman" w:hAnsi="Times New Roman" w:eastAsia="宋体" w:cs="Times New Roman"/>
                <w:color w:val="auto"/>
                <w:sz w:val="21"/>
                <w:szCs w:val="21"/>
              </w:rPr>
              <w:t>。</w:t>
            </w:r>
          </w:p>
          <w:p w14:paraId="18AD1F80">
            <w:pPr>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rPr>
              <w:t>-</w:t>
            </w:r>
            <w:r>
              <w:rPr>
                <w:rFonts w:hint="eastAsia" w:ascii="Times New Roman" w:hAnsi="Times New Roman" w:eastAsia="宋体" w:cs="Times New Roman"/>
                <w:b/>
                <w:bCs/>
                <w:color w:val="auto"/>
                <w:sz w:val="21"/>
                <w:szCs w:val="21"/>
                <w:lang w:val="en-US" w:eastAsia="zh-CN"/>
              </w:rPr>
              <w:t>1</w:t>
            </w:r>
            <w:r>
              <w:rPr>
                <w:rFonts w:hint="eastAsia" w:ascii="Times New Roman" w:hAnsi="Times New Roman" w:cs="Times New Roman"/>
                <w:b/>
                <w:bCs/>
                <w:color w:val="auto"/>
                <w:sz w:val="21"/>
                <w:szCs w:val="21"/>
                <w:lang w:val="en-US" w:eastAsia="zh-CN"/>
              </w:rPr>
              <w:t>3</w:t>
            </w:r>
            <w:r>
              <w:rPr>
                <w:rFonts w:hint="default" w:ascii="Times New Roman" w:hAnsi="Times New Roman" w:eastAsia="宋体" w:cs="Times New Roman"/>
                <w:b/>
                <w:bCs/>
                <w:color w:val="auto"/>
                <w:sz w:val="21"/>
                <w:szCs w:val="21"/>
              </w:rPr>
              <w:t>水污染物排放标准限值单位：mg/L（pH</w:t>
            </w:r>
            <w:r>
              <w:rPr>
                <w:rFonts w:hint="default" w:ascii="Times New Roman" w:hAnsi="Times New Roman" w:eastAsia="宋体" w:cs="Times New Roman"/>
                <w:b/>
                <w:bCs/>
                <w:color w:val="auto"/>
                <w:sz w:val="21"/>
                <w:szCs w:val="21"/>
                <w:lang w:val="en-US" w:eastAsia="zh-CN"/>
              </w:rPr>
              <w:t>为无量纲</w:t>
            </w:r>
            <w:r>
              <w:rPr>
                <w:rFonts w:hint="default" w:ascii="Times New Roman" w:hAnsi="Times New Roman" w:eastAsia="宋体" w:cs="Times New Roman"/>
                <w:b/>
                <w:bCs/>
                <w:color w:val="auto"/>
                <w:sz w:val="21"/>
                <w:szCs w:val="21"/>
              </w:rPr>
              <w:t>）</w:t>
            </w:r>
          </w:p>
          <w:tbl>
            <w:tblPr>
              <w:tblStyle w:val="2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35"/>
              <w:gridCol w:w="868"/>
              <w:gridCol w:w="877"/>
              <w:gridCol w:w="817"/>
              <w:gridCol w:w="791"/>
              <w:gridCol w:w="919"/>
              <w:gridCol w:w="652"/>
            </w:tblGrid>
            <w:tr w14:paraId="247B0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1906" w:type="pct"/>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14:paraId="23E7CE03">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p>
                <w:p w14:paraId="1CA604CB">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mc:AlternateContent>
                      <mc:Choice Requires="wpsCustomData">
                        <wpsCustomData:diagonalParaType/>
                      </mc:Choice>
                    </mc:AlternateContent>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标准</w:t>
                  </w:r>
                </w:p>
                <w:p w14:paraId="54F7C744">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right"/>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指标</w:t>
                  </w:r>
                </w:p>
              </w:tc>
              <w:tc>
                <w:tcPr>
                  <w:tcW w:w="545" w:type="pct"/>
                  <w:noWrap w:val="0"/>
                  <w:vAlign w:val="center"/>
                </w:tcPr>
                <w:p w14:paraId="2C085E7B">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pH</w:t>
                  </w:r>
                </w:p>
              </w:tc>
              <w:tc>
                <w:tcPr>
                  <w:tcW w:w="551" w:type="pct"/>
                  <w:noWrap w:val="0"/>
                  <w:vAlign w:val="center"/>
                </w:tcPr>
                <w:p w14:paraId="54808817">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SS</w:t>
                  </w:r>
                </w:p>
              </w:tc>
              <w:tc>
                <w:tcPr>
                  <w:tcW w:w="513" w:type="pct"/>
                  <w:noWrap w:val="0"/>
                  <w:vAlign w:val="center"/>
                </w:tcPr>
                <w:p w14:paraId="6620A334">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BOD</w:t>
                  </w:r>
                  <w:r>
                    <w:rPr>
                      <w:rFonts w:hint="default" w:ascii="Times New Roman" w:hAnsi="Times New Roman" w:eastAsia="宋体" w:cs="Times New Roman"/>
                      <w:bCs/>
                      <w:color w:val="auto"/>
                      <w:sz w:val="21"/>
                      <w:szCs w:val="21"/>
                      <w:vertAlign w:val="subscript"/>
                    </w:rPr>
                    <w:t>5</w:t>
                  </w:r>
                </w:p>
              </w:tc>
              <w:tc>
                <w:tcPr>
                  <w:tcW w:w="497" w:type="pct"/>
                  <w:noWrap w:val="0"/>
                  <w:vAlign w:val="center"/>
                </w:tcPr>
                <w:p w14:paraId="4EDAA995">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COD</w:t>
                  </w:r>
                </w:p>
              </w:tc>
              <w:tc>
                <w:tcPr>
                  <w:tcW w:w="577" w:type="pct"/>
                  <w:noWrap w:val="0"/>
                  <w:vAlign w:val="center"/>
                </w:tcPr>
                <w:p w14:paraId="7AC42698">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NH</w:t>
                  </w:r>
                  <w:r>
                    <w:rPr>
                      <w:rFonts w:hint="default" w:ascii="Times New Roman" w:hAnsi="Times New Roman" w:eastAsia="宋体" w:cs="Times New Roman"/>
                      <w:bCs/>
                      <w:color w:val="auto"/>
                      <w:sz w:val="21"/>
                      <w:szCs w:val="21"/>
                      <w:vertAlign w:val="subscript"/>
                    </w:rPr>
                    <w:t>3</w:t>
                  </w:r>
                  <w:r>
                    <w:rPr>
                      <w:rFonts w:hint="default" w:ascii="Times New Roman" w:hAnsi="Times New Roman" w:eastAsia="宋体" w:cs="Times New Roman"/>
                      <w:bCs/>
                      <w:color w:val="auto"/>
                      <w:sz w:val="21"/>
                      <w:szCs w:val="21"/>
                    </w:rPr>
                    <w:t>-N</w:t>
                  </w:r>
                </w:p>
              </w:tc>
              <w:tc>
                <w:tcPr>
                  <w:tcW w:w="409" w:type="pct"/>
                  <w:noWrap w:val="0"/>
                  <w:vAlign w:val="center"/>
                </w:tcPr>
                <w:p w14:paraId="594E05D2">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TP</w:t>
                  </w:r>
                </w:p>
              </w:tc>
            </w:tr>
            <w:tr w14:paraId="4065C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6" w:type="pct"/>
                  <w:noWrap w:val="0"/>
                  <w:vAlign w:val="center"/>
                </w:tcPr>
                <w:p w14:paraId="7AAE4C2A">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GB8978-1996三级</w:t>
                  </w:r>
                </w:p>
              </w:tc>
              <w:tc>
                <w:tcPr>
                  <w:tcW w:w="545" w:type="pct"/>
                  <w:noWrap w:val="0"/>
                  <w:vAlign w:val="center"/>
                </w:tcPr>
                <w:p w14:paraId="7221CCE0">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6～9</w:t>
                  </w:r>
                </w:p>
              </w:tc>
              <w:tc>
                <w:tcPr>
                  <w:tcW w:w="551" w:type="pct"/>
                  <w:noWrap w:val="0"/>
                  <w:vAlign w:val="center"/>
                </w:tcPr>
                <w:p w14:paraId="6D540FC0">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400</w:t>
                  </w:r>
                </w:p>
              </w:tc>
              <w:tc>
                <w:tcPr>
                  <w:tcW w:w="513" w:type="pct"/>
                  <w:noWrap w:val="0"/>
                  <w:vAlign w:val="center"/>
                </w:tcPr>
                <w:p w14:paraId="1611DDFE">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300</w:t>
                  </w:r>
                </w:p>
              </w:tc>
              <w:tc>
                <w:tcPr>
                  <w:tcW w:w="497" w:type="pct"/>
                  <w:noWrap w:val="0"/>
                  <w:vAlign w:val="center"/>
                </w:tcPr>
                <w:p w14:paraId="2344AE94">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500</w:t>
                  </w:r>
                </w:p>
              </w:tc>
              <w:tc>
                <w:tcPr>
                  <w:tcW w:w="577" w:type="pct"/>
                  <w:noWrap w:val="0"/>
                  <w:vAlign w:val="center"/>
                </w:tcPr>
                <w:p w14:paraId="3BB107D7">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409" w:type="pct"/>
                  <w:noWrap w:val="0"/>
                  <w:vAlign w:val="center"/>
                </w:tcPr>
                <w:p w14:paraId="3F750CCE">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r>
            <w:tr w14:paraId="097FF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6" w:type="pct"/>
                  <w:noWrap w:val="0"/>
                  <w:vAlign w:val="center"/>
                </w:tcPr>
                <w:p w14:paraId="18277A0E">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（GB/T31962-2015）B等级</w:t>
                  </w:r>
                </w:p>
              </w:tc>
              <w:tc>
                <w:tcPr>
                  <w:tcW w:w="545" w:type="pct"/>
                  <w:noWrap w:val="0"/>
                  <w:vAlign w:val="center"/>
                </w:tcPr>
                <w:p w14:paraId="661C5540">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551" w:type="pct"/>
                  <w:noWrap w:val="0"/>
                  <w:vAlign w:val="center"/>
                </w:tcPr>
                <w:p w14:paraId="6030BD76">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400</w:t>
                  </w:r>
                </w:p>
              </w:tc>
              <w:tc>
                <w:tcPr>
                  <w:tcW w:w="513" w:type="pct"/>
                  <w:noWrap w:val="0"/>
                  <w:vAlign w:val="center"/>
                </w:tcPr>
                <w:p w14:paraId="64846FE6">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350</w:t>
                  </w:r>
                </w:p>
              </w:tc>
              <w:tc>
                <w:tcPr>
                  <w:tcW w:w="497" w:type="pct"/>
                  <w:noWrap w:val="0"/>
                  <w:vAlign w:val="center"/>
                </w:tcPr>
                <w:p w14:paraId="3102821C">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500</w:t>
                  </w:r>
                </w:p>
              </w:tc>
              <w:tc>
                <w:tcPr>
                  <w:tcW w:w="577" w:type="pct"/>
                  <w:noWrap w:val="0"/>
                  <w:vAlign w:val="center"/>
                </w:tcPr>
                <w:p w14:paraId="2096FF62">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45</w:t>
                  </w:r>
                </w:p>
              </w:tc>
              <w:tc>
                <w:tcPr>
                  <w:tcW w:w="409" w:type="pct"/>
                  <w:noWrap w:val="0"/>
                  <w:vAlign w:val="center"/>
                </w:tcPr>
                <w:p w14:paraId="25C5B8DC">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8</w:t>
                  </w:r>
                </w:p>
              </w:tc>
            </w:tr>
            <w:tr w14:paraId="2879B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6" w:type="pct"/>
                  <w:noWrap w:val="0"/>
                  <w:vAlign w:val="center"/>
                </w:tcPr>
                <w:p w14:paraId="2B1D0342">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本项目执行标准</w:t>
                  </w:r>
                </w:p>
              </w:tc>
              <w:tc>
                <w:tcPr>
                  <w:tcW w:w="545" w:type="pct"/>
                  <w:noWrap w:val="0"/>
                  <w:vAlign w:val="center"/>
                </w:tcPr>
                <w:p w14:paraId="71B6AF48">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6～9</w:t>
                  </w:r>
                </w:p>
              </w:tc>
              <w:tc>
                <w:tcPr>
                  <w:tcW w:w="551" w:type="pct"/>
                  <w:noWrap w:val="0"/>
                  <w:vAlign w:val="center"/>
                </w:tcPr>
                <w:p w14:paraId="5A5838D6">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400</w:t>
                  </w:r>
                </w:p>
              </w:tc>
              <w:tc>
                <w:tcPr>
                  <w:tcW w:w="513" w:type="pct"/>
                  <w:noWrap w:val="0"/>
                  <w:vAlign w:val="center"/>
                </w:tcPr>
                <w:p w14:paraId="4477D9E3">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300</w:t>
                  </w:r>
                </w:p>
              </w:tc>
              <w:tc>
                <w:tcPr>
                  <w:tcW w:w="497" w:type="pct"/>
                  <w:noWrap w:val="0"/>
                  <w:vAlign w:val="center"/>
                </w:tcPr>
                <w:p w14:paraId="6D77E2BA">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500</w:t>
                  </w:r>
                </w:p>
              </w:tc>
              <w:tc>
                <w:tcPr>
                  <w:tcW w:w="577" w:type="pct"/>
                  <w:noWrap w:val="0"/>
                  <w:vAlign w:val="center"/>
                </w:tcPr>
                <w:p w14:paraId="09BDDFF0">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45</w:t>
                  </w:r>
                </w:p>
              </w:tc>
              <w:tc>
                <w:tcPr>
                  <w:tcW w:w="409" w:type="pct"/>
                  <w:noWrap w:val="0"/>
                  <w:vAlign w:val="center"/>
                </w:tcPr>
                <w:p w14:paraId="18329DD2">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8</w:t>
                  </w:r>
                </w:p>
              </w:tc>
            </w:tr>
          </w:tbl>
          <w:p w14:paraId="0D627A0B">
            <w:pPr>
              <w:pStyle w:val="38"/>
              <w:bidi w:val="0"/>
              <w:ind w:left="0" w:leftChars="0" w:firstLine="0" w:firstLineChars="0"/>
              <w:rPr>
                <w:rFonts w:hint="default" w:ascii="Times New Roman" w:hAnsi="Times New Roman" w:eastAsia="宋体" w:cs="Times New Roman"/>
                <w:color w:val="auto"/>
                <w:kern w:val="0"/>
                <w:sz w:val="21"/>
                <w:szCs w:val="21"/>
                <w:lang w:val="en-US" w:eastAsia="zh-CN"/>
              </w:rPr>
            </w:pPr>
          </w:p>
          <w:p w14:paraId="0955820C">
            <w:pPr>
              <w:pStyle w:val="45"/>
              <w:bidi w:val="0"/>
              <w:rPr>
                <w:rFonts w:hint="default"/>
                <w:color w:val="auto"/>
                <w:lang w:val="en-US" w:eastAsia="zh-CN"/>
              </w:rPr>
            </w:pPr>
            <w:r>
              <w:rPr>
                <w:rFonts w:hint="eastAsia"/>
                <w:color w:val="auto"/>
                <w:lang w:val="en-US" w:eastAsia="zh-CN"/>
              </w:rPr>
              <w:t>3.9 噪声排放标准</w:t>
            </w:r>
          </w:p>
          <w:p w14:paraId="2F673F9A">
            <w:pPr>
              <w:pStyle w:val="38"/>
              <w:bidi w:val="0"/>
              <w:rPr>
                <w:rFonts w:hint="eastAsia"/>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）施工期</w:t>
            </w:r>
          </w:p>
          <w:p w14:paraId="1723A576">
            <w:pPr>
              <w:pStyle w:val="38"/>
              <w:bidi w:val="0"/>
              <w:rPr>
                <w:rFonts w:hint="eastAsia"/>
                <w:color w:val="auto"/>
              </w:rPr>
            </w:pPr>
            <w:r>
              <w:rPr>
                <w:rFonts w:hint="eastAsia"/>
                <w:color w:val="auto"/>
                <w:lang w:eastAsia="zh-CN"/>
              </w:rPr>
              <w:t>施工期噪声排放</w:t>
            </w:r>
            <w:r>
              <w:rPr>
                <w:rFonts w:hint="eastAsia"/>
                <w:color w:val="auto"/>
              </w:rPr>
              <w:t>执行《建筑施工场界环境噪声排放标准》（</w:t>
            </w:r>
            <w:r>
              <w:rPr>
                <w:rFonts w:hint="eastAsia"/>
                <w:color w:val="auto"/>
                <w:lang w:eastAsia="zh-CN"/>
              </w:rPr>
              <w:t>GB12523-2025</w:t>
            </w:r>
            <w:r>
              <w:rPr>
                <w:rFonts w:hint="eastAsia"/>
                <w:color w:val="auto"/>
              </w:rPr>
              <w:t>），标准限值见下表。</w:t>
            </w:r>
          </w:p>
          <w:p w14:paraId="765AE4E3">
            <w:pPr>
              <w:pStyle w:val="41"/>
              <w:bidi w:val="0"/>
              <w:rPr>
                <w:rFonts w:hint="eastAsia"/>
                <w:color w:val="auto"/>
              </w:rPr>
            </w:pPr>
            <w:r>
              <w:rPr>
                <w:rFonts w:hint="eastAsia"/>
                <w:color w:val="auto"/>
              </w:rPr>
              <w:t>表</w:t>
            </w:r>
            <w:r>
              <w:rPr>
                <w:rFonts w:hint="eastAsia"/>
                <w:color w:val="auto"/>
                <w:lang w:val="en-US" w:eastAsia="zh-CN"/>
              </w:rPr>
              <w:t xml:space="preserve">3-14  </w:t>
            </w:r>
            <w:r>
              <w:rPr>
                <w:rFonts w:hint="eastAsia"/>
                <w:color w:val="auto"/>
              </w:rPr>
              <w:t>建筑施工场界环境噪声标准限值</w:t>
            </w:r>
            <w:r>
              <w:rPr>
                <w:rFonts w:hint="eastAsia"/>
                <w:color w:val="auto"/>
                <w:lang w:val="en-US" w:eastAsia="zh-CN"/>
              </w:rPr>
              <w:t xml:space="preserve">    </w:t>
            </w:r>
            <w:r>
              <w:rPr>
                <w:rFonts w:hint="eastAsia"/>
                <w:color w:val="auto"/>
              </w:rPr>
              <w:t>单位：dB（A）</w:t>
            </w:r>
          </w:p>
          <w:tbl>
            <w:tblPr>
              <w:tblStyle w:val="29"/>
              <w:tblW w:w="7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8"/>
              <w:gridCol w:w="3871"/>
            </w:tblGrid>
            <w:tr w14:paraId="4DF16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4108" w:type="dxa"/>
                  <w:tcBorders>
                    <w:top w:val="single" w:color="auto" w:sz="4" w:space="0"/>
                    <w:left w:val="single" w:color="auto" w:sz="4" w:space="0"/>
                    <w:bottom w:val="single" w:color="auto" w:sz="4" w:space="0"/>
                    <w:right w:val="single" w:color="auto" w:sz="4" w:space="0"/>
                  </w:tcBorders>
                  <w:noWrap/>
                  <w:vAlign w:val="center"/>
                </w:tcPr>
                <w:p w14:paraId="3DF961F9">
                  <w:pPr>
                    <w:pStyle w:val="39"/>
                    <w:bidi w:val="0"/>
                    <w:rPr>
                      <w:rFonts w:hint="eastAsia"/>
                      <w:b/>
                      <w:bCs/>
                      <w:color w:val="auto"/>
                    </w:rPr>
                  </w:pPr>
                  <w:r>
                    <w:rPr>
                      <w:rFonts w:hint="eastAsia"/>
                      <w:b/>
                      <w:bCs/>
                      <w:color w:val="auto"/>
                    </w:rPr>
                    <w:t>昼间</w:t>
                  </w:r>
                </w:p>
              </w:tc>
              <w:tc>
                <w:tcPr>
                  <w:tcW w:w="3871" w:type="dxa"/>
                  <w:tcBorders>
                    <w:top w:val="single" w:color="auto" w:sz="4" w:space="0"/>
                    <w:left w:val="nil"/>
                    <w:bottom w:val="single" w:color="auto" w:sz="4" w:space="0"/>
                    <w:right w:val="single" w:color="auto" w:sz="4" w:space="0"/>
                  </w:tcBorders>
                  <w:noWrap/>
                  <w:vAlign w:val="center"/>
                </w:tcPr>
                <w:p w14:paraId="4BC59E42">
                  <w:pPr>
                    <w:pStyle w:val="39"/>
                    <w:bidi w:val="0"/>
                    <w:rPr>
                      <w:rFonts w:hint="eastAsia"/>
                      <w:b/>
                      <w:bCs/>
                      <w:color w:val="auto"/>
                    </w:rPr>
                  </w:pPr>
                  <w:r>
                    <w:rPr>
                      <w:rFonts w:hint="eastAsia"/>
                      <w:b/>
                      <w:bCs/>
                      <w:color w:val="auto"/>
                    </w:rPr>
                    <w:t>夜间</w:t>
                  </w:r>
                </w:p>
              </w:tc>
            </w:tr>
            <w:tr w14:paraId="79DFA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4108" w:type="dxa"/>
                  <w:tcBorders>
                    <w:top w:val="single" w:color="auto" w:sz="4" w:space="0"/>
                    <w:left w:val="single" w:color="auto" w:sz="4" w:space="0"/>
                    <w:bottom w:val="single" w:color="auto" w:sz="4" w:space="0"/>
                    <w:right w:val="single" w:color="auto" w:sz="4" w:space="0"/>
                  </w:tcBorders>
                  <w:noWrap/>
                  <w:vAlign w:val="top"/>
                </w:tcPr>
                <w:p w14:paraId="66B1C1F7">
                  <w:pPr>
                    <w:pStyle w:val="39"/>
                    <w:bidi w:val="0"/>
                    <w:rPr>
                      <w:rFonts w:hint="default" w:ascii="Times New Roman" w:hAnsi="Times New Roman" w:cs="Times New Roman"/>
                      <w:color w:val="auto"/>
                    </w:rPr>
                  </w:pPr>
                  <w:r>
                    <w:rPr>
                      <w:rFonts w:hint="default" w:ascii="Times New Roman" w:hAnsi="Times New Roman" w:cs="Times New Roman"/>
                      <w:color w:val="auto"/>
                    </w:rPr>
                    <w:t>≤70</w:t>
                  </w:r>
                </w:p>
              </w:tc>
              <w:tc>
                <w:tcPr>
                  <w:tcW w:w="3871" w:type="dxa"/>
                  <w:tcBorders>
                    <w:top w:val="single" w:color="auto" w:sz="4" w:space="0"/>
                    <w:left w:val="nil"/>
                    <w:bottom w:val="single" w:color="auto" w:sz="4" w:space="0"/>
                    <w:right w:val="single" w:color="auto" w:sz="4" w:space="0"/>
                  </w:tcBorders>
                  <w:noWrap/>
                  <w:vAlign w:val="top"/>
                </w:tcPr>
                <w:p w14:paraId="79F4549F">
                  <w:pPr>
                    <w:pStyle w:val="39"/>
                    <w:bidi w:val="0"/>
                    <w:rPr>
                      <w:rFonts w:hint="default" w:ascii="Times New Roman" w:hAnsi="Times New Roman" w:cs="Times New Roman"/>
                      <w:color w:val="auto"/>
                    </w:rPr>
                  </w:pPr>
                  <w:r>
                    <w:rPr>
                      <w:rFonts w:hint="default" w:ascii="Times New Roman" w:hAnsi="Times New Roman" w:cs="Times New Roman"/>
                      <w:color w:val="auto"/>
                    </w:rPr>
                    <w:t>≤55</w:t>
                  </w:r>
                </w:p>
              </w:tc>
            </w:tr>
          </w:tbl>
          <w:p w14:paraId="2612D218">
            <w:pPr>
              <w:pStyle w:val="38"/>
              <w:bidi w:val="0"/>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营运期</w:t>
            </w:r>
          </w:p>
          <w:p w14:paraId="21B241D1">
            <w:pPr>
              <w:pStyle w:val="38"/>
              <w:bidi w:val="0"/>
              <w:rPr>
                <w:rFonts w:ascii="Times New Roman" w:hAnsi="Times New Roman" w:eastAsia="宋体" w:cs="Times New Roman"/>
                <w:color w:val="auto"/>
              </w:rPr>
            </w:pPr>
            <w:r>
              <w:rPr>
                <w:rFonts w:hint="eastAsia" w:ascii="Times New Roman" w:hAnsi="Times New Roman" w:eastAsia="宋体" w:cs="Times New Roman"/>
                <w:color w:val="auto"/>
                <w:lang w:eastAsia="zh-CN"/>
              </w:rPr>
              <w:t>运营期间，厂界</w:t>
            </w:r>
            <w:r>
              <w:rPr>
                <w:rFonts w:hint="eastAsia" w:ascii="Times New Roman" w:hAnsi="Times New Roman" w:eastAsia="宋体" w:cs="Times New Roman"/>
                <w:color w:val="auto"/>
                <w:lang w:val="en-US" w:eastAsia="zh-CN"/>
              </w:rPr>
              <w:t>东、</w:t>
            </w:r>
            <w:r>
              <w:rPr>
                <w:rFonts w:hint="eastAsia" w:cs="Times New Roman"/>
                <w:color w:val="auto"/>
                <w:lang w:val="en-US" w:eastAsia="zh-CN"/>
              </w:rPr>
              <w:t>西、</w:t>
            </w:r>
            <w:r>
              <w:rPr>
                <w:rFonts w:hint="eastAsia" w:ascii="Times New Roman" w:hAnsi="Times New Roman" w:eastAsia="宋体" w:cs="Times New Roman"/>
                <w:color w:val="auto"/>
                <w:lang w:val="en-US" w:eastAsia="zh-CN"/>
              </w:rPr>
              <w:t>南、北侧</w:t>
            </w:r>
            <w:r>
              <w:rPr>
                <w:rFonts w:hint="eastAsia" w:ascii="Times New Roman" w:hAnsi="Times New Roman" w:eastAsia="宋体" w:cs="Times New Roman"/>
                <w:color w:val="auto"/>
                <w:lang w:eastAsia="zh-CN"/>
              </w:rPr>
              <w:t>噪声执行《工业企业厂界环境噪声排放标准》（GB12348-2008）中</w:t>
            </w: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lang w:eastAsia="zh-CN"/>
              </w:rPr>
              <w:t>类标准，标准限值详见</w:t>
            </w:r>
            <w:r>
              <w:rPr>
                <w:rFonts w:hint="eastAsia" w:ascii="Times New Roman" w:hAnsi="Times New Roman" w:eastAsia="宋体" w:cs="Times New Roman"/>
                <w:color w:val="auto"/>
                <w:lang w:val="en-US" w:eastAsia="zh-CN"/>
              </w:rPr>
              <w:t>下</w:t>
            </w:r>
            <w:r>
              <w:rPr>
                <w:rFonts w:hint="eastAsia" w:ascii="Times New Roman" w:hAnsi="Times New Roman" w:eastAsia="宋体" w:cs="Times New Roman"/>
                <w:color w:val="auto"/>
                <w:lang w:eastAsia="zh-CN"/>
              </w:rPr>
              <w:t>表。</w:t>
            </w:r>
          </w:p>
          <w:p w14:paraId="36B24329">
            <w:pPr>
              <w:widowControl w:val="0"/>
              <w:bidi w:val="0"/>
              <w:spacing w:line="360" w:lineRule="auto"/>
              <w:ind w:firstLine="422" w:firstLineChars="200"/>
              <w:jc w:val="center"/>
              <w:rPr>
                <w:rFonts w:ascii="Times New Roman" w:hAnsi="Times New Roman" w:eastAsia="宋体" w:cs="Times New Roman"/>
                <w:b/>
                <w:bCs/>
                <w:color w:val="auto"/>
                <w:kern w:val="2"/>
                <w:sz w:val="21"/>
                <w:szCs w:val="21"/>
                <w:lang w:val="en-US" w:eastAsia="zh-CN" w:bidi="ar-SA"/>
              </w:rPr>
            </w:pPr>
            <w:r>
              <w:rPr>
                <w:rFonts w:ascii="Times New Roman" w:hAnsi="Times New Roman" w:eastAsia="宋体" w:cs="Times New Roman"/>
                <w:b/>
                <w:bCs/>
                <w:color w:val="auto"/>
                <w:kern w:val="2"/>
                <w:sz w:val="21"/>
                <w:szCs w:val="21"/>
                <w:lang w:val="en-US" w:eastAsia="zh-CN" w:bidi="ar-SA"/>
              </w:rPr>
              <w:t>表</w:t>
            </w:r>
            <w:r>
              <w:rPr>
                <w:rFonts w:hint="eastAsia" w:ascii="Times New Roman" w:hAnsi="Times New Roman" w:eastAsia="宋体" w:cs="Times New Roman"/>
                <w:b/>
                <w:bCs/>
                <w:color w:val="auto"/>
                <w:kern w:val="2"/>
                <w:sz w:val="21"/>
                <w:szCs w:val="21"/>
                <w:lang w:val="en-US" w:eastAsia="zh-CN" w:bidi="ar-SA"/>
              </w:rPr>
              <w:t>3-1</w:t>
            </w:r>
            <w:r>
              <w:rPr>
                <w:rFonts w:hint="eastAsia" w:cs="Times New Roman"/>
                <w:b/>
                <w:bCs/>
                <w:color w:val="auto"/>
                <w:kern w:val="2"/>
                <w:sz w:val="21"/>
                <w:szCs w:val="21"/>
                <w:lang w:val="en-US" w:eastAsia="zh-CN" w:bidi="ar-SA"/>
              </w:rPr>
              <w:t>5</w:t>
            </w:r>
            <w:r>
              <w:rPr>
                <w:rFonts w:hint="eastAsia" w:ascii="Times New Roman" w:hAnsi="Times New Roman" w:eastAsia="宋体" w:cs="Times New Roman"/>
                <w:b/>
                <w:bCs/>
                <w:color w:val="auto"/>
                <w:kern w:val="2"/>
                <w:sz w:val="21"/>
                <w:szCs w:val="21"/>
                <w:lang w:val="en-US" w:eastAsia="zh-CN" w:bidi="ar-SA"/>
              </w:rPr>
              <w:t xml:space="preserve"> </w:t>
            </w:r>
            <w:r>
              <w:rPr>
                <w:rFonts w:ascii="Times New Roman" w:hAnsi="Times New Roman" w:eastAsia="宋体" w:cs="Times New Roman"/>
                <w:b/>
                <w:bCs/>
                <w:color w:val="auto"/>
                <w:kern w:val="2"/>
                <w:sz w:val="21"/>
                <w:szCs w:val="21"/>
                <w:lang w:val="en-US" w:eastAsia="zh-CN" w:bidi="ar-SA"/>
              </w:rPr>
              <w:t xml:space="preserve">工业企业厂界环境噪声排放标准 </w:t>
            </w:r>
            <w:r>
              <w:rPr>
                <w:rFonts w:hint="eastAsia" w:ascii="Times New Roman" w:hAnsi="Times New Roman" w:eastAsia="宋体" w:cs="Times New Roman"/>
                <w:b/>
                <w:bCs/>
                <w:color w:val="auto"/>
                <w:kern w:val="2"/>
                <w:sz w:val="21"/>
                <w:szCs w:val="21"/>
                <w:lang w:val="en-US" w:eastAsia="zh-CN" w:bidi="ar-SA"/>
              </w:rPr>
              <w:t xml:space="preserve"> </w:t>
            </w:r>
            <w:r>
              <w:rPr>
                <w:rFonts w:ascii="Times New Roman" w:hAnsi="Times New Roman" w:eastAsia="宋体" w:cs="Times New Roman"/>
                <w:b/>
                <w:bCs/>
                <w:color w:val="auto"/>
                <w:kern w:val="2"/>
                <w:sz w:val="21"/>
                <w:szCs w:val="21"/>
                <w:lang w:val="en-US" w:eastAsia="zh-CN" w:bidi="ar-SA"/>
              </w:rPr>
              <w:t>单位：dB(A)</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3"/>
              <w:gridCol w:w="1685"/>
              <w:gridCol w:w="1719"/>
              <w:gridCol w:w="2964"/>
            </w:tblGrid>
            <w:tr w14:paraId="1DA0D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000" w:type="pct"/>
                  <w:noWrap w:val="0"/>
                  <w:vAlign w:val="center"/>
                </w:tcPr>
                <w:p w14:paraId="3AA0BC14">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类别</w:t>
                  </w:r>
                </w:p>
              </w:tc>
              <w:tc>
                <w:tcPr>
                  <w:tcW w:w="1058" w:type="pct"/>
                  <w:noWrap w:val="0"/>
                  <w:vAlign w:val="center"/>
                </w:tcPr>
                <w:p w14:paraId="605DBD25">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昼间</w:t>
                  </w:r>
                </w:p>
              </w:tc>
              <w:tc>
                <w:tcPr>
                  <w:tcW w:w="1079" w:type="pct"/>
                  <w:noWrap w:val="0"/>
                  <w:vAlign w:val="center"/>
                </w:tcPr>
                <w:p w14:paraId="2EFE6370">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夜间</w:t>
                  </w:r>
                </w:p>
              </w:tc>
              <w:tc>
                <w:tcPr>
                  <w:tcW w:w="1861" w:type="pct"/>
                  <w:noWrap w:val="0"/>
                  <w:vAlign w:val="center"/>
                </w:tcPr>
                <w:p w14:paraId="1E7CFE82">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备注</w:t>
                  </w:r>
                </w:p>
              </w:tc>
            </w:tr>
            <w:tr w14:paraId="1DF47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0" w:type="pct"/>
                  <w:noWrap w:val="0"/>
                  <w:vAlign w:val="center"/>
                </w:tcPr>
                <w:p w14:paraId="59159788">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2类</w:t>
                  </w:r>
                </w:p>
              </w:tc>
              <w:tc>
                <w:tcPr>
                  <w:tcW w:w="1058" w:type="pct"/>
                  <w:noWrap w:val="0"/>
                  <w:vAlign w:val="center"/>
                </w:tcPr>
                <w:p w14:paraId="04A316E1">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60</w:t>
                  </w:r>
                </w:p>
              </w:tc>
              <w:tc>
                <w:tcPr>
                  <w:tcW w:w="1079" w:type="pct"/>
                  <w:noWrap w:val="0"/>
                  <w:vAlign w:val="center"/>
                </w:tcPr>
                <w:p w14:paraId="034709B6">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50</w:t>
                  </w:r>
                </w:p>
              </w:tc>
              <w:tc>
                <w:tcPr>
                  <w:tcW w:w="1861" w:type="pct"/>
                  <w:noWrap w:val="0"/>
                  <w:vAlign w:val="center"/>
                </w:tcPr>
                <w:p w14:paraId="6AD9F0EB">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厂界东、西、南、北侧</w:t>
                  </w:r>
                </w:p>
              </w:tc>
            </w:tr>
          </w:tbl>
          <w:p w14:paraId="708386EA">
            <w:pPr>
              <w:pStyle w:val="45"/>
              <w:bidi w:val="0"/>
              <w:rPr>
                <w:rFonts w:hint="default"/>
                <w:color w:val="auto"/>
                <w:lang w:val="en-US" w:eastAsia="zh-CN"/>
              </w:rPr>
            </w:pPr>
            <w:r>
              <w:rPr>
                <w:rFonts w:hint="eastAsia"/>
                <w:color w:val="auto"/>
                <w:lang w:val="en-US" w:eastAsia="zh-CN"/>
              </w:rPr>
              <w:t>3.10 固废执行标准</w:t>
            </w:r>
          </w:p>
          <w:p w14:paraId="06F4A770">
            <w:pPr>
              <w:pStyle w:val="38"/>
              <w:bidi w:val="0"/>
              <w:rPr>
                <w:rFonts w:ascii="宋体" w:hAnsi="宋体" w:cs="宋体"/>
                <w:color w:val="auto"/>
                <w:kern w:val="0"/>
                <w:szCs w:val="21"/>
              </w:rPr>
            </w:pPr>
            <w:r>
              <w:rPr>
                <w:rFonts w:hint="eastAsia" w:eastAsia="宋体"/>
                <w:color w:val="auto"/>
                <w:sz w:val="21"/>
                <w:szCs w:val="21"/>
                <w:lang w:eastAsia="zh-CN"/>
              </w:rPr>
              <w:t>项目一般固废</w:t>
            </w:r>
            <w:r>
              <w:rPr>
                <w:rFonts w:hint="eastAsia"/>
                <w:color w:val="auto"/>
                <w:sz w:val="21"/>
                <w:szCs w:val="21"/>
                <w:lang w:val="en-US" w:eastAsia="zh-CN"/>
              </w:rPr>
              <w:t>执行</w:t>
            </w:r>
            <w:r>
              <w:rPr>
                <w:rFonts w:hint="eastAsia" w:eastAsia="宋体"/>
                <w:color w:val="auto"/>
                <w:sz w:val="21"/>
                <w:szCs w:val="21"/>
                <w:lang w:eastAsia="zh-CN"/>
              </w:rPr>
              <w:t>《一般工业固体废物贮存和填埋污染控制标准（GB 18599-2020）》执行；</w:t>
            </w:r>
            <w:r>
              <w:rPr>
                <w:rFonts w:hint="default"/>
                <w:color w:val="auto"/>
                <w:sz w:val="21"/>
                <w:szCs w:val="21"/>
                <w:lang w:val="en-US" w:eastAsia="zh-CN"/>
              </w:rPr>
              <w:t>危险固废集中收集、临时储存执行《</w:t>
            </w:r>
            <w:r>
              <w:rPr>
                <w:rFonts w:hint="eastAsia" w:ascii="Times New Roman" w:eastAsia="宋体"/>
                <w:color w:val="auto"/>
                <w:sz w:val="21"/>
                <w:szCs w:val="21"/>
                <w:lang w:val="en-US" w:eastAsia="zh-CN"/>
              </w:rPr>
              <w:t>危险废物贮存污染控制标准</w:t>
            </w:r>
            <w:r>
              <w:rPr>
                <w:rFonts w:hint="default"/>
                <w:color w:val="auto"/>
                <w:sz w:val="21"/>
                <w:szCs w:val="21"/>
                <w:lang w:val="en-US" w:eastAsia="zh-CN"/>
              </w:rPr>
              <w:t>》（GB18597-2023）相关规定。</w:t>
            </w:r>
            <w:r>
              <w:rPr>
                <w:color w:val="auto"/>
                <w:sz w:val="21"/>
                <w:szCs w:val="21"/>
              </w:rPr>
              <w:t>危险废物转移根据《危险废物转移管理办法》（部令第23号）执行</w:t>
            </w:r>
            <w:r>
              <w:rPr>
                <w:rFonts w:hint="eastAsia"/>
                <w:color w:val="auto"/>
                <w:sz w:val="21"/>
                <w:szCs w:val="21"/>
                <w:lang w:eastAsia="zh-CN"/>
              </w:rPr>
              <w:t>。</w:t>
            </w:r>
            <w:r>
              <w:rPr>
                <w:rFonts w:hint="eastAsia"/>
                <w:color w:val="auto"/>
                <w:sz w:val="21"/>
                <w:szCs w:val="21"/>
                <w:lang w:val="en-US" w:eastAsia="zh-CN"/>
              </w:rPr>
              <w:t>危废贮存库标识牌执行</w:t>
            </w:r>
            <w:r>
              <w:rPr>
                <w:rFonts w:hint="eastAsia"/>
                <w:color w:val="auto"/>
                <w:sz w:val="21"/>
                <w:szCs w:val="21"/>
                <w:lang w:eastAsia="zh-CN"/>
              </w:rPr>
              <w:t>《</w:t>
            </w:r>
            <w:r>
              <w:rPr>
                <w:rFonts w:hint="eastAsia"/>
                <w:color w:val="auto"/>
                <w:sz w:val="21"/>
                <w:szCs w:val="21"/>
                <w:lang w:val="en-US" w:eastAsia="zh-CN"/>
              </w:rPr>
              <w:t>危险废物识别标志设置技术规范</w:t>
            </w:r>
            <w:r>
              <w:rPr>
                <w:rFonts w:hint="eastAsia"/>
                <w:color w:val="auto"/>
                <w:sz w:val="21"/>
                <w:szCs w:val="21"/>
                <w:lang w:eastAsia="zh-CN"/>
              </w:rPr>
              <w:t>》</w:t>
            </w:r>
            <w:r>
              <w:rPr>
                <w:rFonts w:hint="eastAsia"/>
                <w:color w:val="auto"/>
                <w:sz w:val="21"/>
                <w:szCs w:val="21"/>
                <w:lang w:val="en-US" w:eastAsia="zh-CN"/>
              </w:rPr>
              <w:t>（HJ1276-2022）</w:t>
            </w:r>
            <w:r>
              <w:rPr>
                <w:rFonts w:hint="eastAsia"/>
                <w:color w:val="auto"/>
                <w:lang w:val="en-US" w:eastAsia="zh-CN"/>
              </w:rPr>
              <w:t>。</w:t>
            </w:r>
          </w:p>
        </w:tc>
      </w:tr>
      <w:tr w14:paraId="7413A8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67" w:hRule="atLeast"/>
          <w:jc w:val="center"/>
        </w:trPr>
        <w:tc>
          <w:tcPr>
            <w:tcW w:w="800" w:type="dxa"/>
            <w:noWrap w:val="0"/>
            <w:vAlign w:val="center"/>
          </w:tcPr>
          <w:p w14:paraId="664810D6">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总量</w:t>
            </w:r>
          </w:p>
          <w:p w14:paraId="5388FC8C">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控制</w:t>
            </w:r>
          </w:p>
          <w:p w14:paraId="24038B93">
            <w:pPr>
              <w:adjustRightInd w:val="0"/>
              <w:snapToGrid w:val="0"/>
              <w:jc w:val="center"/>
              <w:rPr>
                <w:rFonts w:ascii="宋体" w:hAnsi="宋体" w:cs="宋体"/>
                <w:color w:val="auto"/>
                <w:kern w:val="0"/>
                <w:szCs w:val="21"/>
              </w:rPr>
            </w:pPr>
            <w:r>
              <w:rPr>
                <w:rFonts w:hint="eastAsia" w:ascii="宋体" w:hAnsi="宋体" w:cs="宋体"/>
                <w:color w:val="auto"/>
                <w:kern w:val="0"/>
                <w:szCs w:val="21"/>
              </w:rPr>
              <w:t>指标</w:t>
            </w:r>
          </w:p>
        </w:tc>
        <w:tc>
          <w:tcPr>
            <w:tcW w:w="8190" w:type="dxa"/>
            <w:noWrap w:val="0"/>
            <w:vAlign w:val="center"/>
          </w:tcPr>
          <w:p w14:paraId="7D9AB7AF">
            <w:pPr>
              <w:pStyle w:val="38"/>
              <w:bidi w:val="0"/>
              <w:rPr>
                <w:rFonts w:hint="eastAsia"/>
                <w:color w:val="auto"/>
                <w:lang w:val="en-US" w:eastAsia="zh-CN"/>
              </w:rPr>
            </w:pPr>
            <w:r>
              <w:rPr>
                <w:rFonts w:hint="default"/>
                <w:color w:val="auto"/>
              </w:rPr>
              <w:t>本项目总量控制指标</w:t>
            </w:r>
            <w:r>
              <w:rPr>
                <w:rFonts w:hint="eastAsia"/>
                <w:color w:val="auto"/>
                <w:lang w:val="en-US" w:eastAsia="zh-CN"/>
              </w:rPr>
              <w:t>设置如下：</w:t>
            </w:r>
          </w:p>
          <w:p w14:paraId="01CDCAEE">
            <w:pPr>
              <w:pStyle w:val="38"/>
              <w:bidi w:val="0"/>
              <w:rPr>
                <w:rFonts w:hint="eastAsia" w:eastAsia="宋体"/>
                <w:color w:val="auto"/>
                <w:lang w:eastAsia="zh-CN"/>
              </w:rPr>
            </w:pPr>
            <w:r>
              <w:rPr>
                <w:rFonts w:hint="eastAsia"/>
                <w:color w:val="auto"/>
                <w:lang w:eastAsia="zh-CN"/>
              </w:rPr>
              <w:t>废气：</w:t>
            </w:r>
            <w:r>
              <w:rPr>
                <w:rFonts w:hint="eastAsia"/>
                <w:color w:val="auto"/>
                <w:lang w:val="en-US" w:eastAsia="zh-CN"/>
              </w:rPr>
              <w:t>SO</w:t>
            </w:r>
            <w:r>
              <w:rPr>
                <w:rFonts w:hint="eastAsia"/>
                <w:color w:val="auto"/>
                <w:vertAlign w:val="subscript"/>
                <w:lang w:val="en-US" w:eastAsia="zh-CN"/>
              </w:rPr>
              <w:t>2</w:t>
            </w:r>
            <w:r>
              <w:rPr>
                <w:rFonts w:hint="eastAsia"/>
                <w:color w:val="auto"/>
                <w:vertAlign w:val="baseline"/>
                <w:lang w:val="en-US" w:eastAsia="zh-CN"/>
              </w:rPr>
              <w:t>：1.1t/a；</w:t>
            </w:r>
            <w:r>
              <w:rPr>
                <w:rFonts w:hint="eastAsia"/>
                <w:color w:val="auto"/>
                <w:lang w:val="en-US" w:eastAsia="zh-CN"/>
              </w:rPr>
              <w:t>NOx：3.97t/a；氟化物：0.04t/a</w:t>
            </w:r>
            <w:r>
              <w:rPr>
                <w:rFonts w:hint="eastAsia"/>
                <w:color w:val="auto"/>
                <w:lang w:eastAsia="zh-CN"/>
              </w:rPr>
              <w:t>。</w:t>
            </w:r>
          </w:p>
          <w:p w14:paraId="254426D2">
            <w:pPr>
              <w:pStyle w:val="38"/>
              <w:bidi w:val="0"/>
              <w:rPr>
                <w:rFonts w:hint="default"/>
                <w:color w:val="auto"/>
              </w:rPr>
            </w:pPr>
            <w:r>
              <w:rPr>
                <w:rFonts w:hint="default"/>
                <w:color w:val="auto"/>
              </w:rPr>
              <w:t>项目废水不外排</w:t>
            </w:r>
            <w:r>
              <w:rPr>
                <w:rFonts w:hint="default"/>
                <w:color w:val="auto"/>
                <w:lang w:eastAsia="zh-CN"/>
              </w:rPr>
              <w:t>，</w:t>
            </w:r>
            <w:r>
              <w:rPr>
                <w:rFonts w:hint="eastAsia"/>
                <w:color w:val="auto"/>
                <w:lang w:val="en-US" w:eastAsia="zh-CN"/>
              </w:rPr>
              <w:t>不设置</w:t>
            </w:r>
            <w:r>
              <w:rPr>
                <w:rFonts w:hint="default"/>
                <w:color w:val="auto"/>
              </w:rPr>
              <w:t>总量控制指标。</w:t>
            </w:r>
          </w:p>
          <w:p w14:paraId="247BD12E">
            <w:pPr>
              <w:pStyle w:val="38"/>
              <w:bidi w:val="0"/>
              <w:rPr>
                <w:rFonts w:hint="default"/>
                <w:color w:val="auto"/>
              </w:rPr>
            </w:pPr>
            <w:r>
              <w:rPr>
                <w:rFonts w:hint="default"/>
                <w:color w:val="auto"/>
              </w:rPr>
              <w:t>固体废物均妥善处置，处置率100%。</w:t>
            </w:r>
          </w:p>
          <w:p w14:paraId="69224C76">
            <w:pPr>
              <w:pStyle w:val="38"/>
              <w:bidi w:val="0"/>
              <w:rPr>
                <w:rFonts w:hint="default"/>
                <w:color w:val="auto"/>
              </w:rPr>
            </w:pPr>
          </w:p>
          <w:p w14:paraId="57EF04F2">
            <w:pPr>
              <w:pStyle w:val="38"/>
              <w:bidi w:val="0"/>
              <w:rPr>
                <w:rFonts w:hint="default"/>
                <w:color w:val="auto"/>
              </w:rPr>
            </w:pPr>
          </w:p>
          <w:p w14:paraId="72BB27EC">
            <w:pPr>
              <w:pStyle w:val="38"/>
              <w:bidi w:val="0"/>
              <w:rPr>
                <w:rFonts w:hint="default"/>
                <w:color w:val="auto"/>
              </w:rPr>
            </w:pPr>
          </w:p>
          <w:p w14:paraId="3FBFA8E0">
            <w:pPr>
              <w:pStyle w:val="38"/>
              <w:bidi w:val="0"/>
              <w:rPr>
                <w:rFonts w:hint="default"/>
                <w:color w:val="auto"/>
              </w:rPr>
            </w:pPr>
          </w:p>
          <w:p w14:paraId="1D1BB008">
            <w:pPr>
              <w:pStyle w:val="38"/>
              <w:bidi w:val="0"/>
              <w:rPr>
                <w:rFonts w:hint="default"/>
                <w:color w:val="auto"/>
              </w:rPr>
            </w:pPr>
          </w:p>
          <w:p w14:paraId="6C331267">
            <w:pPr>
              <w:pStyle w:val="38"/>
              <w:bidi w:val="0"/>
              <w:rPr>
                <w:rFonts w:hint="default"/>
                <w:color w:val="auto"/>
              </w:rPr>
            </w:pPr>
          </w:p>
          <w:p w14:paraId="290765E3">
            <w:pPr>
              <w:pStyle w:val="38"/>
              <w:bidi w:val="0"/>
              <w:rPr>
                <w:rFonts w:hint="default"/>
                <w:color w:val="auto"/>
              </w:rPr>
            </w:pPr>
          </w:p>
          <w:p w14:paraId="2F84627D">
            <w:pPr>
              <w:pStyle w:val="38"/>
              <w:bidi w:val="0"/>
              <w:rPr>
                <w:rFonts w:hint="default"/>
                <w:color w:val="auto"/>
              </w:rPr>
            </w:pPr>
          </w:p>
          <w:p w14:paraId="7ACB8B1A">
            <w:pPr>
              <w:pStyle w:val="38"/>
              <w:bidi w:val="0"/>
              <w:rPr>
                <w:rFonts w:hint="default"/>
                <w:color w:val="auto"/>
              </w:rPr>
            </w:pPr>
          </w:p>
          <w:p w14:paraId="31A464B4">
            <w:pPr>
              <w:pStyle w:val="38"/>
              <w:bidi w:val="0"/>
              <w:rPr>
                <w:rFonts w:hint="default"/>
                <w:color w:val="auto"/>
              </w:rPr>
            </w:pPr>
          </w:p>
          <w:p w14:paraId="2F1A6FAA">
            <w:pPr>
              <w:pStyle w:val="38"/>
              <w:bidi w:val="0"/>
              <w:rPr>
                <w:rFonts w:hint="default"/>
                <w:color w:val="auto"/>
              </w:rPr>
            </w:pPr>
          </w:p>
          <w:p w14:paraId="7E5C6E90">
            <w:pPr>
              <w:pStyle w:val="38"/>
              <w:bidi w:val="0"/>
              <w:rPr>
                <w:rFonts w:hint="default"/>
                <w:color w:val="auto"/>
              </w:rPr>
            </w:pPr>
          </w:p>
          <w:p w14:paraId="379A09C7">
            <w:pPr>
              <w:pStyle w:val="38"/>
              <w:bidi w:val="0"/>
              <w:rPr>
                <w:rFonts w:hint="default"/>
                <w:color w:val="auto"/>
              </w:rPr>
            </w:pPr>
          </w:p>
          <w:p w14:paraId="33D397FC">
            <w:pPr>
              <w:pStyle w:val="38"/>
              <w:bidi w:val="0"/>
              <w:rPr>
                <w:rFonts w:hint="default"/>
                <w:color w:val="auto"/>
              </w:rPr>
            </w:pPr>
          </w:p>
          <w:p w14:paraId="34FD29D0">
            <w:pPr>
              <w:pStyle w:val="38"/>
              <w:bidi w:val="0"/>
              <w:rPr>
                <w:rFonts w:hint="eastAsia"/>
                <w:color w:val="auto"/>
                <w:lang w:eastAsia="zh-CN"/>
              </w:rPr>
            </w:pPr>
          </w:p>
        </w:tc>
      </w:tr>
    </w:tbl>
    <w:p w14:paraId="74E35BE3">
      <w:pPr>
        <w:pStyle w:val="25"/>
        <w:jc w:val="center"/>
        <w:outlineLvl w:val="0"/>
        <w:rPr>
          <w:rFonts w:ascii="黑体" w:hAnsi="黑体" w:eastAsia="黑体"/>
          <w:snapToGrid w:val="0"/>
          <w:color w:val="auto"/>
          <w:sz w:val="30"/>
          <w:szCs w:val="30"/>
        </w:rPr>
      </w:pPr>
      <w:r>
        <w:rPr>
          <w:rFonts w:ascii="黑体" w:hAnsi="黑体" w:eastAsia="黑体"/>
          <w:snapToGrid w:val="0"/>
          <w:color w:val="auto"/>
          <w:sz w:val="36"/>
          <w:szCs w:val="36"/>
        </w:rPr>
        <w:br w:type="page"/>
      </w:r>
      <w:bookmarkStart w:id="5" w:name="_Toc14359"/>
      <w:r>
        <w:rPr>
          <w:rFonts w:hint="eastAsia" w:ascii="黑体" w:hAnsi="黑体" w:eastAsia="黑体"/>
          <w:snapToGrid w:val="0"/>
          <w:color w:val="auto"/>
          <w:sz w:val="30"/>
          <w:szCs w:val="30"/>
        </w:rPr>
        <w:t>四、主要环境影响和保护措施</w:t>
      </w:r>
      <w:bookmarkEnd w:id="5"/>
    </w:p>
    <w:tbl>
      <w:tblPr>
        <w:tblStyle w:val="29"/>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405A67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7" w:hRule="atLeast"/>
          <w:jc w:val="center"/>
        </w:trPr>
        <w:tc>
          <w:tcPr>
            <w:tcW w:w="746" w:type="dxa"/>
            <w:noWrap w:val="0"/>
            <w:tcMar>
              <w:left w:w="28" w:type="dxa"/>
              <w:right w:w="28" w:type="dxa"/>
            </w:tcMar>
            <w:vAlign w:val="center"/>
          </w:tcPr>
          <w:p w14:paraId="4567EFAC">
            <w:pPr>
              <w:pStyle w:val="25"/>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施工</w:t>
            </w:r>
          </w:p>
          <w:p w14:paraId="1C189AD3">
            <w:pPr>
              <w:pStyle w:val="25"/>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期环</w:t>
            </w:r>
          </w:p>
          <w:p w14:paraId="68B194F2">
            <w:pPr>
              <w:pStyle w:val="25"/>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境保</w:t>
            </w:r>
          </w:p>
          <w:p w14:paraId="633E69A1">
            <w:pPr>
              <w:pStyle w:val="25"/>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护措</w:t>
            </w:r>
          </w:p>
          <w:p w14:paraId="70EE69E7">
            <w:pPr>
              <w:pStyle w:val="25"/>
              <w:adjustRightInd w:val="0"/>
              <w:snapToGrid w:val="0"/>
              <w:spacing w:before="0" w:beforeAutospacing="0" w:after="0" w:afterAutospacing="0"/>
              <w:jc w:val="center"/>
              <w:rPr>
                <w:rFonts w:hint="eastAsia" w:cs="宋体"/>
                <w:bCs/>
                <w:color w:val="auto"/>
                <w:kern w:val="2"/>
                <w:sz w:val="21"/>
                <w:szCs w:val="21"/>
              </w:rPr>
            </w:pPr>
            <w:r>
              <w:rPr>
                <w:rFonts w:hint="eastAsia" w:cs="宋体"/>
                <w:color w:val="auto"/>
                <w:kern w:val="2"/>
                <w:sz w:val="21"/>
                <w:szCs w:val="21"/>
              </w:rPr>
              <w:t>施</w:t>
            </w:r>
          </w:p>
        </w:tc>
        <w:tc>
          <w:tcPr>
            <w:tcW w:w="8162" w:type="dxa"/>
            <w:noWrap w:val="0"/>
            <w:vAlign w:val="center"/>
          </w:tcPr>
          <w:p w14:paraId="772A0F19">
            <w:pPr>
              <w:pStyle w:val="45"/>
              <w:bidi w:val="0"/>
              <w:rPr>
                <w:rFonts w:hint="eastAsia"/>
                <w:color w:val="auto"/>
                <w:lang w:val="en-US" w:eastAsia="zh-CN"/>
              </w:rPr>
            </w:pPr>
            <w:r>
              <w:rPr>
                <w:rFonts w:hint="eastAsia"/>
                <w:color w:val="auto"/>
                <w:lang w:val="en-US" w:eastAsia="zh-CN"/>
              </w:rPr>
              <w:t>4.1 施工期影响和保护措施</w:t>
            </w:r>
          </w:p>
          <w:p w14:paraId="7A3FF7AE">
            <w:pPr>
              <w:pStyle w:val="38"/>
              <w:bidi w:val="0"/>
              <w:rPr>
                <w:rFonts w:hint="default"/>
                <w:color w:val="auto"/>
                <w:lang w:val="en-US" w:eastAsia="zh-CN"/>
              </w:rPr>
            </w:pPr>
            <w:r>
              <w:rPr>
                <w:rFonts w:hint="eastAsia"/>
                <w:color w:val="auto"/>
                <w:lang w:val="en-US" w:eastAsia="zh-CN"/>
              </w:rPr>
              <w:t>项目施工工程内容主要为场地平整、梭式窑建设、磨具维修车间、配电室建设、厂房内进行生产设备安装、调试及环保设施建设，主要环境影响为噪声、施工废气、拆除的土窑窑体以及建筑垃圾。</w:t>
            </w:r>
          </w:p>
          <w:p w14:paraId="734AE199">
            <w:pPr>
              <w:pStyle w:val="45"/>
              <w:bidi w:val="0"/>
              <w:rPr>
                <w:rFonts w:hint="eastAsia"/>
                <w:color w:val="auto"/>
                <w:lang w:val="en-US" w:eastAsia="zh-CN"/>
              </w:rPr>
            </w:pPr>
            <w:r>
              <w:rPr>
                <w:rFonts w:hint="eastAsia"/>
                <w:color w:val="auto"/>
                <w:lang w:val="en-US" w:eastAsia="zh-CN"/>
              </w:rPr>
              <w:t>4.1.1 施工期大气环境保护措施</w:t>
            </w:r>
          </w:p>
          <w:p w14:paraId="51BF671D">
            <w:pPr>
              <w:adjustRightInd w:val="0"/>
              <w:snapToGrid w:val="0"/>
              <w:spacing w:line="360" w:lineRule="auto"/>
              <w:ind w:firstLine="420" w:firstLineChars="200"/>
              <w:rPr>
                <w:rFonts w:ascii="Times New Roman" w:hAnsi="Times New Roman" w:eastAsia="宋体" w:cs="Times New Roman"/>
                <w:bCs/>
                <w:color w:val="auto"/>
                <w:szCs w:val="21"/>
              </w:rPr>
            </w:pPr>
            <w:r>
              <w:rPr>
                <w:rFonts w:hint="eastAsia" w:ascii="Times New Roman" w:hAnsi="Times New Roman" w:eastAsia="宋体" w:cs="Times New Roman"/>
                <w:bCs/>
                <w:color w:val="auto"/>
                <w:szCs w:val="21"/>
              </w:rPr>
              <w:t>根据</w:t>
            </w:r>
            <w:r>
              <w:rPr>
                <w:rFonts w:ascii="Times New Roman" w:hAnsi="Times New Roman" w:eastAsia="宋体" w:cs="Times New Roman"/>
                <w:bCs/>
                <w:color w:val="auto"/>
                <w:szCs w:val="21"/>
              </w:rPr>
              <w:t>《关于严格执行全市城区房屋建筑施工现场扬尘治理六个百分之百标准的通知》有关要求，建筑单位务必做到以下几点：</w:t>
            </w:r>
          </w:p>
          <w:p w14:paraId="6CA168B6">
            <w:pPr>
              <w:widowControl w:val="0"/>
              <w:bidi w:val="0"/>
              <w:spacing w:line="360" w:lineRule="auto"/>
              <w:ind w:firstLine="420" w:firstLineChars="200"/>
              <w:jc w:val="both"/>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（1）工地周边100%围挡</w:t>
            </w:r>
          </w:p>
          <w:p w14:paraId="07616FE3">
            <w:pPr>
              <w:widowControl w:val="0"/>
              <w:bidi w:val="0"/>
              <w:spacing w:line="360" w:lineRule="auto"/>
              <w:ind w:firstLine="420" w:firstLineChars="20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施工现场硬质围挡应连续设置，一般路段的工地不低于1.8m，做到坚固、平稳、整洁、美观。在建工程外立面应用安全网实现全封闭围护。</w:t>
            </w:r>
          </w:p>
          <w:p w14:paraId="496C27F2">
            <w:pPr>
              <w:widowControl w:val="0"/>
              <w:bidi w:val="0"/>
              <w:spacing w:line="360" w:lineRule="auto"/>
              <w:ind w:firstLine="420" w:firstLineChars="20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（2）施工现场地面100%硬化</w:t>
            </w:r>
          </w:p>
          <w:p w14:paraId="19CE77CA">
            <w:pPr>
              <w:widowControl w:val="0"/>
              <w:bidi w:val="0"/>
              <w:spacing w:line="360" w:lineRule="auto"/>
              <w:ind w:firstLine="420" w:firstLineChars="20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主要通道、进出道路、加工区及办公生活区地面进行硬化处理。</w:t>
            </w:r>
          </w:p>
          <w:p w14:paraId="199282DF">
            <w:pPr>
              <w:widowControl w:val="0"/>
              <w:bidi w:val="0"/>
              <w:spacing w:line="360" w:lineRule="auto"/>
              <w:ind w:firstLine="420" w:firstLineChars="200"/>
              <w:jc w:val="both"/>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（3）渣土车辆100%密闭运输</w:t>
            </w:r>
          </w:p>
          <w:p w14:paraId="5487FFC3">
            <w:pPr>
              <w:widowControl w:val="0"/>
              <w:bidi w:val="0"/>
              <w:spacing w:line="360" w:lineRule="auto"/>
              <w:ind w:firstLine="420" w:firstLineChars="20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施工现场内裸露的场地和集中堆放的土方应采取覆盖、固化或绿化等防尘措施。易产生扬尘的物料要篷盖。</w:t>
            </w:r>
          </w:p>
          <w:p w14:paraId="47CDA950">
            <w:pPr>
              <w:widowControl w:val="0"/>
              <w:bidi w:val="0"/>
              <w:spacing w:line="360" w:lineRule="auto"/>
              <w:ind w:firstLine="420" w:firstLineChars="200"/>
              <w:jc w:val="both"/>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（4）工地100%湿法作业</w:t>
            </w:r>
          </w:p>
          <w:p w14:paraId="0CA5F2D3">
            <w:pPr>
              <w:widowControl w:val="0"/>
              <w:bidi w:val="0"/>
              <w:spacing w:line="360" w:lineRule="auto"/>
              <w:ind w:firstLine="420" w:firstLineChars="20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施工现场设专人负责卫生保洁，每天上午、下午各进行二次洒水降尘，遇到干旱和大风天气时，应增加洒水降尘次数，确保无浮土扬尘。开挖、回填等土方作业时，要辅以洒水压尘等措施。工程竣工后，施工现场的临设、围挡、垃圾等必须及时清理完毕，清理时必须采取有效的降尘措施。</w:t>
            </w:r>
          </w:p>
          <w:p w14:paraId="319C758B">
            <w:pPr>
              <w:widowControl w:val="0"/>
              <w:bidi w:val="0"/>
              <w:spacing w:line="360" w:lineRule="auto"/>
              <w:ind w:firstLine="420" w:firstLineChars="200"/>
              <w:jc w:val="both"/>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（5）物料堆放100%覆盖</w:t>
            </w:r>
          </w:p>
          <w:p w14:paraId="5C3F20A2">
            <w:pPr>
              <w:widowControl w:val="0"/>
              <w:bidi w:val="0"/>
              <w:spacing w:line="360" w:lineRule="auto"/>
              <w:ind w:firstLine="420" w:firstLineChars="20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易产生扬尘的建筑材料、渣土应采取密闭搬运、存储或采用防尘布苫盖等防尘措施。禁止无牌无证车辆进入施工现场。</w:t>
            </w:r>
          </w:p>
          <w:p w14:paraId="50642809">
            <w:pPr>
              <w:widowControl w:val="0"/>
              <w:bidi w:val="0"/>
              <w:spacing w:line="360" w:lineRule="auto"/>
              <w:ind w:firstLine="420" w:firstLineChars="20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（6）出入车辆100%冲洗</w:t>
            </w:r>
          </w:p>
          <w:p w14:paraId="5D3378E4">
            <w:pPr>
              <w:widowControl w:val="0"/>
              <w:bidi w:val="0"/>
              <w:spacing w:line="360" w:lineRule="auto"/>
              <w:ind w:firstLine="420" w:firstLineChars="20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施工现场出入口处设置自动车辆冲洗装置和沉淀池，运输车辆底盘和车轮冲洗干净后方可驶离施工现场。</w:t>
            </w:r>
          </w:p>
          <w:p w14:paraId="578C23E3">
            <w:pPr>
              <w:pStyle w:val="45"/>
              <w:bidi w:val="0"/>
              <w:rPr>
                <w:rFonts w:hint="eastAsia"/>
                <w:color w:val="auto"/>
                <w:lang w:val="en-US" w:eastAsia="zh-CN"/>
              </w:rPr>
            </w:pPr>
            <w:r>
              <w:rPr>
                <w:rFonts w:hint="eastAsia"/>
                <w:color w:val="auto"/>
                <w:lang w:val="en-US" w:eastAsia="zh-CN"/>
              </w:rPr>
              <w:t>4.1.2 施工期废水环境保护措施</w:t>
            </w:r>
          </w:p>
          <w:p w14:paraId="075BC3E4">
            <w:pPr>
              <w:pStyle w:val="38"/>
              <w:bidi w:val="0"/>
              <w:rPr>
                <w:rFonts w:hint="eastAsia"/>
                <w:color w:val="auto"/>
                <w:lang w:val="en-US" w:eastAsia="zh-CN"/>
              </w:rPr>
            </w:pPr>
            <w:r>
              <w:rPr>
                <w:rFonts w:hint="eastAsia"/>
                <w:color w:val="auto"/>
                <w:lang w:val="en-US" w:eastAsia="zh-CN"/>
              </w:rPr>
              <w:t>（1）施工废水包括机械设备运转的洗涤水。施工废水经沉淀处理后回用于施工场地的机械设备、运输车辆轮胎清洗和洒水降尘，不对外排放。</w:t>
            </w:r>
          </w:p>
          <w:p w14:paraId="213BB05E">
            <w:pPr>
              <w:pStyle w:val="38"/>
              <w:bidi w:val="0"/>
              <w:rPr>
                <w:rFonts w:hint="eastAsia"/>
                <w:color w:val="auto"/>
                <w:lang w:val="en-US" w:eastAsia="zh-CN"/>
              </w:rPr>
            </w:pPr>
            <w:r>
              <w:rPr>
                <w:rFonts w:hint="eastAsia"/>
                <w:color w:val="auto"/>
                <w:lang w:val="en-US" w:eastAsia="zh-CN"/>
              </w:rPr>
              <w:t>（2）</w:t>
            </w:r>
            <w:r>
              <w:rPr>
                <w:rFonts w:hint="eastAsia" w:ascii="Times New Roman" w:eastAsia="宋体"/>
                <w:color w:val="auto"/>
                <w:lang w:val="en-US" w:eastAsia="zh-CN"/>
              </w:rPr>
              <w:t>本项目设置临时排水沟及临时沉淀池，引排施工场地雨天产生的地表径流水，经项目临时沉淀池（20m³）收集后回用于施工过程或施工现场洒水降尘，同时施工场地四周应设临时截水沟，避免场外雨水冲刷施工场地，减少雨水对当地水环境的影响。</w:t>
            </w:r>
          </w:p>
          <w:p w14:paraId="73380C09">
            <w:pPr>
              <w:pStyle w:val="38"/>
              <w:bidi w:val="0"/>
              <w:rPr>
                <w:rFonts w:hint="eastAsia"/>
                <w:color w:val="auto"/>
                <w:lang w:val="en-US" w:eastAsia="zh-CN"/>
              </w:rPr>
            </w:pPr>
            <w:r>
              <w:rPr>
                <w:rFonts w:hint="eastAsia"/>
                <w:color w:val="auto"/>
                <w:lang w:val="en-US" w:eastAsia="zh-CN"/>
              </w:rPr>
              <w:t>（3）本项目不设施工营地，施工人员不在厂区食宿，使用周边公厕，主要污水为生活废水，生活污水中主要是洗手废水。施工期的生活污水通过设置临时沉淀池处理后回用于施工进行洒水降尘，不外排，不会对周边水环境产生影响。</w:t>
            </w:r>
          </w:p>
          <w:p w14:paraId="5EEBE977">
            <w:pPr>
              <w:pStyle w:val="38"/>
              <w:bidi w:val="0"/>
              <w:rPr>
                <w:rFonts w:hint="eastAsia"/>
                <w:color w:val="auto"/>
                <w:lang w:val="en-US" w:eastAsia="zh-CN"/>
              </w:rPr>
            </w:pPr>
            <w:r>
              <w:rPr>
                <w:rFonts w:hint="eastAsia"/>
                <w:color w:val="auto"/>
                <w:lang w:val="en-US" w:eastAsia="zh-CN"/>
              </w:rPr>
              <w:t>（4）加强施工材料的管理，施工场地应设置挡护措施，施工材料堆放于厂区仓库内，做好施工场地地表的清洁工作。厂区远离地表水体，且施工材料置于仓库内，施工期施工对水环境影响小。</w:t>
            </w:r>
          </w:p>
          <w:p w14:paraId="54613F36">
            <w:pPr>
              <w:pStyle w:val="45"/>
              <w:bidi w:val="0"/>
              <w:rPr>
                <w:rFonts w:hint="eastAsia"/>
                <w:color w:val="auto"/>
                <w:lang w:val="en-US" w:eastAsia="zh-CN"/>
              </w:rPr>
            </w:pPr>
            <w:r>
              <w:rPr>
                <w:rFonts w:hint="eastAsia"/>
                <w:color w:val="auto"/>
                <w:lang w:val="en-US" w:eastAsia="zh-CN"/>
              </w:rPr>
              <w:t>4.1.3 施工期噪声环境保护措施</w:t>
            </w:r>
          </w:p>
          <w:p w14:paraId="387863D5">
            <w:pPr>
              <w:pStyle w:val="38"/>
              <w:bidi w:val="0"/>
              <w:rPr>
                <w:rFonts w:hint="eastAsia"/>
                <w:color w:val="auto"/>
                <w:lang w:val="en-US" w:eastAsia="zh-CN"/>
              </w:rPr>
            </w:pPr>
            <w:r>
              <w:rPr>
                <w:rFonts w:hint="eastAsia"/>
                <w:color w:val="auto"/>
                <w:lang w:val="en-US" w:eastAsia="zh-CN"/>
              </w:rPr>
              <w:t>（1）合理布局施工机械设备，进行一定的隔声及减振处理；在不影响施工情况下将噪声设备尽量不集中安排；固定的机械设备尽量入棚操作。选用低噪声的施工机械和工艺，振动较大的固定机械设备应加装减振机座，同时加强各类施工设备的维护和保养，保持其良好的运转，以便从根本上降低噪声源强。</w:t>
            </w:r>
          </w:p>
          <w:p w14:paraId="29587FB8">
            <w:pPr>
              <w:pStyle w:val="38"/>
              <w:bidi w:val="0"/>
              <w:rPr>
                <w:rFonts w:hint="eastAsia"/>
                <w:color w:val="auto"/>
                <w:lang w:val="en-US" w:eastAsia="zh-CN"/>
              </w:rPr>
            </w:pPr>
            <w:r>
              <w:rPr>
                <w:rFonts w:hint="eastAsia"/>
                <w:color w:val="auto"/>
                <w:lang w:val="en-US" w:eastAsia="zh-CN"/>
              </w:rPr>
              <w:t>（2）应科学合理地安排施工步骤，尽量减短噪声持续排放的时间。</w:t>
            </w:r>
          </w:p>
          <w:p w14:paraId="5342F394">
            <w:pPr>
              <w:pStyle w:val="38"/>
              <w:bidi w:val="0"/>
              <w:rPr>
                <w:rFonts w:hint="eastAsia"/>
                <w:color w:val="auto"/>
                <w:lang w:val="en-US" w:eastAsia="zh-CN"/>
              </w:rPr>
            </w:pPr>
            <w:r>
              <w:rPr>
                <w:rFonts w:hint="eastAsia"/>
                <w:color w:val="auto"/>
                <w:lang w:val="en-US" w:eastAsia="zh-CN"/>
              </w:rPr>
              <w:t>（3）合理安排施工作业时间，高噪声作业尽量安排在白天，禁止在22：00-06：00时段施工。因生产工艺要求必须夜间连续作业或者特殊需要的，应报当地环境保护行政主管部门审批，按规定申领夜间施工证，同时发布公告，最大限度地争取民众支持，并采取移动式或临时声屏障等防噪措施。施工便道周围有住宅时，禁止在22：00-06：00时段运输材料。</w:t>
            </w:r>
          </w:p>
          <w:p w14:paraId="4D7D3B1B">
            <w:pPr>
              <w:pStyle w:val="38"/>
              <w:bidi w:val="0"/>
              <w:rPr>
                <w:rFonts w:hint="eastAsia"/>
                <w:color w:val="auto"/>
                <w:lang w:val="en-US" w:eastAsia="zh-CN"/>
              </w:rPr>
            </w:pPr>
            <w:r>
              <w:rPr>
                <w:rFonts w:hint="eastAsia"/>
                <w:color w:val="auto"/>
                <w:lang w:val="en-US" w:eastAsia="zh-CN"/>
              </w:rPr>
              <w:t>（4）采用噪声阻隔措施：应在施工场界设置临时挡墙及隔声屏障，挡墙高度应在2.5m以上，以进一步减轻噪声对周围环境的影响。装修阶段对建筑物的外部采取围挡，减轻施工噪声对外环境及居民的影响。</w:t>
            </w:r>
          </w:p>
          <w:p w14:paraId="70BA7A98">
            <w:pPr>
              <w:pStyle w:val="38"/>
              <w:bidi w:val="0"/>
              <w:rPr>
                <w:rFonts w:hint="eastAsia"/>
                <w:color w:val="auto"/>
                <w:lang w:val="en-US" w:eastAsia="zh-CN"/>
              </w:rPr>
            </w:pPr>
            <w:r>
              <w:rPr>
                <w:rFonts w:hint="eastAsia"/>
                <w:color w:val="auto"/>
                <w:lang w:val="en-US" w:eastAsia="zh-CN"/>
              </w:rPr>
              <w:t>（5）建设单位应责成施工单位在施工现场安民告示，设置投诉电话，建设单位在接噪声影响投诉后应及时与当地环境保护部门联系，以便及时处理各种环境纠纷。</w:t>
            </w:r>
          </w:p>
          <w:p w14:paraId="482A058E">
            <w:pPr>
              <w:pStyle w:val="38"/>
              <w:bidi w:val="0"/>
              <w:rPr>
                <w:rFonts w:hint="eastAsia"/>
                <w:color w:val="auto"/>
                <w:lang w:val="en-US" w:eastAsia="zh-CN"/>
              </w:rPr>
            </w:pPr>
            <w:r>
              <w:rPr>
                <w:rFonts w:hint="eastAsia"/>
                <w:color w:val="auto"/>
                <w:lang w:val="en-US" w:eastAsia="zh-CN"/>
              </w:rPr>
              <w:t>（6）加快施工进度，合理安排工期，特别是应加强敏感点附近的施工管理，精心组织施工，以缩短强敏感点附近建构筑物的施工周期，减少对居民休息造成的不利影响。</w:t>
            </w:r>
          </w:p>
          <w:p w14:paraId="35BEE6FC">
            <w:pPr>
              <w:pStyle w:val="38"/>
              <w:bidi w:val="0"/>
              <w:rPr>
                <w:rFonts w:hint="eastAsia"/>
                <w:color w:val="auto"/>
                <w:lang w:val="en-US" w:eastAsia="zh-CN"/>
              </w:rPr>
            </w:pPr>
            <w:r>
              <w:rPr>
                <w:rFonts w:hint="eastAsia"/>
                <w:color w:val="auto"/>
                <w:lang w:val="en-US" w:eastAsia="zh-CN"/>
              </w:rPr>
              <w:t>（7）施工期运输车辆应尽量保持良好车况，合理调度，尽可能匀速慢行；施工场地的施工车辆出入现场时应低速、禁鸣，以减小载重汽车噪声对环境的影响。</w:t>
            </w:r>
          </w:p>
          <w:p w14:paraId="558B74AF">
            <w:pPr>
              <w:pStyle w:val="38"/>
              <w:bidi w:val="0"/>
              <w:rPr>
                <w:rFonts w:hint="eastAsia"/>
                <w:color w:val="auto"/>
                <w:lang w:val="en-US" w:eastAsia="zh-CN"/>
              </w:rPr>
            </w:pPr>
            <w:r>
              <w:rPr>
                <w:rFonts w:hint="eastAsia"/>
                <w:color w:val="auto"/>
                <w:lang w:val="en-US" w:eastAsia="zh-CN"/>
              </w:rPr>
              <w:t>（8）建设管理部门应加强对施工场地噪声管理，施工企业也应对施工噪声进行自律，文明施工，避免因施工噪声产生纠纷。</w:t>
            </w:r>
          </w:p>
          <w:p w14:paraId="69BDBDB2">
            <w:pPr>
              <w:pStyle w:val="45"/>
              <w:bidi w:val="0"/>
              <w:rPr>
                <w:rFonts w:hint="eastAsia"/>
                <w:color w:val="auto"/>
                <w:lang w:val="en-US" w:eastAsia="zh-CN"/>
              </w:rPr>
            </w:pPr>
            <w:r>
              <w:rPr>
                <w:rFonts w:hint="eastAsia"/>
                <w:color w:val="auto"/>
                <w:lang w:val="en-US" w:eastAsia="zh-CN"/>
              </w:rPr>
              <w:t>4.1.4 施工期固体废物环境保护措施</w:t>
            </w:r>
          </w:p>
          <w:p w14:paraId="18022761">
            <w:pPr>
              <w:pStyle w:val="38"/>
              <w:bidi w:val="0"/>
              <w:rPr>
                <w:rFonts w:hint="eastAsia"/>
                <w:color w:val="auto"/>
                <w:lang w:val="en-US" w:eastAsia="zh-CN"/>
              </w:rPr>
            </w:pPr>
            <w:r>
              <w:rPr>
                <w:rFonts w:hint="eastAsia"/>
                <w:color w:val="auto"/>
                <w:lang w:val="en-US" w:eastAsia="zh-CN"/>
              </w:rPr>
              <w:t>（1）施工单位应加强管理，禁止随意堆弃垃圾。</w:t>
            </w:r>
          </w:p>
          <w:p w14:paraId="75CFD28A">
            <w:pPr>
              <w:pStyle w:val="38"/>
              <w:bidi w:val="0"/>
              <w:rPr>
                <w:rFonts w:hint="eastAsia"/>
                <w:color w:val="auto"/>
                <w:lang w:val="en-US" w:eastAsia="zh-CN"/>
              </w:rPr>
            </w:pPr>
            <w:r>
              <w:rPr>
                <w:rFonts w:hint="eastAsia"/>
                <w:color w:val="auto"/>
                <w:lang w:val="en-US" w:eastAsia="zh-CN"/>
              </w:rPr>
              <w:t>（2）车辆运输散体物和垃圾时，运输车辆必须做到装载适量，加盖遮布，出工地前做好外部清洗，沿途不漏物品、不飞扬。</w:t>
            </w:r>
          </w:p>
          <w:p w14:paraId="251C7817">
            <w:pPr>
              <w:pStyle w:val="38"/>
              <w:bidi w:val="0"/>
              <w:rPr>
                <w:rFonts w:hint="eastAsia"/>
                <w:color w:val="auto"/>
                <w:lang w:val="en-US" w:eastAsia="zh-CN"/>
              </w:rPr>
            </w:pPr>
            <w:r>
              <w:rPr>
                <w:rFonts w:hint="eastAsia"/>
                <w:color w:val="auto"/>
                <w:lang w:val="en-US" w:eastAsia="zh-CN"/>
              </w:rPr>
              <w:t>（3）生活垃圾集中收集委托环卫部门清运处置。</w:t>
            </w:r>
          </w:p>
          <w:p w14:paraId="42DCA3EF">
            <w:pPr>
              <w:pStyle w:val="38"/>
              <w:bidi w:val="0"/>
              <w:rPr>
                <w:rFonts w:hint="eastAsia"/>
                <w:color w:val="auto"/>
                <w:lang w:val="en-US" w:eastAsia="zh-CN"/>
              </w:rPr>
            </w:pPr>
            <w:r>
              <w:rPr>
                <w:rFonts w:hint="eastAsia"/>
                <w:color w:val="auto"/>
                <w:lang w:val="en-US" w:eastAsia="zh-CN"/>
              </w:rPr>
              <w:t>（4）土石方部分回填于厂区，多余部分清运至华宁县指定的建筑垃圾填埋场；</w:t>
            </w:r>
          </w:p>
          <w:p w14:paraId="50154603">
            <w:pPr>
              <w:pStyle w:val="38"/>
              <w:bidi w:val="0"/>
              <w:rPr>
                <w:rFonts w:hint="default"/>
                <w:color w:val="auto"/>
                <w:lang w:val="en-US" w:eastAsia="zh-CN"/>
              </w:rPr>
            </w:pPr>
            <w:r>
              <w:rPr>
                <w:rFonts w:hint="eastAsia"/>
                <w:color w:val="auto"/>
                <w:lang w:val="en-US" w:eastAsia="zh-CN"/>
              </w:rPr>
              <w:t>（5）建筑垃圾收集后堆放于指定地点，可再生利用部分回收出售给废品站，不可再生利用的部分用车清运到政府部门指定堆放点进行处置。</w:t>
            </w:r>
          </w:p>
          <w:p w14:paraId="732C9869">
            <w:pPr>
              <w:pStyle w:val="38"/>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综上所述，项目施工期采取环评提出的环保措施，可以实现文明施工，采取必要的降噪、防尘等措施，可以使施工期的环境影响降至最小，避免出现扰民现象。</w:t>
            </w:r>
          </w:p>
          <w:p w14:paraId="752A49B5">
            <w:pPr>
              <w:pStyle w:val="38"/>
              <w:bidi w:val="0"/>
              <w:rPr>
                <w:color w:val="auto"/>
              </w:rPr>
            </w:pPr>
            <w:r>
              <w:rPr>
                <w:rFonts w:hint="default" w:ascii="Times New Roman" w:hAnsi="Times New Roman" w:eastAsia="宋体" w:cs="Times New Roman"/>
                <w:color w:val="auto"/>
                <w:lang w:val="en-US" w:eastAsia="zh-CN"/>
              </w:rPr>
              <w:t>施工期产生的环境影响短暂且影响程度较小，在采取相应污染防治措施后不利影响可得到有效控制，且随着施工的结束，各种影响逐渐消失，区域环境逐渐得到恢复。</w:t>
            </w:r>
          </w:p>
        </w:tc>
      </w:tr>
      <w:tr w14:paraId="2934E3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46" w:type="dxa"/>
            <w:noWrap w:val="0"/>
            <w:tcMar>
              <w:left w:w="28" w:type="dxa"/>
              <w:right w:w="28" w:type="dxa"/>
            </w:tcMar>
            <w:vAlign w:val="center"/>
          </w:tcPr>
          <w:p w14:paraId="7D0B9C3F">
            <w:pPr>
              <w:adjustRightInd w:val="0"/>
              <w:snapToGrid w:val="0"/>
              <w:jc w:val="center"/>
              <w:rPr>
                <w:rFonts w:hint="eastAsia" w:ascii="宋体" w:hAnsi="宋体" w:cs="宋体"/>
                <w:bCs/>
                <w:color w:val="auto"/>
                <w:szCs w:val="21"/>
              </w:rPr>
            </w:pPr>
            <w:r>
              <w:rPr>
                <w:rFonts w:hint="eastAsia" w:ascii="宋体" w:hAnsi="宋体" w:cs="宋体"/>
                <w:bCs/>
                <w:color w:val="auto"/>
                <w:szCs w:val="21"/>
              </w:rPr>
              <w:t>运营</w:t>
            </w:r>
          </w:p>
          <w:p w14:paraId="4557B457">
            <w:pPr>
              <w:adjustRightInd w:val="0"/>
              <w:snapToGrid w:val="0"/>
              <w:jc w:val="center"/>
              <w:rPr>
                <w:rFonts w:hint="eastAsia" w:ascii="宋体" w:hAnsi="宋体" w:cs="宋体"/>
                <w:bCs/>
                <w:color w:val="auto"/>
                <w:szCs w:val="21"/>
              </w:rPr>
            </w:pPr>
            <w:r>
              <w:rPr>
                <w:rFonts w:hint="eastAsia" w:ascii="宋体" w:hAnsi="宋体" w:cs="宋体"/>
                <w:bCs/>
                <w:color w:val="auto"/>
                <w:szCs w:val="21"/>
              </w:rPr>
              <w:t>期环</w:t>
            </w:r>
          </w:p>
          <w:p w14:paraId="665DF58D">
            <w:pPr>
              <w:adjustRightInd w:val="0"/>
              <w:snapToGrid w:val="0"/>
              <w:jc w:val="center"/>
              <w:rPr>
                <w:rFonts w:hint="eastAsia" w:ascii="宋体" w:hAnsi="宋体" w:cs="宋体"/>
                <w:bCs/>
                <w:color w:val="auto"/>
                <w:szCs w:val="21"/>
              </w:rPr>
            </w:pPr>
            <w:r>
              <w:rPr>
                <w:rFonts w:hint="eastAsia" w:ascii="宋体" w:hAnsi="宋体" w:cs="宋体"/>
                <w:bCs/>
                <w:color w:val="auto"/>
                <w:szCs w:val="21"/>
              </w:rPr>
              <w:t>境影</w:t>
            </w:r>
          </w:p>
          <w:p w14:paraId="2F98FA6A">
            <w:pPr>
              <w:adjustRightInd w:val="0"/>
              <w:snapToGrid w:val="0"/>
              <w:jc w:val="center"/>
              <w:rPr>
                <w:rFonts w:hint="eastAsia" w:ascii="宋体" w:hAnsi="宋体" w:cs="宋体"/>
                <w:bCs/>
                <w:color w:val="auto"/>
                <w:szCs w:val="21"/>
              </w:rPr>
            </w:pPr>
            <w:r>
              <w:rPr>
                <w:rFonts w:hint="eastAsia" w:ascii="宋体" w:hAnsi="宋体" w:cs="宋体"/>
                <w:bCs/>
                <w:color w:val="auto"/>
                <w:szCs w:val="21"/>
              </w:rPr>
              <w:t>响和</w:t>
            </w:r>
          </w:p>
          <w:p w14:paraId="5CBF37A6">
            <w:pPr>
              <w:adjustRightInd w:val="0"/>
              <w:snapToGrid w:val="0"/>
              <w:jc w:val="center"/>
              <w:rPr>
                <w:rFonts w:hint="eastAsia" w:ascii="宋体" w:hAnsi="宋体" w:cs="宋体"/>
                <w:bCs/>
                <w:color w:val="auto"/>
                <w:szCs w:val="21"/>
              </w:rPr>
            </w:pPr>
            <w:r>
              <w:rPr>
                <w:rFonts w:hint="eastAsia" w:ascii="宋体" w:hAnsi="宋体" w:cs="宋体"/>
                <w:bCs/>
                <w:color w:val="auto"/>
                <w:szCs w:val="21"/>
              </w:rPr>
              <w:t>保护</w:t>
            </w:r>
          </w:p>
          <w:p w14:paraId="5D5D0074">
            <w:pPr>
              <w:adjustRightInd w:val="0"/>
              <w:snapToGrid w:val="0"/>
              <w:jc w:val="center"/>
              <w:rPr>
                <w:rFonts w:ascii="宋体" w:hAnsi="宋体" w:cs="宋体"/>
                <w:bCs/>
                <w:color w:val="auto"/>
                <w:szCs w:val="21"/>
              </w:rPr>
            </w:pPr>
            <w:r>
              <w:rPr>
                <w:rFonts w:hint="eastAsia" w:ascii="宋体" w:hAnsi="宋体" w:cs="宋体"/>
                <w:bCs/>
                <w:color w:val="auto"/>
                <w:szCs w:val="21"/>
              </w:rPr>
              <w:t>措施</w:t>
            </w:r>
          </w:p>
        </w:tc>
        <w:tc>
          <w:tcPr>
            <w:tcW w:w="8162" w:type="dxa"/>
            <w:noWrap w:val="0"/>
            <w:vAlign w:val="top"/>
          </w:tcPr>
          <w:p w14:paraId="26CC69D6">
            <w:pPr>
              <w:widowControl w:val="0"/>
              <w:bidi w:val="0"/>
              <w:spacing w:line="360" w:lineRule="auto"/>
              <w:ind w:firstLine="0" w:firstLineChars="0"/>
              <w:jc w:val="left"/>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4.2 废气环境影响和治理措施</w:t>
            </w:r>
          </w:p>
          <w:p w14:paraId="0E95D8F3">
            <w:pPr>
              <w:widowControl w:val="0"/>
              <w:bidi w:val="0"/>
              <w:spacing w:line="360" w:lineRule="auto"/>
              <w:ind w:firstLine="0" w:firstLineChars="0"/>
              <w:jc w:val="left"/>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4.2.1 运营期废气产生情况</w:t>
            </w:r>
          </w:p>
          <w:p w14:paraId="51A8FD8B">
            <w:pPr>
              <w:pStyle w:val="38"/>
              <w:bidi w:val="0"/>
              <w:rPr>
                <w:rFonts w:hint="default" w:eastAsia="宋体"/>
                <w:color w:val="auto"/>
                <w:lang w:val="en-US" w:eastAsia="zh-CN"/>
              </w:rPr>
            </w:pPr>
            <w:r>
              <w:rPr>
                <w:rFonts w:hint="eastAsia"/>
                <w:color w:val="auto"/>
                <w:lang w:val="en-US" w:eastAsia="zh-CN"/>
              </w:rPr>
              <w:t>本项目废气主要产生于砖瓦在梭子窑内烧成时产生的烧成废气，主要污染物为颗粒物、二氧化硫、氮氧化物、氟化物。项目产生的烧成废气经一套布袋除尘器+脱硫塔处理后达标排放，排气筒高15m，排放口编码为DA001。</w:t>
            </w:r>
          </w:p>
          <w:p w14:paraId="17045139">
            <w:pPr>
              <w:widowControl w:val="0"/>
              <w:bidi w:val="0"/>
              <w:spacing w:line="360" w:lineRule="auto"/>
              <w:ind w:firstLine="0" w:firstLineChars="0"/>
              <w:jc w:val="left"/>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4.2.2 运营期废气源强核算</w:t>
            </w:r>
          </w:p>
          <w:p w14:paraId="37AAE71C">
            <w:pPr>
              <w:pStyle w:val="38"/>
              <w:bidi w:val="0"/>
              <w:rPr>
                <w:rFonts w:hint="default"/>
                <w:b/>
                <w:bCs/>
                <w:color w:val="auto"/>
                <w:lang w:val="en-US" w:eastAsia="zh-CN"/>
              </w:rPr>
            </w:pPr>
            <w:r>
              <w:rPr>
                <w:rFonts w:hint="eastAsia"/>
                <w:b w:val="0"/>
                <w:bCs w:val="0"/>
                <w:color w:val="auto"/>
                <w:lang w:val="en-US" w:eastAsia="zh-CN"/>
              </w:rPr>
              <w:t>项目烟尘、二氧化硫、氮氧化物源强核算参考《环境保护计算手册》（四川科学技术出版社）中的燃煤烟气源强核算方法进行计算；由于在</w:t>
            </w:r>
            <w:r>
              <w:rPr>
                <w:rFonts w:hint="default"/>
                <w:b w:val="0"/>
                <w:bCs w:val="0"/>
                <w:color w:val="000000" w:themeColor="text1"/>
                <w:sz w:val="21"/>
                <w:szCs w:val="21"/>
                <w:lang w:val="en-US" w:eastAsia="zh-CN"/>
                <w14:textFill>
                  <w14:solidFill>
                    <w14:schemeClr w14:val="tx1"/>
                  </w14:solidFill>
                </w14:textFill>
              </w:rPr>
              <w:t>《排放源统计调查产排污核算方法和系数手册》</w:t>
            </w:r>
            <w:r>
              <w:rPr>
                <w:rFonts w:hint="eastAsia"/>
                <w:b w:val="0"/>
                <w:bCs w:val="0"/>
                <w:color w:val="000000" w:themeColor="text1"/>
                <w:sz w:val="21"/>
                <w:szCs w:val="21"/>
                <w:lang w:val="en-US" w:eastAsia="zh-CN"/>
                <w14:textFill>
                  <w14:solidFill>
                    <w14:schemeClr w14:val="tx1"/>
                  </w14:solidFill>
                </w14:textFill>
              </w:rPr>
              <w:t>中无</w:t>
            </w:r>
            <w:r>
              <w:rPr>
                <w:rFonts w:hint="eastAsia"/>
                <w:b w:val="0"/>
                <w:bCs w:val="0"/>
                <w:color w:val="auto"/>
                <w:lang w:val="en-US" w:eastAsia="zh-CN"/>
              </w:rPr>
              <w:t>氟化物源强产污系数，本项目引用</w:t>
            </w:r>
            <w:r>
              <w:rPr>
                <w:rFonts w:hint="eastAsia"/>
                <w:color w:val="auto"/>
                <w:lang w:val="en-US" w:eastAsia="zh-CN"/>
              </w:rPr>
              <w:t>《辽宁工程技术大学学报》第22卷第2期氟磷灰石高温热分解特性与机理，采用物料衡算的方法进行源强核算，符合《污染源源强核算技术指南 准则》（ HJ884—2018）；项目产生的无组织粉尘在落实本环评提出洒水降尘和厂房封闭生产等无组织抑尘措施后，外排的无组织粉尘较少，对周围大气环境影响较小。</w:t>
            </w:r>
          </w:p>
          <w:p w14:paraId="247749A6">
            <w:pPr>
              <w:pStyle w:val="38"/>
              <w:bidi w:val="0"/>
              <w:rPr>
                <w:rFonts w:hint="default"/>
                <w:b/>
                <w:bCs/>
                <w:color w:val="auto"/>
                <w:lang w:val="en-US" w:eastAsia="zh-CN"/>
              </w:rPr>
            </w:pPr>
            <w:r>
              <w:rPr>
                <w:rFonts w:hint="eastAsia"/>
                <w:b/>
                <w:bCs/>
                <w:color w:val="auto"/>
                <w:lang w:val="en-US" w:eastAsia="zh-CN"/>
              </w:rPr>
              <w:t>（1）烧成废气DA001</w:t>
            </w:r>
          </w:p>
          <w:p w14:paraId="6A6F4A62">
            <w:pPr>
              <w:spacing w:line="360" w:lineRule="auto"/>
              <w:ind w:firstLine="420" w:firstLineChars="200"/>
              <w:rPr>
                <w:rFonts w:hint="default" w:eastAsia="宋体" w:cs="黑体"/>
                <w:b w:val="0"/>
                <w:bCs w:val="0"/>
                <w:color w:val="auto"/>
                <w:sz w:val="21"/>
                <w:szCs w:val="21"/>
                <w:lang w:val="en-US" w:eastAsia="zh-CN"/>
              </w:rPr>
            </w:pPr>
            <w:r>
              <w:rPr>
                <w:rFonts w:hint="eastAsia" w:eastAsia="宋体" w:cs="黑体"/>
                <w:b w:val="0"/>
                <w:bCs w:val="0"/>
                <w:color w:val="auto"/>
                <w:sz w:val="21"/>
                <w:szCs w:val="21"/>
                <w:lang w:val="en-US" w:eastAsia="zh-CN"/>
              </w:rPr>
              <w:t>本项目</w:t>
            </w:r>
            <w:r>
              <w:rPr>
                <w:rFonts w:hint="default" w:ascii="Times New Roman" w:hAnsi="Times New Roman" w:eastAsia="宋体" w:cs="Times New Roman"/>
                <w:color w:val="auto"/>
                <w:sz w:val="21"/>
                <w:szCs w:val="21"/>
                <w:lang w:eastAsia="zh-CN"/>
              </w:rPr>
              <w:t>梭式窑</w:t>
            </w:r>
            <w:r>
              <w:rPr>
                <w:rFonts w:hint="default" w:ascii="Times New Roman" w:hAnsi="Times New Roman" w:eastAsia="宋体" w:cs="Times New Roman"/>
                <w:color w:val="auto"/>
                <w:sz w:val="21"/>
                <w:szCs w:val="21"/>
              </w:rPr>
              <w:t>废气经布袋除尘</w:t>
            </w:r>
            <w:r>
              <w:rPr>
                <w:rFonts w:hint="default" w:ascii="Times New Roman" w:hAnsi="Times New Roman" w:eastAsia="宋体" w:cs="Times New Roman"/>
                <w:color w:val="auto"/>
                <w:sz w:val="21"/>
                <w:szCs w:val="21"/>
                <w:lang w:val="en-US" w:eastAsia="zh-CN"/>
              </w:rPr>
              <w:t>器</w:t>
            </w:r>
            <w:r>
              <w:rPr>
                <w:rFonts w:hint="default" w:ascii="Times New Roman" w:hAnsi="Times New Roman" w:eastAsia="宋体" w:cs="Times New Roman"/>
                <w:color w:val="auto"/>
                <w:sz w:val="21"/>
                <w:szCs w:val="21"/>
              </w:rPr>
              <w:t>+脱硫塔处理后</w:t>
            </w:r>
            <w:r>
              <w:rPr>
                <w:rFonts w:hint="eastAsia" w:eastAsia="宋体" w:cs="黑体"/>
                <w:b w:val="0"/>
                <w:bCs/>
                <w:color w:val="auto"/>
                <w:sz w:val="21"/>
                <w:szCs w:val="21"/>
                <w:lang w:val="en-US" w:eastAsia="zh-CN"/>
              </w:rPr>
              <w:t>合并进入</w:t>
            </w:r>
            <w:r>
              <w:rPr>
                <w:rFonts w:hint="eastAsia" w:cs="黑体"/>
                <w:b w:val="0"/>
                <w:bCs/>
                <w:color w:val="auto"/>
                <w:sz w:val="21"/>
                <w:szCs w:val="21"/>
                <w:lang w:val="en-US" w:eastAsia="zh-CN"/>
              </w:rPr>
              <w:t>同一套布袋除尘器+脱硫塔处理后经15m高的排气筒排放；</w:t>
            </w:r>
            <w:r>
              <w:rPr>
                <w:rFonts w:hint="eastAsia" w:eastAsia="宋体" w:cs="黑体"/>
                <w:b w:val="0"/>
                <w:bCs w:val="0"/>
                <w:color w:val="auto"/>
                <w:sz w:val="21"/>
                <w:szCs w:val="21"/>
                <w:lang w:eastAsia="zh-CN"/>
              </w:rPr>
              <w:t>配套</w:t>
            </w:r>
            <w:r>
              <w:rPr>
                <w:rFonts w:hint="eastAsia" w:eastAsia="宋体" w:cs="黑体"/>
                <w:b w:val="0"/>
                <w:bCs w:val="0"/>
                <w:color w:val="auto"/>
                <w:sz w:val="21"/>
                <w:szCs w:val="21"/>
                <w:lang w:val="en-US" w:eastAsia="zh-CN"/>
              </w:rPr>
              <w:t>设置供气</w:t>
            </w:r>
            <w:r>
              <w:rPr>
                <w:rFonts w:hint="eastAsia" w:eastAsia="宋体" w:cs="黑体"/>
                <w:b w:val="0"/>
                <w:bCs w:val="0"/>
                <w:color w:val="auto"/>
                <w:sz w:val="21"/>
                <w:szCs w:val="21"/>
                <w:lang w:eastAsia="zh-CN"/>
              </w:rPr>
              <w:t>风机1台，风量为</w:t>
            </w:r>
            <w:r>
              <w:rPr>
                <w:rFonts w:hint="eastAsia" w:cs="黑体"/>
                <w:b w:val="0"/>
                <w:bCs w:val="0"/>
                <w:color w:val="auto"/>
                <w:sz w:val="21"/>
                <w:szCs w:val="21"/>
                <w:lang w:val="en-US" w:eastAsia="zh-CN"/>
              </w:rPr>
              <w:t>1000</w:t>
            </w:r>
            <w:r>
              <w:rPr>
                <w:rFonts w:hint="eastAsia" w:eastAsia="宋体" w:cs="黑体"/>
                <w:b w:val="0"/>
                <w:bCs w:val="0"/>
                <w:color w:val="auto"/>
                <w:sz w:val="21"/>
                <w:szCs w:val="21"/>
                <w:lang w:val="en-US" w:eastAsia="zh-CN"/>
              </w:rPr>
              <w:t>-</w:t>
            </w:r>
            <w:r>
              <w:rPr>
                <w:rFonts w:hint="eastAsia" w:cs="黑体"/>
                <w:b w:val="0"/>
                <w:bCs w:val="0"/>
                <w:color w:val="auto"/>
                <w:sz w:val="21"/>
                <w:szCs w:val="21"/>
                <w:lang w:val="en-US" w:eastAsia="zh-CN"/>
              </w:rPr>
              <w:t>100</w:t>
            </w:r>
            <w:r>
              <w:rPr>
                <w:rFonts w:hint="eastAsia" w:eastAsia="宋体" w:cs="黑体"/>
                <w:b w:val="0"/>
                <w:bCs w:val="0"/>
                <w:color w:val="auto"/>
                <w:sz w:val="21"/>
                <w:szCs w:val="21"/>
                <w:lang w:val="en-US" w:eastAsia="zh-CN"/>
              </w:rPr>
              <w:t>00</w:t>
            </w:r>
            <w:r>
              <w:rPr>
                <w:rFonts w:hint="eastAsia" w:eastAsia="宋体" w:cs="黑体"/>
                <w:b w:val="0"/>
                <w:bCs w:val="0"/>
                <w:color w:val="auto"/>
                <w:sz w:val="21"/>
                <w:szCs w:val="21"/>
                <w:lang w:eastAsia="zh-CN"/>
              </w:rPr>
              <w:t>Nm</w:t>
            </w:r>
            <w:r>
              <w:rPr>
                <w:rFonts w:hint="eastAsia" w:eastAsia="宋体" w:cs="黑体"/>
                <w:b w:val="0"/>
                <w:bCs w:val="0"/>
                <w:color w:val="auto"/>
                <w:sz w:val="21"/>
                <w:szCs w:val="21"/>
                <w:vertAlign w:val="superscript"/>
                <w:lang w:eastAsia="zh-CN"/>
              </w:rPr>
              <w:t>3</w:t>
            </w:r>
            <w:r>
              <w:rPr>
                <w:rFonts w:hint="eastAsia" w:eastAsia="宋体" w:cs="黑体"/>
                <w:b w:val="0"/>
                <w:bCs w:val="0"/>
                <w:color w:val="auto"/>
                <w:sz w:val="21"/>
                <w:szCs w:val="21"/>
                <w:lang w:eastAsia="zh-CN"/>
              </w:rPr>
              <w:t>/h，为变频风机，可根据工况调整风机风量，满足</w:t>
            </w:r>
            <w:r>
              <w:rPr>
                <w:rFonts w:hint="eastAsia" w:eastAsia="宋体" w:cs="黑体"/>
                <w:b w:val="0"/>
                <w:bCs w:val="0"/>
                <w:color w:val="auto"/>
                <w:sz w:val="21"/>
                <w:szCs w:val="21"/>
                <w:lang w:val="en-US" w:eastAsia="zh-CN"/>
              </w:rPr>
              <w:t>梭式窑不同生产运行需求。</w:t>
            </w:r>
          </w:p>
          <w:p w14:paraId="12D5D773">
            <w:pPr>
              <w:spacing w:line="360" w:lineRule="auto"/>
              <w:ind w:firstLine="422" w:firstLineChars="200"/>
              <w:rPr>
                <w:rFonts w:hint="default" w:eastAsia="宋体" w:cs="黑体"/>
                <w:b/>
                <w:bCs/>
                <w:color w:val="auto"/>
                <w:sz w:val="21"/>
                <w:szCs w:val="21"/>
                <w:lang w:val="en-US" w:eastAsia="zh-CN"/>
              </w:rPr>
            </w:pPr>
            <w:r>
              <w:rPr>
                <w:rFonts w:hint="eastAsia" w:eastAsia="宋体" w:cs="黑体"/>
                <w:b/>
                <w:bCs/>
                <w:color w:val="auto"/>
                <w:sz w:val="21"/>
                <w:szCs w:val="21"/>
                <w:lang w:val="en-US" w:eastAsia="zh-CN"/>
              </w:rPr>
              <w:t>1）</w:t>
            </w:r>
            <w:r>
              <w:rPr>
                <w:rFonts w:hint="default" w:ascii="Times New Roman" w:hAnsi="Times New Roman" w:eastAsia="宋体" w:cs="Times New Roman"/>
                <w:b/>
                <w:bCs/>
                <w:color w:val="auto"/>
                <w:kern w:val="0"/>
                <w:sz w:val="21"/>
                <w:szCs w:val="21"/>
                <w:lang w:eastAsia="zh-CN"/>
              </w:rPr>
              <w:t>烟尘</w:t>
            </w:r>
          </w:p>
          <w:p w14:paraId="1EA079FF">
            <w:pPr>
              <w:spacing w:line="360" w:lineRule="auto"/>
              <w:ind w:firstLine="420" w:firstLineChars="200"/>
              <w:rPr>
                <w:rFonts w:hint="default" w:ascii="Times New Roman" w:hAnsi="Times New Roman" w:eastAsia="宋体" w:cs="Times New Roman"/>
                <w:bCs/>
                <w:color w:val="auto"/>
                <w:kern w:val="0"/>
                <w:sz w:val="21"/>
                <w:szCs w:val="21"/>
                <w:lang w:eastAsia="zh-CN"/>
              </w:rPr>
            </w:pPr>
            <w:r>
              <w:rPr>
                <w:rFonts w:hint="default" w:ascii="Times New Roman" w:hAnsi="Times New Roman" w:eastAsia="宋体" w:cs="Times New Roman"/>
                <w:bCs/>
                <w:color w:val="auto"/>
                <w:kern w:val="0"/>
                <w:sz w:val="21"/>
                <w:szCs w:val="21"/>
                <w:lang w:eastAsia="zh-CN"/>
              </w:rPr>
              <w:t>烟尘产生量采用以下公式计算：</w:t>
            </w:r>
          </w:p>
          <w:p w14:paraId="7E1920D3">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kern w:val="0"/>
                <w:sz w:val="21"/>
                <w:szCs w:val="21"/>
              </w:rPr>
              <w:t>Gd=W</w:t>
            </w:r>
            <w:r>
              <w:rPr>
                <w:rFonts w:hint="default" w:ascii="Times New Roman" w:hAnsi="Times New Roman" w:eastAsia="宋体" w:cs="Times New Roman"/>
                <w:color w:val="auto"/>
                <w:sz w:val="21"/>
                <w:szCs w:val="21"/>
              </w:rPr>
              <w:t>×A×dfh/（1-Cfh）</w:t>
            </w:r>
          </w:p>
          <w:p w14:paraId="4F021CF6">
            <w:pPr>
              <w:spacing w:line="360" w:lineRule="auto"/>
              <w:ind w:left="0" w:leftChars="0"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式中：</w:t>
            </w:r>
          </w:p>
          <w:p w14:paraId="67EA79BE">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w:t>
            </w:r>
            <w:r>
              <w:rPr>
                <w:rFonts w:hint="default" w:ascii="Times New Roman" w:hAnsi="Times New Roman" w:eastAsia="宋体" w:cs="Times New Roman"/>
                <w:bCs/>
                <w:color w:val="auto"/>
                <w:kern w:val="0"/>
                <w:sz w:val="21"/>
                <w:szCs w:val="21"/>
                <w:lang w:val="en-US" w:eastAsia="zh-CN"/>
              </w:rPr>
              <w:t>—</w:t>
            </w:r>
            <w:r>
              <w:rPr>
                <w:rFonts w:hint="default" w:ascii="Times New Roman" w:hAnsi="Times New Roman" w:eastAsia="宋体" w:cs="Times New Roman"/>
                <w:color w:val="auto"/>
                <w:sz w:val="21"/>
                <w:szCs w:val="21"/>
              </w:rPr>
              <w:t>耗煤，t/a，本项目年耗煤量</w:t>
            </w:r>
            <w:r>
              <w:rPr>
                <w:rFonts w:hint="eastAsia" w:cs="Times New Roman"/>
                <w:color w:val="auto"/>
                <w:sz w:val="21"/>
                <w:szCs w:val="21"/>
                <w:lang w:val="en-US" w:eastAsia="zh-CN"/>
              </w:rPr>
              <w:t>1485</w:t>
            </w:r>
            <w:r>
              <w:rPr>
                <w:rFonts w:hint="default" w:ascii="Times New Roman" w:hAnsi="Times New Roman" w:eastAsia="宋体" w:cs="Times New Roman"/>
                <w:color w:val="auto"/>
                <w:sz w:val="21"/>
                <w:szCs w:val="21"/>
              </w:rPr>
              <w:t>t；</w:t>
            </w:r>
          </w:p>
          <w:p w14:paraId="6559783B">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w:t>
            </w:r>
            <w:r>
              <w:rPr>
                <w:rFonts w:hint="default" w:ascii="Times New Roman" w:hAnsi="Times New Roman" w:eastAsia="宋体" w:cs="Times New Roman"/>
                <w:bCs/>
                <w:color w:val="auto"/>
                <w:kern w:val="0"/>
                <w:sz w:val="21"/>
                <w:szCs w:val="21"/>
                <w:lang w:val="en-US" w:eastAsia="zh-CN"/>
              </w:rPr>
              <w:t>—</w:t>
            </w:r>
            <w:r>
              <w:rPr>
                <w:rFonts w:hint="default" w:ascii="Times New Roman" w:hAnsi="Times New Roman" w:eastAsia="宋体" w:cs="Times New Roman"/>
                <w:color w:val="auto"/>
                <w:sz w:val="21"/>
                <w:szCs w:val="21"/>
              </w:rPr>
              <w:t>煤中的灰分，%</w:t>
            </w:r>
            <w:r>
              <w:rPr>
                <w:rFonts w:hint="eastAsia" w:ascii="Times New Roman" w:hAnsi="Times New Roman" w:eastAsia="宋体" w:cs="Times New Roman"/>
                <w:color w:val="auto"/>
                <w:sz w:val="21"/>
                <w:szCs w:val="21"/>
                <w:lang w:eastAsia="zh-CN"/>
              </w:rPr>
              <w:t>，</w:t>
            </w:r>
            <w:r>
              <w:rPr>
                <w:rFonts w:hint="eastAsia" w:eastAsia="宋体" w:cs="Times New Roman"/>
                <w:color w:val="auto"/>
                <w:sz w:val="21"/>
                <w:szCs w:val="21"/>
                <w:lang w:val="en-US" w:eastAsia="zh-CN"/>
              </w:rPr>
              <w:t>7.25</w:t>
            </w:r>
            <w:r>
              <w:rPr>
                <w:rFonts w:hint="default" w:ascii="Times New Roman" w:hAnsi="Times New Roman" w:eastAsia="宋体" w:cs="Times New Roman"/>
                <w:color w:val="auto"/>
                <w:sz w:val="21"/>
                <w:szCs w:val="21"/>
              </w:rPr>
              <w:t>%；</w:t>
            </w:r>
          </w:p>
          <w:p w14:paraId="57DED5B1">
            <w:pPr>
              <w:spacing w:line="360" w:lineRule="auto"/>
              <w:ind w:firstLine="420" w:firstLineChars="200"/>
              <w:rPr>
                <w:rFonts w:hint="eastAsia" w:ascii="Times New Roman" w:hAnsi="Times New Roman" w:eastAsia="宋体" w:cs="Times New Roman"/>
                <w:color w:val="auto"/>
                <w:sz w:val="21"/>
                <w:szCs w:val="21"/>
                <w:highlight w:val="yellow"/>
                <w:lang w:eastAsia="zh-CN"/>
              </w:rPr>
            </w:pPr>
            <w:r>
              <w:rPr>
                <w:rFonts w:hint="default" w:ascii="Times New Roman" w:hAnsi="Times New Roman" w:eastAsia="宋体" w:cs="Times New Roman"/>
                <w:color w:val="auto"/>
                <w:sz w:val="21"/>
                <w:szCs w:val="21"/>
              </w:rPr>
              <w:t>dfh</w:t>
            </w:r>
            <w:r>
              <w:rPr>
                <w:rFonts w:hint="default" w:ascii="Times New Roman" w:hAnsi="Times New Roman" w:eastAsia="宋体" w:cs="Times New Roman"/>
                <w:bCs/>
                <w:color w:val="auto"/>
                <w:kern w:val="0"/>
                <w:sz w:val="21"/>
                <w:szCs w:val="21"/>
                <w:lang w:val="en-US" w:eastAsia="zh-CN"/>
              </w:rPr>
              <w:t>—</w:t>
            </w:r>
            <w:r>
              <w:rPr>
                <w:rFonts w:hint="default" w:ascii="Times New Roman" w:hAnsi="Times New Roman" w:eastAsia="宋体" w:cs="Times New Roman"/>
                <w:color w:val="auto"/>
                <w:sz w:val="21"/>
                <w:szCs w:val="21"/>
              </w:rPr>
              <w:t>烟尘中灰分占燃烧总灰分的百分比，</w:t>
            </w:r>
            <w:r>
              <w:rPr>
                <w:rFonts w:hint="default" w:ascii="Times New Roman" w:hAnsi="Times New Roman" w:eastAsia="宋体" w:cs="Times New Roman"/>
                <w:color w:val="auto"/>
                <w:sz w:val="21"/>
                <w:szCs w:val="21"/>
                <w:highlight w:val="none"/>
                <w:shd w:val="clear" w:color="auto" w:fill="auto"/>
              </w:rPr>
              <w:t>取15%</w:t>
            </w:r>
            <w:r>
              <w:rPr>
                <w:rFonts w:hint="eastAsia" w:eastAsia="宋体" w:cs="Times New Roman"/>
                <w:color w:val="auto"/>
                <w:sz w:val="21"/>
                <w:szCs w:val="21"/>
                <w:highlight w:val="none"/>
                <w:shd w:val="clear" w:color="auto" w:fill="auto"/>
                <w:lang w:eastAsia="zh-CN"/>
              </w:rPr>
              <w:t>；</w:t>
            </w:r>
          </w:p>
          <w:p w14:paraId="632FD1E4">
            <w:pPr>
              <w:spacing w:line="360" w:lineRule="auto"/>
              <w:ind w:left="0" w:leftChars="0" w:firstLine="420" w:firstLineChars="200"/>
              <w:rPr>
                <w:rFonts w:hint="eastAsia" w:ascii="Times New Roman" w:hAnsi="Times New Roman" w:eastAsia="宋体" w:cs="Times New Roman"/>
                <w:color w:val="auto"/>
                <w:sz w:val="21"/>
                <w:szCs w:val="21"/>
                <w:highlight w:val="none"/>
                <w:shd w:val="clear" w:color="FFFFFF" w:fill="D9D9D9"/>
                <w:lang w:eastAsia="zh-CN"/>
              </w:rPr>
            </w:pPr>
            <w:r>
              <w:rPr>
                <w:rFonts w:hint="default" w:ascii="Times New Roman" w:hAnsi="Times New Roman" w:eastAsia="宋体" w:cs="Times New Roman"/>
                <w:color w:val="auto"/>
                <w:sz w:val="21"/>
                <w:szCs w:val="21"/>
              </w:rPr>
              <w:t>Cfh</w:t>
            </w:r>
            <w:r>
              <w:rPr>
                <w:rFonts w:hint="default" w:ascii="Times New Roman" w:hAnsi="Times New Roman" w:eastAsia="宋体" w:cs="Times New Roman"/>
                <w:bCs/>
                <w:color w:val="auto"/>
                <w:kern w:val="0"/>
                <w:sz w:val="21"/>
                <w:szCs w:val="21"/>
                <w:lang w:val="en-US" w:eastAsia="zh-CN"/>
              </w:rPr>
              <w:t>—</w:t>
            </w:r>
            <w:r>
              <w:rPr>
                <w:rFonts w:hint="eastAsia" w:cs="Times New Roman"/>
                <w:color w:val="auto"/>
                <w:sz w:val="21"/>
                <w:szCs w:val="21"/>
                <w:lang w:eastAsia="zh-CN"/>
              </w:rPr>
              <w:t>煤渣</w:t>
            </w:r>
            <w:r>
              <w:rPr>
                <w:rFonts w:hint="default" w:ascii="Times New Roman" w:hAnsi="Times New Roman" w:eastAsia="宋体" w:cs="Times New Roman"/>
                <w:color w:val="auto"/>
                <w:sz w:val="21"/>
                <w:szCs w:val="21"/>
              </w:rPr>
              <w:t>中的可燃物含量，</w:t>
            </w:r>
            <w:r>
              <w:rPr>
                <w:rFonts w:hint="default" w:ascii="Times New Roman" w:hAnsi="Times New Roman" w:eastAsia="宋体" w:cs="Times New Roman"/>
                <w:bCs/>
                <w:color w:val="auto"/>
                <w:sz w:val="21"/>
                <w:szCs w:val="21"/>
                <w:highlight w:val="none"/>
                <w:shd w:val="clear" w:color="auto" w:fill="auto"/>
              </w:rPr>
              <w:t>取25%</w:t>
            </w:r>
            <w:r>
              <w:rPr>
                <w:rFonts w:hint="eastAsia" w:eastAsia="宋体" w:cs="Times New Roman"/>
                <w:bCs/>
                <w:color w:val="auto"/>
                <w:sz w:val="21"/>
                <w:szCs w:val="21"/>
                <w:highlight w:val="none"/>
                <w:shd w:val="clear" w:color="auto" w:fill="auto"/>
                <w:lang w:eastAsia="zh-CN"/>
              </w:rPr>
              <w:t>。</w:t>
            </w:r>
          </w:p>
          <w:p w14:paraId="4B18F804">
            <w:pPr>
              <w:spacing w:line="360" w:lineRule="auto"/>
              <w:ind w:firstLine="420" w:firstLineChars="200"/>
              <w:rPr>
                <w:rFonts w:eastAsia="宋体" w:cs="黑体"/>
                <w:color w:val="auto"/>
                <w:sz w:val="21"/>
                <w:szCs w:val="21"/>
              </w:rPr>
            </w:pPr>
            <w:r>
              <w:rPr>
                <w:rFonts w:hint="eastAsia" w:eastAsia="宋体" w:cs="黑体"/>
                <w:color w:val="auto"/>
                <w:sz w:val="21"/>
                <w:szCs w:val="21"/>
              </w:rPr>
              <w:t>其中</w:t>
            </w:r>
            <w:r>
              <w:rPr>
                <w:rFonts w:hint="default" w:ascii="Times New Roman" w:hAnsi="Times New Roman" w:eastAsia="宋体" w:cs="Times New Roman"/>
                <w:color w:val="auto"/>
                <w:sz w:val="21"/>
                <w:szCs w:val="21"/>
              </w:rPr>
              <w:t>W</w:t>
            </w:r>
            <w:r>
              <w:rPr>
                <w:rFonts w:hint="eastAsia" w:eastAsia="宋体" w:cs="黑体"/>
                <w:color w:val="auto"/>
                <w:sz w:val="21"/>
                <w:szCs w:val="21"/>
                <w:lang w:val="en-US" w:eastAsia="zh-CN"/>
              </w:rPr>
              <w:t>=</w:t>
            </w:r>
            <w:r>
              <w:rPr>
                <w:rFonts w:hint="eastAsia" w:cs="黑体"/>
                <w:color w:val="auto"/>
                <w:sz w:val="21"/>
                <w:szCs w:val="21"/>
                <w:lang w:val="en-US" w:eastAsia="zh-CN"/>
              </w:rPr>
              <w:t>1485</w:t>
            </w:r>
            <w:r>
              <w:rPr>
                <w:rFonts w:hint="eastAsia" w:eastAsia="宋体" w:cs="黑体"/>
                <w:color w:val="auto"/>
                <w:sz w:val="21"/>
                <w:szCs w:val="21"/>
              </w:rPr>
              <w:t>t/a</w:t>
            </w:r>
            <w:r>
              <w:rPr>
                <w:rFonts w:hint="eastAsia" w:eastAsia="宋体" w:cs="黑体"/>
                <w:color w:val="auto"/>
                <w:sz w:val="21"/>
                <w:szCs w:val="21"/>
                <w:lang w:eastAsia="zh-CN"/>
              </w:rPr>
              <w:t>，</w:t>
            </w:r>
            <w:r>
              <w:rPr>
                <w:rFonts w:hint="eastAsia" w:eastAsia="宋体" w:cs="黑体"/>
                <w:color w:val="auto"/>
                <w:sz w:val="21"/>
                <w:szCs w:val="21"/>
                <w:lang w:val="en-US" w:eastAsia="zh-CN"/>
              </w:rPr>
              <w:t>A=7.25</w:t>
            </w:r>
            <w:r>
              <w:rPr>
                <w:rFonts w:eastAsia="宋体" w:cs="黑体"/>
                <w:color w:val="auto"/>
                <w:sz w:val="21"/>
                <w:szCs w:val="21"/>
              </w:rPr>
              <w:t>%</w:t>
            </w:r>
            <w:r>
              <w:rPr>
                <w:rFonts w:hint="eastAsia" w:eastAsia="宋体" w:cs="黑体"/>
                <w:color w:val="auto"/>
                <w:sz w:val="21"/>
                <w:szCs w:val="21"/>
                <w:lang w:eastAsia="zh-CN"/>
              </w:rPr>
              <w:t>，</w:t>
            </w:r>
            <w:r>
              <w:rPr>
                <w:rFonts w:hint="default" w:ascii="Times New Roman" w:hAnsi="Times New Roman" w:eastAsia="宋体" w:cs="Times New Roman"/>
                <w:color w:val="auto"/>
                <w:sz w:val="21"/>
                <w:szCs w:val="21"/>
              </w:rPr>
              <w:t>dfh</w:t>
            </w:r>
            <w:r>
              <w:rPr>
                <w:rFonts w:hint="eastAsia" w:eastAsia="宋体" w:cs="黑体"/>
                <w:color w:val="auto"/>
                <w:sz w:val="21"/>
                <w:szCs w:val="21"/>
                <w:lang w:eastAsia="zh-CN"/>
              </w:rPr>
              <w:t>取</w:t>
            </w:r>
            <w:r>
              <w:rPr>
                <w:rFonts w:hint="eastAsia" w:eastAsia="宋体" w:cs="黑体"/>
                <w:color w:val="auto"/>
                <w:sz w:val="21"/>
                <w:szCs w:val="21"/>
                <w:lang w:val="en-US" w:eastAsia="zh-CN"/>
              </w:rPr>
              <w:t>1</w:t>
            </w:r>
            <w:r>
              <w:rPr>
                <w:rFonts w:eastAsia="宋体" w:cs="黑体"/>
                <w:color w:val="auto"/>
                <w:sz w:val="21"/>
                <w:szCs w:val="21"/>
              </w:rPr>
              <w:t>5%</w:t>
            </w:r>
            <w:r>
              <w:rPr>
                <w:rFonts w:hint="eastAsia" w:eastAsia="宋体" w:cs="黑体"/>
                <w:color w:val="auto"/>
                <w:sz w:val="21"/>
                <w:szCs w:val="21"/>
              </w:rPr>
              <w:t>，</w:t>
            </w:r>
            <w:r>
              <w:rPr>
                <w:rFonts w:hint="default" w:ascii="Times New Roman" w:hAnsi="Times New Roman" w:eastAsia="宋体" w:cs="Times New Roman"/>
                <w:color w:val="auto"/>
                <w:sz w:val="21"/>
                <w:szCs w:val="21"/>
              </w:rPr>
              <w:t>Cfh</w:t>
            </w:r>
            <w:r>
              <w:rPr>
                <w:rFonts w:hint="eastAsia" w:eastAsia="宋体" w:cs="黑体"/>
                <w:color w:val="auto"/>
                <w:sz w:val="21"/>
                <w:szCs w:val="21"/>
              </w:rPr>
              <w:t>取</w:t>
            </w:r>
            <w:r>
              <w:rPr>
                <w:rFonts w:eastAsia="宋体" w:cs="黑体"/>
                <w:color w:val="auto"/>
                <w:sz w:val="21"/>
                <w:szCs w:val="21"/>
              </w:rPr>
              <w:t>2</w:t>
            </w:r>
            <w:r>
              <w:rPr>
                <w:rFonts w:hint="eastAsia" w:eastAsia="宋体" w:cs="黑体"/>
                <w:color w:val="auto"/>
                <w:sz w:val="21"/>
                <w:szCs w:val="21"/>
                <w:lang w:val="en-US" w:eastAsia="zh-CN"/>
              </w:rPr>
              <w:t>5</w:t>
            </w:r>
            <w:r>
              <w:rPr>
                <w:rFonts w:eastAsia="宋体" w:cs="黑体"/>
                <w:color w:val="auto"/>
                <w:sz w:val="21"/>
                <w:szCs w:val="21"/>
              </w:rPr>
              <w:t>%</w:t>
            </w:r>
            <w:r>
              <w:rPr>
                <w:rFonts w:hint="eastAsia" w:eastAsia="宋体" w:cs="黑体"/>
                <w:color w:val="auto"/>
                <w:sz w:val="21"/>
                <w:szCs w:val="21"/>
              </w:rPr>
              <w:t>。带入式中得</w:t>
            </w:r>
            <w:r>
              <w:rPr>
                <w:rFonts w:hint="default" w:ascii="Times New Roman" w:hAnsi="Times New Roman" w:eastAsia="宋体" w:cs="Times New Roman"/>
                <w:bCs/>
                <w:color w:val="auto"/>
                <w:kern w:val="0"/>
                <w:sz w:val="21"/>
                <w:szCs w:val="21"/>
              </w:rPr>
              <w:t>Gd</w:t>
            </w:r>
            <w:r>
              <w:rPr>
                <w:rFonts w:eastAsia="宋体" w:cs="黑体"/>
                <w:color w:val="auto"/>
                <w:sz w:val="21"/>
                <w:szCs w:val="21"/>
              </w:rPr>
              <w:t>=</w:t>
            </w:r>
            <w:r>
              <w:rPr>
                <w:rFonts w:hint="eastAsia" w:cs="黑体"/>
                <w:color w:val="auto"/>
                <w:sz w:val="21"/>
                <w:szCs w:val="21"/>
                <w:lang w:val="en-US" w:eastAsia="zh-CN"/>
              </w:rPr>
              <w:t>21.53</w:t>
            </w:r>
            <w:r>
              <w:rPr>
                <w:rFonts w:eastAsia="宋体" w:cs="黑体"/>
                <w:color w:val="auto"/>
                <w:sz w:val="21"/>
                <w:szCs w:val="21"/>
              </w:rPr>
              <w:t>t/a</w:t>
            </w:r>
            <w:r>
              <w:rPr>
                <w:rFonts w:hint="eastAsia" w:eastAsia="宋体" w:cs="黑体"/>
                <w:color w:val="auto"/>
                <w:sz w:val="21"/>
                <w:szCs w:val="21"/>
              </w:rPr>
              <w:t>。</w:t>
            </w:r>
          </w:p>
          <w:p w14:paraId="74739A5C">
            <w:pPr>
              <w:spacing w:line="360" w:lineRule="auto"/>
              <w:ind w:firstLine="420" w:firstLineChars="200"/>
              <w:rPr>
                <w:rFonts w:hint="eastAsia" w:ascii="Times New Roman" w:hAnsi="Times New Roman" w:eastAsia="宋体" w:cs="Times New Roman"/>
                <w:color w:val="auto"/>
                <w:sz w:val="21"/>
                <w:szCs w:val="21"/>
                <w:lang w:val="en-US" w:eastAsia="zh-CN"/>
              </w:rPr>
            </w:pPr>
            <w:r>
              <w:rPr>
                <w:rFonts w:hint="eastAsia" w:eastAsia="宋体" w:cs="黑体"/>
                <w:color w:val="auto"/>
                <w:sz w:val="21"/>
                <w:szCs w:val="21"/>
              </w:rPr>
              <w:t>综上，</w:t>
            </w:r>
            <w:r>
              <w:rPr>
                <w:rFonts w:hint="eastAsia" w:eastAsia="宋体" w:cs="黑体"/>
                <w:color w:val="auto"/>
                <w:sz w:val="21"/>
                <w:szCs w:val="21"/>
                <w:lang w:eastAsia="zh-CN"/>
              </w:rPr>
              <w:t>烟尘</w:t>
            </w:r>
            <w:r>
              <w:rPr>
                <w:rFonts w:hint="eastAsia" w:eastAsia="宋体" w:cs="黑体"/>
                <w:color w:val="auto"/>
                <w:sz w:val="21"/>
                <w:szCs w:val="21"/>
              </w:rPr>
              <w:t>产生量</w:t>
            </w:r>
            <w:r>
              <w:rPr>
                <w:rFonts w:hint="eastAsia" w:eastAsia="宋体" w:cs="黑体"/>
                <w:color w:val="auto"/>
                <w:sz w:val="21"/>
                <w:szCs w:val="21"/>
                <w:lang w:eastAsia="zh-CN"/>
              </w:rPr>
              <w:t>为</w:t>
            </w:r>
            <w:r>
              <w:rPr>
                <w:rFonts w:hint="eastAsia" w:cs="黑体"/>
                <w:color w:val="auto"/>
                <w:sz w:val="21"/>
                <w:szCs w:val="21"/>
                <w:lang w:val="en-US" w:eastAsia="zh-CN"/>
              </w:rPr>
              <w:t>21.53</w:t>
            </w:r>
            <w:r>
              <w:rPr>
                <w:rFonts w:eastAsia="宋体" w:cs="黑体"/>
                <w:color w:val="auto"/>
                <w:sz w:val="21"/>
                <w:szCs w:val="21"/>
              </w:rPr>
              <w:t>t/a</w:t>
            </w:r>
            <w:r>
              <w:rPr>
                <w:rFonts w:hint="eastAsia" w:eastAsia="宋体" w:cs="Times New Roman"/>
                <w:color w:val="auto"/>
                <w:sz w:val="21"/>
                <w:szCs w:val="21"/>
                <w:lang w:eastAsia="zh-CN"/>
              </w:rPr>
              <w:t>。本项目设置</w:t>
            </w:r>
            <w:r>
              <w:rPr>
                <w:rFonts w:hint="eastAsia" w:eastAsia="宋体" w:cs="Times New Roman"/>
                <w:color w:val="auto"/>
                <w:sz w:val="21"/>
                <w:szCs w:val="21"/>
                <w:lang w:val="en-US" w:eastAsia="zh-CN"/>
              </w:rPr>
              <w:t>1套</w:t>
            </w:r>
            <w:r>
              <w:rPr>
                <w:rFonts w:hint="eastAsia" w:cs="Times New Roman"/>
                <w:color w:val="auto"/>
                <w:sz w:val="21"/>
                <w:szCs w:val="21"/>
                <w:lang w:val="en-US" w:eastAsia="zh-CN"/>
              </w:rPr>
              <w:t>布袋除尘设施+</w:t>
            </w:r>
            <w:r>
              <w:rPr>
                <w:rFonts w:hint="eastAsia" w:eastAsia="宋体" w:cs="黑体"/>
                <w:b w:val="0"/>
                <w:bCs/>
                <w:color w:val="auto"/>
                <w:sz w:val="21"/>
                <w:szCs w:val="21"/>
                <w:highlight w:val="none"/>
                <w:lang w:val="en-US" w:eastAsia="zh-CN"/>
              </w:rPr>
              <w:t>脱硫塔，除尘效率为</w:t>
            </w:r>
            <w:r>
              <w:rPr>
                <w:rFonts w:hint="eastAsia" w:cs="黑体"/>
                <w:b w:val="0"/>
                <w:bCs/>
                <w:color w:val="auto"/>
                <w:sz w:val="21"/>
                <w:szCs w:val="21"/>
                <w:highlight w:val="none"/>
                <w:lang w:val="en-US" w:eastAsia="zh-CN"/>
              </w:rPr>
              <w:t>99</w:t>
            </w:r>
            <w:r>
              <w:rPr>
                <w:rFonts w:hint="eastAsia" w:eastAsia="宋体" w:cs="黑体"/>
                <w:b w:val="0"/>
                <w:bCs/>
                <w:color w:val="auto"/>
                <w:sz w:val="21"/>
                <w:szCs w:val="21"/>
                <w:highlight w:val="none"/>
                <w:lang w:val="en-US" w:eastAsia="zh-CN"/>
              </w:rPr>
              <w:t>%</w:t>
            </w:r>
            <w:r>
              <w:rPr>
                <w:rFonts w:hint="eastAsia" w:eastAsia="宋体" w:cs="黑体"/>
                <w:b w:val="0"/>
                <w:bCs/>
                <w:color w:val="auto"/>
                <w:sz w:val="21"/>
                <w:szCs w:val="21"/>
                <w:lang w:eastAsia="zh-CN"/>
              </w:rPr>
              <w:t>，</w:t>
            </w:r>
            <w:r>
              <w:rPr>
                <w:rFonts w:hint="eastAsia" w:eastAsia="宋体" w:cs="黑体"/>
                <w:b w:val="0"/>
                <w:bCs/>
                <w:color w:val="auto"/>
                <w:sz w:val="21"/>
                <w:szCs w:val="21"/>
                <w:highlight w:val="none"/>
                <w:lang w:val="en-US" w:eastAsia="zh-CN"/>
              </w:rPr>
              <w:t>故本项目</w:t>
            </w:r>
            <w:r>
              <w:rPr>
                <w:rFonts w:hint="default" w:ascii="Times New Roman" w:hAnsi="Times New Roman" w:eastAsia="宋体" w:cs="Times New Roman"/>
                <w:color w:val="auto"/>
                <w:sz w:val="21"/>
                <w:szCs w:val="21"/>
                <w:lang w:eastAsia="zh-CN"/>
              </w:rPr>
              <w:t>梭式窑</w:t>
            </w:r>
            <w:r>
              <w:rPr>
                <w:rFonts w:hint="eastAsia" w:eastAsia="宋体" w:cs="黑体"/>
                <w:b w:val="0"/>
                <w:bCs/>
                <w:color w:val="auto"/>
                <w:sz w:val="21"/>
                <w:szCs w:val="21"/>
                <w:lang w:eastAsia="zh-CN"/>
              </w:rPr>
              <w:t>废气</w:t>
            </w:r>
            <w:r>
              <w:rPr>
                <w:rFonts w:hint="eastAsia" w:eastAsia="宋体" w:cs="黑体"/>
                <w:b w:val="0"/>
                <w:bCs w:val="0"/>
                <w:color w:val="auto"/>
                <w:sz w:val="21"/>
                <w:szCs w:val="21"/>
              </w:rPr>
              <w:t>中</w:t>
            </w:r>
            <w:r>
              <w:rPr>
                <w:rFonts w:hint="eastAsia" w:eastAsia="宋体" w:cs="黑体"/>
                <w:b w:val="0"/>
                <w:bCs w:val="0"/>
                <w:color w:val="auto"/>
                <w:sz w:val="21"/>
                <w:szCs w:val="21"/>
                <w:lang w:val="en-US" w:eastAsia="zh-CN"/>
              </w:rPr>
              <w:t>烟尘</w:t>
            </w:r>
            <w:r>
              <w:rPr>
                <w:rFonts w:hint="eastAsia" w:eastAsia="宋体" w:cs="黑体"/>
                <w:b w:val="0"/>
                <w:bCs w:val="0"/>
                <w:color w:val="auto"/>
                <w:sz w:val="21"/>
                <w:szCs w:val="21"/>
              </w:rPr>
              <w:t>排放量为</w:t>
            </w:r>
            <w:r>
              <w:rPr>
                <w:rFonts w:hint="eastAsia" w:cs="黑体"/>
                <w:b w:val="0"/>
                <w:bCs w:val="0"/>
                <w:color w:val="auto"/>
                <w:sz w:val="21"/>
                <w:szCs w:val="21"/>
                <w:lang w:val="en-US" w:eastAsia="zh-CN"/>
              </w:rPr>
              <w:t>0.22</w:t>
            </w:r>
            <w:r>
              <w:rPr>
                <w:rFonts w:hint="eastAsia" w:eastAsia="宋体" w:cs="黑体"/>
                <w:b w:val="0"/>
                <w:bCs w:val="0"/>
                <w:color w:val="auto"/>
                <w:sz w:val="21"/>
                <w:szCs w:val="21"/>
              </w:rPr>
              <w:t>t/a</w:t>
            </w:r>
            <w:r>
              <w:rPr>
                <w:rFonts w:hint="eastAsia" w:eastAsia="宋体" w:cs="黑体"/>
                <w:b w:val="0"/>
                <w:bCs w:val="0"/>
                <w:color w:val="auto"/>
                <w:sz w:val="21"/>
                <w:szCs w:val="21"/>
                <w:lang w:eastAsia="zh-CN"/>
              </w:rPr>
              <w:t>。</w:t>
            </w:r>
          </w:p>
          <w:p w14:paraId="628DAEB2">
            <w:pPr>
              <w:spacing w:line="360" w:lineRule="auto"/>
              <w:ind w:firstLine="422" w:firstLineChars="200"/>
              <w:rPr>
                <w:rFonts w:hint="default" w:ascii="Times New Roman" w:hAnsi="Times New Roman" w:eastAsia="宋体" w:cs="Times New Roman"/>
                <w:b/>
                <w:bCs/>
                <w:color w:val="auto"/>
                <w:sz w:val="21"/>
                <w:szCs w:val="21"/>
              </w:rPr>
            </w:pPr>
            <w:r>
              <w:rPr>
                <w:rFonts w:hint="eastAsia" w:eastAsia="宋体" w:cs="黑体"/>
                <w:b/>
                <w:bCs/>
                <w:color w:val="auto"/>
                <w:sz w:val="21"/>
                <w:szCs w:val="21"/>
                <w:lang w:val="en-US" w:eastAsia="zh-CN"/>
              </w:rPr>
              <w:t>2</w:t>
            </w:r>
            <w:r>
              <w:rPr>
                <w:rFonts w:hint="eastAsia" w:eastAsia="宋体" w:cs="黑体"/>
                <w:b/>
                <w:bCs/>
                <w:color w:val="auto"/>
                <w:sz w:val="21"/>
                <w:szCs w:val="21"/>
                <w:lang w:eastAsia="zh-CN"/>
              </w:rPr>
              <w:t>）</w:t>
            </w:r>
            <w:r>
              <w:rPr>
                <w:rFonts w:hint="eastAsia" w:eastAsia="宋体" w:cs="黑体"/>
                <w:b/>
                <w:bCs/>
                <w:color w:val="auto"/>
                <w:sz w:val="21"/>
                <w:szCs w:val="21"/>
                <w:lang w:val="en-US" w:eastAsia="zh-CN"/>
              </w:rPr>
              <w:t>SO</w:t>
            </w:r>
            <w:r>
              <w:rPr>
                <w:rFonts w:hint="eastAsia" w:eastAsia="宋体" w:cs="黑体"/>
                <w:b/>
                <w:bCs/>
                <w:color w:val="auto"/>
                <w:sz w:val="21"/>
                <w:szCs w:val="21"/>
                <w:vertAlign w:val="subscript"/>
                <w:lang w:val="en-US" w:eastAsia="zh-CN"/>
              </w:rPr>
              <w:t>2</w:t>
            </w:r>
          </w:p>
          <w:p w14:paraId="7964272D">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r>
              <w:rPr>
                <w:rFonts w:hint="eastAsia" w:eastAsia="宋体" w:cs="Times New Roman"/>
                <w:color w:val="auto"/>
                <w:sz w:val="21"/>
                <w:szCs w:val="21"/>
                <w:lang w:eastAsia="zh-CN"/>
              </w:rPr>
              <w:t>排放</w:t>
            </w:r>
            <w:r>
              <w:rPr>
                <w:rFonts w:hint="default" w:ascii="Times New Roman" w:hAnsi="Times New Roman" w:eastAsia="宋体" w:cs="Times New Roman"/>
                <w:color w:val="auto"/>
                <w:sz w:val="21"/>
                <w:szCs w:val="21"/>
              </w:rPr>
              <w:t>量计算公式：</w:t>
            </w:r>
          </w:p>
          <w:p w14:paraId="50563006">
            <w:pPr>
              <w:spacing w:line="360" w:lineRule="auto"/>
              <w:ind w:firstLine="420" w:firstLineChars="20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G</w:t>
            </w:r>
            <w:r>
              <w:rPr>
                <w:rFonts w:hint="default" w:ascii="Times New Roman" w:hAnsi="Times New Roman" w:eastAsia="宋体" w:cs="Times New Roman"/>
                <w:bCs/>
                <w:color w:val="auto"/>
                <w:sz w:val="21"/>
                <w:szCs w:val="21"/>
                <w:vertAlign w:val="subscript"/>
              </w:rPr>
              <w:t>SO2</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color w:val="auto"/>
                <w:spacing w:val="-2"/>
                <w:sz w:val="21"/>
                <w:szCs w:val="21"/>
              </w:rPr>
              <w:t>W×2×S×P</w:t>
            </w:r>
            <w:r>
              <w:rPr>
                <w:rFonts w:hint="default" w:ascii="Times New Roman" w:hAnsi="Times New Roman" w:eastAsia="宋体" w:cs="Times New Roman"/>
                <w:bCs/>
                <w:color w:val="auto"/>
                <w:sz w:val="21"/>
                <w:szCs w:val="21"/>
              </w:rPr>
              <w:t xml:space="preserve"> </w:t>
            </w:r>
            <w:r>
              <w:rPr>
                <w:rFonts w:hint="default" w:ascii="Times New Roman" w:hAnsi="Times New Roman" w:eastAsia="宋体" w:cs="Times New Roman"/>
                <w:color w:val="auto"/>
                <w:spacing w:val="-2"/>
                <w:sz w:val="21"/>
                <w:szCs w:val="21"/>
              </w:rPr>
              <w:t>×</w:t>
            </w:r>
            <w:r>
              <w:rPr>
                <w:rFonts w:hint="default" w:ascii="Times New Roman" w:hAnsi="Times New Roman" w:eastAsia="宋体" w:cs="Times New Roman"/>
                <w:bCs/>
                <w:color w:val="auto"/>
                <w:sz w:val="21"/>
                <w:szCs w:val="21"/>
              </w:rPr>
              <w:t>(1-η)</w:t>
            </w:r>
          </w:p>
          <w:p w14:paraId="7E0F47A1">
            <w:pPr>
              <w:spacing w:line="360" w:lineRule="auto"/>
              <w:ind w:firstLine="420" w:firstLineChars="20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式中：</w:t>
            </w:r>
          </w:p>
          <w:p w14:paraId="4E74E03F">
            <w:pPr>
              <w:spacing w:line="360" w:lineRule="auto"/>
              <w:ind w:firstLine="420" w:firstLineChars="20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G</w:t>
            </w:r>
            <w:r>
              <w:rPr>
                <w:rFonts w:hint="default" w:ascii="Times New Roman" w:hAnsi="Times New Roman" w:eastAsia="宋体" w:cs="Times New Roman"/>
                <w:bCs/>
                <w:color w:val="auto"/>
                <w:sz w:val="21"/>
                <w:szCs w:val="21"/>
                <w:vertAlign w:val="subscript"/>
              </w:rPr>
              <w:t>SO2</w:t>
            </w:r>
            <w:r>
              <w:rPr>
                <w:rFonts w:hint="default" w:ascii="Times New Roman" w:hAnsi="Times New Roman" w:eastAsia="宋体" w:cs="Times New Roman"/>
                <w:bCs/>
                <w:color w:val="auto"/>
                <w:kern w:val="0"/>
                <w:sz w:val="21"/>
                <w:szCs w:val="21"/>
                <w:lang w:val="en-US" w:eastAsia="zh-CN"/>
              </w:rPr>
              <w:t>—</w:t>
            </w:r>
            <w:r>
              <w:rPr>
                <w:rFonts w:hint="default" w:ascii="Times New Roman" w:hAnsi="Times New Roman" w:eastAsia="宋体" w:cs="Times New Roman"/>
                <w:bCs/>
                <w:color w:val="auto"/>
                <w:sz w:val="21"/>
                <w:szCs w:val="21"/>
              </w:rPr>
              <w:t>SO</w:t>
            </w:r>
            <w:r>
              <w:rPr>
                <w:rFonts w:hint="default" w:ascii="Times New Roman" w:hAnsi="Times New Roman" w:eastAsia="宋体" w:cs="Times New Roman"/>
                <w:bCs/>
                <w:color w:val="auto"/>
                <w:sz w:val="21"/>
                <w:szCs w:val="21"/>
                <w:vertAlign w:val="subscript"/>
              </w:rPr>
              <w:t>2</w:t>
            </w:r>
            <w:r>
              <w:rPr>
                <w:rFonts w:hint="default" w:ascii="Times New Roman" w:hAnsi="Times New Roman" w:eastAsia="宋体" w:cs="Times New Roman"/>
                <w:bCs/>
                <w:color w:val="auto"/>
                <w:sz w:val="21"/>
                <w:szCs w:val="21"/>
              </w:rPr>
              <w:t>排放量，t/a；</w:t>
            </w:r>
          </w:p>
          <w:p w14:paraId="33412C4E">
            <w:pPr>
              <w:spacing w:line="360" w:lineRule="auto"/>
              <w:ind w:firstLine="420" w:firstLineChars="200"/>
              <w:rPr>
                <w:rFonts w:hint="default" w:ascii="Times New Roman" w:hAnsi="Times New Roman" w:eastAsia="黑体" w:cs="Times New Roman"/>
                <w:color w:val="auto"/>
                <w:sz w:val="21"/>
                <w:szCs w:val="21"/>
              </w:rPr>
            </w:pPr>
            <w:r>
              <w:rPr>
                <w:rFonts w:hint="default" w:ascii="Times New Roman" w:hAnsi="Times New Roman" w:eastAsia="宋体" w:cs="Times New Roman"/>
                <w:color w:val="auto"/>
                <w:sz w:val="21"/>
                <w:szCs w:val="21"/>
              </w:rPr>
              <w:t>W</w:t>
            </w:r>
            <w:r>
              <w:rPr>
                <w:rFonts w:hint="default" w:ascii="Times New Roman" w:hAnsi="Times New Roman" w:eastAsia="宋体" w:cs="Times New Roman"/>
                <w:bCs/>
                <w:color w:val="auto"/>
                <w:kern w:val="0"/>
                <w:sz w:val="21"/>
                <w:szCs w:val="21"/>
                <w:lang w:val="en-US" w:eastAsia="zh-CN"/>
              </w:rPr>
              <w:t>—</w:t>
            </w:r>
            <w:r>
              <w:rPr>
                <w:rFonts w:hint="default" w:ascii="Times New Roman" w:hAnsi="Times New Roman" w:eastAsia="宋体" w:cs="Times New Roman"/>
                <w:color w:val="auto"/>
                <w:sz w:val="21"/>
                <w:szCs w:val="21"/>
              </w:rPr>
              <w:t>耗煤量，</w:t>
            </w:r>
            <w:r>
              <w:rPr>
                <w:rFonts w:hint="eastAsia" w:cs="Times New Roman"/>
                <w:color w:val="auto"/>
                <w:sz w:val="21"/>
                <w:szCs w:val="21"/>
                <w:lang w:val="en-US" w:eastAsia="zh-CN"/>
              </w:rPr>
              <w:t>1485</w:t>
            </w:r>
            <w:r>
              <w:rPr>
                <w:rFonts w:hint="default" w:ascii="Times New Roman" w:hAnsi="Times New Roman" w:eastAsia="黑体" w:cs="Times New Roman"/>
                <w:color w:val="auto"/>
                <w:sz w:val="21"/>
                <w:szCs w:val="21"/>
              </w:rPr>
              <w:t>t/a；</w:t>
            </w:r>
          </w:p>
          <w:p w14:paraId="2729FAFB">
            <w:pPr>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t>
            </w:r>
            <w:r>
              <w:rPr>
                <w:rFonts w:hint="default" w:ascii="Times New Roman" w:hAnsi="Times New Roman" w:eastAsia="宋体" w:cs="Times New Roman"/>
                <w:bCs/>
                <w:color w:val="auto"/>
                <w:kern w:val="0"/>
                <w:sz w:val="21"/>
                <w:szCs w:val="21"/>
                <w:lang w:val="en-US" w:eastAsia="zh-CN"/>
              </w:rPr>
              <w:t>—</w:t>
            </w:r>
            <w:r>
              <w:rPr>
                <w:rFonts w:hint="default" w:ascii="Times New Roman" w:hAnsi="Times New Roman" w:eastAsia="宋体" w:cs="Times New Roman"/>
                <w:color w:val="auto"/>
                <w:sz w:val="21"/>
                <w:szCs w:val="21"/>
              </w:rPr>
              <w:t>煤中含硫量，0.</w:t>
            </w:r>
            <w:r>
              <w:rPr>
                <w:rFonts w:hint="eastAsia" w:eastAsia="宋体" w:cs="Times New Roman"/>
                <w:color w:val="auto"/>
                <w:sz w:val="21"/>
                <w:szCs w:val="21"/>
                <w:lang w:val="en-US" w:eastAsia="zh-CN"/>
              </w:rPr>
              <w:t>47</w:t>
            </w:r>
            <w:r>
              <w:rPr>
                <w:rFonts w:hint="default" w:ascii="Times New Roman" w:hAnsi="Times New Roman" w:eastAsia="宋体" w:cs="Times New Roman"/>
                <w:color w:val="auto"/>
                <w:sz w:val="21"/>
                <w:szCs w:val="21"/>
              </w:rPr>
              <w:t>%；</w:t>
            </w:r>
          </w:p>
          <w:p w14:paraId="2F630F53">
            <w:pPr>
              <w:spacing w:line="360" w:lineRule="auto"/>
              <w:ind w:left="0" w:leftChars="0"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w:t>
            </w:r>
            <w:r>
              <w:rPr>
                <w:rFonts w:hint="default" w:ascii="Times New Roman" w:hAnsi="Times New Roman" w:eastAsia="宋体" w:cs="Times New Roman"/>
                <w:bCs/>
                <w:color w:val="auto"/>
                <w:kern w:val="0"/>
                <w:sz w:val="21"/>
                <w:szCs w:val="21"/>
                <w:lang w:val="en-US" w:eastAsia="zh-CN"/>
              </w:rPr>
              <w:t>—</w:t>
            </w:r>
            <w:r>
              <w:rPr>
                <w:rFonts w:hint="default" w:ascii="Times New Roman" w:hAnsi="Times New Roman" w:eastAsia="宋体" w:cs="Times New Roman"/>
                <w:color w:val="auto"/>
                <w:sz w:val="21"/>
                <w:szCs w:val="21"/>
              </w:rPr>
              <w:t>燃烧中硫转化为SO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的转化率，本项目取0.8。</w:t>
            </w:r>
          </w:p>
          <w:p w14:paraId="7E13ED07">
            <w:pPr>
              <w:spacing w:line="360" w:lineRule="auto"/>
              <w:ind w:firstLine="420" w:firstLineChars="20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η</w:t>
            </w:r>
            <w:r>
              <w:rPr>
                <w:rFonts w:hint="default" w:ascii="Times New Roman" w:hAnsi="Times New Roman" w:eastAsia="宋体" w:cs="Times New Roman"/>
                <w:bCs/>
                <w:color w:val="auto"/>
                <w:kern w:val="0"/>
                <w:sz w:val="21"/>
                <w:szCs w:val="21"/>
                <w:lang w:val="en-US" w:eastAsia="zh-CN"/>
              </w:rPr>
              <w:t>—</w:t>
            </w:r>
            <w:r>
              <w:rPr>
                <w:rFonts w:hint="eastAsia" w:eastAsia="宋体" w:cs="Times New Roman"/>
                <w:bCs/>
                <w:color w:val="auto"/>
                <w:sz w:val="21"/>
                <w:szCs w:val="21"/>
                <w:lang w:eastAsia="zh-CN"/>
              </w:rPr>
              <w:t>脱硫塔</w:t>
            </w:r>
            <w:r>
              <w:rPr>
                <w:rFonts w:hint="default" w:ascii="Times New Roman" w:hAnsi="Times New Roman" w:eastAsia="宋体" w:cs="Times New Roman"/>
                <w:bCs/>
                <w:color w:val="auto"/>
                <w:sz w:val="21"/>
                <w:szCs w:val="21"/>
              </w:rPr>
              <w:t>脱硫效率，</w:t>
            </w:r>
            <w:r>
              <w:rPr>
                <w:rFonts w:hint="eastAsia" w:eastAsia="宋体" w:cs="黑体"/>
                <w:b w:val="0"/>
                <w:bCs w:val="0"/>
                <w:color w:val="auto"/>
                <w:sz w:val="21"/>
                <w:szCs w:val="21"/>
                <w:lang w:eastAsia="zh-CN"/>
              </w:rPr>
              <w:t>石灰-石膏湿法脱硫</w:t>
            </w:r>
            <w:r>
              <w:rPr>
                <w:rFonts w:hint="default" w:ascii="Times New Roman" w:hAnsi="Times New Roman" w:eastAsia="宋体" w:cs="Times New Roman"/>
                <w:bCs/>
                <w:color w:val="auto"/>
                <w:sz w:val="21"/>
                <w:szCs w:val="21"/>
              </w:rPr>
              <w:t>效率</w:t>
            </w:r>
            <w:r>
              <w:rPr>
                <w:rFonts w:hint="eastAsia" w:eastAsia="宋体" w:cs="Times New Roman"/>
                <w:bCs/>
                <w:color w:val="auto"/>
                <w:sz w:val="21"/>
                <w:szCs w:val="21"/>
                <w:lang w:eastAsia="zh-CN"/>
              </w:rPr>
              <w:t>取</w:t>
            </w:r>
            <w:r>
              <w:rPr>
                <w:rFonts w:hint="eastAsia" w:eastAsia="宋体" w:cs="Times New Roman"/>
                <w:bCs/>
                <w:color w:val="auto"/>
                <w:sz w:val="21"/>
                <w:szCs w:val="21"/>
                <w:lang w:val="en-US" w:eastAsia="zh-CN"/>
              </w:rPr>
              <w:t>90</w:t>
            </w:r>
            <w:r>
              <w:rPr>
                <w:rFonts w:hint="default" w:ascii="Times New Roman" w:hAnsi="Times New Roman" w:eastAsia="宋体" w:cs="Times New Roman"/>
                <w:bCs/>
                <w:color w:val="auto"/>
                <w:sz w:val="21"/>
                <w:szCs w:val="21"/>
              </w:rPr>
              <w:t>%。</w:t>
            </w:r>
          </w:p>
          <w:p w14:paraId="61D30D88">
            <w:pPr>
              <w:spacing w:line="360" w:lineRule="auto"/>
              <w:ind w:firstLine="420" w:firstLineChars="200"/>
              <w:rPr>
                <w:rFonts w:eastAsia="宋体" w:cs="黑体"/>
                <w:color w:val="auto"/>
                <w:sz w:val="21"/>
                <w:szCs w:val="21"/>
              </w:rPr>
            </w:pPr>
            <w:r>
              <w:rPr>
                <w:rFonts w:hint="eastAsia" w:eastAsia="宋体" w:cs="黑体"/>
                <w:color w:val="auto"/>
                <w:sz w:val="21"/>
                <w:szCs w:val="21"/>
              </w:rPr>
              <w:t>其中</w:t>
            </w:r>
            <w:r>
              <w:rPr>
                <w:rFonts w:hint="default" w:ascii="Times New Roman" w:hAnsi="Times New Roman" w:eastAsia="宋体" w:cs="Times New Roman"/>
                <w:color w:val="auto"/>
                <w:sz w:val="21"/>
                <w:szCs w:val="21"/>
              </w:rPr>
              <w:t>W</w:t>
            </w:r>
            <w:r>
              <w:rPr>
                <w:rFonts w:hint="eastAsia" w:eastAsia="宋体" w:cs="黑体"/>
                <w:color w:val="auto"/>
                <w:sz w:val="21"/>
                <w:szCs w:val="21"/>
                <w:lang w:val="en-US" w:eastAsia="zh-CN"/>
              </w:rPr>
              <w:t>=</w:t>
            </w:r>
            <w:r>
              <w:rPr>
                <w:rFonts w:hint="eastAsia" w:cs="Times New Roman"/>
                <w:color w:val="auto"/>
                <w:sz w:val="21"/>
                <w:szCs w:val="21"/>
                <w:lang w:val="en-US" w:eastAsia="zh-CN"/>
              </w:rPr>
              <w:t>1485</w:t>
            </w:r>
            <w:r>
              <w:rPr>
                <w:rFonts w:hint="eastAsia" w:eastAsia="宋体" w:cs="黑体"/>
                <w:color w:val="auto"/>
                <w:sz w:val="21"/>
                <w:szCs w:val="21"/>
              </w:rPr>
              <w:t>t/a</w:t>
            </w:r>
            <w:r>
              <w:rPr>
                <w:rFonts w:hint="eastAsia" w:eastAsia="宋体" w:cs="黑体"/>
                <w:color w:val="auto"/>
                <w:sz w:val="21"/>
                <w:szCs w:val="21"/>
                <w:lang w:eastAsia="zh-CN"/>
              </w:rPr>
              <w:t>，</w:t>
            </w:r>
            <w:r>
              <w:rPr>
                <w:rFonts w:hint="default" w:ascii="Times New Roman" w:hAnsi="Times New Roman" w:eastAsia="宋体" w:cs="Times New Roman"/>
                <w:color w:val="auto"/>
                <w:sz w:val="21"/>
                <w:szCs w:val="21"/>
              </w:rPr>
              <w:t>S</w:t>
            </w:r>
            <w:r>
              <w:rPr>
                <w:rFonts w:hint="eastAsia" w:eastAsia="宋体" w:cs="黑体"/>
                <w:color w:val="auto"/>
                <w:sz w:val="21"/>
                <w:szCs w:val="21"/>
                <w:lang w:val="en-US" w:eastAsia="zh-CN"/>
              </w:rPr>
              <w:t>=0.47</w:t>
            </w:r>
            <w:r>
              <w:rPr>
                <w:rFonts w:eastAsia="宋体" w:cs="黑体"/>
                <w:color w:val="auto"/>
                <w:sz w:val="21"/>
                <w:szCs w:val="21"/>
              </w:rPr>
              <w:t>%</w:t>
            </w:r>
            <w:r>
              <w:rPr>
                <w:rFonts w:hint="eastAsia" w:eastAsia="宋体" w:cs="黑体"/>
                <w:color w:val="auto"/>
                <w:sz w:val="21"/>
                <w:szCs w:val="21"/>
                <w:lang w:eastAsia="zh-CN"/>
              </w:rPr>
              <w:t>，</w:t>
            </w:r>
            <w:r>
              <w:rPr>
                <w:rFonts w:hint="default" w:ascii="Times New Roman" w:hAnsi="Times New Roman" w:eastAsia="宋体" w:cs="Times New Roman"/>
                <w:color w:val="auto"/>
                <w:sz w:val="21"/>
                <w:szCs w:val="21"/>
              </w:rPr>
              <w:t>P</w:t>
            </w:r>
            <w:r>
              <w:rPr>
                <w:rFonts w:hint="eastAsia" w:eastAsia="宋体" w:cs="黑体"/>
                <w:color w:val="auto"/>
                <w:sz w:val="21"/>
                <w:szCs w:val="21"/>
                <w:lang w:eastAsia="zh-CN"/>
              </w:rPr>
              <w:t>取</w:t>
            </w:r>
            <w:r>
              <w:rPr>
                <w:rFonts w:hint="eastAsia" w:eastAsia="宋体" w:cs="黑体"/>
                <w:color w:val="auto"/>
                <w:sz w:val="21"/>
                <w:szCs w:val="21"/>
                <w:lang w:val="en-US" w:eastAsia="zh-CN"/>
              </w:rPr>
              <w:t>0.8</w:t>
            </w:r>
            <w:r>
              <w:rPr>
                <w:rFonts w:hint="eastAsia" w:eastAsia="宋体" w:cs="黑体"/>
                <w:color w:val="auto"/>
                <w:sz w:val="21"/>
                <w:szCs w:val="21"/>
              </w:rPr>
              <w:t>，</w:t>
            </w:r>
            <w:r>
              <w:rPr>
                <w:rFonts w:hint="default" w:ascii="Times New Roman" w:hAnsi="Times New Roman" w:eastAsia="宋体" w:cs="Times New Roman"/>
                <w:bCs/>
                <w:color w:val="auto"/>
                <w:sz w:val="21"/>
                <w:szCs w:val="21"/>
              </w:rPr>
              <w:t>η</w:t>
            </w:r>
            <w:r>
              <w:rPr>
                <w:rFonts w:hint="eastAsia" w:eastAsia="宋体" w:cs="黑体"/>
                <w:color w:val="auto"/>
                <w:sz w:val="21"/>
                <w:szCs w:val="21"/>
              </w:rPr>
              <w:t>取</w:t>
            </w:r>
            <w:r>
              <w:rPr>
                <w:rFonts w:hint="eastAsia" w:cs="黑体"/>
                <w:color w:val="auto"/>
                <w:sz w:val="21"/>
                <w:szCs w:val="21"/>
                <w:lang w:val="en-US" w:eastAsia="zh-CN"/>
              </w:rPr>
              <w:t>9</w:t>
            </w:r>
            <w:r>
              <w:rPr>
                <w:rFonts w:hint="eastAsia" w:eastAsia="宋体" w:cs="黑体"/>
                <w:color w:val="auto"/>
                <w:sz w:val="21"/>
                <w:szCs w:val="21"/>
                <w:lang w:val="en-US" w:eastAsia="zh-CN"/>
              </w:rPr>
              <w:t>0</w:t>
            </w:r>
            <w:r>
              <w:rPr>
                <w:rFonts w:eastAsia="宋体" w:cs="黑体"/>
                <w:color w:val="auto"/>
                <w:sz w:val="21"/>
                <w:szCs w:val="21"/>
              </w:rPr>
              <w:t>%</w:t>
            </w:r>
            <w:r>
              <w:rPr>
                <w:rFonts w:hint="eastAsia" w:eastAsia="宋体" w:cs="黑体"/>
                <w:color w:val="auto"/>
                <w:sz w:val="21"/>
                <w:szCs w:val="21"/>
              </w:rPr>
              <w:t>。带入式中得</w:t>
            </w:r>
            <w:r>
              <w:rPr>
                <w:rFonts w:hint="default" w:ascii="Times New Roman" w:hAnsi="Times New Roman" w:eastAsia="宋体" w:cs="Times New Roman"/>
                <w:bCs/>
                <w:color w:val="auto"/>
                <w:sz w:val="21"/>
                <w:szCs w:val="21"/>
              </w:rPr>
              <w:t>G</w:t>
            </w:r>
            <w:r>
              <w:rPr>
                <w:rFonts w:hint="default" w:ascii="Times New Roman" w:hAnsi="Times New Roman" w:eastAsia="宋体" w:cs="Times New Roman"/>
                <w:bCs/>
                <w:color w:val="auto"/>
                <w:sz w:val="21"/>
                <w:szCs w:val="21"/>
                <w:vertAlign w:val="subscript"/>
              </w:rPr>
              <w:t>SO2</w:t>
            </w:r>
            <w:r>
              <w:rPr>
                <w:rFonts w:eastAsia="宋体" w:cs="黑体"/>
                <w:color w:val="auto"/>
                <w:sz w:val="21"/>
                <w:szCs w:val="21"/>
              </w:rPr>
              <w:t>=</w:t>
            </w:r>
            <w:r>
              <w:rPr>
                <w:rFonts w:hint="eastAsia" w:cs="黑体"/>
                <w:color w:val="auto"/>
                <w:sz w:val="21"/>
                <w:szCs w:val="21"/>
                <w:lang w:val="en-US" w:eastAsia="zh-CN"/>
              </w:rPr>
              <w:t>1.1</w:t>
            </w:r>
            <w:r>
              <w:rPr>
                <w:rFonts w:eastAsia="宋体" w:cs="黑体"/>
                <w:color w:val="auto"/>
                <w:sz w:val="21"/>
                <w:szCs w:val="21"/>
              </w:rPr>
              <w:t>t/a</w:t>
            </w:r>
            <w:r>
              <w:rPr>
                <w:rFonts w:hint="eastAsia" w:eastAsia="宋体" w:cs="黑体"/>
                <w:color w:val="auto"/>
                <w:sz w:val="21"/>
                <w:szCs w:val="21"/>
              </w:rPr>
              <w:t>。</w:t>
            </w:r>
          </w:p>
          <w:p w14:paraId="03574BF8">
            <w:pPr>
              <w:bidi w:val="0"/>
              <w:spacing w:line="360" w:lineRule="auto"/>
              <w:ind w:firstLine="420" w:firstLineChars="200"/>
              <w:rPr>
                <w:rFonts w:hint="eastAsia" w:eastAsia="宋体" w:cs="黑体"/>
                <w:color w:val="auto"/>
                <w:sz w:val="21"/>
                <w:szCs w:val="21"/>
                <w:lang w:eastAsia="zh-CN"/>
              </w:rPr>
            </w:pPr>
            <w:r>
              <w:rPr>
                <w:rFonts w:hint="eastAsia" w:eastAsia="宋体" w:cs="黑体"/>
                <w:color w:val="auto"/>
                <w:sz w:val="21"/>
                <w:szCs w:val="21"/>
              </w:rPr>
              <w:t>综上，</w:t>
            </w:r>
            <w:r>
              <w:rPr>
                <w:rFonts w:hint="eastAsia" w:eastAsia="宋体" w:cs="黑体"/>
                <w:b w:val="0"/>
                <w:bCs w:val="0"/>
                <w:color w:val="auto"/>
                <w:sz w:val="21"/>
                <w:szCs w:val="21"/>
                <w:lang w:val="en-US" w:eastAsia="zh-CN"/>
              </w:rPr>
              <w:t>SO</w:t>
            </w:r>
            <w:r>
              <w:rPr>
                <w:rFonts w:hint="eastAsia" w:eastAsia="宋体" w:cs="黑体"/>
                <w:b w:val="0"/>
                <w:bCs w:val="0"/>
                <w:color w:val="auto"/>
                <w:sz w:val="21"/>
                <w:szCs w:val="21"/>
                <w:vertAlign w:val="subscript"/>
                <w:lang w:val="en-US" w:eastAsia="zh-CN"/>
              </w:rPr>
              <w:t>2</w:t>
            </w:r>
            <w:r>
              <w:rPr>
                <w:rFonts w:hint="default" w:ascii="Times New Roman" w:hAnsi="Times New Roman" w:eastAsia="宋体" w:cs="Times New Roman"/>
                <w:bCs/>
                <w:color w:val="auto"/>
                <w:sz w:val="21"/>
                <w:szCs w:val="21"/>
              </w:rPr>
              <w:t>排放</w:t>
            </w:r>
            <w:r>
              <w:rPr>
                <w:rFonts w:hint="eastAsia" w:eastAsia="宋体" w:cs="黑体"/>
                <w:color w:val="auto"/>
                <w:sz w:val="21"/>
                <w:szCs w:val="21"/>
              </w:rPr>
              <w:t>量</w:t>
            </w:r>
            <w:r>
              <w:rPr>
                <w:rFonts w:hint="eastAsia" w:eastAsia="宋体" w:cs="黑体"/>
                <w:color w:val="auto"/>
                <w:sz w:val="21"/>
                <w:szCs w:val="21"/>
                <w:lang w:eastAsia="zh-CN"/>
              </w:rPr>
              <w:t>为</w:t>
            </w:r>
            <w:r>
              <w:rPr>
                <w:rFonts w:hint="eastAsia" w:cs="黑体"/>
                <w:color w:val="auto"/>
                <w:sz w:val="21"/>
                <w:szCs w:val="21"/>
                <w:lang w:val="en-US" w:eastAsia="zh-CN"/>
              </w:rPr>
              <w:t>1.1</w:t>
            </w:r>
            <w:r>
              <w:rPr>
                <w:rFonts w:eastAsia="宋体" w:cs="黑体"/>
                <w:color w:val="auto"/>
                <w:sz w:val="21"/>
                <w:szCs w:val="21"/>
              </w:rPr>
              <w:t>t/a</w:t>
            </w:r>
            <w:r>
              <w:rPr>
                <w:rFonts w:hint="eastAsia" w:eastAsia="宋体" w:cs="Times New Roman"/>
                <w:color w:val="auto"/>
                <w:sz w:val="21"/>
                <w:szCs w:val="21"/>
                <w:lang w:eastAsia="zh-CN"/>
              </w:rPr>
              <w:t>。</w:t>
            </w:r>
          </w:p>
          <w:p w14:paraId="72A427B4">
            <w:pPr>
              <w:spacing w:line="360" w:lineRule="auto"/>
              <w:ind w:firstLine="422" w:firstLineChars="200"/>
              <w:jc w:val="left"/>
              <w:rPr>
                <w:rFonts w:hint="default" w:eastAsia="宋体" w:cs="黑体"/>
                <w:b/>
                <w:bCs/>
                <w:color w:val="auto"/>
                <w:sz w:val="21"/>
                <w:szCs w:val="21"/>
                <w:lang w:val="en-US" w:eastAsia="zh-CN"/>
              </w:rPr>
            </w:pPr>
            <w:r>
              <w:rPr>
                <w:rFonts w:hint="eastAsia" w:eastAsia="宋体" w:cs="黑体"/>
                <w:b/>
                <w:bCs/>
                <w:color w:val="auto"/>
                <w:sz w:val="21"/>
                <w:szCs w:val="21"/>
                <w:lang w:val="en-US" w:eastAsia="zh-CN"/>
              </w:rPr>
              <w:t>3）NO</w:t>
            </w:r>
            <w:r>
              <w:rPr>
                <w:rFonts w:hint="eastAsia" w:eastAsia="宋体" w:cs="黑体"/>
                <w:b/>
                <w:bCs/>
                <w:color w:val="auto"/>
                <w:sz w:val="21"/>
                <w:szCs w:val="21"/>
                <w:vertAlign w:val="subscript"/>
                <w:lang w:val="en-US" w:eastAsia="zh-CN"/>
              </w:rPr>
              <w:t>x</w:t>
            </w:r>
          </w:p>
          <w:p w14:paraId="1AE74C85">
            <w:pPr>
              <w:spacing w:line="360" w:lineRule="auto"/>
              <w:ind w:firstLine="420" w:firstLineChars="200"/>
              <w:jc w:val="left"/>
              <w:rPr>
                <w:rFonts w:hint="eastAsia" w:eastAsia="宋体" w:cs="黑体"/>
                <w:b w:val="0"/>
                <w:bCs w:val="0"/>
                <w:color w:val="auto"/>
                <w:sz w:val="21"/>
                <w:szCs w:val="21"/>
                <w:lang w:val="en-US" w:eastAsia="zh-CN"/>
              </w:rPr>
            </w:pPr>
            <w:r>
              <w:rPr>
                <w:rFonts w:hint="eastAsia" w:eastAsia="宋体" w:cs="黑体"/>
                <w:b w:val="0"/>
                <w:bCs w:val="0"/>
                <w:color w:val="auto"/>
                <w:sz w:val="21"/>
                <w:szCs w:val="21"/>
                <w:lang w:val="en-US" w:eastAsia="zh-CN"/>
              </w:rPr>
              <w:t>NO</w:t>
            </w:r>
            <w:r>
              <w:rPr>
                <w:rFonts w:hint="eastAsia" w:eastAsia="宋体" w:cs="黑体"/>
                <w:b w:val="0"/>
                <w:bCs w:val="0"/>
                <w:color w:val="auto"/>
                <w:sz w:val="21"/>
                <w:szCs w:val="21"/>
                <w:vertAlign w:val="subscript"/>
                <w:lang w:val="en-US" w:eastAsia="zh-CN"/>
              </w:rPr>
              <w:t>x</w:t>
            </w:r>
            <w:r>
              <w:rPr>
                <w:rFonts w:hint="default" w:ascii="Times New Roman" w:hAnsi="Times New Roman" w:eastAsia="宋体" w:cs="Times New Roman"/>
                <w:color w:val="auto"/>
                <w:sz w:val="21"/>
                <w:szCs w:val="21"/>
              </w:rPr>
              <w:t>产生量计算公式：</w:t>
            </w:r>
          </w:p>
          <w:p w14:paraId="74C33D0C">
            <w:pPr>
              <w:spacing w:line="360" w:lineRule="auto"/>
              <w:ind w:firstLine="420" w:firstLineChars="20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G</w:t>
            </w:r>
            <w:r>
              <w:rPr>
                <w:rFonts w:hint="eastAsia" w:eastAsia="宋体" w:cs="Times New Roman"/>
                <w:bCs/>
                <w:color w:val="auto"/>
                <w:sz w:val="21"/>
                <w:szCs w:val="21"/>
                <w:vertAlign w:val="subscript"/>
                <w:lang w:val="en-US" w:eastAsia="zh-CN"/>
              </w:rPr>
              <w:t>NOx</w:t>
            </w:r>
            <w:r>
              <w:rPr>
                <w:rFonts w:hint="default" w:ascii="Times New Roman" w:hAnsi="Times New Roman" w:eastAsia="宋体" w:cs="Times New Roman"/>
                <w:bCs/>
                <w:color w:val="auto"/>
                <w:sz w:val="21"/>
                <w:szCs w:val="21"/>
              </w:rPr>
              <w:t>＝</w:t>
            </w:r>
            <w:r>
              <w:rPr>
                <w:rFonts w:hint="eastAsia" w:eastAsia="宋体" w:cs="Times New Roman"/>
                <w:bCs/>
                <w:color w:val="auto"/>
                <w:sz w:val="21"/>
                <w:szCs w:val="21"/>
                <w:lang w:val="en-US" w:eastAsia="zh-CN"/>
              </w:rPr>
              <w:t>1630</w:t>
            </w:r>
            <w:r>
              <w:rPr>
                <w:rFonts w:hint="default" w:ascii="Times New Roman" w:hAnsi="Times New Roman" w:eastAsia="宋体" w:cs="Times New Roman"/>
                <w:color w:val="auto"/>
                <w:spacing w:val="-2"/>
                <w:sz w:val="21"/>
                <w:szCs w:val="21"/>
              </w:rPr>
              <w:t>×</w:t>
            </w:r>
            <w:r>
              <w:rPr>
                <w:rFonts w:hint="eastAsia" w:eastAsia="宋体" w:cs="Times New Roman"/>
                <w:color w:val="auto"/>
                <w:spacing w:val="-2"/>
                <w:sz w:val="21"/>
                <w:szCs w:val="21"/>
                <w:lang w:val="en-US" w:eastAsia="zh-CN"/>
              </w:rPr>
              <w:t>B（</w:t>
            </w:r>
            <w:r>
              <w:rPr>
                <w:rFonts w:hint="default" w:ascii="Arial" w:hAnsi="Arial" w:eastAsia="宋体" w:cs="Arial"/>
                <w:color w:val="auto"/>
                <w:spacing w:val="-2"/>
                <w:sz w:val="21"/>
                <w:szCs w:val="21"/>
                <w:lang w:val="en-US" w:eastAsia="zh-CN"/>
              </w:rPr>
              <w:t>β</w:t>
            </w:r>
            <w:r>
              <w:rPr>
                <w:rFonts w:hint="default" w:ascii="Times New Roman" w:hAnsi="Times New Roman" w:eastAsia="宋体" w:cs="Times New Roman"/>
                <w:color w:val="auto"/>
                <w:spacing w:val="-2"/>
                <w:sz w:val="21"/>
                <w:szCs w:val="21"/>
              </w:rPr>
              <w:t>×</w:t>
            </w:r>
            <w:r>
              <w:rPr>
                <w:rFonts w:hint="eastAsia" w:eastAsia="宋体" w:cs="Times New Roman"/>
                <w:color w:val="auto"/>
                <w:spacing w:val="-2"/>
                <w:sz w:val="21"/>
                <w:szCs w:val="21"/>
                <w:lang w:val="en-US" w:eastAsia="zh-CN"/>
              </w:rPr>
              <w:t>n+10</w:t>
            </w:r>
            <w:r>
              <w:rPr>
                <w:rFonts w:hint="eastAsia" w:eastAsia="宋体" w:cs="Times New Roman"/>
                <w:color w:val="auto"/>
                <w:spacing w:val="-2"/>
                <w:sz w:val="21"/>
                <w:szCs w:val="21"/>
                <w:vertAlign w:val="superscript"/>
                <w:lang w:val="en-US" w:eastAsia="zh-CN"/>
              </w:rPr>
              <w:t>-6</w:t>
            </w:r>
            <w:r>
              <w:rPr>
                <w:rFonts w:hint="default" w:ascii="Times New Roman" w:hAnsi="Times New Roman" w:eastAsia="宋体" w:cs="Times New Roman"/>
                <w:color w:val="auto"/>
                <w:spacing w:val="-2"/>
                <w:sz w:val="21"/>
                <w:szCs w:val="21"/>
              </w:rPr>
              <w:t>×</w:t>
            </w:r>
            <w:r>
              <w:rPr>
                <w:rFonts w:hint="eastAsia" w:eastAsia="宋体" w:cs="Times New Roman"/>
                <w:color w:val="auto"/>
                <w:spacing w:val="-2"/>
                <w:sz w:val="21"/>
                <w:szCs w:val="21"/>
                <w:lang w:val="en-US" w:eastAsia="zh-CN"/>
              </w:rPr>
              <w:t>Vy</w:t>
            </w:r>
            <w:r>
              <w:rPr>
                <w:rFonts w:hint="default" w:ascii="Times New Roman" w:hAnsi="Times New Roman" w:eastAsia="宋体" w:cs="Times New Roman"/>
                <w:color w:val="auto"/>
                <w:spacing w:val="-2"/>
                <w:sz w:val="21"/>
                <w:szCs w:val="21"/>
              </w:rPr>
              <w:t>×</w:t>
            </w:r>
            <w:r>
              <w:rPr>
                <w:rFonts w:hint="eastAsia" w:eastAsia="宋体" w:cs="Times New Roman"/>
                <w:color w:val="auto"/>
                <w:spacing w:val="-2"/>
                <w:sz w:val="21"/>
                <w:szCs w:val="21"/>
                <w:lang w:val="en-US" w:eastAsia="zh-CN"/>
              </w:rPr>
              <w:t>C</w:t>
            </w:r>
            <w:r>
              <w:rPr>
                <w:rFonts w:hint="eastAsia" w:eastAsia="宋体" w:cs="Times New Roman"/>
                <w:color w:val="auto"/>
                <w:spacing w:val="-2"/>
                <w:sz w:val="21"/>
                <w:szCs w:val="21"/>
                <w:vertAlign w:val="subscript"/>
                <w:lang w:val="en-US" w:eastAsia="zh-CN"/>
              </w:rPr>
              <w:t>NOx</w:t>
            </w:r>
            <w:r>
              <w:rPr>
                <w:rFonts w:hint="eastAsia" w:eastAsia="宋体" w:cs="Times New Roman"/>
                <w:color w:val="auto"/>
                <w:spacing w:val="-2"/>
                <w:sz w:val="21"/>
                <w:szCs w:val="21"/>
                <w:lang w:val="en-US" w:eastAsia="zh-CN"/>
              </w:rPr>
              <w:t>）</w:t>
            </w:r>
          </w:p>
          <w:p w14:paraId="13758758">
            <w:pPr>
              <w:spacing w:line="360" w:lineRule="auto"/>
              <w:ind w:firstLine="420" w:firstLineChars="200"/>
              <w:jc w:val="left"/>
              <w:rPr>
                <w:rFonts w:hint="eastAsia" w:eastAsia="宋体" w:cs="黑体"/>
                <w:b w:val="0"/>
                <w:bCs w:val="0"/>
                <w:color w:val="auto"/>
                <w:sz w:val="21"/>
                <w:szCs w:val="21"/>
                <w:lang w:val="en-US" w:eastAsia="zh-CN"/>
              </w:rPr>
            </w:pPr>
            <w:r>
              <w:rPr>
                <w:rFonts w:hint="default" w:ascii="Times New Roman" w:hAnsi="Times New Roman" w:eastAsia="宋体" w:cs="Times New Roman"/>
                <w:bCs/>
                <w:color w:val="auto"/>
                <w:sz w:val="21"/>
                <w:szCs w:val="21"/>
              </w:rPr>
              <w:t>式中：</w:t>
            </w:r>
          </w:p>
          <w:p w14:paraId="0135A341">
            <w:pPr>
              <w:spacing w:line="360" w:lineRule="auto"/>
              <w:ind w:firstLine="420" w:firstLineChars="20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Cs/>
                <w:color w:val="auto"/>
                <w:sz w:val="21"/>
                <w:szCs w:val="21"/>
              </w:rPr>
              <w:t>G</w:t>
            </w:r>
            <w:r>
              <w:rPr>
                <w:rFonts w:hint="default" w:ascii="Times New Roman" w:hAnsi="Times New Roman" w:eastAsia="宋体" w:cs="Times New Roman"/>
                <w:bCs/>
                <w:color w:val="auto"/>
                <w:sz w:val="21"/>
                <w:szCs w:val="21"/>
                <w:vertAlign w:val="subscript"/>
                <w:lang w:val="en-US" w:eastAsia="zh-CN"/>
              </w:rPr>
              <w:t>NOx</w:t>
            </w:r>
            <w:r>
              <w:rPr>
                <w:rFonts w:hint="default" w:ascii="Times New Roman" w:hAnsi="Times New Roman" w:eastAsia="宋体" w:cs="Times New Roman"/>
                <w:bCs/>
                <w:color w:val="auto"/>
                <w:sz w:val="21"/>
                <w:szCs w:val="21"/>
                <w:vertAlign w:val="baseline"/>
                <w:lang w:val="en-US" w:eastAsia="zh-CN"/>
              </w:rPr>
              <w:t>—燃煤氮氧化物产生量</w:t>
            </w:r>
            <w:r>
              <w:rPr>
                <w:rFonts w:hint="eastAsia" w:eastAsia="宋体" w:cs="Times New Roman"/>
                <w:bCs/>
                <w:color w:val="auto"/>
                <w:sz w:val="21"/>
                <w:szCs w:val="21"/>
                <w:vertAlign w:val="baseline"/>
                <w:lang w:val="en-US" w:eastAsia="zh-CN"/>
              </w:rPr>
              <w:t>，kg</w:t>
            </w:r>
            <w:r>
              <w:rPr>
                <w:rFonts w:hint="default" w:ascii="Times New Roman" w:hAnsi="Times New Roman" w:eastAsia="宋体" w:cs="Times New Roman"/>
                <w:bCs/>
                <w:color w:val="auto"/>
                <w:sz w:val="21"/>
                <w:szCs w:val="21"/>
                <w:vertAlign w:val="baseline"/>
                <w:lang w:val="en-US" w:eastAsia="zh-CN"/>
              </w:rPr>
              <w:t>；</w:t>
            </w:r>
          </w:p>
          <w:p w14:paraId="5D699712">
            <w:pPr>
              <w:spacing w:line="360" w:lineRule="auto"/>
              <w:ind w:firstLine="412" w:firstLineChars="20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pacing w:val="-2"/>
                <w:sz w:val="21"/>
                <w:szCs w:val="21"/>
                <w:lang w:val="en-US" w:eastAsia="zh-CN"/>
              </w:rPr>
              <w:t>B—锅炉耗煤量</w:t>
            </w:r>
            <w:r>
              <w:rPr>
                <w:rFonts w:hint="eastAsia" w:eastAsia="宋体" w:cs="Times New Roman"/>
                <w:color w:val="auto"/>
                <w:spacing w:val="-2"/>
                <w:sz w:val="21"/>
                <w:szCs w:val="21"/>
                <w:lang w:val="en-US" w:eastAsia="zh-CN"/>
              </w:rPr>
              <w:t>，t</w:t>
            </w:r>
            <w:r>
              <w:rPr>
                <w:rFonts w:hint="eastAsia" w:ascii="Times New Roman" w:hAnsi="Times New Roman" w:eastAsia="宋体" w:cs="Times New Roman"/>
                <w:color w:val="auto"/>
                <w:spacing w:val="-2"/>
                <w:sz w:val="21"/>
                <w:szCs w:val="21"/>
                <w:lang w:val="en-US" w:eastAsia="zh-CN"/>
              </w:rPr>
              <w:t>，</w:t>
            </w:r>
            <w:r>
              <w:rPr>
                <w:rFonts w:hint="eastAsia" w:cs="Times New Roman"/>
                <w:color w:val="auto"/>
                <w:sz w:val="21"/>
                <w:szCs w:val="21"/>
                <w:lang w:val="en-US" w:eastAsia="zh-CN"/>
              </w:rPr>
              <w:t>1485</w:t>
            </w:r>
            <w:r>
              <w:rPr>
                <w:rFonts w:hint="eastAsia" w:eastAsia="宋体" w:cs="Times New Roman"/>
                <w:color w:val="auto"/>
                <w:sz w:val="21"/>
                <w:szCs w:val="21"/>
                <w:lang w:val="en-US" w:eastAsia="zh-CN"/>
              </w:rPr>
              <w:t>t</w:t>
            </w:r>
            <w:r>
              <w:rPr>
                <w:rFonts w:hint="default" w:ascii="Times New Roman" w:hAnsi="Times New Roman" w:eastAsia="宋体" w:cs="Times New Roman"/>
                <w:color w:val="auto"/>
                <w:spacing w:val="-2"/>
                <w:sz w:val="21"/>
                <w:szCs w:val="21"/>
                <w:lang w:val="en-US" w:eastAsia="zh-CN"/>
              </w:rPr>
              <w:t>；</w:t>
            </w:r>
          </w:p>
          <w:p w14:paraId="14A8537F">
            <w:pPr>
              <w:spacing w:line="360" w:lineRule="auto"/>
              <w:ind w:firstLine="412" w:firstLineChars="20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pacing w:val="-2"/>
                <w:sz w:val="21"/>
                <w:szCs w:val="21"/>
                <w:lang w:val="en-US" w:eastAsia="zh-CN"/>
              </w:rPr>
              <w:t>β—燃料氮向燃料型NO的转变率</w:t>
            </w:r>
            <w:r>
              <w:rPr>
                <w:rFonts w:hint="eastAsia" w:eastAsia="宋体" w:cs="Times New Roman"/>
                <w:color w:val="auto"/>
                <w:spacing w:val="-2"/>
                <w:sz w:val="21"/>
                <w:szCs w:val="21"/>
                <w:lang w:val="en-US" w:eastAsia="zh-CN"/>
              </w:rPr>
              <w:t>，</w:t>
            </w:r>
            <w:r>
              <w:rPr>
                <w:rFonts w:hint="default" w:ascii="Times New Roman" w:hAnsi="Times New Roman" w:eastAsia="宋体" w:cs="Times New Roman"/>
                <w:color w:val="auto"/>
                <w:spacing w:val="-2"/>
                <w:sz w:val="21"/>
                <w:szCs w:val="21"/>
                <w:lang w:val="en-US" w:eastAsia="zh-CN"/>
              </w:rPr>
              <w:t>与燃料含氮量n有关。普通燃烧条件下燃煤层燃炉为25~50%，</w:t>
            </w:r>
            <w:r>
              <w:rPr>
                <w:rFonts w:hint="eastAsia" w:eastAsia="宋体" w:cs="Times New Roman"/>
                <w:color w:val="auto"/>
                <w:spacing w:val="-2"/>
                <w:sz w:val="21"/>
                <w:szCs w:val="21"/>
                <w:lang w:val="en-US" w:eastAsia="zh-CN"/>
              </w:rPr>
              <w:t>取30%</w:t>
            </w:r>
            <w:r>
              <w:rPr>
                <w:rFonts w:hint="default" w:ascii="Times New Roman" w:hAnsi="Times New Roman" w:eastAsia="宋体" w:cs="Times New Roman"/>
                <w:color w:val="auto"/>
                <w:spacing w:val="-2"/>
                <w:sz w:val="21"/>
                <w:szCs w:val="21"/>
                <w:lang w:val="en-US" w:eastAsia="zh-CN"/>
              </w:rPr>
              <w:t>；</w:t>
            </w:r>
          </w:p>
          <w:p w14:paraId="1ED98D07">
            <w:pPr>
              <w:spacing w:line="360" w:lineRule="auto"/>
              <w:ind w:firstLine="412" w:firstLineChars="20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pacing w:val="-2"/>
                <w:sz w:val="21"/>
                <w:szCs w:val="21"/>
                <w:lang w:val="en-US" w:eastAsia="zh-CN"/>
              </w:rPr>
              <w:t>n—燃料中氨的含量</w:t>
            </w:r>
            <w:r>
              <w:rPr>
                <w:rFonts w:hint="eastAsia" w:eastAsia="宋体" w:cs="Times New Roman"/>
                <w:color w:val="auto"/>
                <w:spacing w:val="-2"/>
                <w:sz w:val="21"/>
                <w:szCs w:val="21"/>
                <w:lang w:val="en-US" w:eastAsia="zh-CN"/>
              </w:rPr>
              <w:t>，</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eastAsia="zh-CN"/>
              </w:rPr>
              <w:t>，</w:t>
            </w:r>
            <w:r>
              <w:rPr>
                <w:rFonts w:hint="eastAsia" w:eastAsia="宋体" w:cs="Times New Roman"/>
                <w:color w:val="auto"/>
                <w:spacing w:val="-2"/>
                <w:sz w:val="21"/>
                <w:szCs w:val="21"/>
                <w:lang w:val="en-US" w:eastAsia="zh-CN"/>
              </w:rPr>
              <w:t>取0.3%</w:t>
            </w:r>
            <w:r>
              <w:rPr>
                <w:rFonts w:hint="default" w:ascii="Times New Roman" w:hAnsi="Times New Roman" w:eastAsia="宋体" w:cs="Times New Roman"/>
                <w:color w:val="auto"/>
                <w:spacing w:val="-2"/>
                <w:sz w:val="21"/>
                <w:szCs w:val="21"/>
                <w:lang w:val="en-US" w:eastAsia="zh-CN"/>
              </w:rPr>
              <w:t>；</w:t>
            </w:r>
          </w:p>
          <w:p w14:paraId="2D9DFCD7">
            <w:pPr>
              <w:spacing w:line="360" w:lineRule="auto"/>
              <w:ind w:firstLine="412" w:firstLineChars="20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pacing w:val="-2"/>
                <w:sz w:val="21"/>
                <w:szCs w:val="21"/>
                <w:lang w:val="en-US" w:eastAsia="zh-CN"/>
              </w:rPr>
              <w:t>Vy—1千克燃料生成的烟气量</w:t>
            </w:r>
            <w:r>
              <w:rPr>
                <w:rFonts w:hint="eastAsia" w:eastAsia="宋体" w:cs="Times New Roman"/>
                <w:color w:val="auto"/>
                <w:spacing w:val="-2"/>
                <w:sz w:val="21"/>
                <w:szCs w:val="21"/>
                <w:lang w:val="en-US" w:eastAsia="zh-CN"/>
              </w:rPr>
              <w:t>，</w:t>
            </w:r>
            <w:r>
              <w:rPr>
                <w:rFonts w:hint="default" w:ascii="Times New Roman" w:hAnsi="Times New Roman" w:eastAsia="宋体" w:cs="Times New Roman"/>
                <w:color w:val="auto"/>
                <w:spacing w:val="-2"/>
                <w:sz w:val="21"/>
                <w:szCs w:val="21"/>
                <w:lang w:val="en-US" w:eastAsia="zh-CN"/>
              </w:rPr>
              <w:t>标</w:t>
            </w:r>
            <w:r>
              <w:rPr>
                <w:rFonts w:hint="eastAsia" w:eastAsia="宋体" w:cs="Times New Roman"/>
                <w:color w:val="auto"/>
                <w:spacing w:val="-2"/>
                <w:sz w:val="21"/>
                <w:szCs w:val="21"/>
                <w:lang w:val="en-US" w:eastAsia="zh-CN"/>
              </w:rPr>
              <w:t>m</w:t>
            </w:r>
            <w:r>
              <w:rPr>
                <w:rFonts w:hint="eastAsia" w:eastAsia="宋体" w:cs="Times New Roman"/>
                <w:color w:val="auto"/>
                <w:spacing w:val="-2"/>
                <w:sz w:val="21"/>
                <w:szCs w:val="21"/>
                <w:vertAlign w:val="superscript"/>
                <w:lang w:val="en-US" w:eastAsia="zh-CN"/>
              </w:rPr>
              <w:t>3</w:t>
            </w:r>
            <w:r>
              <w:rPr>
                <w:rFonts w:hint="default" w:ascii="Times New Roman" w:hAnsi="Times New Roman" w:eastAsia="宋体" w:cs="Times New Roman"/>
                <w:color w:val="auto"/>
                <w:spacing w:val="-2"/>
                <w:sz w:val="21"/>
                <w:szCs w:val="21"/>
                <w:lang w:val="en-US" w:eastAsia="zh-CN"/>
              </w:rPr>
              <w:t>/</w:t>
            </w:r>
            <w:r>
              <w:rPr>
                <w:rFonts w:hint="eastAsia" w:eastAsia="宋体" w:cs="Times New Roman"/>
                <w:color w:val="auto"/>
                <w:spacing w:val="-2"/>
                <w:sz w:val="21"/>
                <w:szCs w:val="21"/>
                <w:lang w:val="en-US" w:eastAsia="zh-CN"/>
              </w:rPr>
              <w:t>kg</w:t>
            </w:r>
            <w:r>
              <w:rPr>
                <w:rFonts w:hint="default" w:ascii="Times New Roman" w:hAnsi="Times New Roman" w:eastAsia="宋体" w:cs="Times New Roman"/>
                <w:color w:val="auto"/>
                <w:spacing w:val="-2"/>
                <w:sz w:val="21"/>
                <w:szCs w:val="21"/>
                <w:lang w:val="en-US" w:eastAsia="zh-CN"/>
              </w:rPr>
              <w:t>，取7.8936标</w:t>
            </w:r>
            <w:r>
              <w:rPr>
                <w:rFonts w:hint="eastAsia" w:eastAsia="宋体" w:cs="Times New Roman"/>
                <w:color w:val="auto"/>
                <w:spacing w:val="-2"/>
                <w:sz w:val="21"/>
                <w:szCs w:val="21"/>
                <w:lang w:val="en-US" w:eastAsia="zh-CN"/>
              </w:rPr>
              <w:t>m</w:t>
            </w:r>
            <w:r>
              <w:rPr>
                <w:rFonts w:hint="default" w:ascii="Times New Roman" w:hAnsi="Times New Roman" w:eastAsia="宋体" w:cs="Times New Roman"/>
                <w:color w:val="auto"/>
                <w:spacing w:val="-2"/>
                <w:sz w:val="21"/>
                <w:szCs w:val="21"/>
                <w:vertAlign w:val="superscript"/>
                <w:lang w:val="en-US" w:eastAsia="zh-CN"/>
              </w:rPr>
              <w:t>3</w:t>
            </w:r>
            <w:r>
              <w:rPr>
                <w:rFonts w:hint="default" w:ascii="Times New Roman" w:hAnsi="Times New Roman" w:eastAsia="宋体" w:cs="Times New Roman"/>
                <w:color w:val="auto"/>
                <w:spacing w:val="-2"/>
                <w:sz w:val="21"/>
                <w:szCs w:val="21"/>
                <w:lang w:val="en-US" w:eastAsia="zh-CN"/>
              </w:rPr>
              <w:t>/</w:t>
            </w:r>
            <w:r>
              <w:rPr>
                <w:rFonts w:hint="eastAsia" w:eastAsia="宋体" w:cs="Times New Roman"/>
                <w:color w:val="auto"/>
                <w:spacing w:val="-2"/>
                <w:sz w:val="21"/>
                <w:szCs w:val="21"/>
                <w:lang w:val="en-US" w:eastAsia="zh-CN"/>
              </w:rPr>
              <w:t>kg</w:t>
            </w:r>
            <w:r>
              <w:rPr>
                <w:rFonts w:hint="default" w:ascii="Times New Roman" w:hAnsi="Times New Roman" w:eastAsia="宋体" w:cs="Times New Roman"/>
                <w:color w:val="auto"/>
                <w:spacing w:val="-2"/>
                <w:sz w:val="21"/>
                <w:szCs w:val="21"/>
                <w:lang w:val="en-US" w:eastAsia="zh-CN"/>
              </w:rPr>
              <w:t>；</w:t>
            </w:r>
          </w:p>
          <w:p w14:paraId="561548D4">
            <w:pPr>
              <w:spacing w:line="360" w:lineRule="auto"/>
              <w:ind w:firstLine="412" w:firstLineChars="20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pacing w:val="-2"/>
                <w:sz w:val="21"/>
                <w:szCs w:val="21"/>
                <w:lang w:val="en-US" w:eastAsia="zh-CN"/>
              </w:rPr>
              <w:t>C</w:t>
            </w:r>
            <w:r>
              <w:rPr>
                <w:rFonts w:hint="default" w:ascii="Times New Roman" w:hAnsi="Times New Roman" w:eastAsia="宋体" w:cs="Times New Roman"/>
                <w:color w:val="auto"/>
                <w:spacing w:val="-2"/>
                <w:sz w:val="21"/>
                <w:szCs w:val="21"/>
                <w:vertAlign w:val="subscript"/>
                <w:lang w:val="en-US" w:eastAsia="zh-CN"/>
              </w:rPr>
              <w:t>NOx</w:t>
            </w:r>
            <w:r>
              <w:rPr>
                <w:rFonts w:hint="default" w:ascii="Times New Roman" w:hAnsi="Times New Roman" w:eastAsia="宋体" w:cs="Times New Roman"/>
                <w:color w:val="auto"/>
                <w:spacing w:val="-2"/>
                <w:sz w:val="21"/>
                <w:szCs w:val="21"/>
                <w:vertAlign w:val="baseline"/>
                <w:lang w:val="en-US" w:eastAsia="zh-CN"/>
              </w:rPr>
              <w:t>—燃烧时生成的温度温度型NO的浓度</w:t>
            </w:r>
            <w:r>
              <w:rPr>
                <w:rFonts w:hint="eastAsia" w:eastAsia="宋体" w:cs="Times New Roman"/>
                <w:color w:val="auto"/>
                <w:spacing w:val="-2"/>
                <w:sz w:val="21"/>
                <w:szCs w:val="21"/>
                <w:vertAlign w:val="baseline"/>
                <w:lang w:val="en-US" w:eastAsia="zh-CN"/>
              </w:rPr>
              <w:t>，</w:t>
            </w:r>
            <w:r>
              <w:rPr>
                <w:rFonts w:hint="eastAsia" w:ascii="Times New Roman" w:hAnsi="Times New Roman" w:eastAsia="宋体" w:cs="Times New Roman"/>
                <w:color w:val="auto"/>
                <w:spacing w:val="-2"/>
                <w:sz w:val="21"/>
                <w:szCs w:val="21"/>
                <w:vertAlign w:val="baseline"/>
                <w:lang w:val="en-US" w:eastAsia="zh-CN"/>
              </w:rPr>
              <w:t>mg</w:t>
            </w:r>
            <w:r>
              <w:rPr>
                <w:rFonts w:hint="default" w:ascii="Times New Roman" w:hAnsi="Times New Roman" w:eastAsia="宋体" w:cs="Times New Roman"/>
                <w:color w:val="auto"/>
                <w:spacing w:val="-2"/>
                <w:sz w:val="21"/>
                <w:szCs w:val="21"/>
                <w:vertAlign w:val="baseline"/>
                <w:lang w:val="en-US" w:eastAsia="zh-CN"/>
              </w:rPr>
              <w:t>/标</w:t>
            </w:r>
            <w:r>
              <w:rPr>
                <w:rFonts w:hint="eastAsia" w:eastAsia="宋体" w:cs="黑体"/>
                <w:b w:val="0"/>
                <w:bCs/>
                <w:color w:val="auto"/>
                <w:sz w:val="21"/>
                <w:szCs w:val="21"/>
                <w:highlight w:val="none"/>
                <w:lang w:val="en-US" w:eastAsia="zh-CN"/>
              </w:rPr>
              <w:t>m</w:t>
            </w:r>
            <w:r>
              <w:rPr>
                <w:rFonts w:hint="eastAsia" w:eastAsia="宋体" w:cs="黑体"/>
                <w:b w:val="0"/>
                <w:bCs/>
                <w:color w:val="auto"/>
                <w:sz w:val="21"/>
                <w:szCs w:val="21"/>
                <w:highlight w:val="none"/>
                <w:vertAlign w:val="superscript"/>
                <w:lang w:val="en-US" w:eastAsia="zh-CN"/>
              </w:rPr>
              <w:t>3</w:t>
            </w:r>
            <w:r>
              <w:rPr>
                <w:rFonts w:hint="default" w:ascii="Times New Roman" w:hAnsi="Times New Roman" w:eastAsia="宋体" w:cs="Times New Roman"/>
                <w:color w:val="auto"/>
                <w:spacing w:val="-2"/>
                <w:sz w:val="21"/>
                <w:szCs w:val="21"/>
                <w:vertAlign w:val="baseline"/>
                <w:lang w:val="en-US" w:eastAsia="zh-CN"/>
              </w:rPr>
              <w:t>，通常可取70ppm，即93.8</w:t>
            </w:r>
            <w:r>
              <w:rPr>
                <w:rFonts w:hint="eastAsia" w:ascii="Times New Roman" w:hAnsi="Times New Roman" w:eastAsia="宋体" w:cs="Times New Roman"/>
                <w:color w:val="auto"/>
                <w:spacing w:val="-2"/>
                <w:sz w:val="21"/>
                <w:szCs w:val="21"/>
                <w:vertAlign w:val="baseline"/>
                <w:lang w:val="en-US" w:eastAsia="zh-CN"/>
              </w:rPr>
              <w:t>mg</w:t>
            </w:r>
            <w:r>
              <w:rPr>
                <w:rFonts w:hint="default" w:ascii="Times New Roman" w:hAnsi="Times New Roman" w:eastAsia="宋体" w:cs="Times New Roman"/>
                <w:color w:val="auto"/>
                <w:spacing w:val="-2"/>
                <w:sz w:val="21"/>
                <w:szCs w:val="21"/>
                <w:vertAlign w:val="baseline"/>
                <w:lang w:val="en-US" w:eastAsia="zh-CN"/>
              </w:rPr>
              <w:t>/标</w:t>
            </w:r>
            <w:r>
              <w:rPr>
                <w:rFonts w:hint="eastAsia" w:eastAsia="宋体" w:cs="黑体"/>
                <w:b w:val="0"/>
                <w:bCs/>
                <w:color w:val="auto"/>
                <w:sz w:val="21"/>
                <w:szCs w:val="21"/>
                <w:highlight w:val="none"/>
                <w:lang w:val="en-US" w:eastAsia="zh-CN"/>
              </w:rPr>
              <w:t>m</w:t>
            </w:r>
            <w:r>
              <w:rPr>
                <w:rFonts w:hint="eastAsia" w:eastAsia="宋体" w:cs="黑体"/>
                <w:b w:val="0"/>
                <w:bCs/>
                <w:color w:val="auto"/>
                <w:sz w:val="21"/>
                <w:szCs w:val="21"/>
                <w:highlight w:val="none"/>
                <w:vertAlign w:val="superscript"/>
                <w:lang w:val="en-US" w:eastAsia="zh-CN"/>
              </w:rPr>
              <w:t>3</w:t>
            </w:r>
            <w:r>
              <w:rPr>
                <w:rFonts w:hint="eastAsia" w:ascii="Times New Roman" w:hAnsi="Times New Roman" w:eastAsia="宋体" w:cs="Times New Roman"/>
                <w:color w:val="auto"/>
                <w:spacing w:val="-2"/>
                <w:sz w:val="21"/>
                <w:szCs w:val="21"/>
                <w:vertAlign w:val="baseline"/>
                <w:lang w:val="en-US" w:eastAsia="zh-CN"/>
              </w:rPr>
              <w:t>。</w:t>
            </w:r>
          </w:p>
          <w:p w14:paraId="687FDA45">
            <w:pPr>
              <w:spacing w:line="360" w:lineRule="auto"/>
              <w:ind w:firstLine="420" w:firstLineChars="200"/>
              <w:rPr>
                <w:rFonts w:eastAsia="宋体" w:cs="黑体"/>
                <w:color w:val="auto"/>
                <w:sz w:val="21"/>
                <w:szCs w:val="21"/>
              </w:rPr>
            </w:pPr>
            <w:r>
              <w:rPr>
                <w:rFonts w:hint="eastAsia" w:eastAsia="宋体" w:cs="黑体"/>
                <w:color w:val="auto"/>
                <w:sz w:val="21"/>
                <w:szCs w:val="21"/>
              </w:rPr>
              <w:t>其中</w:t>
            </w:r>
            <w:r>
              <w:rPr>
                <w:rFonts w:hint="default" w:ascii="Times New Roman" w:hAnsi="Times New Roman" w:eastAsia="宋体" w:cs="Times New Roman"/>
                <w:color w:val="auto"/>
                <w:spacing w:val="-2"/>
                <w:sz w:val="21"/>
                <w:szCs w:val="21"/>
                <w:lang w:val="en-US" w:eastAsia="zh-CN"/>
              </w:rPr>
              <w:t>B</w:t>
            </w:r>
            <w:r>
              <w:rPr>
                <w:rFonts w:hint="eastAsia" w:eastAsia="宋体" w:cs="黑体"/>
                <w:color w:val="auto"/>
                <w:sz w:val="21"/>
                <w:szCs w:val="21"/>
                <w:lang w:val="en-US" w:eastAsia="zh-CN"/>
              </w:rPr>
              <w:t>=</w:t>
            </w:r>
            <w:r>
              <w:rPr>
                <w:rFonts w:hint="eastAsia" w:cs="黑体"/>
                <w:color w:val="auto"/>
                <w:sz w:val="21"/>
                <w:szCs w:val="21"/>
                <w:lang w:val="en-US" w:eastAsia="zh-CN"/>
              </w:rPr>
              <w:t>1485</w:t>
            </w:r>
            <w:r>
              <w:rPr>
                <w:rFonts w:hint="eastAsia" w:eastAsia="宋体" w:cs="黑体"/>
                <w:color w:val="auto"/>
                <w:sz w:val="21"/>
                <w:szCs w:val="21"/>
              </w:rPr>
              <w:t>t/a</w:t>
            </w:r>
            <w:r>
              <w:rPr>
                <w:rFonts w:hint="eastAsia" w:eastAsia="宋体" w:cs="黑体"/>
                <w:color w:val="auto"/>
                <w:sz w:val="21"/>
                <w:szCs w:val="21"/>
                <w:lang w:eastAsia="zh-CN"/>
              </w:rPr>
              <w:t>，</w:t>
            </w:r>
            <w:r>
              <w:rPr>
                <w:rFonts w:hint="default" w:ascii="Times New Roman" w:hAnsi="Times New Roman" w:eastAsia="宋体" w:cs="Times New Roman"/>
                <w:color w:val="auto"/>
                <w:spacing w:val="-2"/>
                <w:sz w:val="21"/>
                <w:szCs w:val="21"/>
                <w:lang w:val="en-US" w:eastAsia="zh-CN"/>
              </w:rPr>
              <w:t>β</w:t>
            </w:r>
            <w:r>
              <w:rPr>
                <w:rFonts w:hint="eastAsia" w:eastAsia="宋体" w:cs="黑体"/>
                <w:color w:val="auto"/>
                <w:sz w:val="21"/>
                <w:szCs w:val="21"/>
                <w:lang w:val="en-US" w:eastAsia="zh-CN"/>
              </w:rPr>
              <w:t>取30</w:t>
            </w:r>
            <w:r>
              <w:rPr>
                <w:rFonts w:eastAsia="宋体" w:cs="黑体"/>
                <w:color w:val="auto"/>
                <w:sz w:val="21"/>
                <w:szCs w:val="21"/>
              </w:rPr>
              <w:t>%</w:t>
            </w:r>
            <w:r>
              <w:rPr>
                <w:rFonts w:hint="eastAsia" w:eastAsia="宋体" w:cs="黑体"/>
                <w:color w:val="auto"/>
                <w:sz w:val="21"/>
                <w:szCs w:val="21"/>
                <w:lang w:eastAsia="zh-CN"/>
              </w:rPr>
              <w:t>，</w:t>
            </w:r>
            <w:r>
              <w:rPr>
                <w:rFonts w:hint="default" w:ascii="Times New Roman" w:hAnsi="Times New Roman" w:eastAsia="宋体" w:cs="Times New Roman"/>
                <w:color w:val="auto"/>
                <w:spacing w:val="-2"/>
                <w:sz w:val="21"/>
                <w:szCs w:val="21"/>
                <w:lang w:val="en-US" w:eastAsia="zh-CN"/>
              </w:rPr>
              <w:t>n</w:t>
            </w:r>
            <w:r>
              <w:rPr>
                <w:rFonts w:hint="eastAsia" w:eastAsia="宋体" w:cs="黑体"/>
                <w:color w:val="auto"/>
                <w:sz w:val="21"/>
                <w:szCs w:val="21"/>
                <w:lang w:eastAsia="zh-CN"/>
              </w:rPr>
              <w:t>取</w:t>
            </w:r>
            <w:r>
              <w:rPr>
                <w:rFonts w:hint="eastAsia" w:eastAsia="宋体" w:cs="黑体"/>
                <w:color w:val="auto"/>
                <w:sz w:val="21"/>
                <w:szCs w:val="21"/>
                <w:lang w:val="en-US" w:eastAsia="zh-CN"/>
              </w:rPr>
              <w:t>0.</w:t>
            </w:r>
            <w:r>
              <w:rPr>
                <w:rFonts w:hint="eastAsia" w:eastAsia="宋体" w:cs="Times New Roman"/>
                <w:color w:val="auto"/>
                <w:spacing w:val="-2"/>
                <w:sz w:val="21"/>
                <w:szCs w:val="21"/>
                <w:lang w:val="en-US" w:eastAsia="zh-CN"/>
              </w:rPr>
              <w:t>3%</w:t>
            </w:r>
            <w:r>
              <w:rPr>
                <w:rFonts w:hint="eastAsia" w:eastAsia="宋体" w:cs="黑体"/>
                <w:color w:val="auto"/>
                <w:sz w:val="21"/>
                <w:szCs w:val="21"/>
              </w:rPr>
              <w:t>，</w:t>
            </w:r>
            <w:r>
              <w:rPr>
                <w:rFonts w:hint="default" w:ascii="Times New Roman" w:hAnsi="Times New Roman" w:eastAsia="宋体" w:cs="Times New Roman"/>
                <w:color w:val="auto"/>
                <w:spacing w:val="-2"/>
                <w:sz w:val="21"/>
                <w:szCs w:val="21"/>
                <w:lang w:val="en-US" w:eastAsia="zh-CN"/>
              </w:rPr>
              <w:t>Vy</w:t>
            </w:r>
            <w:r>
              <w:rPr>
                <w:rFonts w:hint="eastAsia" w:eastAsia="宋体" w:cs="黑体"/>
                <w:color w:val="auto"/>
                <w:sz w:val="21"/>
                <w:szCs w:val="21"/>
              </w:rPr>
              <w:t>取</w:t>
            </w:r>
            <w:r>
              <w:rPr>
                <w:rFonts w:hint="default" w:ascii="Times New Roman" w:hAnsi="Times New Roman" w:eastAsia="宋体" w:cs="Times New Roman"/>
                <w:color w:val="auto"/>
                <w:spacing w:val="-2"/>
                <w:sz w:val="21"/>
                <w:szCs w:val="21"/>
                <w:lang w:val="en-US" w:eastAsia="zh-CN"/>
              </w:rPr>
              <w:t>7.8936</w:t>
            </w:r>
            <w:r>
              <w:rPr>
                <w:rFonts w:hint="eastAsia" w:eastAsia="宋体" w:cs="黑体"/>
                <w:b w:val="0"/>
                <w:bCs/>
                <w:color w:val="auto"/>
                <w:sz w:val="21"/>
                <w:szCs w:val="21"/>
                <w:highlight w:val="none"/>
                <w:lang w:val="en-US" w:eastAsia="zh-CN"/>
              </w:rPr>
              <w:t>m</w:t>
            </w:r>
            <w:r>
              <w:rPr>
                <w:rFonts w:hint="eastAsia" w:eastAsia="宋体" w:cs="黑体"/>
                <w:b w:val="0"/>
                <w:bCs/>
                <w:color w:val="auto"/>
                <w:sz w:val="21"/>
                <w:szCs w:val="21"/>
                <w:highlight w:val="none"/>
                <w:vertAlign w:val="superscript"/>
                <w:lang w:val="en-US" w:eastAsia="zh-CN"/>
              </w:rPr>
              <w:t>3</w:t>
            </w:r>
            <w:r>
              <w:rPr>
                <w:rFonts w:hint="eastAsia" w:eastAsia="宋体" w:cs="黑体"/>
                <w:b w:val="0"/>
                <w:bCs/>
                <w:color w:val="auto"/>
                <w:sz w:val="21"/>
                <w:szCs w:val="21"/>
                <w:highlight w:val="none"/>
                <w:lang w:val="en-US" w:eastAsia="zh-CN"/>
              </w:rPr>
              <w:t>/kg，</w:t>
            </w:r>
            <w:r>
              <w:rPr>
                <w:rFonts w:hint="default" w:ascii="Times New Roman" w:hAnsi="Times New Roman" w:eastAsia="宋体" w:cs="Times New Roman"/>
                <w:color w:val="auto"/>
                <w:spacing w:val="-2"/>
                <w:sz w:val="21"/>
                <w:szCs w:val="21"/>
                <w:lang w:val="en-US" w:eastAsia="zh-CN"/>
              </w:rPr>
              <w:t>C</w:t>
            </w:r>
            <w:r>
              <w:rPr>
                <w:rFonts w:hint="default" w:ascii="Times New Roman" w:hAnsi="Times New Roman" w:eastAsia="宋体" w:cs="Times New Roman"/>
                <w:color w:val="auto"/>
                <w:spacing w:val="-2"/>
                <w:sz w:val="21"/>
                <w:szCs w:val="21"/>
                <w:vertAlign w:val="subscript"/>
                <w:lang w:val="en-US" w:eastAsia="zh-CN"/>
              </w:rPr>
              <w:t>NOx</w:t>
            </w:r>
            <w:r>
              <w:rPr>
                <w:rFonts w:hint="eastAsia" w:ascii="Times New Roman" w:hAnsi="Times New Roman" w:eastAsia="宋体" w:cs="Times New Roman"/>
                <w:color w:val="auto"/>
                <w:spacing w:val="-2"/>
                <w:sz w:val="21"/>
                <w:szCs w:val="21"/>
                <w:vertAlign w:val="baseline"/>
                <w:lang w:val="en-US" w:eastAsia="zh-CN"/>
              </w:rPr>
              <w:t>取</w:t>
            </w:r>
            <w:r>
              <w:rPr>
                <w:rFonts w:hint="default" w:ascii="Times New Roman" w:hAnsi="Times New Roman" w:eastAsia="宋体" w:cs="Times New Roman"/>
                <w:color w:val="auto"/>
                <w:spacing w:val="-2"/>
                <w:sz w:val="21"/>
                <w:szCs w:val="21"/>
                <w:vertAlign w:val="baseline"/>
                <w:lang w:val="en-US" w:eastAsia="zh-CN"/>
              </w:rPr>
              <w:t>93.8</w:t>
            </w:r>
            <w:r>
              <w:rPr>
                <w:rFonts w:hint="eastAsia" w:ascii="Times New Roman" w:hAnsi="Times New Roman" w:eastAsia="宋体" w:cs="Times New Roman"/>
                <w:color w:val="auto"/>
                <w:spacing w:val="-2"/>
                <w:sz w:val="21"/>
                <w:szCs w:val="21"/>
                <w:vertAlign w:val="baseline"/>
                <w:lang w:val="en-US" w:eastAsia="zh-CN"/>
              </w:rPr>
              <w:t>mg/</w:t>
            </w:r>
            <w:r>
              <w:rPr>
                <w:rFonts w:hint="eastAsia" w:eastAsia="宋体" w:cs="黑体"/>
                <w:b w:val="0"/>
                <w:bCs/>
                <w:color w:val="auto"/>
                <w:sz w:val="21"/>
                <w:szCs w:val="21"/>
                <w:highlight w:val="none"/>
                <w:lang w:val="en-US" w:eastAsia="zh-CN"/>
              </w:rPr>
              <w:t>m</w:t>
            </w:r>
            <w:r>
              <w:rPr>
                <w:rFonts w:hint="eastAsia" w:eastAsia="宋体" w:cs="黑体"/>
                <w:b w:val="0"/>
                <w:bCs/>
                <w:color w:val="auto"/>
                <w:sz w:val="21"/>
                <w:szCs w:val="21"/>
                <w:highlight w:val="none"/>
                <w:vertAlign w:val="superscript"/>
                <w:lang w:val="en-US" w:eastAsia="zh-CN"/>
              </w:rPr>
              <w:t>3</w:t>
            </w:r>
            <w:r>
              <w:rPr>
                <w:rFonts w:hint="eastAsia" w:eastAsia="宋体" w:cs="黑体"/>
                <w:color w:val="auto"/>
                <w:sz w:val="21"/>
                <w:szCs w:val="21"/>
              </w:rPr>
              <w:t>。带入式中得</w:t>
            </w:r>
            <w:r>
              <w:rPr>
                <w:rFonts w:hint="default" w:ascii="Times New Roman" w:hAnsi="Times New Roman" w:eastAsia="宋体" w:cs="Times New Roman"/>
                <w:bCs/>
                <w:color w:val="auto"/>
                <w:sz w:val="21"/>
                <w:szCs w:val="21"/>
              </w:rPr>
              <w:t>G</w:t>
            </w:r>
            <w:r>
              <w:rPr>
                <w:rFonts w:hint="default" w:ascii="Times New Roman" w:hAnsi="Times New Roman" w:eastAsia="宋体" w:cs="Times New Roman"/>
                <w:bCs/>
                <w:color w:val="auto"/>
                <w:sz w:val="21"/>
                <w:szCs w:val="21"/>
                <w:vertAlign w:val="subscript"/>
                <w:lang w:val="en-US" w:eastAsia="zh-CN"/>
              </w:rPr>
              <w:t>NOx</w:t>
            </w:r>
            <w:r>
              <w:rPr>
                <w:rFonts w:eastAsia="宋体" w:cs="黑体"/>
                <w:color w:val="auto"/>
                <w:sz w:val="21"/>
                <w:szCs w:val="21"/>
              </w:rPr>
              <w:t>=</w:t>
            </w:r>
            <w:r>
              <w:rPr>
                <w:rFonts w:hint="eastAsia" w:cs="黑体"/>
                <w:color w:val="auto"/>
                <w:sz w:val="21"/>
                <w:szCs w:val="21"/>
                <w:lang w:val="en-US" w:eastAsia="zh-CN"/>
              </w:rPr>
              <w:t>3972</w:t>
            </w:r>
            <w:r>
              <w:rPr>
                <w:rFonts w:hint="eastAsia" w:eastAsia="宋体" w:cs="黑体"/>
                <w:color w:val="auto"/>
                <w:sz w:val="21"/>
                <w:szCs w:val="21"/>
                <w:lang w:val="en-US" w:eastAsia="zh-CN"/>
              </w:rPr>
              <w:t>kg=</w:t>
            </w:r>
            <w:r>
              <w:rPr>
                <w:rFonts w:hint="eastAsia" w:cs="黑体"/>
                <w:color w:val="auto"/>
                <w:sz w:val="21"/>
                <w:szCs w:val="21"/>
                <w:lang w:val="en-US" w:eastAsia="zh-CN"/>
              </w:rPr>
              <w:t>3.97</w:t>
            </w:r>
            <w:r>
              <w:rPr>
                <w:rFonts w:hint="eastAsia" w:eastAsia="宋体" w:cs="黑体"/>
                <w:color w:val="auto"/>
                <w:sz w:val="21"/>
                <w:szCs w:val="21"/>
                <w:lang w:val="en-US" w:eastAsia="zh-CN"/>
              </w:rPr>
              <w:t>t</w:t>
            </w:r>
            <w:r>
              <w:rPr>
                <w:rFonts w:hint="eastAsia" w:eastAsia="宋体" w:cs="黑体"/>
                <w:color w:val="auto"/>
                <w:sz w:val="21"/>
                <w:szCs w:val="21"/>
              </w:rPr>
              <w:t>。</w:t>
            </w:r>
          </w:p>
          <w:p w14:paraId="0F8566A1">
            <w:pPr>
              <w:spacing w:line="360" w:lineRule="auto"/>
              <w:ind w:firstLine="420" w:firstLineChars="200"/>
              <w:jc w:val="left"/>
              <w:rPr>
                <w:rFonts w:hint="eastAsia" w:eastAsia="宋体" w:cs="黑体"/>
                <w:b w:val="0"/>
                <w:bCs w:val="0"/>
                <w:color w:val="auto"/>
                <w:sz w:val="21"/>
                <w:szCs w:val="21"/>
                <w:lang w:val="en-US" w:eastAsia="zh-CN"/>
              </w:rPr>
            </w:pPr>
            <w:r>
              <w:rPr>
                <w:rFonts w:hint="eastAsia" w:eastAsia="宋体" w:cs="黑体"/>
                <w:color w:val="auto"/>
                <w:sz w:val="21"/>
                <w:szCs w:val="21"/>
              </w:rPr>
              <w:t>综上，</w:t>
            </w:r>
            <w:r>
              <w:rPr>
                <w:rFonts w:hint="eastAsia" w:eastAsia="宋体" w:cs="黑体"/>
                <w:b w:val="0"/>
                <w:bCs w:val="0"/>
                <w:color w:val="auto"/>
                <w:sz w:val="21"/>
                <w:szCs w:val="21"/>
                <w:lang w:val="en-US" w:eastAsia="zh-CN"/>
              </w:rPr>
              <w:t>NO</w:t>
            </w:r>
            <w:r>
              <w:rPr>
                <w:rFonts w:hint="eastAsia" w:eastAsia="宋体" w:cs="黑体"/>
                <w:b w:val="0"/>
                <w:bCs w:val="0"/>
                <w:color w:val="auto"/>
                <w:sz w:val="21"/>
                <w:szCs w:val="21"/>
                <w:vertAlign w:val="subscript"/>
                <w:lang w:val="en-US" w:eastAsia="zh-CN"/>
              </w:rPr>
              <w:t>x</w:t>
            </w:r>
            <w:r>
              <w:rPr>
                <w:rFonts w:hint="default" w:ascii="Times New Roman" w:hAnsi="Times New Roman" w:eastAsia="宋体" w:cs="Times New Roman"/>
                <w:bCs/>
                <w:color w:val="auto"/>
                <w:sz w:val="21"/>
                <w:szCs w:val="21"/>
                <w:vertAlign w:val="baseline"/>
                <w:lang w:val="en-US" w:eastAsia="zh-CN"/>
              </w:rPr>
              <w:t>产生</w:t>
            </w:r>
            <w:r>
              <w:rPr>
                <w:rFonts w:hint="eastAsia" w:eastAsia="宋体" w:cs="黑体"/>
                <w:color w:val="auto"/>
                <w:sz w:val="21"/>
                <w:szCs w:val="21"/>
              </w:rPr>
              <w:t>量</w:t>
            </w:r>
            <w:r>
              <w:rPr>
                <w:rFonts w:hint="eastAsia" w:eastAsia="宋体" w:cs="黑体"/>
                <w:color w:val="auto"/>
                <w:sz w:val="21"/>
                <w:szCs w:val="21"/>
                <w:lang w:eastAsia="zh-CN"/>
              </w:rPr>
              <w:t>为</w:t>
            </w:r>
            <w:r>
              <w:rPr>
                <w:rFonts w:hint="eastAsia" w:cs="黑体"/>
                <w:color w:val="auto"/>
                <w:sz w:val="21"/>
                <w:szCs w:val="21"/>
                <w:lang w:val="en-US" w:eastAsia="zh-CN"/>
              </w:rPr>
              <w:t>3.97</w:t>
            </w:r>
            <w:r>
              <w:rPr>
                <w:rFonts w:eastAsia="宋体" w:cs="黑体"/>
                <w:color w:val="auto"/>
                <w:sz w:val="21"/>
                <w:szCs w:val="21"/>
              </w:rPr>
              <w:t>t/a</w:t>
            </w:r>
            <w:r>
              <w:rPr>
                <w:rFonts w:hint="eastAsia" w:eastAsia="宋体" w:cs="Times New Roman"/>
                <w:color w:val="auto"/>
                <w:sz w:val="21"/>
                <w:szCs w:val="21"/>
                <w:lang w:val="en-US" w:eastAsia="zh-CN"/>
              </w:rPr>
              <w:t>，则</w:t>
            </w:r>
            <w:r>
              <w:rPr>
                <w:rFonts w:hint="eastAsia" w:eastAsia="宋体" w:cs="黑体"/>
                <w:b w:val="0"/>
                <w:bCs w:val="0"/>
                <w:color w:val="auto"/>
                <w:sz w:val="21"/>
                <w:szCs w:val="21"/>
                <w:lang w:val="en-US" w:eastAsia="zh-CN"/>
              </w:rPr>
              <w:t>NO</w:t>
            </w:r>
            <w:r>
              <w:rPr>
                <w:rFonts w:hint="eastAsia" w:eastAsia="宋体" w:cs="黑体"/>
                <w:b w:val="0"/>
                <w:bCs w:val="0"/>
                <w:color w:val="auto"/>
                <w:sz w:val="21"/>
                <w:szCs w:val="21"/>
                <w:vertAlign w:val="subscript"/>
                <w:lang w:val="en-US" w:eastAsia="zh-CN"/>
              </w:rPr>
              <w:t>x</w:t>
            </w:r>
            <w:r>
              <w:rPr>
                <w:rFonts w:hint="eastAsia" w:ascii="Times New Roman" w:hAnsi="Times New Roman" w:eastAsia="宋体" w:cs="Times New Roman"/>
                <w:bCs/>
                <w:color w:val="auto"/>
                <w:sz w:val="21"/>
                <w:szCs w:val="21"/>
                <w:vertAlign w:val="baseline"/>
                <w:lang w:val="en-US" w:eastAsia="zh-CN"/>
              </w:rPr>
              <w:t>排放</w:t>
            </w:r>
            <w:r>
              <w:rPr>
                <w:rFonts w:hint="eastAsia" w:eastAsia="宋体" w:cs="黑体"/>
                <w:color w:val="auto"/>
                <w:sz w:val="21"/>
                <w:szCs w:val="21"/>
              </w:rPr>
              <w:t>量</w:t>
            </w:r>
            <w:r>
              <w:rPr>
                <w:rFonts w:hint="eastAsia" w:eastAsia="宋体" w:cs="黑体"/>
                <w:color w:val="auto"/>
                <w:sz w:val="21"/>
                <w:szCs w:val="21"/>
                <w:lang w:eastAsia="zh-CN"/>
              </w:rPr>
              <w:t>为</w:t>
            </w:r>
            <w:r>
              <w:rPr>
                <w:rFonts w:hint="eastAsia" w:cs="黑体"/>
                <w:color w:val="auto"/>
                <w:sz w:val="21"/>
                <w:szCs w:val="21"/>
                <w:lang w:val="en-US" w:eastAsia="zh-CN"/>
              </w:rPr>
              <w:t>3.97</w:t>
            </w:r>
            <w:r>
              <w:rPr>
                <w:rFonts w:eastAsia="宋体" w:cs="黑体"/>
                <w:color w:val="auto"/>
                <w:sz w:val="21"/>
                <w:szCs w:val="21"/>
              </w:rPr>
              <w:t>t/a</w:t>
            </w:r>
            <w:r>
              <w:rPr>
                <w:rFonts w:hint="eastAsia" w:eastAsia="宋体" w:cs="黑体"/>
                <w:color w:val="auto"/>
                <w:sz w:val="21"/>
                <w:szCs w:val="21"/>
                <w:lang w:eastAsia="zh-CN"/>
              </w:rPr>
              <w:t>。</w:t>
            </w:r>
          </w:p>
          <w:p w14:paraId="22A07193">
            <w:pPr>
              <w:pStyle w:val="38"/>
              <w:bidi w:val="0"/>
              <w:rPr>
                <w:rFonts w:hint="eastAsia" w:ascii="Times New Roman" w:hAnsi="Times New Roman" w:eastAsia="宋体" w:cs="黑体"/>
                <w:color w:val="auto"/>
                <w:kern w:val="2"/>
                <w:sz w:val="21"/>
                <w:szCs w:val="21"/>
                <w:lang w:val="en-US" w:eastAsia="zh-CN" w:bidi="ar-SA"/>
              </w:rPr>
            </w:pPr>
            <w:r>
              <w:rPr>
                <w:rFonts w:hint="eastAsia" w:ascii="宋体" w:hAnsi="宋体" w:cs="宋体"/>
                <w:b/>
                <w:bCs/>
                <w:color w:val="auto"/>
                <w:lang w:val="en-US" w:eastAsia="zh-CN"/>
              </w:rPr>
              <w:t>4）</w:t>
            </w:r>
            <w:r>
              <w:rPr>
                <w:rFonts w:hint="eastAsia" w:ascii="宋体" w:hAnsi="宋体" w:eastAsia="宋体" w:cs="宋体"/>
                <w:b/>
                <w:bCs/>
                <w:color w:val="auto"/>
                <w:lang w:val="en-US" w:eastAsia="zh-CN"/>
              </w:rPr>
              <w:t>氟化物</w:t>
            </w:r>
          </w:p>
          <w:p w14:paraId="1CF4FCB5">
            <w:pPr>
              <w:pStyle w:val="38"/>
              <w:bidi w:val="0"/>
              <w:rPr>
                <w:rFonts w:hint="default"/>
                <w:b/>
                <w:bCs/>
                <w:color w:val="auto"/>
                <w:lang w:val="en-US" w:eastAsia="zh-CN"/>
              </w:rPr>
            </w:pPr>
            <w:r>
              <w:rPr>
                <w:rFonts w:hint="eastAsia" w:ascii="宋体" w:hAnsi="宋体" w:cs="宋体"/>
                <w:b/>
                <w:bCs/>
                <w:color w:val="auto"/>
                <w:lang w:val="en-US" w:eastAsia="zh-CN"/>
              </w:rPr>
              <w:t>①</w:t>
            </w:r>
            <w:r>
              <w:rPr>
                <w:rFonts w:hint="eastAsia"/>
                <w:b/>
                <w:bCs/>
                <w:color w:val="auto"/>
                <w:lang w:val="en-US" w:eastAsia="zh-CN"/>
              </w:rPr>
              <w:t>弃土中氟化物析出率的选取</w:t>
            </w:r>
          </w:p>
          <w:p w14:paraId="7C7BB6E7">
            <w:pPr>
              <w:pStyle w:val="38"/>
              <w:bidi w:val="0"/>
              <w:rPr>
                <w:rFonts w:hint="default" w:eastAsia="宋体"/>
                <w:color w:val="auto"/>
                <w:lang w:val="en-US" w:eastAsia="zh-CN"/>
              </w:rPr>
            </w:pPr>
            <w:r>
              <w:rPr>
                <w:rFonts w:hint="eastAsia" w:cs="黑体"/>
                <w:color w:val="auto"/>
                <w:kern w:val="2"/>
                <w:sz w:val="21"/>
                <w:szCs w:val="21"/>
                <w:lang w:val="en-US" w:eastAsia="zh-CN" w:bidi="ar-SA"/>
              </w:rPr>
              <w:t>本项目使用的弃土与粘土成分相似，可参照</w:t>
            </w:r>
            <w:r>
              <w:rPr>
                <w:rFonts w:hint="eastAsia" w:ascii="Times New Roman" w:hAnsi="Times New Roman" w:eastAsia="宋体" w:cs="黑体"/>
                <w:color w:val="auto"/>
                <w:kern w:val="2"/>
                <w:sz w:val="21"/>
                <w:szCs w:val="21"/>
                <w:lang w:val="en-US" w:eastAsia="zh-CN" w:bidi="ar-SA"/>
              </w:rPr>
              <w:t>粘土中</w:t>
            </w:r>
            <w:r>
              <w:rPr>
                <w:rFonts w:hint="eastAsia" w:cs="黑体"/>
                <w:color w:val="auto"/>
                <w:kern w:val="2"/>
                <w:sz w:val="21"/>
                <w:szCs w:val="21"/>
                <w:lang w:val="en-US" w:eastAsia="zh-CN" w:bidi="ar-SA"/>
              </w:rPr>
              <w:t>的</w:t>
            </w:r>
            <w:r>
              <w:rPr>
                <w:rFonts w:hint="eastAsia" w:ascii="Times New Roman" w:hAnsi="Times New Roman" w:eastAsia="宋体" w:cs="黑体"/>
                <w:color w:val="auto"/>
                <w:kern w:val="2"/>
                <w:sz w:val="21"/>
                <w:szCs w:val="21"/>
                <w:lang w:val="en-US" w:eastAsia="zh-CN" w:bidi="ar-SA"/>
              </w:rPr>
              <w:t>氟化物来源</w:t>
            </w:r>
            <w:r>
              <w:rPr>
                <w:rFonts w:hint="eastAsia" w:cs="黑体"/>
                <w:color w:val="auto"/>
                <w:kern w:val="2"/>
                <w:sz w:val="21"/>
                <w:szCs w:val="21"/>
                <w:lang w:val="en-US" w:eastAsia="zh-CN" w:bidi="ar-SA"/>
              </w:rPr>
              <w:t>，粘土中氟化物来源</w:t>
            </w:r>
            <w:r>
              <w:rPr>
                <w:rFonts w:hint="eastAsia" w:ascii="Times New Roman" w:hAnsi="Times New Roman" w:eastAsia="宋体" w:cs="黑体"/>
                <w:color w:val="auto"/>
                <w:kern w:val="2"/>
                <w:sz w:val="21"/>
                <w:szCs w:val="21"/>
                <w:lang w:val="en-US" w:eastAsia="zh-CN" w:bidi="ar-SA"/>
              </w:rPr>
              <w:t>是氟磷灰石（化学式Ca</w:t>
            </w:r>
            <w:r>
              <w:rPr>
                <w:rFonts w:hint="eastAsia" w:ascii="Times New Roman" w:hAnsi="Times New Roman" w:eastAsia="宋体" w:cs="黑体"/>
                <w:color w:val="auto"/>
                <w:kern w:val="2"/>
                <w:sz w:val="21"/>
                <w:szCs w:val="21"/>
                <w:vertAlign w:val="subscript"/>
                <w:lang w:val="en-US" w:eastAsia="zh-CN" w:bidi="ar-SA"/>
              </w:rPr>
              <w:t>5</w:t>
            </w:r>
            <w:r>
              <w:rPr>
                <w:rFonts w:hint="eastAsia" w:ascii="Times New Roman" w:hAnsi="Times New Roman" w:eastAsia="宋体" w:cs="黑体"/>
                <w:color w:val="auto"/>
                <w:kern w:val="2"/>
                <w:sz w:val="21"/>
                <w:szCs w:val="21"/>
                <w:lang w:val="en-US" w:eastAsia="zh-CN" w:bidi="ar-SA"/>
              </w:rPr>
              <w:t>F(PO</w:t>
            </w:r>
            <w:r>
              <w:rPr>
                <w:rFonts w:hint="eastAsia" w:ascii="Times New Roman" w:hAnsi="Times New Roman" w:eastAsia="宋体" w:cs="黑体"/>
                <w:color w:val="auto"/>
                <w:kern w:val="2"/>
                <w:sz w:val="21"/>
                <w:szCs w:val="21"/>
                <w:vertAlign w:val="subscript"/>
                <w:lang w:val="en-US" w:eastAsia="zh-CN" w:bidi="ar-SA"/>
              </w:rPr>
              <w:t>4</w:t>
            </w:r>
            <w:r>
              <w:rPr>
                <w:rFonts w:hint="eastAsia" w:ascii="Times New Roman" w:hAnsi="Times New Roman" w:eastAsia="宋体" w:cs="黑体"/>
                <w:color w:val="auto"/>
                <w:kern w:val="2"/>
                <w:sz w:val="21"/>
                <w:szCs w:val="21"/>
                <w:lang w:val="en-US" w:eastAsia="zh-CN" w:bidi="ar-SA"/>
              </w:rPr>
              <w:t>)</w:t>
            </w:r>
            <w:r>
              <w:rPr>
                <w:rFonts w:hint="eastAsia" w:ascii="Times New Roman" w:hAnsi="Times New Roman" w:eastAsia="宋体" w:cs="黑体"/>
                <w:color w:val="auto"/>
                <w:kern w:val="2"/>
                <w:sz w:val="21"/>
                <w:szCs w:val="21"/>
                <w:vertAlign w:val="subscript"/>
                <w:lang w:val="en-US" w:eastAsia="zh-CN" w:bidi="ar-SA"/>
              </w:rPr>
              <w:t>3</w:t>
            </w:r>
            <w:r>
              <w:rPr>
                <w:rFonts w:hint="eastAsia" w:ascii="Times New Roman" w:hAnsi="Times New Roman" w:eastAsia="宋体" w:cs="黑体"/>
                <w:color w:val="auto"/>
                <w:kern w:val="2"/>
                <w:sz w:val="21"/>
                <w:szCs w:val="21"/>
                <w:lang w:val="en-US" w:eastAsia="zh-CN" w:bidi="ar-SA"/>
              </w:rPr>
              <w:t>）</w:t>
            </w:r>
            <w:r>
              <w:rPr>
                <w:rFonts w:hint="eastAsia"/>
                <w:color w:val="auto"/>
                <w:lang w:val="en-US" w:eastAsia="zh-CN"/>
              </w:rPr>
              <w:t>。根据《辽宁工程技术大学学报》第22卷第2期氟磷灰石高温热分解特性与机理介绍：氟磷灰石类矿物热分解过程中氟的析出是一个十分复杂的物理、化学过程，由于氟析出的化学反应历程和反应中间产物的复杂性，试图通过建立每个基元反应的动力学方程来反映整个氟析出的反应动力学过程是十分困难的。根据Garcia-Labiano的观点，不考虑氟磷灰石类矿物中氟赋存形态和氟析出反应中间产物的差异，认为氟磷灰石类矿物中氟析出过程是由氟磷灰石类矿物中初始的固相氟直接转化为最终产物气相氟的过程，本文首次在固定床反应器上采用气态氟化物直接吸收方法对氟磷灰石类矿物的高温热分解特性进行了系统的实验与机理研究。实验采用气态氟化物直接吸收分析方法，分析氟磷灰石高温热分解特性，大气条件下加热温度和时间对氟析出的影响实验结果。从图4-3可以看出随加热温度的提高，氟析出率呈抛物线形式上升，起始氟析出温度在715℃左右。在1000℃氟析出率达34.7%（本项目砖瓦焙烧温度在800-1000℃之间，氟析出率取34.7%）。</w:t>
            </w:r>
          </w:p>
          <w:p w14:paraId="2BF488A3">
            <w:pPr>
              <w:pStyle w:val="38"/>
              <w:bidi w:val="0"/>
              <w:jc w:val="center"/>
              <w:rPr>
                <w:color w:val="auto"/>
              </w:rPr>
            </w:pPr>
            <w:r>
              <w:rPr>
                <w:color w:val="auto"/>
              </w:rPr>
              <w:drawing>
                <wp:inline distT="0" distB="0" distL="114300" distR="114300">
                  <wp:extent cx="2757170" cy="2446020"/>
                  <wp:effectExtent l="0" t="0" r="5080" b="1143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2"/>
                          <a:stretch>
                            <a:fillRect/>
                          </a:stretch>
                        </pic:blipFill>
                        <pic:spPr>
                          <a:xfrm>
                            <a:off x="0" y="0"/>
                            <a:ext cx="2757170" cy="2446020"/>
                          </a:xfrm>
                          <a:prstGeom prst="rect">
                            <a:avLst/>
                          </a:prstGeom>
                          <a:noFill/>
                          <a:ln>
                            <a:noFill/>
                          </a:ln>
                        </pic:spPr>
                      </pic:pic>
                    </a:graphicData>
                  </a:graphic>
                </wp:inline>
              </w:drawing>
            </w:r>
          </w:p>
          <w:p w14:paraId="7969B7DB">
            <w:pPr>
              <w:widowControl w:val="0"/>
              <w:spacing w:after="120"/>
              <w:ind w:left="0" w:leftChars="0" w:firstLine="0" w:firstLineChars="0"/>
              <w:jc w:val="center"/>
              <w:rPr>
                <w:rFonts w:hint="eastAsia" w:ascii="Times New Roman" w:hAnsi="Times New Roman" w:eastAsia="宋体" w:cs="Times New Roman"/>
                <w:b/>
                <w:bCs/>
                <w:color w:val="auto"/>
                <w:kern w:val="0"/>
                <w:sz w:val="24"/>
                <w:szCs w:val="20"/>
                <w:lang w:val="en-US" w:eastAsia="zh-CN" w:bidi="ar-SA"/>
              </w:rPr>
            </w:pPr>
            <w:r>
              <w:rPr>
                <w:rFonts w:hint="eastAsia" w:ascii="Times New Roman" w:hAnsi="Times New Roman" w:eastAsia="宋体" w:cs="Times New Roman"/>
                <w:b/>
                <w:bCs/>
                <w:color w:val="auto"/>
                <w:kern w:val="2"/>
                <w:sz w:val="21"/>
                <w:szCs w:val="21"/>
                <w:lang w:val="en-US" w:eastAsia="zh-CN" w:bidi="ar-SA"/>
              </w:rPr>
              <w:t>图4-</w:t>
            </w:r>
            <w:r>
              <w:rPr>
                <w:rFonts w:hint="eastAsia" w:cs="Times New Roman"/>
                <w:b/>
                <w:bCs/>
                <w:color w:val="auto"/>
                <w:kern w:val="2"/>
                <w:sz w:val="21"/>
                <w:szCs w:val="21"/>
                <w:lang w:val="en-US" w:eastAsia="zh-CN" w:bidi="ar-SA"/>
              </w:rPr>
              <w:t>1</w:t>
            </w:r>
            <w:r>
              <w:rPr>
                <w:rFonts w:hint="eastAsia" w:ascii="Times New Roman" w:hAnsi="Times New Roman" w:eastAsia="宋体" w:cs="Times New Roman"/>
                <w:b/>
                <w:bCs/>
                <w:color w:val="auto"/>
                <w:kern w:val="2"/>
                <w:sz w:val="21"/>
                <w:szCs w:val="21"/>
                <w:lang w:val="en-US" w:eastAsia="zh-CN" w:bidi="ar-SA"/>
              </w:rPr>
              <w:t xml:space="preserve">  加热温度对氟析出的影响</w:t>
            </w:r>
          </w:p>
          <w:p w14:paraId="705BB7AA">
            <w:pPr>
              <w:pStyle w:val="38"/>
              <w:bidi w:val="0"/>
              <w:rPr>
                <w:rFonts w:hint="default"/>
                <w:b/>
                <w:bCs/>
                <w:color w:val="auto"/>
                <w:lang w:val="en-US" w:eastAsia="zh-CN"/>
              </w:rPr>
            </w:pPr>
            <w:r>
              <w:rPr>
                <w:rFonts w:hint="eastAsia" w:ascii="宋体" w:hAnsi="宋体" w:cs="宋体"/>
                <w:b/>
                <w:bCs/>
                <w:color w:val="auto"/>
                <w:lang w:val="en-US" w:eastAsia="zh-CN"/>
              </w:rPr>
              <w:t>②</w:t>
            </w:r>
            <w:r>
              <w:rPr>
                <w:rFonts w:hint="eastAsia"/>
                <w:b/>
                <w:bCs/>
                <w:color w:val="auto"/>
                <w:lang w:val="en-US" w:eastAsia="zh-CN"/>
              </w:rPr>
              <w:t>氟化物产排量计算</w:t>
            </w:r>
          </w:p>
          <w:p w14:paraId="04230BD0">
            <w:pPr>
              <w:widowControl w:val="0"/>
              <w:bidi w:val="0"/>
              <w:spacing w:line="360" w:lineRule="auto"/>
              <w:ind w:firstLine="420" w:firstLineChars="20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本项目原料用量为</w:t>
            </w:r>
            <w:r>
              <w:rPr>
                <w:rFonts w:hint="eastAsia" w:cs="Times New Roman"/>
                <w:color w:val="auto"/>
                <w:kern w:val="2"/>
                <w:sz w:val="21"/>
                <w:szCs w:val="21"/>
                <w:lang w:val="en-US" w:eastAsia="zh-CN" w:bidi="ar-SA"/>
              </w:rPr>
              <w:t>15500</w:t>
            </w:r>
            <w:r>
              <w:rPr>
                <w:rFonts w:hint="eastAsia" w:ascii="Times New Roman" w:hAnsi="Times New Roman" w:eastAsia="宋体" w:cs="Times New Roman"/>
                <w:color w:val="auto"/>
                <w:kern w:val="2"/>
                <w:sz w:val="21"/>
                <w:szCs w:val="21"/>
                <w:lang w:val="en-US" w:eastAsia="zh-CN" w:bidi="ar-SA"/>
              </w:rPr>
              <w:t>t/a</w:t>
            </w:r>
            <w:r>
              <w:rPr>
                <w:rFonts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原料弃土中</w:t>
            </w:r>
            <w:r>
              <w:rPr>
                <w:rFonts w:hint="eastAsia" w:cs="Times New Roman"/>
                <w:color w:val="auto"/>
                <w:kern w:val="2"/>
                <w:sz w:val="21"/>
                <w:szCs w:val="21"/>
                <w:lang w:val="en-US" w:eastAsia="zh-CN" w:bidi="ar-SA"/>
              </w:rPr>
              <w:t>成分</w:t>
            </w:r>
            <w:r>
              <w:rPr>
                <w:rFonts w:hint="eastAsia" w:ascii="Times New Roman" w:hAnsi="Times New Roman" w:eastAsia="宋体" w:cs="Times New Roman"/>
                <w:color w:val="auto"/>
                <w:kern w:val="2"/>
                <w:sz w:val="21"/>
                <w:szCs w:val="21"/>
                <w:lang w:val="en-US" w:eastAsia="zh-CN" w:bidi="ar-SA"/>
              </w:rPr>
              <w:t>含量与粘土类似，根据参考的同类型报告，弃</w:t>
            </w:r>
            <w:r>
              <w:rPr>
                <w:rFonts w:hint="default" w:ascii="Times New Roman" w:hAnsi="Times New Roman" w:eastAsia="宋体" w:cs="Times New Roman"/>
                <w:color w:val="auto"/>
                <w:kern w:val="2"/>
                <w:sz w:val="21"/>
                <w:szCs w:val="21"/>
                <w:lang w:val="en-US" w:eastAsia="zh-CN" w:bidi="ar-SA"/>
              </w:rPr>
              <w:t>土中氟含量为</w:t>
            </w:r>
            <w:r>
              <w:rPr>
                <w:rFonts w:hint="eastAsia" w:cs="Times New Roman"/>
                <w:color w:val="auto"/>
                <w:kern w:val="2"/>
                <w:sz w:val="21"/>
                <w:szCs w:val="21"/>
                <w:lang w:val="en-US" w:eastAsia="zh-CN" w:bidi="ar-SA"/>
              </w:rPr>
              <w:t>0.015</w:t>
            </w:r>
            <w:r>
              <w:rPr>
                <w:rFonts w:hint="default"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w:t>
            </w:r>
          </w:p>
          <w:p w14:paraId="130BD362">
            <w:pPr>
              <w:pStyle w:val="38"/>
              <w:bidi w:val="0"/>
              <w:rPr>
                <w:rFonts w:hint="eastAsia"/>
                <w:color w:val="auto"/>
                <w:lang w:val="en-US" w:eastAsia="zh-CN"/>
              </w:rPr>
            </w:pPr>
            <w:r>
              <w:rPr>
                <w:rFonts w:hint="eastAsia"/>
                <w:color w:val="auto"/>
                <w:lang w:val="en-US" w:eastAsia="zh-CN"/>
              </w:rPr>
              <w:t>化合态氟化物排放量计算公式如下：</w:t>
            </w:r>
          </w:p>
          <w:p w14:paraId="62028495">
            <w:pPr>
              <w:pStyle w:val="38"/>
              <w:bidi w:val="0"/>
              <w:rPr>
                <w:rFonts w:hint="default"/>
                <w:color w:val="auto"/>
                <w:lang w:val="en-US" w:eastAsia="zh-CN"/>
              </w:rPr>
            </w:pPr>
            <w:r>
              <w:rPr>
                <w:rFonts w:hint="eastAsia"/>
                <w:color w:val="auto"/>
                <w:lang w:val="en-US" w:eastAsia="zh-CN"/>
              </w:rPr>
              <w:t>GF化合态=（W原料×F原料）×P×(1-h)</w:t>
            </w:r>
          </w:p>
          <w:p w14:paraId="66FA0C32">
            <w:pPr>
              <w:pStyle w:val="38"/>
              <w:bidi w:val="0"/>
              <w:rPr>
                <w:rFonts w:hint="eastAsia"/>
                <w:color w:val="auto"/>
                <w:lang w:val="en-US" w:eastAsia="zh-CN"/>
              </w:rPr>
            </w:pPr>
            <w:r>
              <w:rPr>
                <w:rFonts w:hint="eastAsia"/>
                <w:color w:val="auto"/>
                <w:lang w:val="en-US" w:eastAsia="zh-CN"/>
              </w:rPr>
              <w:t>式中：GF-仿古砖瓦焙烧化合态氟化物年排放量，单位：t；</w:t>
            </w:r>
          </w:p>
          <w:p w14:paraId="60D3FF1C">
            <w:pPr>
              <w:pStyle w:val="38"/>
              <w:bidi w:val="0"/>
              <w:ind w:firstLine="1050" w:firstLineChars="500"/>
              <w:rPr>
                <w:rFonts w:hint="eastAsia"/>
                <w:color w:val="auto"/>
                <w:lang w:val="en-US" w:eastAsia="zh-CN"/>
              </w:rPr>
            </w:pPr>
            <w:r>
              <w:rPr>
                <w:rFonts w:hint="eastAsia"/>
                <w:color w:val="auto"/>
                <w:lang w:val="en-US" w:eastAsia="zh-CN"/>
              </w:rPr>
              <w:t>W-年原料的消耗量，单位：t；</w:t>
            </w:r>
          </w:p>
          <w:p w14:paraId="6BD5E98D">
            <w:pPr>
              <w:pStyle w:val="38"/>
              <w:bidi w:val="0"/>
              <w:ind w:firstLine="1050" w:firstLineChars="500"/>
              <w:rPr>
                <w:rFonts w:hint="eastAsia"/>
                <w:color w:val="auto"/>
                <w:lang w:val="en-US" w:eastAsia="zh-CN"/>
              </w:rPr>
            </w:pPr>
            <w:r>
              <w:rPr>
                <w:rFonts w:hint="eastAsia"/>
                <w:color w:val="auto"/>
                <w:lang w:val="en-US" w:eastAsia="zh-CN"/>
              </w:rPr>
              <w:t>F-原料中含氟量为0.015%；</w:t>
            </w:r>
          </w:p>
          <w:p w14:paraId="0E88FBA1">
            <w:pPr>
              <w:pStyle w:val="38"/>
              <w:bidi w:val="0"/>
              <w:ind w:firstLine="1050" w:firstLineChars="500"/>
              <w:rPr>
                <w:rFonts w:hint="eastAsia"/>
                <w:color w:val="auto"/>
                <w:lang w:val="en-US" w:eastAsia="zh-CN"/>
              </w:rPr>
            </w:pPr>
            <w:r>
              <w:rPr>
                <w:rFonts w:hint="eastAsia"/>
                <w:color w:val="auto"/>
                <w:lang w:val="en-US" w:eastAsia="zh-CN"/>
              </w:rPr>
              <w:t>P-原料中氟析出率%（34.7%）；</w:t>
            </w:r>
          </w:p>
          <w:p w14:paraId="317628BA">
            <w:pPr>
              <w:pStyle w:val="38"/>
              <w:bidi w:val="0"/>
              <w:ind w:firstLine="1050" w:firstLineChars="500"/>
              <w:rPr>
                <w:rFonts w:hint="eastAsia"/>
                <w:color w:val="auto"/>
                <w:lang w:val="en-US" w:eastAsia="zh-CN"/>
              </w:rPr>
            </w:pPr>
            <w:r>
              <w:rPr>
                <w:rFonts w:hint="eastAsia"/>
                <w:color w:val="auto"/>
                <w:lang w:val="en-US" w:eastAsia="zh-CN"/>
              </w:rPr>
              <w:t>h-氟化物的去除效率%（根据《工业烟气脱硫脱硝技术手册》</w:t>
            </w:r>
            <w:r>
              <w:rPr>
                <w:rFonts w:hint="eastAsia" w:cs="黑体"/>
                <w:color w:val="auto"/>
                <w:kern w:val="2"/>
                <w:sz w:val="21"/>
                <w:szCs w:val="21"/>
                <w:lang w:val="en-US" w:eastAsia="zh-CN" w:bidi="ar-SA"/>
              </w:rPr>
              <w:t>可知，通过调节控制石灰浆池内pH为10-11，液气比大于15L/m³，可使脱氟效率达到95%，故本项目脱氟效率取95%。</w:t>
            </w:r>
            <w:r>
              <w:rPr>
                <w:rFonts w:hint="eastAsia"/>
                <w:color w:val="auto"/>
                <w:lang w:val="en-US" w:eastAsia="zh-CN"/>
              </w:rPr>
              <w:t>）；</w:t>
            </w:r>
          </w:p>
          <w:p w14:paraId="60EE7620">
            <w:pPr>
              <w:pStyle w:val="38"/>
              <w:bidi w:val="0"/>
              <w:rPr>
                <w:rFonts w:hint="eastAsia"/>
                <w:color w:val="auto"/>
                <w:lang w:val="en-US" w:eastAsia="zh-CN"/>
              </w:rPr>
            </w:pPr>
            <w:r>
              <w:rPr>
                <w:rFonts w:hint="default"/>
                <w:color w:val="auto"/>
                <w:lang w:val="en-US" w:eastAsia="zh-CN"/>
              </w:rPr>
              <w:t>经计算：</w:t>
            </w:r>
            <w:r>
              <w:rPr>
                <w:rFonts w:hint="eastAsia"/>
                <w:color w:val="auto"/>
                <w:lang w:val="en-US" w:eastAsia="zh-CN"/>
              </w:rPr>
              <w:t>仿古砖瓦焙烧化合态氟化物</w:t>
            </w:r>
            <w:r>
              <w:rPr>
                <w:rFonts w:hint="default"/>
                <w:color w:val="auto"/>
                <w:lang w:val="en-US" w:eastAsia="zh-CN"/>
              </w:rPr>
              <w:t>排放量为</w:t>
            </w:r>
            <w:r>
              <w:rPr>
                <w:rFonts w:hint="eastAsia"/>
                <w:color w:val="auto"/>
                <w:lang w:val="en-US" w:eastAsia="zh-CN"/>
              </w:rPr>
              <w:t>=（15500×0.015%）×34.7%×（1-95%）=0.04</w:t>
            </w:r>
            <w:r>
              <w:rPr>
                <w:rFonts w:hint="default"/>
                <w:color w:val="auto"/>
                <w:lang w:val="en-US" w:eastAsia="zh-CN"/>
              </w:rPr>
              <w:t>t/a</w:t>
            </w:r>
            <w:r>
              <w:rPr>
                <w:rFonts w:hint="eastAsia"/>
                <w:color w:val="auto"/>
                <w:lang w:val="en-US" w:eastAsia="zh-CN"/>
              </w:rPr>
              <w:t>。</w:t>
            </w:r>
          </w:p>
          <w:p w14:paraId="5CD3AD3E">
            <w:pPr>
              <w:pStyle w:val="38"/>
              <w:bidi w:val="0"/>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综上所述仿古砖瓦氟化物产生量约为0.807t/a，氟化物排放量为0.04t/a。</w:t>
            </w:r>
          </w:p>
          <w:p w14:paraId="770C2DEB">
            <w:pPr>
              <w:widowControl w:val="0"/>
              <w:spacing w:line="360" w:lineRule="auto"/>
              <w:ind w:firstLine="422" w:firstLineChars="200"/>
              <w:jc w:val="left"/>
              <w:rPr>
                <w:rFonts w:hint="eastAsia" w:ascii="Times New Roman" w:hAnsi="Times New Roman" w:eastAsia="宋体" w:cs="Times New Roman"/>
                <w:b/>
                <w:bCs/>
                <w:color w:val="auto"/>
                <w:kern w:val="2"/>
                <w:sz w:val="21"/>
                <w:szCs w:val="21"/>
                <w:lang w:val="en-US" w:eastAsia="zh-CN" w:bidi="ar-SA"/>
              </w:rPr>
            </w:pPr>
            <w:r>
              <w:rPr>
                <w:rFonts w:hint="eastAsia" w:cs="黑体"/>
                <w:b/>
                <w:bCs/>
                <w:color w:val="auto"/>
                <w:kern w:val="2"/>
                <w:sz w:val="21"/>
                <w:szCs w:val="21"/>
                <w:lang w:val="en-US" w:eastAsia="zh-CN" w:bidi="ar-SA"/>
              </w:rPr>
              <w:t>5</w:t>
            </w:r>
            <w:r>
              <w:rPr>
                <w:rFonts w:hint="eastAsia" w:ascii="Times New Roman" w:hAnsi="Times New Roman" w:eastAsia="宋体" w:cs="黑体"/>
                <w:b/>
                <w:bCs/>
                <w:color w:val="auto"/>
                <w:kern w:val="2"/>
                <w:sz w:val="21"/>
                <w:szCs w:val="21"/>
                <w:lang w:val="en-US" w:eastAsia="zh-CN" w:bidi="ar-SA"/>
              </w:rPr>
              <w:t>）梭式窑废气</w:t>
            </w:r>
            <w:r>
              <w:rPr>
                <w:rFonts w:hint="eastAsia" w:ascii="Times New Roman" w:hAnsi="Times New Roman" w:eastAsia="宋体" w:cs="Times New Roman"/>
                <w:b/>
                <w:bCs/>
                <w:color w:val="auto"/>
                <w:kern w:val="2"/>
                <w:sz w:val="21"/>
                <w:szCs w:val="21"/>
                <w:lang w:val="en-US" w:eastAsia="zh-CN" w:bidi="ar-SA"/>
              </w:rPr>
              <w:t>污染物</w:t>
            </w:r>
            <w:r>
              <w:rPr>
                <w:rFonts w:hint="eastAsia" w:ascii="Times New Roman" w:hAnsi="Times New Roman" w:eastAsia="宋体" w:cs="黑体"/>
                <w:b/>
                <w:bCs/>
                <w:color w:val="auto"/>
                <w:kern w:val="2"/>
                <w:sz w:val="21"/>
                <w:szCs w:val="21"/>
                <w:lang w:val="en-US" w:eastAsia="zh-CN" w:bidi="ar-SA"/>
              </w:rPr>
              <w:t>小时最大排放量</w:t>
            </w:r>
          </w:p>
          <w:p w14:paraId="559161AB">
            <w:pPr>
              <w:widowControl w:val="0"/>
              <w:spacing w:line="360" w:lineRule="auto"/>
              <w:ind w:firstLine="420" w:firstLineChars="200"/>
              <w:jc w:val="left"/>
              <w:rPr>
                <w:rFonts w:hint="eastAsia" w:ascii="Times New Roman" w:hAnsi="Times New Roman" w:eastAsia="宋体" w:cs="黑体"/>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本项目共建设</w:t>
            </w:r>
            <w:r>
              <w:rPr>
                <w:rFonts w:hint="default" w:ascii="Times New Roman" w:hAnsi="Times New Roman" w:eastAsia="宋体" w:cs="Times New Roman"/>
                <w:color w:val="auto"/>
                <w:kern w:val="2"/>
                <w:sz w:val="21"/>
                <w:szCs w:val="21"/>
                <w:lang w:val="en-US" w:eastAsia="zh-CN" w:bidi="ar-SA"/>
              </w:rPr>
              <w:t>梭式窑</w:t>
            </w:r>
            <w:r>
              <w:rPr>
                <w:rFonts w:hint="eastAsia" w:ascii="Times New Roman" w:hAnsi="Times New Roman" w:eastAsia="宋体" w:cs="Times New Roman"/>
                <w:color w:val="auto"/>
                <w:kern w:val="2"/>
                <w:sz w:val="21"/>
                <w:szCs w:val="21"/>
                <w:lang w:val="en-US" w:eastAsia="zh-CN" w:bidi="ar-SA"/>
              </w:rPr>
              <w:t>6座，交替使用，</w:t>
            </w:r>
            <w:r>
              <w:rPr>
                <w:rFonts w:hint="eastAsia" w:ascii="Times New Roman" w:hAnsi="Times New Roman" w:eastAsia="宋体" w:cs="黑体"/>
                <w:color w:val="auto"/>
                <w:kern w:val="2"/>
                <w:sz w:val="21"/>
                <w:szCs w:val="21"/>
                <w:lang w:val="en-US" w:eastAsia="zh-CN" w:bidi="ar-SA"/>
              </w:rPr>
              <w:t>全年最大可烧制60窑，用煤量为</w:t>
            </w:r>
            <w:r>
              <w:rPr>
                <w:rFonts w:hint="eastAsia" w:eastAsia="黑体" w:cs="Times New Roman"/>
                <w:color w:val="auto"/>
                <w:kern w:val="2"/>
                <w:sz w:val="21"/>
                <w:szCs w:val="21"/>
                <w:lang w:val="en-US" w:eastAsia="zh-CN" w:bidi="ar-SA"/>
              </w:rPr>
              <w:t>1485</w:t>
            </w:r>
            <w:r>
              <w:rPr>
                <w:rFonts w:hint="default" w:ascii="Times New Roman" w:hAnsi="Times New Roman" w:eastAsia="黑体" w:cs="Times New Roman"/>
                <w:color w:val="auto"/>
                <w:kern w:val="2"/>
                <w:sz w:val="21"/>
                <w:szCs w:val="21"/>
                <w:lang w:val="en-US" w:eastAsia="zh-CN" w:bidi="ar-SA"/>
              </w:rPr>
              <w:t>t/a</w:t>
            </w:r>
            <w:r>
              <w:rPr>
                <w:rFonts w:hint="eastAsia" w:ascii="Times New Roman" w:hAnsi="Times New Roman" w:eastAsia="黑体" w:cs="Times New Roman"/>
                <w:color w:val="auto"/>
                <w:kern w:val="2"/>
                <w:sz w:val="21"/>
                <w:szCs w:val="21"/>
                <w:lang w:val="en-US" w:eastAsia="zh-CN" w:bidi="ar-SA"/>
              </w:rPr>
              <w:t>，</w:t>
            </w:r>
            <w:r>
              <w:rPr>
                <w:rFonts w:hint="eastAsia" w:ascii="宋体" w:hAnsi="宋体" w:eastAsia="宋体" w:cs="宋体"/>
                <w:color w:val="auto"/>
                <w:kern w:val="2"/>
                <w:sz w:val="21"/>
                <w:szCs w:val="21"/>
                <w:lang w:val="en-US" w:eastAsia="zh-CN" w:bidi="ar-SA"/>
              </w:rPr>
              <w:t>则</w:t>
            </w:r>
            <w:r>
              <w:rPr>
                <w:rFonts w:hint="eastAsia" w:ascii="Times New Roman" w:hAnsi="Times New Roman" w:eastAsia="宋体" w:cs="黑体"/>
                <w:color w:val="auto"/>
                <w:kern w:val="2"/>
                <w:sz w:val="21"/>
                <w:szCs w:val="21"/>
                <w:lang w:val="en-US" w:eastAsia="zh-CN" w:bidi="ar-SA"/>
              </w:rPr>
              <w:t>每窑燃煤量约</w:t>
            </w:r>
            <w:r>
              <w:rPr>
                <w:rFonts w:hint="eastAsia" w:cs="黑体"/>
                <w:color w:val="auto"/>
                <w:kern w:val="2"/>
                <w:sz w:val="21"/>
                <w:szCs w:val="21"/>
                <w:lang w:val="en-US" w:eastAsia="zh-CN" w:bidi="ar-SA"/>
              </w:rPr>
              <w:t>24.75</w:t>
            </w:r>
            <w:r>
              <w:rPr>
                <w:rFonts w:hint="eastAsia" w:ascii="Times New Roman" w:hAnsi="Times New Roman" w:eastAsia="宋体" w:cs="黑体"/>
                <w:color w:val="auto"/>
                <w:kern w:val="2"/>
                <w:sz w:val="21"/>
                <w:szCs w:val="21"/>
                <w:lang w:val="en-US" w:eastAsia="zh-CN" w:bidi="ar-SA"/>
              </w:rPr>
              <w:t>t。梭式窑烧制过程中用煤的阶段为预热段、高温段，各工段温度不同，用煤量不同，各工段温度及用煤量见</w:t>
            </w:r>
            <w:r>
              <w:rPr>
                <w:rFonts w:hint="eastAsia" w:cs="黑体"/>
                <w:color w:val="auto"/>
                <w:kern w:val="2"/>
                <w:sz w:val="21"/>
                <w:szCs w:val="21"/>
                <w:lang w:val="en-US" w:eastAsia="zh-CN" w:bidi="ar-SA"/>
              </w:rPr>
              <w:t>下</w:t>
            </w:r>
            <w:r>
              <w:rPr>
                <w:rFonts w:hint="eastAsia" w:ascii="Times New Roman" w:hAnsi="Times New Roman" w:eastAsia="宋体" w:cs="黑体"/>
                <w:color w:val="auto"/>
                <w:kern w:val="2"/>
                <w:sz w:val="21"/>
                <w:szCs w:val="21"/>
                <w:lang w:val="en-US" w:eastAsia="zh-CN" w:bidi="ar-SA"/>
              </w:rPr>
              <w:t>表。</w:t>
            </w:r>
          </w:p>
          <w:p w14:paraId="445E6711">
            <w:pPr>
              <w:widowControl w:val="0"/>
              <w:bidi w:val="0"/>
              <w:spacing w:line="240" w:lineRule="auto"/>
              <w:ind w:firstLine="0" w:firstLineChars="0"/>
              <w:jc w:val="center"/>
              <w:rPr>
                <w:rFonts w:hint="eastAsia" w:ascii="Times New Roman" w:hAnsi="Times New Roman" w:eastAsia="宋体" w:cs="黑体"/>
                <w:b/>
                <w:color w:val="auto"/>
                <w:kern w:val="2"/>
                <w:sz w:val="21"/>
                <w:szCs w:val="21"/>
                <w:lang w:val="en-US" w:eastAsia="zh-CN" w:bidi="ar-SA"/>
              </w:rPr>
            </w:pPr>
            <w:r>
              <w:rPr>
                <w:rFonts w:hint="eastAsia" w:ascii="Times New Roman" w:hAnsi="Times New Roman" w:eastAsia="宋体" w:cs="黑体"/>
                <w:b/>
                <w:color w:val="auto"/>
                <w:kern w:val="2"/>
                <w:sz w:val="21"/>
                <w:szCs w:val="21"/>
                <w:lang w:val="en-US" w:eastAsia="zh-CN" w:bidi="ar-SA"/>
              </w:rPr>
              <w:t>表4-</w:t>
            </w:r>
            <w:r>
              <w:rPr>
                <w:rFonts w:hint="eastAsia" w:cs="黑体"/>
                <w:b/>
                <w:color w:val="auto"/>
                <w:kern w:val="2"/>
                <w:sz w:val="21"/>
                <w:szCs w:val="21"/>
                <w:lang w:val="en-US" w:eastAsia="zh-CN" w:bidi="ar-SA"/>
              </w:rPr>
              <w:t>2</w:t>
            </w:r>
            <w:r>
              <w:rPr>
                <w:rFonts w:hint="eastAsia" w:ascii="Times New Roman" w:hAnsi="Times New Roman" w:eastAsia="宋体" w:cs="黑体"/>
                <w:b/>
                <w:color w:val="auto"/>
                <w:kern w:val="2"/>
                <w:sz w:val="21"/>
                <w:szCs w:val="21"/>
                <w:lang w:val="en-US" w:eastAsia="zh-CN" w:bidi="ar-SA"/>
              </w:rPr>
              <w:t xml:space="preserve">  单窑砖瓦烧制各工段用煤量一览表</w:t>
            </w:r>
          </w:p>
          <w:tbl>
            <w:tblPr>
              <w:tblStyle w:val="30"/>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1553"/>
              <w:gridCol w:w="2533"/>
              <w:gridCol w:w="2534"/>
            </w:tblGrid>
            <w:tr w14:paraId="42562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dxa"/>
                  <w:gridSpan w:val="2"/>
                  <w:vAlign w:val="top"/>
                </w:tcPr>
                <w:p w14:paraId="018AE9A8">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工段</w:t>
                  </w:r>
                </w:p>
              </w:tc>
              <w:tc>
                <w:tcPr>
                  <w:tcW w:w="2533" w:type="dxa"/>
                  <w:vAlign w:val="top"/>
                </w:tcPr>
                <w:p w14:paraId="27135D02">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预热段</w:t>
                  </w:r>
                </w:p>
              </w:tc>
              <w:tc>
                <w:tcPr>
                  <w:tcW w:w="2534" w:type="dxa"/>
                  <w:vAlign w:val="top"/>
                </w:tcPr>
                <w:p w14:paraId="3BE80E2B">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高温段</w:t>
                  </w:r>
                </w:p>
              </w:tc>
            </w:tr>
            <w:tr w14:paraId="59E60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dxa"/>
                  <w:gridSpan w:val="2"/>
                  <w:vAlign w:val="top"/>
                </w:tcPr>
                <w:p w14:paraId="0FD23DFA">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温度（℃）</w:t>
                  </w:r>
                </w:p>
              </w:tc>
              <w:tc>
                <w:tcPr>
                  <w:tcW w:w="2533" w:type="dxa"/>
                  <w:vAlign w:val="top"/>
                </w:tcPr>
                <w:p w14:paraId="05B2B8BC">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w:t>
                  </w:r>
                  <w:r>
                    <w:rPr>
                      <w:rFonts w:hint="default" w:ascii="Times New Roman" w:hAnsi="Times New Roman" w:eastAsia="宋体" w:cs="Times New Roman"/>
                      <w:color w:val="auto"/>
                      <w:kern w:val="2"/>
                      <w:sz w:val="21"/>
                      <w:szCs w:val="21"/>
                      <w:lang w:val="en-US" w:eastAsia="zh-CN" w:bidi="ar-SA"/>
                    </w:rPr>
                    <w:t>00</w:t>
                  </w:r>
                </w:p>
              </w:tc>
              <w:tc>
                <w:tcPr>
                  <w:tcW w:w="2534" w:type="dxa"/>
                  <w:vAlign w:val="top"/>
                </w:tcPr>
                <w:p w14:paraId="75867C27">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w:t>
                  </w:r>
                  <w:r>
                    <w:rPr>
                      <w:rFonts w:hint="default" w:ascii="Times New Roman" w:hAnsi="Times New Roman" w:eastAsia="宋体" w:cs="Times New Roman"/>
                      <w:color w:val="auto"/>
                      <w:kern w:val="2"/>
                      <w:sz w:val="21"/>
                      <w:szCs w:val="21"/>
                      <w:lang w:val="en-US" w:eastAsia="zh-CN" w:bidi="ar-SA"/>
                    </w:rPr>
                    <w:t>00</w:t>
                  </w:r>
                </w:p>
              </w:tc>
            </w:tr>
            <w:tr w14:paraId="2AB9E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70" w:type="dxa"/>
                  <w:gridSpan w:val="2"/>
                  <w:vAlign w:val="top"/>
                </w:tcPr>
                <w:p w14:paraId="63F81128">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持续时间</w:t>
                  </w:r>
                  <w:r>
                    <w:rPr>
                      <w:rFonts w:hint="eastAsia" w:ascii="Times New Roman" w:hAnsi="Times New Roman" w:eastAsia="宋体" w:cs="Times New Roman"/>
                      <w:color w:val="auto"/>
                      <w:kern w:val="2"/>
                      <w:sz w:val="21"/>
                      <w:szCs w:val="21"/>
                      <w:lang w:val="en-US" w:eastAsia="zh-CN" w:bidi="ar-SA"/>
                    </w:rPr>
                    <w:t>（d）</w:t>
                  </w:r>
                </w:p>
              </w:tc>
              <w:tc>
                <w:tcPr>
                  <w:tcW w:w="2533" w:type="dxa"/>
                  <w:vAlign w:val="top"/>
                </w:tcPr>
                <w:p w14:paraId="3878B534">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w:t>
                  </w:r>
                </w:p>
              </w:tc>
              <w:tc>
                <w:tcPr>
                  <w:tcW w:w="2534" w:type="dxa"/>
                  <w:vAlign w:val="top"/>
                </w:tcPr>
                <w:p w14:paraId="4475F858">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8</w:t>
                  </w:r>
                </w:p>
              </w:tc>
            </w:tr>
            <w:tr w14:paraId="271C3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317" w:type="dxa"/>
                  <w:vMerge w:val="restart"/>
                  <w:vAlign w:val="center"/>
                </w:tcPr>
                <w:p w14:paraId="7894DFCC">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用煤量</w:t>
                  </w:r>
                </w:p>
              </w:tc>
              <w:tc>
                <w:tcPr>
                  <w:tcW w:w="1553" w:type="dxa"/>
                  <w:vAlign w:val="top"/>
                </w:tcPr>
                <w:p w14:paraId="52484AD1">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（t）</w:t>
                  </w:r>
                </w:p>
              </w:tc>
              <w:tc>
                <w:tcPr>
                  <w:tcW w:w="2533" w:type="dxa"/>
                  <w:vAlign w:val="top"/>
                </w:tcPr>
                <w:p w14:paraId="2830378B">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8.25</w:t>
                  </w:r>
                </w:p>
              </w:tc>
              <w:tc>
                <w:tcPr>
                  <w:tcW w:w="2534" w:type="dxa"/>
                  <w:vAlign w:val="top"/>
                </w:tcPr>
                <w:p w14:paraId="375C33AA">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16.5</w:t>
                  </w:r>
                </w:p>
              </w:tc>
            </w:tr>
            <w:tr w14:paraId="6057D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7" w:type="dxa"/>
                  <w:vMerge w:val="continue"/>
                  <w:vAlign w:val="center"/>
                </w:tcPr>
                <w:p w14:paraId="0A81634F">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1553" w:type="dxa"/>
                  <w:vAlign w:val="top"/>
                </w:tcPr>
                <w:p w14:paraId="5C8FFDD5">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（t</w:t>
                  </w:r>
                  <w:r>
                    <w:rPr>
                      <w:rFonts w:hint="eastAsia" w:ascii="Times New Roman" w:hAnsi="Times New Roman" w:eastAsia="宋体" w:cs="Times New Roman"/>
                      <w:color w:val="auto"/>
                      <w:kern w:val="2"/>
                      <w:sz w:val="21"/>
                      <w:szCs w:val="21"/>
                      <w:lang w:val="en-US" w:eastAsia="zh-CN" w:bidi="ar-SA"/>
                    </w:rPr>
                    <w:t>/h</w:t>
                  </w:r>
                  <w:r>
                    <w:rPr>
                      <w:rFonts w:hint="default" w:ascii="Times New Roman" w:hAnsi="Times New Roman" w:eastAsia="宋体" w:cs="Times New Roman"/>
                      <w:color w:val="auto"/>
                      <w:kern w:val="2"/>
                      <w:sz w:val="21"/>
                      <w:szCs w:val="21"/>
                      <w:lang w:val="en-US" w:eastAsia="zh-CN" w:bidi="ar-SA"/>
                    </w:rPr>
                    <w:t>）</w:t>
                  </w:r>
                </w:p>
              </w:tc>
              <w:tc>
                <w:tcPr>
                  <w:tcW w:w="2533" w:type="dxa"/>
                  <w:vAlign w:val="top"/>
                </w:tcPr>
                <w:p w14:paraId="50D93AB7">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r>
                    <w:rPr>
                      <w:rFonts w:hint="eastAsia" w:cs="Times New Roman"/>
                      <w:color w:val="auto"/>
                      <w:kern w:val="2"/>
                      <w:sz w:val="21"/>
                      <w:szCs w:val="21"/>
                      <w:lang w:val="en-US" w:eastAsia="zh-CN" w:bidi="ar-SA"/>
                    </w:rPr>
                    <w:t>06875</w:t>
                  </w:r>
                </w:p>
              </w:tc>
              <w:tc>
                <w:tcPr>
                  <w:tcW w:w="2534" w:type="dxa"/>
                  <w:vAlign w:val="top"/>
                </w:tcPr>
                <w:p w14:paraId="06EA2AF2">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r>
                    <w:rPr>
                      <w:rFonts w:hint="eastAsia" w:cs="Times New Roman"/>
                      <w:color w:val="auto"/>
                      <w:kern w:val="2"/>
                      <w:sz w:val="21"/>
                      <w:szCs w:val="21"/>
                      <w:lang w:val="en-US" w:eastAsia="zh-CN" w:bidi="ar-SA"/>
                    </w:rPr>
                    <w:t>08594</w:t>
                  </w:r>
                </w:p>
              </w:tc>
            </w:tr>
          </w:tbl>
          <w:p w14:paraId="56D21976">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eastAsia="宋体" w:cs="Times New Roman"/>
                <w:color w:val="auto"/>
                <w:sz w:val="21"/>
                <w:szCs w:val="21"/>
                <w:lang w:val="en-US" w:eastAsia="zh-CN"/>
              </w:rPr>
            </w:pPr>
            <w:r>
              <w:rPr>
                <w:rFonts w:hint="eastAsia" w:eastAsia="宋体" w:cs="黑体"/>
                <w:color w:val="auto"/>
                <w:sz w:val="21"/>
                <w:szCs w:val="21"/>
                <w:lang w:val="en-US" w:eastAsia="zh-CN"/>
              </w:rPr>
              <w:t>本项目</w:t>
            </w:r>
            <w:r>
              <w:rPr>
                <w:rFonts w:hint="default" w:ascii="Times New Roman" w:hAnsi="Times New Roman" w:eastAsia="宋体" w:cs="Times New Roman"/>
                <w:color w:val="auto"/>
                <w:sz w:val="21"/>
                <w:szCs w:val="21"/>
                <w:lang w:eastAsia="zh-CN"/>
              </w:rPr>
              <w:t>梭式窑</w:t>
            </w:r>
            <w:r>
              <w:rPr>
                <w:rFonts w:hint="eastAsia" w:eastAsia="宋体" w:cs="Times New Roman"/>
                <w:color w:val="auto"/>
                <w:sz w:val="21"/>
                <w:szCs w:val="21"/>
                <w:lang w:val="en-US" w:eastAsia="zh-CN"/>
              </w:rPr>
              <w:t>交替使用，按最不利因素考虑，以6座窑同时使用，均处于高温阶段小时污染物产生量最大，此时用煤量为</w:t>
            </w:r>
            <w:r>
              <w:rPr>
                <w:rFonts w:hint="eastAsia" w:cs="黑体"/>
                <w:color w:val="auto"/>
                <w:sz w:val="21"/>
                <w:szCs w:val="21"/>
                <w:lang w:val="en-US" w:eastAsia="zh-CN"/>
              </w:rPr>
              <w:t>0.52</w:t>
            </w:r>
            <w:r>
              <w:rPr>
                <w:rFonts w:hint="eastAsia" w:eastAsia="宋体" w:cs="Times New Roman"/>
                <w:color w:val="auto"/>
                <w:sz w:val="21"/>
                <w:szCs w:val="21"/>
                <w:lang w:val="en-US" w:eastAsia="zh-CN"/>
              </w:rPr>
              <w:t>t/h，根据小时用煤量核算本项目梭式窑废气污染物小时最大排放量。</w:t>
            </w:r>
          </w:p>
          <w:p w14:paraId="643E58CA">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梭式窑</w:t>
            </w:r>
            <w:r>
              <w:rPr>
                <w:rFonts w:hint="eastAsia" w:eastAsia="宋体" w:cs="黑体"/>
                <w:b w:val="0"/>
                <w:bCs/>
                <w:color w:val="auto"/>
                <w:sz w:val="21"/>
                <w:szCs w:val="21"/>
                <w:lang w:eastAsia="zh-CN"/>
              </w:rPr>
              <w:t>废气</w:t>
            </w:r>
            <w:r>
              <w:rPr>
                <w:rFonts w:hint="eastAsia" w:eastAsia="宋体" w:cs="黑体"/>
                <w:b w:val="0"/>
                <w:bCs w:val="0"/>
                <w:color w:val="auto"/>
                <w:sz w:val="21"/>
                <w:szCs w:val="21"/>
                <w:lang w:eastAsia="zh-CN"/>
              </w:rPr>
              <w:t>经</w:t>
            </w:r>
            <w:r>
              <w:rPr>
                <w:rFonts w:hint="eastAsia" w:eastAsia="宋体" w:cs="黑体"/>
                <w:color w:val="auto"/>
                <w:sz w:val="21"/>
                <w:szCs w:val="21"/>
              </w:rPr>
              <w:t>布袋除尘</w:t>
            </w:r>
            <w:r>
              <w:rPr>
                <w:rFonts w:hint="eastAsia" w:eastAsia="宋体" w:cs="黑体"/>
                <w:b w:val="0"/>
                <w:bCs/>
                <w:color w:val="auto"/>
                <w:sz w:val="21"/>
                <w:szCs w:val="21"/>
                <w:highlight w:val="none"/>
                <w:lang w:val="en-US" w:eastAsia="zh-CN"/>
              </w:rPr>
              <w:t>器</w:t>
            </w:r>
            <w:r>
              <w:rPr>
                <w:rFonts w:hint="eastAsia" w:eastAsia="宋体" w:cs="黑体"/>
                <w:color w:val="auto"/>
                <w:sz w:val="21"/>
                <w:szCs w:val="21"/>
              </w:rPr>
              <w:t>+</w:t>
            </w:r>
            <w:r>
              <w:rPr>
                <w:rFonts w:hint="eastAsia" w:eastAsia="宋体" w:cs="黑体"/>
                <w:b w:val="0"/>
                <w:bCs w:val="0"/>
                <w:color w:val="auto"/>
                <w:sz w:val="21"/>
                <w:szCs w:val="21"/>
                <w:lang w:eastAsia="zh-CN"/>
              </w:rPr>
              <w:t>脱硫塔处理后通过排气筒排放，配套变频风机1台，风量为</w:t>
            </w:r>
            <w:r>
              <w:rPr>
                <w:rFonts w:hint="eastAsia" w:cs="黑体"/>
                <w:b w:val="0"/>
                <w:bCs w:val="0"/>
                <w:color w:val="auto"/>
                <w:sz w:val="21"/>
                <w:szCs w:val="21"/>
                <w:lang w:val="en-US" w:eastAsia="zh-CN"/>
              </w:rPr>
              <w:t>10</w:t>
            </w:r>
            <w:r>
              <w:rPr>
                <w:rFonts w:hint="eastAsia" w:eastAsia="宋体" w:cs="黑体"/>
                <w:b w:val="0"/>
                <w:bCs w:val="0"/>
                <w:color w:val="auto"/>
                <w:sz w:val="21"/>
                <w:szCs w:val="21"/>
                <w:lang w:val="en-US" w:eastAsia="zh-CN"/>
              </w:rPr>
              <w:t>0</w:t>
            </w:r>
            <w:r>
              <w:rPr>
                <w:rFonts w:hint="eastAsia" w:cs="黑体"/>
                <w:b w:val="0"/>
                <w:bCs w:val="0"/>
                <w:color w:val="auto"/>
                <w:sz w:val="21"/>
                <w:szCs w:val="21"/>
                <w:lang w:val="en-US" w:eastAsia="zh-CN"/>
              </w:rPr>
              <w:t>0</w:t>
            </w:r>
            <w:r>
              <w:rPr>
                <w:rFonts w:hint="eastAsia" w:eastAsia="宋体" w:cs="黑体"/>
                <w:b w:val="0"/>
                <w:bCs w:val="0"/>
                <w:color w:val="auto"/>
                <w:sz w:val="21"/>
                <w:szCs w:val="21"/>
                <w:lang w:val="en-US" w:eastAsia="zh-CN"/>
              </w:rPr>
              <w:t>-</w:t>
            </w:r>
            <w:r>
              <w:rPr>
                <w:rFonts w:hint="eastAsia" w:cs="黑体"/>
                <w:b w:val="0"/>
                <w:bCs w:val="0"/>
                <w:color w:val="auto"/>
                <w:sz w:val="21"/>
                <w:szCs w:val="21"/>
                <w:lang w:val="en-US" w:eastAsia="zh-CN"/>
              </w:rPr>
              <w:t>10</w:t>
            </w:r>
            <w:r>
              <w:rPr>
                <w:rFonts w:hint="eastAsia" w:eastAsia="宋体" w:cs="黑体"/>
                <w:b w:val="0"/>
                <w:bCs w:val="0"/>
                <w:color w:val="auto"/>
                <w:sz w:val="21"/>
                <w:szCs w:val="21"/>
                <w:lang w:val="en-US" w:eastAsia="zh-CN"/>
              </w:rPr>
              <w:t>000</w:t>
            </w:r>
            <w:r>
              <w:rPr>
                <w:rFonts w:hint="eastAsia" w:eastAsia="宋体" w:cs="黑体"/>
                <w:b w:val="0"/>
                <w:bCs w:val="0"/>
                <w:color w:val="auto"/>
                <w:sz w:val="21"/>
                <w:szCs w:val="21"/>
                <w:lang w:eastAsia="zh-CN"/>
              </w:rPr>
              <w:t>m</w:t>
            </w:r>
            <w:r>
              <w:rPr>
                <w:rFonts w:hint="eastAsia" w:eastAsia="宋体" w:cs="黑体"/>
                <w:b w:val="0"/>
                <w:bCs w:val="0"/>
                <w:color w:val="auto"/>
                <w:sz w:val="21"/>
                <w:szCs w:val="21"/>
                <w:vertAlign w:val="superscript"/>
                <w:lang w:eastAsia="zh-CN"/>
              </w:rPr>
              <w:t>3</w:t>
            </w:r>
            <w:r>
              <w:rPr>
                <w:rFonts w:hint="eastAsia" w:eastAsia="宋体" w:cs="黑体"/>
                <w:b w:val="0"/>
                <w:bCs w:val="0"/>
                <w:color w:val="auto"/>
                <w:sz w:val="21"/>
                <w:szCs w:val="21"/>
                <w:lang w:eastAsia="zh-CN"/>
              </w:rPr>
              <w:t>/h，</w:t>
            </w:r>
            <w:r>
              <w:rPr>
                <w:rFonts w:hint="eastAsia" w:eastAsia="宋体" w:cs="Times New Roman"/>
                <w:color w:val="auto"/>
                <w:sz w:val="21"/>
                <w:szCs w:val="21"/>
                <w:lang w:val="en-US" w:eastAsia="zh-CN"/>
              </w:rPr>
              <w:t>6座窑同时使用</w:t>
            </w:r>
            <w:r>
              <w:rPr>
                <w:rFonts w:hint="eastAsia" w:eastAsia="宋体" w:cs="黑体"/>
                <w:b w:val="0"/>
                <w:bCs w:val="0"/>
                <w:color w:val="auto"/>
                <w:sz w:val="21"/>
                <w:szCs w:val="21"/>
                <w:lang w:eastAsia="zh-CN"/>
              </w:rPr>
              <w:t>，</w:t>
            </w:r>
            <w:r>
              <w:rPr>
                <w:rFonts w:hint="eastAsia" w:cs="黑体"/>
                <w:b w:val="0"/>
                <w:bCs w:val="0"/>
                <w:color w:val="auto"/>
                <w:sz w:val="21"/>
                <w:szCs w:val="21"/>
                <w:lang w:val="en-US" w:eastAsia="zh-CN"/>
              </w:rPr>
              <w:t>供气则也为最大值10000</w:t>
            </w:r>
            <w:r>
              <w:rPr>
                <w:rFonts w:hint="eastAsia" w:eastAsia="宋体" w:cs="黑体"/>
                <w:b w:val="0"/>
                <w:bCs w:val="0"/>
                <w:color w:val="auto"/>
                <w:sz w:val="21"/>
                <w:szCs w:val="21"/>
                <w:lang w:eastAsia="zh-CN"/>
              </w:rPr>
              <w:t>m</w:t>
            </w:r>
            <w:r>
              <w:rPr>
                <w:rFonts w:hint="eastAsia" w:eastAsia="宋体" w:cs="黑体"/>
                <w:b w:val="0"/>
                <w:bCs w:val="0"/>
                <w:color w:val="auto"/>
                <w:sz w:val="21"/>
                <w:szCs w:val="21"/>
                <w:vertAlign w:val="superscript"/>
                <w:lang w:eastAsia="zh-CN"/>
              </w:rPr>
              <w:t>3</w:t>
            </w:r>
            <w:r>
              <w:rPr>
                <w:rFonts w:hint="eastAsia" w:eastAsia="宋体" w:cs="黑体"/>
                <w:b w:val="0"/>
                <w:bCs w:val="0"/>
                <w:color w:val="auto"/>
                <w:sz w:val="21"/>
                <w:szCs w:val="21"/>
                <w:lang w:eastAsia="zh-CN"/>
              </w:rPr>
              <w:t>/h</w:t>
            </w:r>
            <w:r>
              <w:rPr>
                <w:rFonts w:hint="eastAsia" w:cs="黑体"/>
                <w:b w:val="0"/>
                <w:bCs w:val="0"/>
                <w:color w:val="auto"/>
                <w:sz w:val="21"/>
                <w:szCs w:val="21"/>
                <w:lang w:val="en-US" w:eastAsia="zh-CN"/>
              </w:rPr>
              <w:t>，</w:t>
            </w:r>
            <w:r>
              <w:rPr>
                <w:rFonts w:hint="eastAsia" w:eastAsia="宋体" w:cs="黑体"/>
                <w:b w:val="0"/>
                <w:bCs w:val="0"/>
                <w:color w:val="auto"/>
                <w:sz w:val="21"/>
                <w:szCs w:val="21"/>
                <w:lang w:eastAsia="zh-CN"/>
              </w:rPr>
              <w:t>则</w:t>
            </w:r>
            <w:r>
              <w:rPr>
                <w:rFonts w:hint="eastAsia" w:eastAsia="宋体" w:cs="Times New Roman"/>
                <w:color w:val="auto"/>
                <w:sz w:val="21"/>
                <w:szCs w:val="21"/>
                <w:lang w:val="en-US" w:eastAsia="zh-CN"/>
              </w:rPr>
              <w:t>废气污染物核算结果如下表：</w:t>
            </w:r>
          </w:p>
          <w:p w14:paraId="13192CD2">
            <w:pPr>
              <w:widowControl w:val="0"/>
              <w:bidi w:val="0"/>
              <w:spacing w:line="240" w:lineRule="auto"/>
              <w:ind w:firstLine="0" w:firstLineChars="0"/>
              <w:jc w:val="center"/>
              <w:rPr>
                <w:rFonts w:hint="eastAsia" w:ascii="Times New Roman" w:hAnsi="Times New Roman" w:eastAsia="宋体" w:cs="黑体"/>
                <w:b/>
                <w:color w:val="auto"/>
                <w:kern w:val="2"/>
                <w:sz w:val="21"/>
                <w:szCs w:val="21"/>
                <w:lang w:val="en-US" w:eastAsia="zh-CN" w:bidi="ar-SA"/>
              </w:rPr>
            </w:pPr>
            <w:r>
              <w:rPr>
                <w:rFonts w:hint="eastAsia" w:ascii="Times New Roman" w:hAnsi="Times New Roman" w:eastAsia="宋体" w:cs="黑体"/>
                <w:b/>
                <w:color w:val="auto"/>
                <w:kern w:val="2"/>
                <w:sz w:val="21"/>
                <w:szCs w:val="21"/>
                <w:lang w:val="en-US" w:eastAsia="zh-CN" w:bidi="ar-SA"/>
              </w:rPr>
              <w:t>表4-</w:t>
            </w:r>
            <w:r>
              <w:rPr>
                <w:rFonts w:hint="eastAsia" w:cs="黑体"/>
                <w:b/>
                <w:color w:val="auto"/>
                <w:kern w:val="2"/>
                <w:sz w:val="21"/>
                <w:szCs w:val="21"/>
                <w:lang w:val="en-US" w:eastAsia="zh-CN" w:bidi="ar-SA"/>
              </w:rPr>
              <w:t>3</w:t>
            </w:r>
            <w:r>
              <w:rPr>
                <w:rFonts w:hint="eastAsia" w:ascii="Times New Roman" w:hAnsi="Times New Roman" w:eastAsia="宋体" w:cs="黑体"/>
                <w:b/>
                <w:color w:val="auto"/>
                <w:kern w:val="2"/>
                <w:sz w:val="21"/>
                <w:szCs w:val="21"/>
                <w:lang w:val="en-US" w:eastAsia="zh-CN" w:bidi="ar-SA"/>
              </w:rPr>
              <w:t xml:space="preserve">  废气污染物核算结果一览表</w:t>
            </w:r>
          </w:p>
          <w:tbl>
            <w:tblPr>
              <w:tblStyle w:val="30"/>
              <w:tblW w:w="79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1607"/>
              <w:gridCol w:w="1520"/>
              <w:gridCol w:w="1520"/>
              <w:gridCol w:w="1520"/>
            </w:tblGrid>
            <w:tr w14:paraId="28D1D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9" w:type="dxa"/>
                </w:tcPr>
                <w:p w14:paraId="26965492">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黑体"/>
                      <w:b w:val="0"/>
                      <w:bCs/>
                      <w:color w:val="auto"/>
                      <w:kern w:val="2"/>
                      <w:sz w:val="21"/>
                      <w:szCs w:val="21"/>
                      <w:lang w:val="en-US" w:eastAsia="zh-CN" w:bidi="ar-SA"/>
                    </w:rPr>
                  </w:pPr>
                  <w:r>
                    <w:rPr>
                      <w:rFonts w:hint="eastAsia" w:ascii="Times New Roman" w:hAnsi="Times New Roman" w:eastAsia="宋体" w:cs="黑体"/>
                      <w:b w:val="0"/>
                      <w:bCs/>
                      <w:color w:val="auto"/>
                      <w:kern w:val="2"/>
                      <w:sz w:val="21"/>
                      <w:szCs w:val="21"/>
                      <w:lang w:val="en-US" w:eastAsia="zh-CN" w:bidi="ar-SA"/>
                    </w:rPr>
                    <w:t>污染物</w:t>
                  </w:r>
                </w:p>
              </w:tc>
              <w:tc>
                <w:tcPr>
                  <w:tcW w:w="1607" w:type="dxa"/>
                </w:tcPr>
                <w:p w14:paraId="20D11EC3">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黑体"/>
                      <w:b w:val="0"/>
                      <w:bCs/>
                      <w:color w:val="auto"/>
                      <w:kern w:val="2"/>
                      <w:sz w:val="21"/>
                      <w:szCs w:val="21"/>
                      <w:lang w:val="en-US" w:eastAsia="zh-CN" w:bidi="ar-SA"/>
                    </w:rPr>
                  </w:pPr>
                  <w:r>
                    <w:rPr>
                      <w:rFonts w:hint="eastAsia" w:ascii="Times New Roman" w:hAnsi="Times New Roman" w:eastAsia="宋体" w:cs="黑体"/>
                      <w:b w:val="0"/>
                      <w:bCs/>
                      <w:color w:val="auto"/>
                      <w:kern w:val="2"/>
                      <w:sz w:val="21"/>
                      <w:szCs w:val="21"/>
                      <w:lang w:val="en-US" w:eastAsia="zh-CN" w:bidi="ar-SA"/>
                    </w:rPr>
                    <w:t>颗粒物</w:t>
                  </w:r>
                </w:p>
              </w:tc>
              <w:tc>
                <w:tcPr>
                  <w:tcW w:w="1520" w:type="dxa"/>
                </w:tcPr>
                <w:p w14:paraId="1F76ECA1">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黑体"/>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SO</w:t>
                  </w:r>
                  <w:r>
                    <w:rPr>
                      <w:rFonts w:hint="eastAsia" w:ascii="Times New Roman" w:hAnsi="Times New Roman" w:eastAsia="宋体" w:cs="Times New Roman"/>
                      <w:b w:val="0"/>
                      <w:bCs/>
                      <w:color w:val="auto"/>
                      <w:kern w:val="2"/>
                      <w:sz w:val="21"/>
                      <w:szCs w:val="21"/>
                      <w:vertAlign w:val="subscript"/>
                      <w:lang w:val="en-US" w:eastAsia="zh-CN" w:bidi="ar-SA"/>
                    </w:rPr>
                    <w:t>2</w:t>
                  </w:r>
                </w:p>
              </w:tc>
              <w:tc>
                <w:tcPr>
                  <w:tcW w:w="1520" w:type="dxa"/>
                </w:tcPr>
                <w:p w14:paraId="1BFEE9B0">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黑体"/>
                      <w:b w:val="0"/>
                      <w:bCs/>
                      <w:color w:val="auto"/>
                      <w:kern w:val="2"/>
                      <w:sz w:val="21"/>
                      <w:szCs w:val="21"/>
                      <w:lang w:val="en-US" w:eastAsia="zh-CN" w:bidi="ar-SA"/>
                    </w:rPr>
                  </w:pPr>
                  <w:r>
                    <w:rPr>
                      <w:rFonts w:hint="eastAsia" w:ascii="Times New Roman" w:hAnsi="Times New Roman" w:eastAsia="宋体" w:cs="黑体"/>
                      <w:b w:val="0"/>
                      <w:bCs/>
                      <w:color w:val="auto"/>
                      <w:kern w:val="2"/>
                      <w:sz w:val="21"/>
                      <w:szCs w:val="21"/>
                      <w:lang w:val="en-US" w:eastAsia="zh-CN" w:bidi="ar-SA"/>
                    </w:rPr>
                    <w:t>NO</w:t>
                  </w:r>
                  <w:r>
                    <w:rPr>
                      <w:rFonts w:hint="eastAsia" w:ascii="Times New Roman" w:hAnsi="Times New Roman" w:eastAsia="宋体" w:cs="黑体"/>
                      <w:b w:val="0"/>
                      <w:bCs/>
                      <w:color w:val="auto"/>
                      <w:kern w:val="2"/>
                      <w:sz w:val="21"/>
                      <w:szCs w:val="21"/>
                      <w:vertAlign w:val="subscript"/>
                      <w:lang w:val="en-US" w:eastAsia="zh-CN" w:bidi="ar-SA"/>
                    </w:rPr>
                    <w:t>x</w:t>
                  </w:r>
                </w:p>
              </w:tc>
              <w:tc>
                <w:tcPr>
                  <w:tcW w:w="1520" w:type="dxa"/>
                </w:tcPr>
                <w:p w14:paraId="46FFC6CF">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黑体"/>
                      <w:b w:val="0"/>
                      <w:bCs/>
                      <w:color w:val="auto"/>
                      <w:kern w:val="2"/>
                      <w:sz w:val="21"/>
                      <w:szCs w:val="21"/>
                      <w:lang w:val="en-US" w:eastAsia="zh-CN" w:bidi="ar-SA"/>
                    </w:rPr>
                  </w:pPr>
                  <w:r>
                    <w:rPr>
                      <w:rFonts w:hint="eastAsia" w:ascii="Times New Roman" w:hAnsi="Times New Roman" w:eastAsia="宋体" w:cs="黑体"/>
                      <w:b w:val="0"/>
                      <w:bCs/>
                      <w:color w:val="auto"/>
                      <w:kern w:val="2"/>
                      <w:sz w:val="21"/>
                      <w:szCs w:val="21"/>
                      <w:vertAlign w:val="baseline"/>
                      <w:lang w:val="en-US" w:eastAsia="zh-CN" w:bidi="ar-SA"/>
                    </w:rPr>
                    <w:t>氟化物</w:t>
                  </w:r>
                </w:p>
              </w:tc>
            </w:tr>
            <w:tr w14:paraId="3A208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9" w:type="dxa"/>
                  <w:vAlign w:val="center"/>
                </w:tcPr>
                <w:p w14:paraId="7E4F5DE0">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黑体"/>
                      <w:b w:val="0"/>
                      <w:bCs/>
                      <w:color w:val="auto"/>
                      <w:kern w:val="2"/>
                      <w:sz w:val="21"/>
                      <w:szCs w:val="21"/>
                      <w:lang w:val="en-US" w:eastAsia="zh-CN" w:bidi="ar-SA"/>
                    </w:rPr>
                  </w:pPr>
                  <w:r>
                    <w:rPr>
                      <w:rFonts w:hint="eastAsia" w:ascii="Times New Roman" w:hAnsi="Times New Roman" w:eastAsia="宋体" w:cs="黑体"/>
                      <w:b w:val="0"/>
                      <w:bCs/>
                      <w:color w:val="auto"/>
                      <w:kern w:val="2"/>
                      <w:sz w:val="21"/>
                      <w:szCs w:val="21"/>
                      <w:highlight w:val="none"/>
                      <w:lang w:val="en-US" w:eastAsia="zh-CN" w:bidi="ar-SA"/>
                    </w:rPr>
                    <w:t>小时最大排放量（t/h）</w:t>
                  </w:r>
                </w:p>
              </w:tc>
              <w:tc>
                <w:tcPr>
                  <w:tcW w:w="1607" w:type="dxa"/>
                  <w:vAlign w:val="center"/>
                </w:tcPr>
                <w:p w14:paraId="600461FF">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黑体"/>
                      <w:b w:val="0"/>
                      <w:bCs/>
                      <w:color w:val="auto"/>
                      <w:kern w:val="2"/>
                      <w:sz w:val="21"/>
                      <w:szCs w:val="21"/>
                      <w:lang w:val="en-US" w:eastAsia="zh-CN" w:bidi="ar-SA"/>
                    </w:rPr>
                  </w:pPr>
                  <w:r>
                    <w:rPr>
                      <w:rFonts w:hint="eastAsia" w:cs="黑体"/>
                      <w:b w:val="0"/>
                      <w:bCs/>
                      <w:color w:val="auto"/>
                      <w:kern w:val="2"/>
                      <w:sz w:val="21"/>
                      <w:szCs w:val="21"/>
                      <w:lang w:val="en-US" w:eastAsia="zh-CN" w:bidi="ar-SA"/>
                    </w:rPr>
                    <w:t>7.54</w:t>
                  </w:r>
                  <w:r>
                    <w:rPr>
                      <w:rFonts w:hint="default" w:ascii="Times New Roman" w:hAnsi="Times New Roman" w:cs="Times New Roman"/>
                      <w:b w:val="0"/>
                      <w:bCs/>
                      <w:color w:val="auto"/>
                      <w:kern w:val="2"/>
                      <w:sz w:val="21"/>
                      <w:szCs w:val="21"/>
                      <w:lang w:val="en-US" w:eastAsia="zh-CN" w:bidi="ar-SA"/>
                    </w:rPr>
                    <w:t>×</w:t>
                  </w:r>
                  <w:r>
                    <w:rPr>
                      <w:rFonts w:hint="eastAsia" w:cs="黑体"/>
                      <w:b w:val="0"/>
                      <w:bCs/>
                      <w:color w:val="auto"/>
                      <w:kern w:val="2"/>
                      <w:sz w:val="21"/>
                      <w:szCs w:val="21"/>
                      <w:lang w:val="en-US" w:eastAsia="zh-CN" w:bidi="ar-SA"/>
                    </w:rPr>
                    <w:t>10</w:t>
                  </w:r>
                  <w:r>
                    <w:rPr>
                      <w:rFonts w:hint="eastAsia" w:cs="黑体"/>
                      <w:b w:val="0"/>
                      <w:bCs/>
                      <w:color w:val="auto"/>
                      <w:kern w:val="2"/>
                      <w:sz w:val="21"/>
                      <w:szCs w:val="21"/>
                      <w:vertAlign w:val="superscript"/>
                      <w:lang w:val="en-US" w:eastAsia="zh-CN" w:bidi="ar-SA"/>
                    </w:rPr>
                    <w:t>-5</w:t>
                  </w:r>
                </w:p>
              </w:tc>
              <w:tc>
                <w:tcPr>
                  <w:tcW w:w="1520" w:type="dxa"/>
                  <w:vAlign w:val="center"/>
                </w:tcPr>
                <w:p w14:paraId="3D03217F">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黑体"/>
                      <w:b w:val="0"/>
                      <w:bCs/>
                      <w:color w:val="auto"/>
                      <w:kern w:val="2"/>
                      <w:sz w:val="21"/>
                      <w:szCs w:val="21"/>
                      <w:lang w:val="en-US" w:eastAsia="zh-CN" w:bidi="ar-SA"/>
                    </w:rPr>
                  </w:pPr>
                  <w:r>
                    <w:rPr>
                      <w:rFonts w:hint="eastAsia" w:cs="Times New Roman"/>
                      <w:b w:val="0"/>
                      <w:bCs/>
                      <w:color w:val="auto"/>
                      <w:kern w:val="2"/>
                      <w:sz w:val="21"/>
                      <w:szCs w:val="21"/>
                      <w:lang w:val="en-US" w:eastAsia="zh-CN" w:bidi="ar-SA"/>
                    </w:rPr>
                    <w:t>3.9</w:t>
                  </w:r>
                  <w:r>
                    <w:rPr>
                      <w:rFonts w:hint="default" w:ascii="Times New Roman" w:hAnsi="Times New Roman" w:cs="Times New Roman"/>
                      <w:b w:val="0"/>
                      <w:bCs/>
                      <w:color w:val="auto"/>
                      <w:kern w:val="2"/>
                      <w:sz w:val="21"/>
                      <w:szCs w:val="21"/>
                      <w:lang w:val="en-US" w:eastAsia="zh-CN" w:bidi="ar-SA"/>
                    </w:rPr>
                    <w:t>×</w:t>
                  </w:r>
                  <w:r>
                    <w:rPr>
                      <w:rFonts w:hint="eastAsia" w:cs="黑体"/>
                      <w:b w:val="0"/>
                      <w:bCs/>
                      <w:color w:val="auto"/>
                      <w:kern w:val="2"/>
                      <w:sz w:val="21"/>
                      <w:szCs w:val="21"/>
                      <w:lang w:val="en-US" w:eastAsia="zh-CN" w:bidi="ar-SA"/>
                    </w:rPr>
                    <w:t>10</w:t>
                  </w:r>
                  <w:r>
                    <w:rPr>
                      <w:rFonts w:hint="eastAsia" w:cs="黑体"/>
                      <w:b w:val="0"/>
                      <w:bCs/>
                      <w:color w:val="auto"/>
                      <w:kern w:val="2"/>
                      <w:sz w:val="21"/>
                      <w:szCs w:val="21"/>
                      <w:vertAlign w:val="superscript"/>
                      <w:lang w:val="en-US" w:eastAsia="zh-CN" w:bidi="ar-SA"/>
                    </w:rPr>
                    <w:t>-4</w:t>
                  </w:r>
                </w:p>
              </w:tc>
              <w:tc>
                <w:tcPr>
                  <w:tcW w:w="1520" w:type="dxa"/>
                  <w:vAlign w:val="center"/>
                </w:tcPr>
                <w:p w14:paraId="73293810">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黑体"/>
                      <w:b w:val="0"/>
                      <w:bCs/>
                      <w:color w:val="auto"/>
                      <w:kern w:val="2"/>
                      <w:sz w:val="21"/>
                      <w:szCs w:val="21"/>
                      <w:lang w:val="en-US" w:eastAsia="zh-CN" w:bidi="ar-SA"/>
                    </w:rPr>
                  </w:pPr>
                  <w:r>
                    <w:rPr>
                      <w:rFonts w:hint="eastAsia" w:ascii="Times New Roman" w:hAnsi="Times New Roman" w:eastAsia="宋体" w:cs="黑体"/>
                      <w:b w:val="0"/>
                      <w:bCs/>
                      <w:color w:val="auto"/>
                      <w:kern w:val="2"/>
                      <w:sz w:val="21"/>
                      <w:szCs w:val="21"/>
                      <w:lang w:val="en-US" w:eastAsia="zh-CN" w:bidi="ar-SA"/>
                    </w:rPr>
                    <w:t>0.00</w:t>
                  </w:r>
                  <w:r>
                    <w:rPr>
                      <w:rFonts w:hint="eastAsia" w:cs="黑体"/>
                      <w:b w:val="0"/>
                      <w:bCs/>
                      <w:color w:val="auto"/>
                      <w:kern w:val="2"/>
                      <w:sz w:val="21"/>
                      <w:szCs w:val="21"/>
                      <w:lang w:val="en-US" w:eastAsia="zh-CN" w:bidi="ar-SA"/>
                    </w:rPr>
                    <w:t>14</w:t>
                  </w:r>
                </w:p>
              </w:tc>
              <w:tc>
                <w:tcPr>
                  <w:tcW w:w="1520" w:type="dxa"/>
                  <w:vAlign w:val="center"/>
                </w:tcPr>
                <w:p w14:paraId="680B22C2">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黑体"/>
                      <w:b w:val="0"/>
                      <w:bCs/>
                      <w:color w:val="auto"/>
                      <w:kern w:val="2"/>
                      <w:sz w:val="21"/>
                      <w:szCs w:val="21"/>
                      <w:vertAlign w:val="baseline"/>
                      <w:lang w:val="en-US" w:eastAsia="zh-CN" w:bidi="ar-SA"/>
                    </w:rPr>
                  </w:pPr>
                  <w:r>
                    <w:rPr>
                      <w:rFonts w:hint="eastAsia" w:cs="黑体"/>
                      <w:b w:val="0"/>
                      <w:bCs/>
                      <w:color w:val="auto"/>
                      <w:kern w:val="2"/>
                      <w:sz w:val="21"/>
                      <w:szCs w:val="21"/>
                      <w:lang w:val="en-US" w:eastAsia="zh-CN" w:bidi="ar-SA"/>
                    </w:rPr>
                    <w:t>1.28</w:t>
                  </w:r>
                  <w:r>
                    <w:rPr>
                      <w:rFonts w:hint="default" w:ascii="Times New Roman" w:hAnsi="Times New Roman" w:cs="Times New Roman"/>
                      <w:b w:val="0"/>
                      <w:bCs/>
                      <w:color w:val="auto"/>
                      <w:kern w:val="2"/>
                      <w:sz w:val="21"/>
                      <w:szCs w:val="21"/>
                      <w:lang w:val="en-US" w:eastAsia="zh-CN" w:bidi="ar-SA"/>
                    </w:rPr>
                    <w:t>×</w:t>
                  </w:r>
                  <w:r>
                    <w:rPr>
                      <w:rFonts w:hint="eastAsia" w:cs="黑体"/>
                      <w:b w:val="0"/>
                      <w:bCs/>
                      <w:color w:val="auto"/>
                      <w:kern w:val="2"/>
                      <w:sz w:val="21"/>
                      <w:szCs w:val="21"/>
                      <w:lang w:val="en-US" w:eastAsia="zh-CN" w:bidi="ar-SA"/>
                    </w:rPr>
                    <w:t>10</w:t>
                  </w:r>
                  <w:r>
                    <w:rPr>
                      <w:rFonts w:hint="eastAsia" w:cs="黑体"/>
                      <w:b w:val="0"/>
                      <w:bCs/>
                      <w:color w:val="auto"/>
                      <w:kern w:val="2"/>
                      <w:sz w:val="21"/>
                      <w:szCs w:val="21"/>
                      <w:vertAlign w:val="superscript"/>
                      <w:lang w:val="en-US" w:eastAsia="zh-CN" w:bidi="ar-SA"/>
                    </w:rPr>
                    <w:t>-5</w:t>
                  </w:r>
                </w:p>
              </w:tc>
            </w:tr>
            <w:tr w14:paraId="64F78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9" w:type="dxa"/>
                  <w:vAlign w:val="center"/>
                </w:tcPr>
                <w:p w14:paraId="6E4E5FFE">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ascii="Times New Roman" w:hAnsi="Times New Roman" w:eastAsia="宋体" w:cs="黑体"/>
                      <w:b w:val="0"/>
                      <w:bCs/>
                      <w:color w:val="auto"/>
                      <w:spacing w:val="4"/>
                      <w:kern w:val="18"/>
                      <w:sz w:val="21"/>
                      <w:szCs w:val="21"/>
                      <w:highlight w:val="none"/>
                      <w:lang w:val="en-US" w:eastAsia="zh-CN" w:bidi="ar-SA"/>
                    </w:rPr>
                  </w:pPr>
                  <w:r>
                    <w:rPr>
                      <w:rFonts w:hint="eastAsia" w:ascii="Times New Roman" w:hAnsi="Times New Roman" w:eastAsia="宋体" w:cs="黑体"/>
                      <w:b w:val="0"/>
                      <w:bCs w:val="0"/>
                      <w:color w:val="auto"/>
                      <w:kern w:val="2"/>
                      <w:sz w:val="21"/>
                      <w:szCs w:val="21"/>
                      <w:lang w:val="en-US" w:eastAsia="zh-CN" w:bidi="ar-SA"/>
                    </w:rPr>
                    <w:t>时</w:t>
                  </w:r>
                  <w:r>
                    <w:rPr>
                      <w:rFonts w:hint="eastAsia" w:ascii="Times New Roman" w:hAnsi="Times New Roman" w:eastAsia="宋体" w:cs="黑体"/>
                      <w:b w:val="0"/>
                      <w:bCs/>
                      <w:color w:val="auto"/>
                      <w:spacing w:val="4"/>
                      <w:kern w:val="18"/>
                      <w:sz w:val="21"/>
                      <w:szCs w:val="21"/>
                      <w:highlight w:val="none"/>
                      <w:lang w:val="en-US" w:eastAsia="zh-CN" w:bidi="ar-SA"/>
                    </w:rPr>
                    <w:t>排放浓度</w:t>
                  </w:r>
                  <w:r>
                    <w:rPr>
                      <w:rFonts w:hint="eastAsia" w:ascii="Times New Roman" w:hAnsi="Times New Roman" w:eastAsia="宋体" w:cs="黑体"/>
                      <w:b w:val="0"/>
                      <w:bCs/>
                      <w:color w:val="auto"/>
                      <w:kern w:val="2"/>
                      <w:sz w:val="21"/>
                      <w:szCs w:val="21"/>
                      <w:highlight w:val="none"/>
                      <w:lang w:val="en-US" w:eastAsia="zh-CN" w:bidi="ar-SA"/>
                    </w:rPr>
                    <w:t>（mg/m</w:t>
                  </w:r>
                  <w:r>
                    <w:rPr>
                      <w:rFonts w:hint="eastAsia" w:ascii="Times New Roman" w:hAnsi="Times New Roman" w:eastAsia="宋体" w:cs="黑体"/>
                      <w:b w:val="0"/>
                      <w:bCs/>
                      <w:color w:val="auto"/>
                      <w:kern w:val="2"/>
                      <w:sz w:val="21"/>
                      <w:szCs w:val="21"/>
                      <w:highlight w:val="none"/>
                      <w:vertAlign w:val="superscript"/>
                      <w:lang w:val="en-US" w:eastAsia="zh-CN" w:bidi="ar-SA"/>
                    </w:rPr>
                    <w:t>3</w:t>
                  </w:r>
                  <w:r>
                    <w:rPr>
                      <w:rFonts w:hint="eastAsia" w:ascii="Times New Roman" w:hAnsi="Times New Roman" w:eastAsia="宋体" w:cs="黑体"/>
                      <w:b w:val="0"/>
                      <w:bCs/>
                      <w:color w:val="auto"/>
                      <w:kern w:val="2"/>
                      <w:sz w:val="21"/>
                      <w:szCs w:val="21"/>
                      <w:highlight w:val="none"/>
                      <w:lang w:val="en-US" w:eastAsia="zh-CN" w:bidi="ar-SA"/>
                    </w:rPr>
                    <w:t>）</w:t>
                  </w:r>
                </w:p>
              </w:tc>
              <w:tc>
                <w:tcPr>
                  <w:tcW w:w="1607" w:type="dxa"/>
                  <w:vAlign w:val="center"/>
                </w:tcPr>
                <w:p w14:paraId="48F4AA3B">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黑体"/>
                      <w:b w:val="0"/>
                      <w:bCs/>
                      <w:color w:val="auto"/>
                      <w:kern w:val="2"/>
                      <w:sz w:val="21"/>
                      <w:szCs w:val="21"/>
                      <w:lang w:val="en-US" w:eastAsia="zh-CN" w:bidi="ar-SA"/>
                    </w:rPr>
                  </w:pPr>
                  <w:r>
                    <w:rPr>
                      <w:rFonts w:hint="eastAsia" w:cs="黑体"/>
                      <w:b w:val="0"/>
                      <w:bCs/>
                      <w:color w:val="auto"/>
                      <w:kern w:val="2"/>
                      <w:sz w:val="21"/>
                      <w:szCs w:val="21"/>
                      <w:lang w:val="en-US" w:eastAsia="zh-CN" w:bidi="ar-SA"/>
                    </w:rPr>
                    <w:t>7.54</w:t>
                  </w:r>
                </w:p>
              </w:tc>
              <w:tc>
                <w:tcPr>
                  <w:tcW w:w="1520" w:type="dxa"/>
                  <w:vAlign w:val="center"/>
                </w:tcPr>
                <w:p w14:paraId="19CEF0A4">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黑体"/>
                      <w:b w:val="0"/>
                      <w:bCs/>
                      <w:color w:val="auto"/>
                      <w:kern w:val="2"/>
                      <w:sz w:val="21"/>
                      <w:szCs w:val="21"/>
                      <w:lang w:val="en-US" w:eastAsia="zh-CN" w:bidi="ar-SA"/>
                    </w:rPr>
                  </w:pPr>
                  <w:r>
                    <w:rPr>
                      <w:rFonts w:hint="eastAsia" w:cs="黑体"/>
                      <w:b w:val="0"/>
                      <w:bCs/>
                      <w:color w:val="auto"/>
                      <w:kern w:val="2"/>
                      <w:sz w:val="21"/>
                      <w:szCs w:val="21"/>
                      <w:lang w:val="en-US" w:eastAsia="zh-CN" w:bidi="ar-SA"/>
                    </w:rPr>
                    <w:t>39</w:t>
                  </w:r>
                </w:p>
              </w:tc>
              <w:tc>
                <w:tcPr>
                  <w:tcW w:w="1520" w:type="dxa"/>
                  <w:vAlign w:val="center"/>
                </w:tcPr>
                <w:p w14:paraId="14D00E22">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黑体"/>
                      <w:b w:val="0"/>
                      <w:bCs/>
                      <w:color w:val="auto"/>
                      <w:kern w:val="2"/>
                      <w:sz w:val="21"/>
                      <w:szCs w:val="21"/>
                      <w:lang w:val="en-US" w:eastAsia="zh-CN" w:bidi="ar-SA"/>
                    </w:rPr>
                  </w:pPr>
                  <w:r>
                    <w:rPr>
                      <w:rFonts w:hint="eastAsia" w:cs="黑体"/>
                      <w:b w:val="0"/>
                      <w:bCs/>
                      <w:color w:val="auto"/>
                      <w:kern w:val="2"/>
                      <w:sz w:val="21"/>
                      <w:szCs w:val="21"/>
                      <w:lang w:val="en-US" w:eastAsia="zh-CN" w:bidi="ar-SA"/>
                    </w:rPr>
                    <w:t>140</w:t>
                  </w:r>
                </w:p>
              </w:tc>
              <w:tc>
                <w:tcPr>
                  <w:tcW w:w="1520" w:type="dxa"/>
                  <w:vAlign w:val="center"/>
                </w:tcPr>
                <w:p w14:paraId="46409091">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黑体"/>
                      <w:b w:val="0"/>
                      <w:bCs/>
                      <w:color w:val="auto"/>
                      <w:kern w:val="2"/>
                      <w:sz w:val="21"/>
                      <w:szCs w:val="21"/>
                      <w:lang w:val="en-US" w:eastAsia="zh-CN" w:bidi="ar-SA"/>
                    </w:rPr>
                  </w:pPr>
                  <w:r>
                    <w:rPr>
                      <w:rFonts w:hint="eastAsia" w:cs="黑体"/>
                      <w:b w:val="0"/>
                      <w:bCs/>
                      <w:color w:val="auto"/>
                      <w:kern w:val="2"/>
                      <w:sz w:val="21"/>
                      <w:szCs w:val="21"/>
                      <w:lang w:val="en-US" w:eastAsia="zh-CN" w:bidi="ar-SA"/>
                    </w:rPr>
                    <w:t>1.28</w:t>
                  </w:r>
                </w:p>
              </w:tc>
            </w:tr>
            <w:tr w14:paraId="3ACD3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9" w:type="dxa"/>
                  <w:vAlign w:val="center"/>
                </w:tcPr>
                <w:p w14:paraId="20F83C2F">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ascii="Times New Roman" w:hAnsi="Times New Roman" w:eastAsia="宋体" w:cs="黑体"/>
                      <w:b w:val="0"/>
                      <w:bCs/>
                      <w:color w:val="auto"/>
                      <w:spacing w:val="4"/>
                      <w:kern w:val="18"/>
                      <w:sz w:val="21"/>
                      <w:szCs w:val="21"/>
                      <w:highlight w:val="none"/>
                      <w:lang w:val="en-US" w:eastAsia="zh-CN" w:bidi="ar-SA"/>
                    </w:rPr>
                  </w:pPr>
                  <w:r>
                    <w:rPr>
                      <w:rFonts w:hint="eastAsia" w:ascii="Times New Roman" w:hAnsi="Times New Roman" w:eastAsia="宋体" w:cs="黑体"/>
                      <w:b w:val="0"/>
                      <w:bCs/>
                      <w:color w:val="auto"/>
                      <w:spacing w:val="4"/>
                      <w:kern w:val="18"/>
                      <w:sz w:val="21"/>
                      <w:szCs w:val="21"/>
                      <w:highlight w:val="none"/>
                      <w:lang w:val="en-US" w:eastAsia="zh-CN" w:bidi="ar-SA"/>
                    </w:rPr>
                    <w:t>排放标准</w:t>
                  </w:r>
                </w:p>
              </w:tc>
              <w:tc>
                <w:tcPr>
                  <w:tcW w:w="1607" w:type="dxa"/>
                  <w:vAlign w:val="center"/>
                </w:tcPr>
                <w:p w14:paraId="64B4B489">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黑体"/>
                      <w:b w:val="0"/>
                      <w:bCs/>
                      <w:color w:val="auto"/>
                      <w:kern w:val="2"/>
                      <w:sz w:val="21"/>
                      <w:szCs w:val="21"/>
                      <w:lang w:val="en-US" w:eastAsia="zh-CN" w:bidi="ar-SA"/>
                    </w:rPr>
                  </w:pPr>
                  <w:r>
                    <w:rPr>
                      <w:rFonts w:hint="eastAsia" w:ascii="Times New Roman" w:hAnsi="Times New Roman" w:eastAsia="宋体" w:cs="黑体"/>
                      <w:b w:val="0"/>
                      <w:bCs/>
                      <w:color w:val="auto"/>
                      <w:kern w:val="2"/>
                      <w:sz w:val="21"/>
                      <w:szCs w:val="21"/>
                      <w:lang w:val="en-US" w:eastAsia="zh-CN" w:bidi="ar-SA"/>
                    </w:rPr>
                    <w:t>30</w:t>
                  </w:r>
                </w:p>
              </w:tc>
              <w:tc>
                <w:tcPr>
                  <w:tcW w:w="1520" w:type="dxa"/>
                  <w:vAlign w:val="center"/>
                </w:tcPr>
                <w:p w14:paraId="0EF2F64F">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黑体"/>
                      <w:b w:val="0"/>
                      <w:bCs/>
                      <w:color w:val="auto"/>
                      <w:kern w:val="2"/>
                      <w:sz w:val="21"/>
                      <w:szCs w:val="21"/>
                      <w:lang w:val="en-US" w:eastAsia="zh-CN" w:bidi="ar-SA"/>
                    </w:rPr>
                  </w:pPr>
                  <w:r>
                    <w:rPr>
                      <w:rFonts w:hint="eastAsia" w:ascii="Times New Roman" w:hAnsi="Times New Roman" w:eastAsia="宋体" w:cs="黑体"/>
                      <w:b w:val="0"/>
                      <w:bCs/>
                      <w:color w:val="auto"/>
                      <w:kern w:val="2"/>
                      <w:sz w:val="21"/>
                      <w:szCs w:val="21"/>
                      <w:lang w:val="en-US" w:eastAsia="zh-CN" w:bidi="ar-SA"/>
                    </w:rPr>
                    <w:t>150</w:t>
                  </w:r>
                </w:p>
              </w:tc>
              <w:tc>
                <w:tcPr>
                  <w:tcW w:w="1520" w:type="dxa"/>
                  <w:vAlign w:val="center"/>
                </w:tcPr>
                <w:p w14:paraId="31C56D34">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黑体"/>
                      <w:b w:val="0"/>
                      <w:bCs/>
                      <w:color w:val="auto"/>
                      <w:kern w:val="2"/>
                      <w:sz w:val="21"/>
                      <w:szCs w:val="21"/>
                      <w:lang w:val="en-US" w:eastAsia="zh-CN" w:bidi="ar-SA"/>
                    </w:rPr>
                  </w:pPr>
                  <w:r>
                    <w:rPr>
                      <w:rFonts w:hint="eastAsia" w:ascii="Times New Roman" w:hAnsi="Times New Roman" w:eastAsia="宋体" w:cs="黑体"/>
                      <w:b w:val="0"/>
                      <w:bCs/>
                      <w:color w:val="auto"/>
                      <w:kern w:val="2"/>
                      <w:sz w:val="21"/>
                      <w:szCs w:val="21"/>
                      <w:lang w:val="en-US" w:eastAsia="zh-CN" w:bidi="ar-SA"/>
                    </w:rPr>
                    <w:t>200</w:t>
                  </w:r>
                </w:p>
              </w:tc>
              <w:tc>
                <w:tcPr>
                  <w:tcW w:w="1520" w:type="dxa"/>
                  <w:vAlign w:val="center"/>
                </w:tcPr>
                <w:p w14:paraId="4E0E21F5">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黑体"/>
                      <w:b w:val="0"/>
                      <w:bCs/>
                      <w:color w:val="auto"/>
                      <w:kern w:val="2"/>
                      <w:sz w:val="21"/>
                      <w:szCs w:val="21"/>
                      <w:lang w:val="en-US" w:eastAsia="zh-CN" w:bidi="ar-SA"/>
                    </w:rPr>
                  </w:pPr>
                  <w:r>
                    <w:rPr>
                      <w:rFonts w:hint="eastAsia" w:ascii="Times New Roman" w:hAnsi="Times New Roman" w:eastAsia="宋体" w:cs="黑体"/>
                      <w:b w:val="0"/>
                      <w:bCs/>
                      <w:color w:val="auto"/>
                      <w:kern w:val="2"/>
                      <w:sz w:val="21"/>
                      <w:szCs w:val="21"/>
                      <w:lang w:val="en-US" w:eastAsia="zh-CN" w:bidi="ar-SA"/>
                    </w:rPr>
                    <w:t>3</w:t>
                  </w:r>
                </w:p>
              </w:tc>
            </w:tr>
            <w:tr w14:paraId="4D05C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99" w:type="dxa"/>
                  <w:vAlign w:val="center"/>
                </w:tcPr>
                <w:p w14:paraId="2119DE43">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ascii="Times New Roman" w:hAnsi="Times New Roman" w:eastAsia="宋体" w:cs="黑体"/>
                      <w:b w:val="0"/>
                      <w:bCs/>
                      <w:color w:val="auto"/>
                      <w:spacing w:val="4"/>
                      <w:kern w:val="18"/>
                      <w:sz w:val="21"/>
                      <w:szCs w:val="21"/>
                      <w:highlight w:val="none"/>
                      <w:lang w:val="en-US" w:eastAsia="zh-CN" w:bidi="ar-SA"/>
                    </w:rPr>
                  </w:pPr>
                  <w:r>
                    <w:rPr>
                      <w:rFonts w:hint="eastAsia" w:ascii="Times New Roman" w:hAnsi="Times New Roman" w:eastAsia="宋体" w:cs="黑体"/>
                      <w:b w:val="0"/>
                      <w:bCs/>
                      <w:color w:val="auto"/>
                      <w:spacing w:val="4"/>
                      <w:kern w:val="18"/>
                      <w:sz w:val="21"/>
                      <w:szCs w:val="21"/>
                      <w:highlight w:val="none"/>
                      <w:lang w:val="en-US" w:eastAsia="zh-CN" w:bidi="ar-SA"/>
                    </w:rPr>
                    <w:t>达标情况</w:t>
                  </w:r>
                </w:p>
              </w:tc>
              <w:tc>
                <w:tcPr>
                  <w:tcW w:w="1607" w:type="dxa"/>
                  <w:vAlign w:val="center"/>
                </w:tcPr>
                <w:p w14:paraId="01F5D78A">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ascii="Times New Roman" w:hAnsi="Times New Roman" w:eastAsia="宋体" w:cs="黑体"/>
                      <w:b w:val="0"/>
                      <w:bCs/>
                      <w:color w:val="auto"/>
                      <w:kern w:val="2"/>
                      <w:sz w:val="21"/>
                      <w:szCs w:val="21"/>
                      <w:lang w:val="en-US" w:eastAsia="zh-CN" w:bidi="ar-SA"/>
                    </w:rPr>
                  </w:pPr>
                  <w:r>
                    <w:rPr>
                      <w:rFonts w:hint="eastAsia" w:ascii="Times New Roman" w:hAnsi="Times New Roman" w:eastAsia="宋体" w:cs="黑体"/>
                      <w:b w:val="0"/>
                      <w:bCs/>
                      <w:color w:val="auto"/>
                      <w:kern w:val="2"/>
                      <w:sz w:val="21"/>
                      <w:szCs w:val="21"/>
                      <w:lang w:val="en-US" w:eastAsia="zh-CN" w:bidi="ar-SA"/>
                    </w:rPr>
                    <w:t>达标</w:t>
                  </w:r>
                </w:p>
              </w:tc>
              <w:tc>
                <w:tcPr>
                  <w:tcW w:w="1520" w:type="dxa"/>
                  <w:vAlign w:val="center"/>
                </w:tcPr>
                <w:p w14:paraId="253C5B0E">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ascii="Times New Roman" w:hAnsi="Times New Roman" w:eastAsia="宋体" w:cs="黑体"/>
                      <w:b w:val="0"/>
                      <w:bCs/>
                      <w:color w:val="auto"/>
                      <w:kern w:val="2"/>
                      <w:sz w:val="21"/>
                      <w:szCs w:val="21"/>
                      <w:lang w:val="en-US" w:eastAsia="zh-CN" w:bidi="ar-SA"/>
                    </w:rPr>
                  </w:pPr>
                  <w:r>
                    <w:rPr>
                      <w:rFonts w:hint="eastAsia" w:ascii="Times New Roman" w:hAnsi="Times New Roman" w:eastAsia="宋体" w:cs="黑体"/>
                      <w:b w:val="0"/>
                      <w:bCs/>
                      <w:color w:val="auto"/>
                      <w:kern w:val="2"/>
                      <w:sz w:val="21"/>
                      <w:szCs w:val="21"/>
                      <w:lang w:val="en-US" w:eastAsia="zh-CN" w:bidi="ar-SA"/>
                    </w:rPr>
                    <w:t>达标</w:t>
                  </w:r>
                </w:p>
              </w:tc>
              <w:tc>
                <w:tcPr>
                  <w:tcW w:w="1520" w:type="dxa"/>
                  <w:vAlign w:val="center"/>
                </w:tcPr>
                <w:p w14:paraId="463B0BBB">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ascii="Times New Roman" w:hAnsi="Times New Roman" w:eastAsia="宋体" w:cs="黑体"/>
                      <w:b w:val="0"/>
                      <w:bCs/>
                      <w:color w:val="auto"/>
                      <w:kern w:val="2"/>
                      <w:sz w:val="21"/>
                      <w:szCs w:val="21"/>
                      <w:lang w:val="en-US" w:eastAsia="zh-CN" w:bidi="ar-SA"/>
                    </w:rPr>
                  </w:pPr>
                  <w:r>
                    <w:rPr>
                      <w:rFonts w:hint="eastAsia" w:ascii="Times New Roman" w:hAnsi="Times New Roman" w:eastAsia="宋体" w:cs="黑体"/>
                      <w:b w:val="0"/>
                      <w:bCs/>
                      <w:color w:val="auto"/>
                      <w:kern w:val="2"/>
                      <w:sz w:val="21"/>
                      <w:szCs w:val="21"/>
                      <w:lang w:val="en-US" w:eastAsia="zh-CN" w:bidi="ar-SA"/>
                    </w:rPr>
                    <w:t>达标</w:t>
                  </w:r>
                </w:p>
              </w:tc>
              <w:tc>
                <w:tcPr>
                  <w:tcW w:w="1520" w:type="dxa"/>
                  <w:vAlign w:val="center"/>
                </w:tcPr>
                <w:p w14:paraId="4A58BCFE">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ascii="Times New Roman" w:hAnsi="Times New Roman" w:eastAsia="宋体" w:cs="黑体"/>
                      <w:b w:val="0"/>
                      <w:bCs/>
                      <w:color w:val="auto"/>
                      <w:kern w:val="2"/>
                      <w:sz w:val="21"/>
                      <w:szCs w:val="21"/>
                      <w:lang w:val="en-US" w:eastAsia="zh-CN" w:bidi="ar-SA"/>
                    </w:rPr>
                  </w:pPr>
                  <w:r>
                    <w:rPr>
                      <w:rFonts w:hint="eastAsia" w:ascii="Times New Roman" w:hAnsi="Times New Roman" w:eastAsia="宋体" w:cs="黑体"/>
                      <w:b w:val="0"/>
                      <w:bCs/>
                      <w:color w:val="auto"/>
                      <w:kern w:val="2"/>
                      <w:sz w:val="21"/>
                      <w:szCs w:val="21"/>
                      <w:lang w:val="en-US" w:eastAsia="zh-CN" w:bidi="ar-SA"/>
                    </w:rPr>
                    <w:t>达标</w:t>
                  </w:r>
                </w:p>
              </w:tc>
            </w:tr>
          </w:tbl>
          <w:p w14:paraId="0482ACE6">
            <w:pPr>
              <w:spacing w:line="360" w:lineRule="auto"/>
              <w:ind w:firstLine="420" w:firstLineChars="200"/>
              <w:rPr>
                <w:rFonts w:hint="eastAsia" w:eastAsia="宋体" w:cs="黑体"/>
                <w:bCs/>
                <w:color w:val="auto"/>
                <w:sz w:val="21"/>
                <w:szCs w:val="21"/>
                <w:vertAlign w:val="baseline"/>
                <w:lang w:eastAsia="zh-CN"/>
              </w:rPr>
            </w:pPr>
            <w:r>
              <w:rPr>
                <w:rFonts w:hint="eastAsia" w:eastAsia="宋体" w:cs="黑体"/>
                <w:color w:val="auto"/>
                <w:sz w:val="21"/>
                <w:szCs w:val="21"/>
                <w:highlight w:val="none"/>
                <w:lang w:eastAsia="zh-CN"/>
              </w:rPr>
              <w:t>综上，当本项目达到最大同时烧制</w:t>
            </w:r>
            <w:r>
              <w:rPr>
                <w:rFonts w:hint="eastAsia" w:eastAsia="宋体" w:cs="黑体"/>
                <w:color w:val="auto"/>
                <w:sz w:val="21"/>
                <w:szCs w:val="21"/>
                <w:highlight w:val="none"/>
                <w:lang w:val="en-US" w:eastAsia="zh-CN"/>
              </w:rPr>
              <w:t>6座梭式窑时，</w:t>
            </w:r>
            <w:r>
              <w:rPr>
                <w:rFonts w:hint="eastAsia" w:eastAsia="宋体" w:cs="黑体"/>
                <w:color w:val="auto"/>
                <w:sz w:val="21"/>
                <w:szCs w:val="21"/>
                <w:highlight w:val="none"/>
              </w:rPr>
              <w:t>本项目</w:t>
            </w:r>
            <w:r>
              <w:rPr>
                <w:rFonts w:hint="eastAsia" w:eastAsia="宋体" w:cs="黑体"/>
                <w:color w:val="auto"/>
                <w:sz w:val="21"/>
                <w:szCs w:val="21"/>
                <w:lang w:eastAsia="zh-CN"/>
              </w:rPr>
              <w:t>梭式窑</w:t>
            </w:r>
            <w:r>
              <w:rPr>
                <w:rFonts w:hint="eastAsia" w:eastAsia="宋体" w:cs="黑体"/>
                <w:color w:val="auto"/>
                <w:sz w:val="21"/>
                <w:szCs w:val="21"/>
              </w:rPr>
              <w:t>废气</w:t>
            </w:r>
            <w:r>
              <w:rPr>
                <w:rFonts w:hint="eastAsia" w:eastAsia="宋体" w:cs="黑体"/>
                <w:color w:val="auto"/>
                <w:sz w:val="21"/>
                <w:szCs w:val="21"/>
                <w:highlight w:val="none"/>
                <w:lang w:val="en-US" w:eastAsia="zh-CN"/>
              </w:rPr>
              <w:t>中</w:t>
            </w:r>
            <w:r>
              <w:rPr>
                <w:rFonts w:hint="eastAsia" w:eastAsia="宋体" w:cs="黑体"/>
                <w:color w:val="auto"/>
                <w:sz w:val="21"/>
                <w:szCs w:val="21"/>
                <w:highlight w:val="none"/>
              </w:rPr>
              <w:t>的颗粒物</w:t>
            </w:r>
            <w:r>
              <w:rPr>
                <w:rFonts w:hint="eastAsia" w:eastAsia="宋体" w:cs="黑体"/>
                <w:color w:val="auto"/>
                <w:sz w:val="21"/>
                <w:szCs w:val="21"/>
                <w:highlight w:val="none"/>
                <w:lang w:eastAsia="zh-CN"/>
              </w:rPr>
              <w:t>、</w:t>
            </w:r>
            <w:r>
              <w:rPr>
                <w:rFonts w:hint="eastAsia" w:eastAsia="宋体" w:cs="黑体"/>
                <w:color w:val="auto"/>
                <w:sz w:val="21"/>
                <w:szCs w:val="21"/>
                <w:highlight w:val="none"/>
                <w:lang w:val="en-US" w:eastAsia="zh-CN"/>
              </w:rPr>
              <w:t>SO</w:t>
            </w:r>
            <w:r>
              <w:rPr>
                <w:rFonts w:hint="eastAsia" w:eastAsia="宋体" w:cs="黑体"/>
                <w:color w:val="auto"/>
                <w:sz w:val="21"/>
                <w:szCs w:val="21"/>
                <w:highlight w:val="none"/>
                <w:vertAlign w:val="subscript"/>
                <w:lang w:val="en-US" w:eastAsia="zh-CN"/>
              </w:rPr>
              <w:t>2</w:t>
            </w:r>
            <w:r>
              <w:rPr>
                <w:rFonts w:hint="eastAsia" w:eastAsia="宋体" w:cs="黑体"/>
                <w:color w:val="auto"/>
                <w:sz w:val="21"/>
                <w:szCs w:val="21"/>
                <w:highlight w:val="none"/>
                <w:lang w:val="en-US" w:eastAsia="zh-CN"/>
              </w:rPr>
              <w:t>、NO</w:t>
            </w:r>
            <w:r>
              <w:rPr>
                <w:rFonts w:hint="eastAsia" w:eastAsia="宋体" w:cs="黑体"/>
                <w:color w:val="auto"/>
                <w:sz w:val="21"/>
                <w:szCs w:val="21"/>
                <w:highlight w:val="none"/>
                <w:vertAlign w:val="subscript"/>
                <w:lang w:val="en-US" w:eastAsia="zh-CN"/>
              </w:rPr>
              <w:t>X</w:t>
            </w:r>
            <w:r>
              <w:rPr>
                <w:rFonts w:hint="eastAsia" w:eastAsia="宋体" w:cs="黑体"/>
                <w:color w:val="auto"/>
                <w:sz w:val="21"/>
                <w:szCs w:val="21"/>
                <w:highlight w:val="none"/>
                <w:vertAlign w:val="baseline"/>
                <w:lang w:val="en-US" w:eastAsia="zh-CN"/>
              </w:rPr>
              <w:t>、氟化物</w:t>
            </w:r>
            <w:r>
              <w:rPr>
                <w:rFonts w:hint="eastAsia" w:eastAsia="宋体" w:cs="黑体"/>
                <w:b w:val="0"/>
                <w:bCs w:val="0"/>
                <w:color w:val="auto"/>
                <w:sz w:val="21"/>
                <w:szCs w:val="21"/>
                <w:vertAlign w:val="baseline"/>
                <w:lang w:val="en-US" w:eastAsia="zh-CN"/>
              </w:rPr>
              <w:t>排放浓度满足</w:t>
            </w:r>
            <w:r>
              <w:rPr>
                <w:rFonts w:hint="eastAsia" w:eastAsia="宋体" w:cs="Times New Roman"/>
                <w:color w:val="auto"/>
                <w:sz w:val="21"/>
                <w:szCs w:val="21"/>
              </w:rPr>
              <w:t>《砖瓦工业大气污染物排放标准》（GB29620-2013）表2标准限值及其修改单</w:t>
            </w:r>
            <w:r>
              <w:rPr>
                <w:rFonts w:hint="eastAsia" w:eastAsia="宋体" w:cs="黑体"/>
                <w:bCs/>
                <w:color w:val="auto"/>
                <w:sz w:val="21"/>
                <w:szCs w:val="21"/>
                <w:vertAlign w:val="baseline"/>
                <w:lang w:eastAsia="zh-CN"/>
              </w:rPr>
              <w:t>。</w:t>
            </w:r>
          </w:p>
          <w:p w14:paraId="47771697">
            <w:pPr>
              <w:widowControl w:val="0"/>
              <w:bidi w:val="0"/>
              <w:spacing w:line="360" w:lineRule="auto"/>
              <w:ind w:firstLine="422" w:firstLineChars="200"/>
              <w:jc w:val="both"/>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w:t>
            </w:r>
            <w:r>
              <w:rPr>
                <w:rFonts w:hint="eastAsia" w:cs="Times New Roman"/>
                <w:b/>
                <w:bCs/>
                <w:color w:val="auto"/>
                <w:kern w:val="2"/>
                <w:sz w:val="21"/>
                <w:szCs w:val="21"/>
                <w:lang w:val="en-US" w:eastAsia="zh-CN" w:bidi="ar-SA"/>
              </w:rPr>
              <w:t>2</w:t>
            </w:r>
            <w:r>
              <w:rPr>
                <w:rFonts w:hint="eastAsia" w:ascii="Times New Roman" w:hAnsi="Times New Roman" w:eastAsia="宋体" w:cs="Times New Roman"/>
                <w:b/>
                <w:bCs/>
                <w:color w:val="auto"/>
                <w:kern w:val="2"/>
                <w:sz w:val="21"/>
                <w:szCs w:val="21"/>
                <w:lang w:val="en-US" w:eastAsia="zh-CN" w:bidi="ar-SA"/>
              </w:rPr>
              <w:t>）无组织废气</w:t>
            </w:r>
          </w:p>
          <w:p w14:paraId="33A4D838">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both"/>
              <w:textAlignment w:val="auto"/>
              <w:rPr>
                <w:rFonts w:hint="default" w:ascii="宋体" w:hAnsi="宋体" w:eastAsia="宋体" w:cs="宋体"/>
                <w:b/>
                <w:bCs/>
                <w:color w:val="auto"/>
                <w:kern w:val="2"/>
                <w:sz w:val="21"/>
                <w:szCs w:val="21"/>
                <w:lang w:val="en-US" w:eastAsia="zh-CN" w:bidi="ar-SA"/>
              </w:rPr>
            </w:pPr>
            <w:r>
              <w:rPr>
                <w:rFonts w:hint="eastAsia" w:ascii="宋体" w:hAnsi="宋体" w:cs="宋体"/>
                <w:b/>
                <w:bCs/>
                <w:color w:val="auto"/>
                <w:kern w:val="2"/>
                <w:sz w:val="21"/>
                <w:szCs w:val="21"/>
                <w:lang w:val="en-US" w:eastAsia="zh-CN" w:bidi="ar-SA"/>
              </w:rPr>
              <w:t>①卸料粉尘（T1）</w:t>
            </w:r>
          </w:p>
          <w:p w14:paraId="72287581">
            <w:pPr>
              <w:pageBreakBefore w:val="0"/>
              <w:wordWrap/>
              <w:topLinePunct w:val="0"/>
              <w:bidi w:val="0"/>
              <w:adjustRightInd w:val="0"/>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项目原料卸车时产生的粉尘量由装卸高度、车辆吨位、物料含水率和地面风速决定</w:t>
            </w:r>
            <w:r>
              <w:rPr>
                <w:rFonts w:hint="eastAsia" w:ascii="Times New Roman" w:hAnsi="Times New Roman" w:cs="Times New Roman"/>
                <w:bCs/>
                <w:color w:val="auto"/>
                <w:szCs w:val="21"/>
                <w:lang w:eastAsia="zh-CN"/>
              </w:rPr>
              <w:t>，</w:t>
            </w:r>
            <w:r>
              <w:rPr>
                <w:rFonts w:hint="eastAsia" w:ascii="Times New Roman" w:hAnsi="Times New Roman" w:cs="Times New Roman"/>
                <w:bCs/>
                <w:color w:val="auto"/>
                <w:szCs w:val="21"/>
                <w:lang w:val="en-US" w:eastAsia="zh-CN"/>
              </w:rPr>
              <w:t>原料装卸起尘量引用秦皇岛码头装卸起尘量计算公式</w:t>
            </w:r>
            <w:r>
              <w:rPr>
                <w:rFonts w:hint="default" w:ascii="Times New Roman" w:hAnsi="Times New Roman" w:cs="Times New Roman"/>
                <w:bCs/>
                <w:color w:val="auto"/>
                <w:szCs w:val="21"/>
              </w:rPr>
              <w:t>。</w:t>
            </w:r>
          </w:p>
          <w:p w14:paraId="546905CB">
            <w:pPr>
              <w:pageBreakBefore w:val="0"/>
              <w:wordWrap/>
              <w:topLinePunct w:val="0"/>
              <w:bidi w:val="0"/>
              <w:adjustRightInd w:val="0"/>
              <w:snapToGrid w:val="0"/>
              <w:spacing w:line="360" w:lineRule="auto"/>
              <w:jc w:val="center"/>
              <w:rPr>
                <w:rFonts w:hint="default" w:ascii="Times New Roman" w:hAnsi="Times New Roman" w:cs="Times New Roman"/>
                <w:bCs/>
                <w:color w:val="auto"/>
                <w:szCs w:val="21"/>
              </w:rPr>
            </w:pPr>
            <w:r>
              <w:rPr>
                <w:rFonts w:hint="default" w:ascii="Times New Roman" w:hAnsi="Times New Roman" w:cs="Times New Roman"/>
                <w:color w:val="auto"/>
                <w:szCs w:val="21"/>
              </w:rPr>
              <w:drawing>
                <wp:inline distT="0" distB="0" distL="114300" distR="114300">
                  <wp:extent cx="2613660" cy="757555"/>
                  <wp:effectExtent l="0" t="0" r="15240" b="4445"/>
                  <wp:docPr id="2" name="图片 4" descr="X~}@N1PM1)CTHL]TZ8A78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X~}@N1PM1)CTHL]TZ8A78AA"/>
                          <pic:cNvPicPr>
                            <a:picLocks noChangeAspect="1"/>
                          </pic:cNvPicPr>
                        </pic:nvPicPr>
                        <pic:blipFill>
                          <a:blip r:embed="rId23"/>
                          <a:stretch>
                            <a:fillRect/>
                          </a:stretch>
                        </pic:blipFill>
                        <pic:spPr>
                          <a:xfrm>
                            <a:off x="0" y="0"/>
                            <a:ext cx="2613660" cy="757555"/>
                          </a:xfrm>
                          <a:prstGeom prst="rect">
                            <a:avLst/>
                          </a:prstGeom>
                          <a:noFill/>
                          <a:ln>
                            <a:noFill/>
                          </a:ln>
                        </pic:spPr>
                      </pic:pic>
                    </a:graphicData>
                  </a:graphic>
                </wp:inline>
              </w:drawing>
            </w:r>
          </w:p>
          <w:p w14:paraId="5EE5F7E4">
            <w:pPr>
              <w:pageBreakBefore w:val="0"/>
              <w:wordWrap/>
              <w:topLinePunct w:val="0"/>
              <w:bidi w:val="0"/>
              <w:adjustRightInd w:val="0"/>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式中：Q</w:t>
            </w:r>
            <w:r>
              <w:rPr>
                <w:rFonts w:hint="default" w:ascii="Times New Roman" w:hAnsi="Times New Roman" w:cs="Times New Roman"/>
                <w:bCs/>
                <w:color w:val="auto"/>
                <w:szCs w:val="21"/>
                <w:vertAlign w:val="subscript"/>
              </w:rPr>
              <w:t>2</w:t>
            </w:r>
            <w:r>
              <w:rPr>
                <w:rFonts w:hint="default" w:ascii="Times New Roman" w:hAnsi="Times New Roman" w:cs="Times New Roman"/>
                <w:bCs/>
                <w:color w:val="auto"/>
                <w:szCs w:val="21"/>
              </w:rPr>
              <w:t>——起尘量，mg/s；</w:t>
            </w:r>
          </w:p>
          <w:p w14:paraId="7F6C38D6">
            <w:pPr>
              <w:pageBreakBefore w:val="0"/>
              <w:wordWrap/>
              <w:topLinePunct w:val="0"/>
              <w:bidi w:val="0"/>
              <w:adjustRightInd w:val="0"/>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M——卸车吨位，t；本项目为25t；</w:t>
            </w:r>
          </w:p>
          <w:p w14:paraId="4C2738F9">
            <w:pPr>
              <w:pageBreakBefore w:val="0"/>
              <w:wordWrap/>
              <w:topLinePunct w:val="0"/>
              <w:bidi w:val="0"/>
              <w:adjustRightInd w:val="0"/>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U——平均风速，当地平均风速为</w:t>
            </w:r>
            <w:r>
              <w:rPr>
                <w:rFonts w:hint="default" w:ascii="Times New Roman" w:hAnsi="Times New Roman" w:cs="Times New Roman"/>
                <w:bCs/>
                <w:color w:val="auto"/>
                <w:szCs w:val="21"/>
                <w:lang w:val="en-US" w:eastAsia="zh-CN"/>
              </w:rPr>
              <w:t>2.2</w:t>
            </w:r>
            <w:r>
              <w:rPr>
                <w:rFonts w:hint="default" w:ascii="Times New Roman" w:hAnsi="Times New Roman" w:cs="Times New Roman"/>
                <w:bCs/>
                <w:color w:val="auto"/>
                <w:szCs w:val="21"/>
              </w:rPr>
              <w:t>m/s；</w:t>
            </w:r>
          </w:p>
          <w:p w14:paraId="2AAA251D">
            <w:pPr>
              <w:pageBreakBefore w:val="0"/>
              <w:wordWrap/>
              <w:topLinePunct w:val="0"/>
              <w:bidi w:val="0"/>
              <w:adjustRightInd w:val="0"/>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H——物料装卸高度，m，取</w:t>
            </w:r>
            <w:r>
              <w:rPr>
                <w:rFonts w:hint="eastAsia" w:ascii="Times New Roman" w:hAnsi="Times New Roman" w:cs="Times New Roman"/>
                <w:bCs/>
                <w:color w:val="auto"/>
                <w:szCs w:val="21"/>
                <w:lang w:val="en-US" w:eastAsia="zh-CN"/>
              </w:rPr>
              <w:t>2</w:t>
            </w:r>
            <w:r>
              <w:rPr>
                <w:rFonts w:hint="default" w:ascii="Times New Roman" w:hAnsi="Times New Roman" w:cs="Times New Roman"/>
                <w:bCs/>
                <w:color w:val="auto"/>
                <w:szCs w:val="21"/>
              </w:rPr>
              <w:t>m；</w:t>
            </w:r>
          </w:p>
          <w:p w14:paraId="4CB94D51">
            <w:pPr>
              <w:pageBreakBefore w:val="0"/>
              <w:wordWrap/>
              <w:topLinePunct w:val="0"/>
              <w:bidi w:val="0"/>
              <w:adjustRightInd w:val="0"/>
              <w:snapToGrid w:val="0"/>
              <w:spacing w:line="360" w:lineRule="auto"/>
              <w:ind w:firstLine="420" w:firstLineChars="200"/>
              <w:rPr>
                <w:rFonts w:hint="default" w:ascii="Times New Roman" w:hAnsi="Times New Roman" w:cs="Times New Roman"/>
                <w:bCs/>
                <w:color w:val="auto"/>
                <w:szCs w:val="21"/>
              </w:rPr>
            </w:pPr>
            <w:r>
              <w:rPr>
                <w:rFonts w:hint="default" w:ascii="Times New Roman" w:hAnsi="Times New Roman" w:cs="Times New Roman"/>
                <w:bCs/>
                <w:color w:val="auto"/>
                <w:szCs w:val="21"/>
              </w:rPr>
              <w:t>W——物料含水率，%；取</w:t>
            </w:r>
            <w:r>
              <w:rPr>
                <w:rFonts w:hint="eastAsia" w:ascii="Times New Roman" w:hAnsi="Times New Roman" w:cs="Times New Roman"/>
                <w:bCs/>
                <w:color w:val="auto"/>
                <w:szCs w:val="21"/>
                <w:lang w:val="en-US" w:eastAsia="zh-CN"/>
              </w:rPr>
              <w:t>8</w:t>
            </w:r>
            <w:r>
              <w:rPr>
                <w:rFonts w:hint="default" w:ascii="Times New Roman" w:hAnsi="Times New Roman" w:cs="Times New Roman"/>
                <w:bCs/>
                <w:color w:val="auto"/>
                <w:szCs w:val="21"/>
              </w:rPr>
              <w:t>%。</w:t>
            </w:r>
          </w:p>
          <w:p w14:paraId="3F3A959B">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color w:val="auto"/>
                <w:kern w:val="2"/>
                <w:sz w:val="21"/>
                <w:szCs w:val="21"/>
                <w:lang w:val="en-US" w:eastAsia="zh-CN" w:bidi="ar-SA"/>
              </w:rPr>
            </w:pPr>
            <w:r>
              <w:rPr>
                <w:rFonts w:hint="default" w:ascii="Times New Roman" w:hAnsi="Times New Roman" w:cs="Times New Roman"/>
                <w:bCs/>
                <w:color w:val="auto"/>
                <w:szCs w:val="21"/>
              </w:rPr>
              <w:t>由计算可知，本项目原料在</w:t>
            </w:r>
            <w:r>
              <w:rPr>
                <w:rFonts w:hint="default" w:ascii="Times New Roman" w:hAnsi="Times New Roman" w:cs="Times New Roman"/>
                <w:bCs/>
                <w:color w:val="auto"/>
                <w:szCs w:val="21"/>
                <w:lang w:val="en-US" w:eastAsia="zh-CN"/>
              </w:rPr>
              <w:t>卸车</w:t>
            </w:r>
            <w:r>
              <w:rPr>
                <w:rFonts w:hint="default" w:ascii="Times New Roman" w:hAnsi="Times New Roman" w:cs="Times New Roman"/>
                <w:bCs/>
                <w:color w:val="auto"/>
                <w:szCs w:val="21"/>
              </w:rPr>
              <w:t>过程中起尘量为</w:t>
            </w:r>
            <w:r>
              <w:rPr>
                <w:rFonts w:hint="eastAsia" w:ascii="Times New Roman" w:hAnsi="Times New Roman" w:cs="Times New Roman"/>
                <w:bCs/>
                <w:color w:val="auto"/>
                <w:sz w:val="21"/>
                <w:szCs w:val="21"/>
                <w:lang w:val="en-US" w:eastAsia="zh-CN"/>
              </w:rPr>
              <w:t>3985.91</w:t>
            </w:r>
            <w:r>
              <w:rPr>
                <w:rFonts w:hint="default" w:ascii="Times New Roman" w:hAnsi="Times New Roman" w:cs="Times New Roman"/>
                <w:bCs/>
                <w:color w:val="auto"/>
                <w:szCs w:val="21"/>
              </w:rPr>
              <w:t>mg/s，原料</w:t>
            </w:r>
            <w:r>
              <w:rPr>
                <w:rFonts w:hint="eastAsia" w:cs="Times New Roman"/>
                <w:bCs/>
                <w:color w:val="auto"/>
                <w:szCs w:val="21"/>
                <w:lang w:val="en-US" w:eastAsia="zh-CN"/>
              </w:rPr>
              <w:t>卸车总</w:t>
            </w:r>
            <w:r>
              <w:rPr>
                <w:rFonts w:hint="default" w:ascii="Times New Roman" w:hAnsi="Times New Roman" w:cs="Times New Roman"/>
                <w:bCs/>
                <w:color w:val="auto"/>
                <w:szCs w:val="21"/>
              </w:rPr>
              <w:t>量</w:t>
            </w:r>
            <w:r>
              <w:rPr>
                <w:rFonts w:hint="default" w:ascii="Times New Roman" w:hAnsi="Times New Roman" w:cs="Times New Roman"/>
                <w:bCs/>
                <w:color w:val="auto"/>
                <w:szCs w:val="21"/>
                <w:lang w:val="en-US" w:eastAsia="zh-CN"/>
              </w:rPr>
              <w:t>按照</w:t>
            </w:r>
            <w:r>
              <w:rPr>
                <w:rFonts w:hint="eastAsia" w:cs="Times New Roman"/>
                <w:bCs/>
                <w:color w:val="auto"/>
                <w:szCs w:val="21"/>
                <w:lang w:val="en-US" w:eastAsia="zh-CN"/>
              </w:rPr>
              <w:t>16985</w:t>
            </w:r>
            <w:r>
              <w:rPr>
                <w:rFonts w:hint="default" w:ascii="Times New Roman" w:hAnsi="Times New Roman" w:cs="Times New Roman"/>
                <w:bCs/>
                <w:color w:val="auto"/>
                <w:szCs w:val="21"/>
              </w:rPr>
              <w:t>t/a</w:t>
            </w:r>
            <w:r>
              <w:rPr>
                <w:rFonts w:hint="default" w:ascii="Times New Roman" w:hAnsi="Times New Roman" w:cs="Times New Roman"/>
                <w:bCs/>
                <w:color w:val="auto"/>
                <w:szCs w:val="21"/>
                <w:lang w:val="en-US" w:eastAsia="zh-CN"/>
              </w:rPr>
              <w:t>计</w:t>
            </w:r>
            <w:r>
              <w:rPr>
                <w:rFonts w:hint="default" w:ascii="Times New Roman" w:hAnsi="Times New Roman" w:cs="Times New Roman"/>
                <w:bCs/>
                <w:color w:val="auto"/>
                <w:szCs w:val="21"/>
              </w:rPr>
              <w:t>，每吨卸货时间为5s，则总卸货时间为</w:t>
            </w:r>
            <w:r>
              <w:rPr>
                <w:rFonts w:hint="eastAsia" w:cs="Times New Roman"/>
                <w:bCs/>
                <w:color w:val="auto"/>
                <w:szCs w:val="21"/>
                <w:lang w:val="en-US" w:eastAsia="zh-CN"/>
              </w:rPr>
              <w:t>84925</w:t>
            </w:r>
            <w:r>
              <w:rPr>
                <w:rFonts w:hint="default" w:ascii="Times New Roman" w:hAnsi="Times New Roman" w:cs="Times New Roman"/>
                <w:bCs/>
                <w:color w:val="auto"/>
                <w:szCs w:val="21"/>
              </w:rPr>
              <w:t>s</w:t>
            </w:r>
            <w:r>
              <w:rPr>
                <w:rFonts w:hint="default" w:ascii="Times New Roman" w:hAnsi="Times New Roman" w:cs="Times New Roman"/>
                <w:color w:val="auto"/>
                <w:szCs w:val="21"/>
              </w:rPr>
              <w:t>/a</w:t>
            </w:r>
            <w:r>
              <w:rPr>
                <w:rFonts w:hint="default" w:ascii="Times New Roman" w:hAnsi="Times New Roman" w:cs="Times New Roman"/>
                <w:bCs/>
                <w:color w:val="auto"/>
                <w:szCs w:val="21"/>
              </w:rPr>
              <w:t>（</w:t>
            </w:r>
            <w:r>
              <w:rPr>
                <w:rFonts w:hint="eastAsia" w:cs="Times New Roman"/>
                <w:bCs/>
                <w:color w:val="auto"/>
                <w:szCs w:val="21"/>
                <w:lang w:val="en-US" w:eastAsia="zh-CN"/>
              </w:rPr>
              <w:t>23.6</w:t>
            </w:r>
            <w:r>
              <w:rPr>
                <w:rFonts w:hint="default" w:ascii="Times New Roman" w:hAnsi="Times New Roman" w:cs="Times New Roman"/>
                <w:bCs/>
                <w:color w:val="auto"/>
                <w:szCs w:val="21"/>
              </w:rPr>
              <w:t>h</w:t>
            </w:r>
            <w:r>
              <w:rPr>
                <w:rFonts w:hint="default" w:ascii="Times New Roman" w:hAnsi="Times New Roman" w:cs="Times New Roman"/>
                <w:color w:val="auto"/>
                <w:szCs w:val="21"/>
              </w:rPr>
              <w:t>/a</w:t>
            </w:r>
            <w:r>
              <w:rPr>
                <w:rFonts w:hint="default" w:ascii="Times New Roman" w:hAnsi="Times New Roman" w:cs="Times New Roman"/>
                <w:bCs/>
                <w:color w:val="auto"/>
                <w:szCs w:val="21"/>
              </w:rPr>
              <w:t>），则项目原料装卸过程起尘量为</w:t>
            </w:r>
            <w:r>
              <w:rPr>
                <w:rFonts w:hint="eastAsia" w:cs="Times New Roman"/>
                <w:bCs/>
                <w:color w:val="auto"/>
                <w:szCs w:val="21"/>
                <w:lang w:val="en-US" w:eastAsia="zh-CN"/>
              </w:rPr>
              <w:t>0.338</w:t>
            </w:r>
            <w:r>
              <w:rPr>
                <w:rFonts w:hint="default" w:ascii="Times New Roman" w:hAnsi="Times New Roman" w:cs="Times New Roman"/>
                <w:bCs/>
                <w:color w:val="auto"/>
                <w:szCs w:val="21"/>
              </w:rPr>
              <w:t>t/a，</w:t>
            </w:r>
            <w:r>
              <w:rPr>
                <w:rFonts w:hint="eastAsia" w:ascii="Times New Roman" w:hAnsi="Times New Roman" w:cs="Times New Roman"/>
                <w:bCs/>
                <w:color w:val="auto"/>
                <w:szCs w:val="21"/>
                <w:lang w:val="en-US" w:eastAsia="zh-CN"/>
              </w:rPr>
              <w:t>14.32</w:t>
            </w:r>
            <w:r>
              <w:rPr>
                <w:rFonts w:hint="default" w:ascii="Times New Roman" w:hAnsi="Times New Roman" w:cs="Times New Roman"/>
                <w:bCs/>
                <w:color w:val="auto"/>
                <w:szCs w:val="21"/>
              </w:rPr>
              <w:t>kg/h。项目在此产污节点处设置封闭厂房和洒水降尘后，除尘效率以70%计，则项目原料卸车粉尘排放量为</w:t>
            </w:r>
            <w:r>
              <w:rPr>
                <w:rFonts w:hint="eastAsia" w:cs="Times New Roman"/>
                <w:bCs/>
                <w:color w:val="auto"/>
                <w:szCs w:val="21"/>
                <w:lang w:val="en-US" w:eastAsia="zh-CN"/>
              </w:rPr>
              <w:t>0.101</w:t>
            </w:r>
            <w:r>
              <w:rPr>
                <w:rFonts w:hint="default" w:ascii="Times New Roman" w:hAnsi="Times New Roman" w:cs="Times New Roman"/>
                <w:bCs/>
                <w:color w:val="auto"/>
                <w:szCs w:val="21"/>
              </w:rPr>
              <w:t>t/a，排放速率为</w:t>
            </w:r>
            <w:r>
              <w:rPr>
                <w:rFonts w:hint="eastAsia" w:ascii="Times New Roman" w:hAnsi="Times New Roman" w:cs="Times New Roman"/>
                <w:bCs/>
                <w:color w:val="auto"/>
                <w:szCs w:val="21"/>
                <w:lang w:val="en-US" w:eastAsia="zh-CN"/>
              </w:rPr>
              <w:t>4.27</w:t>
            </w:r>
            <w:r>
              <w:rPr>
                <w:rFonts w:hint="default" w:ascii="Times New Roman" w:hAnsi="Times New Roman" w:cs="Times New Roman"/>
                <w:bCs/>
                <w:color w:val="auto"/>
                <w:szCs w:val="21"/>
              </w:rPr>
              <w:t>kg/h，呈无组织排放。</w:t>
            </w:r>
          </w:p>
          <w:p w14:paraId="2F8C0030">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both"/>
              <w:textAlignment w:val="auto"/>
              <w:rPr>
                <w:rFonts w:hint="default" w:ascii="宋体" w:hAnsi="宋体" w:eastAsia="宋体" w:cs="宋体"/>
                <w:b/>
                <w:bCs/>
                <w:color w:val="auto"/>
                <w:kern w:val="2"/>
                <w:sz w:val="21"/>
                <w:szCs w:val="21"/>
                <w:lang w:val="en-US" w:eastAsia="zh-CN" w:bidi="ar-SA"/>
              </w:rPr>
            </w:pPr>
            <w:r>
              <w:rPr>
                <w:rFonts w:hint="eastAsia" w:ascii="宋体" w:hAnsi="宋体" w:cs="宋体"/>
                <w:b/>
                <w:bCs/>
                <w:color w:val="auto"/>
                <w:kern w:val="2"/>
                <w:sz w:val="21"/>
                <w:szCs w:val="21"/>
                <w:lang w:val="en-US" w:eastAsia="zh-CN" w:bidi="ar-SA"/>
              </w:rPr>
              <w:t>②原料车间至陈化车间给料粉尘（T2）</w:t>
            </w:r>
          </w:p>
          <w:p w14:paraId="2DAF11D4">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根据《逸散性工业粉尘控制技术》《工业污染核算》中的行业经验系数，给料口粉尘产生系数为0.05kg/t-原料。项目采用铲车将原料从原料库运至陈化车间，</w:t>
            </w:r>
            <w:r>
              <w:rPr>
                <w:rFonts w:hint="eastAsia" w:ascii="Times New Roman" w:hAnsi="Times New Roman" w:cs="Times New Roman"/>
                <w:bCs/>
                <w:color w:val="auto"/>
                <w:sz w:val="21"/>
                <w:szCs w:val="21"/>
                <w:lang w:val="en-US" w:eastAsia="zh-CN"/>
              </w:rPr>
              <w:t>给料量为15500</w:t>
            </w:r>
            <w:r>
              <w:rPr>
                <w:rFonts w:hint="eastAsia" w:ascii="Times New Roman" w:hAnsi="Times New Roman" w:eastAsia="宋体" w:cs="Times New Roman"/>
                <w:bCs/>
                <w:color w:val="auto"/>
                <w:sz w:val="21"/>
                <w:szCs w:val="21"/>
                <w:lang w:val="en-US" w:eastAsia="zh-CN"/>
              </w:rPr>
              <w:t>t/a，</w:t>
            </w:r>
            <w:r>
              <w:rPr>
                <w:rFonts w:hint="eastAsia" w:ascii="Times New Roman" w:hAnsi="Times New Roman" w:cs="Times New Roman"/>
                <w:bCs/>
                <w:color w:val="auto"/>
                <w:sz w:val="21"/>
                <w:szCs w:val="21"/>
                <w:lang w:val="en-US" w:eastAsia="zh-CN"/>
              </w:rPr>
              <w:t>产尘量为0.775t</w:t>
            </w:r>
            <w:r>
              <w:rPr>
                <w:rFonts w:hint="eastAsia" w:ascii="Times New Roman" w:hAnsi="Times New Roman" w:eastAsia="宋体" w:cs="Times New Roman"/>
                <w:bCs/>
                <w:color w:val="auto"/>
                <w:sz w:val="21"/>
                <w:szCs w:val="21"/>
                <w:lang w:val="en-US" w:eastAsia="zh-CN"/>
              </w:rPr>
              <w:t>/a，0.32</w:t>
            </w:r>
            <w:r>
              <w:rPr>
                <w:rFonts w:hint="eastAsia" w:ascii="Times New Roman" w:hAnsi="Times New Roman" w:eastAsia="宋体" w:cs="Times New Roman"/>
                <w:bCs/>
                <w:color w:val="auto"/>
                <w:sz w:val="21"/>
                <w:szCs w:val="21"/>
                <w:vertAlign w:val="baseline"/>
                <w:lang w:val="en-US" w:eastAsia="zh-CN"/>
              </w:rPr>
              <w:t>kg/h，通过设置</w:t>
            </w:r>
            <w:r>
              <w:rPr>
                <w:rFonts w:hint="eastAsia" w:ascii="Times New Roman" w:hAnsi="Times New Roman" w:eastAsia="宋体" w:cs="Times New Roman"/>
                <w:bCs/>
                <w:color w:val="auto"/>
                <w:sz w:val="21"/>
                <w:szCs w:val="21"/>
                <w:lang w:val="en-US" w:eastAsia="zh-CN"/>
              </w:rPr>
              <w:t>封闭厂房和喷淋洒水后（粉尘控制效率达</w:t>
            </w:r>
            <w:r>
              <w:rPr>
                <w:rFonts w:hint="eastAsia" w:ascii="Times New Roman" w:hAnsi="Times New Roman" w:cs="Times New Roman"/>
                <w:bCs/>
                <w:color w:val="auto"/>
                <w:sz w:val="21"/>
                <w:szCs w:val="21"/>
                <w:lang w:val="en-US" w:eastAsia="zh-CN"/>
              </w:rPr>
              <w:t>70</w:t>
            </w:r>
            <w:r>
              <w:rPr>
                <w:rFonts w:hint="eastAsia" w:ascii="Times New Roman" w:hAnsi="Times New Roman" w:eastAsia="宋体" w:cs="Times New Roman"/>
                <w:bCs/>
                <w:color w:val="auto"/>
                <w:sz w:val="21"/>
                <w:szCs w:val="21"/>
                <w:lang w:val="en-US" w:eastAsia="zh-CN"/>
              </w:rPr>
              <w:t>%），</w:t>
            </w:r>
            <w:r>
              <w:rPr>
                <w:rFonts w:hint="eastAsia" w:ascii="Times New Roman" w:hAnsi="Times New Roman" w:eastAsia="宋体" w:cs="Times New Roman"/>
                <w:bCs/>
                <w:color w:val="auto"/>
                <w:sz w:val="21"/>
                <w:szCs w:val="21"/>
                <w:vertAlign w:val="baseline"/>
                <w:lang w:val="en-US" w:eastAsia="zh-CN"/>
              </w:rPr>
              <w:t>排放量为0.233</w:t>
            </w:r>
            <w:r>
              <w:rPr>
                <w:rFonts w:hint="eastAsia" w:ascii="Times New Roman" w:hAnsi="Times New Roman" w:eastAsia="宋体" w:cs="Times New Roman"/>
                <w:bCs/>
                <w:color w:val="auto"/>
                <w:sz w:val="21"/>
                <w:szCs w:val="21"/>
                <w:lang w:val="en-US" w:eastAsia="zh-CN"/>
              </w:rPr>
              <w:t>t/a，排放速率为0.097</w:t>
            </w:r>
            <w:r>
              <w:rPr>
                <w:rFonts w:hint="eastAsia" w:ascii="Times New Roman" w:hAnsi="Times New Roman" w:eastAsia="宋体" w:cs="Times New Roman"/>
                <w:bCs/>
                <w:color w:val="auto"/>
                <w:sz w:val="21"/>
                <w:szCs w:val="21"/>
                <w:vertAlign w:val="baseline"/>
                <w:lang w:val="en-US" w:eastAsia="zh-CN"/>
              </w:rPr>
              <w:t>kg/h，呈无组织排放</w:t>
            </w:r>
            <w:r>
              <w:rPr>
                <w:rFonts w:hint="eastAsia"/>
                <w:color w:val="auto"/>
                <w:lang w:eastAsia="zh-CN"/>
              </w:rPr>
              <w:t>。</w:t>
            </w:r>
          </w:p>
          <w:p w14:paraId="2387BD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2" w:firstLineChars="200"/>
              <w:jc w:val="both"/>
              <w:textAlignment w:val="auto"/>
              <w:rPr>
                <w:rFonts w:hint="default" w:cs="Times New Roman"/>
                <w:b/>
                <w:bCs/>
                <w:color w:val="auto"/>
                <w:sz w:val="21"/>
                <w:szCs w:val="21"/>
                <w:lang w:val="en-US" w:eastAsia="zh-CN"/>
              </w:rPr>
            </w:pPr>
            <w:r>
              <w:rPr>
                <w:rFonts w:hint="eastAsia" w:ascii="宋体" w:hAnsi="宋体" w:cs="宋体"/>
                <w:b/>
                <w:bCs/>
                <w:color w:val="auto"/>
                <w:kern w:val="2"/>
                <w:sz w:val="21"/>
                <w:szCs w:val="21"/>
                <w:lang w:val="en-US" w:eastAsia="zh-CN" w:bidi="ar-SA"/>
              </w:rPr>
              <w:t>③</w:t>
            </w:r>
            <w:r>
              <w:rPr>
                <w:rFonts w:hint="eastAsia" w:cs="Times New Roman"/>
                <w:b/>
                <w:bCs/>
                <w:color w:val="auto"/>
                <w:sz w:val="21"/>
                <w:szCs w:val="21"/>
                <w:lang w:val="en-US" w:eastAsia="zh-CN"/>
              </w:rPr>
              <w:t>原料、陈化车间储存粉尘（T3）</w:t>
            </w:r>
          </w:p>
          <w:p w14:paraId="6061FB10">
            <w:pPr>
              <w:keepNext w:val="0"/>
              <w:keepLines w:val="0"/>
              <w:suppressLineNumbers w:val="0"/>
              <w:adjustRightInd w:val="0"/>
              <w:snapToGrid w:val="0"/>
              <w:spacing w:before="0" w:beforeAutospacing="0" w:after="0" w:afterAutospacing="0" w:line="360" w:lineRule="auto"/>
              <w:ind w:left="0" w:right="0" w:firstLine="420" w:firstLineChars="200"/>
              <w:rPr>
                <w:rFonts w:hint="default"/>
                <w:color w:val="auto"/>
                <w:sz w:val="21"/>
                <w:szCs w:val="21"/>
              </w:rPr>
            </w:pPr>
            <w:r>
              <w:rPr>
                <w:rFonts w:hint="eastAsia"/>
                <w:color w:val="auto"/>
                <w:sz w:val="21"/>
                <w:szCs w:val="21"/>
                <w:lang w:eastAsia="zh-CN" w:bidi="ar"/>
              </w:rPr>
              <w:t>原料堆场及成品堆场堆放过程中有扬尘产生，</w:t>
            </w:r>
            <w:r>
              <w:rPr>
                <w:rFonts w:hint="default"/>
                <w:color w:val="auto"/>
                <w:sz w:val="21"/>
                <w:szCs w:val="21"/>
                <w:lang w:bidi="ar"/>
              </w:rPr>
              <w:t>扬尘产生情况参照《排放源统计调查产排污核算方法和系数手册》（公告2021年第24号）</w:t>
            </w:r>
            <w:r>
              <w:rPr>
                <w:rFonts w:hint="eastAsia"/>
                <w:color w:val="auto"/>
                <w:sz w:val="21"/>
                <w:szCs w:val="21"/>
                <w:lang w:eastAsia="zh-CN" w:bidi="ar"/>
              </w:rPr>
              <w:t>“</w:t>
            </w:r>
            <w:r>
              <w:rPr>
                <w:rFonts w:hint="default"/>
                <w:color w:val="auto"/>
                <w:sz w:val="21"/>
                <w:szCs w:val="21"/>
                <w:lang w:bidi="ar"/>
              </w:rPr>
              <w:t>附表2固体物料堆存颗粒物产排污核算系数手册</w:t>
            </w:r>
            <w:r>
              <w:rPr>
                <w:rFonts w:hint="eastAsia"/>
                <w:color w:val="auto"/>
                <w:sz w:val="21"/>
                <w:szCs w:val="21"/>
                <w:lang w:eastAsia="zh-CN" w:bidi="ar"/>
              </w:rPr>
              <w:t>”</w:t>
            </w:r>
            <w:r>
              <w:rPr>
                <w:rFonts w:hint="default"/>
                <w:color w:val="auto"/>
                <w:sz w:val="21"/>
                <w:szCs w:val="21"/>
                <w:lang w:bidi="ar"/>
              </w:rPr>
              <w:t>计算，颗粒物产生量核算公式如下：</w:t>
            </w:r>
          </w:p>
          <w:p w14:paraId="004D4FA9">
            <w:pPr>
              <w:keepNext w:val="0"/>
              <w:keepLines w:val="0"/>
              <w:suppressLineNumbers w:val="0"/>
              <w:adjustRightInd w:val="0"/>
              <w:snapToGrid w:val="0"/>
              <w:spacing w:before="0" w:beforeAutospacing="0" w:after="0" w:afterAutospacing="0" w:line="360" w:lineRule="auto"/>
              <w:ind w:left="0" w:right="0" w:firstLine="420" w:firstLineChars="200"/>
              <w:rPr>
                <w:rFonts w:hint="default"/>
                <w:color w:val="auto"/>
                <w:sz w:val="21"/>
                <w:szCs w:val="21"/>
              </w:rPr>
            </w:pPr>
            <w:r>
              <w:rPr>
                <w:rFonts w:hint="default"/>
                <w:color w:val="auto"/>
                <w:sz w:val="21"/>
                <w:szCs w:val="21"/>
                <w:lang w:bidi="ar"/>
              </w:rPr>
              <w:t>P=ZC</w:t>
            </w:r>
            <w:r>
              <w:rPr>
                <w:rFonts w:hint="default"/>
                <w:color w:val="auto"/>
                <w:sz w:val="21"/>
                <w:szCs w:val="21"/>
                <w:vertAlign w:val="subscript"/>
                <w:lang w:bidi="ar"/>
              </w:rPr>
              <w:t>y</w:t>
            </w:r>
            <w:r>
              <w:rPr>
                <w:rFonts w:hint="default"/>
                <w:color w:val="auto"/>
                <w:sz w:val="21"/>
                <w:szCs w:val="21"/>
                <w:lang w:bidi="ar"/>
              </w:rPr>
              <w:t>+FC</w:t>
            </w:r>
            <w:r>
              <w:rPr>
                <w:rFonts w:hint="default"/>
                <w:color w:val="auto"/>
                <w:sz w:val="21"/>
                <w:szCs w:val="21"/>
                <w:vertAlign w:val="subscript"/>
                <w:lang w:bidi="ar"/>
              </w:rPr>
              <w:t>y</w:t>
            </w:r>
            <w:r>
              <w:rPr>
                <w:rFonts w:hint="default"/>
                <w:color w:val="auto"/>
                <w:sz w:val="21"/>
                <w:szCs w:val="21"/>
                <w:lang w:bidi="ar"/>
              </w:rPr>
              <w:t>=｛N</w:t>
            </w:r>
            <w:r>
              <w:rPr>
                <w:rFonts w:hint="default"/>
                <w:color w:val="auto"/>
                <w:sz w:val="21"/>
                <w:szCs w:val="21"/>
                <w:vertAlign w:val="subscript"/>
                <w:lang w:bidi="ar"/>
              </w:rPr>
              <w:t>c</w:t>
            </w:r>
            <w:r>
              <w:rPr>
                <w:rFonts w:hint="default"/>
                <w:color w:val="auto"/>
                <w:sz w:val="21"/>
                <w:szCs w:val="21"/>
                <w:lang w:bidi="ar"/>
              </w:rPr>
              <w:t>×D×（a/b）+2×E</w:t>
            </w:r>
            <w:r>
              <w:rPr>
                <w:rFonts w:hint="default"/>
                <w:color w:val="auto"/>
                <w:sz w:val="21"/>
                <w:szCs w:val="21"/>
                <w:vertAlign w:val="subscript"/>
                <w:lang w:bidi="ar"/>
              </w:rPr>
              <w:t>f</w:t>
            </w:r>
            <w:r>
              <w:rPr>
                <w:rFonts w:hint="default"/>
                <w:color w:val="auto"/>
                <w:sz w:val="21"/>
                <w:szCs w:val="21"/>
                <w:lang w:bidi="ar"/>
              </w:rPr>
              <w:t>×S｝×10</w:t>
            </w:r>
            <w:r>
              <w:rPr>
                <w:rFonts w:hint="default"/>
                <w:color w:val="auto"/>
                <w:sz w:val="21"/>
                <w:szCs w:val="21"/>
                <w:vertAlign w:val="superscript"/>
                <w:lang w:bidi="ar"/>
              </w:rPr>
              <w:t>-3</w:t>
            </w:r>
            <w:r>
              <w:rPr>
                <w:rFonts w:hint="default"/>
                <w:color w:val="auto"/>
                <w:sz w:val="21"/>
                <w:szCs w:val="21"/>
                <w:lang w:bidi="ar"/>
              </w:rPr>
              <w:t>（式1）</w:t>
            </w:r>
          </w:p>
          <w:p w14:paraId="1A184051">
            <w:pPr>
              <w:keepNext w:val="0"/>
              <w:keepLines w:val="0"/>
              <w:suppressLineNumbers w:val="0"/>
              <w:adjustRightInd w:val="0"/>
              <w:snapToGrid w:val="0"/>
              <w:spacing w:before="0" w:beforeAutospacing="0" w:after="0" w:afterAutospacing="0" w:line="360" w:lineRule="auto"/>
              <w:ind w:left="0" w:right="0" w:firstLine="420" w:firstLineChars="200"/>
              <w:rPr>
                <w:rFonts w:hint="default"/>
                <w:color w:val="auto"/>
                <w:sz w:val="21"/>
                <w:szCs w:val="21"/>
              </w:rPr>
            </w:pPr>
            <w:r>
              <w:rPr>
                <w:rFonts w:hint="default"/>
                <w:color w:val="auto"/>
                <w:sz w:val="21"/>
                <w:szCs w:val="21"/>
                <w:lang w:bidi="ar"/>
              </w:rPr>
              <w:t>式中：P指颗粒物产生量（单位：t）；</w:t>
            </w:r>
          </w:p>
          <w:p w14:paraId="5BDA3432">
            <w:pPr>
              <w:keepNext w:val="0"/>
              <w:keepLines w:val="0"/>
              <w:suppressLineNumbers w:val="0"/>
              <w:adjustRightInd w:val="0"/>
              <w:snapToGrid w:val="0"/>
              <w:spacing w:before="0" w:beforeAutospacing="0" w:after="0" w:afterAutospacing="0" w:line="360" w:lineRule="auto"/>
              <w:ind w:left="0" w:right="0" w:firstLine="420" w:firstLineChars="200"/>
              <w:rPr>
                <w:rFonts w:hint="default"/>
                <w:color w:val="auto"/>
                <w:sz w:val="21"/>
                <w:szCs w:val="21"/>
              </w:rPr>
            </w:pPr>
            <w:r>
              <w:rPr>
                <w:rFonts w:hint="default"/>
                <w:color w:val="auto"/>
                <w:sz w:val="21"/>
                <w:szCs w:val="21"/>
                <w:lang w:bidi="ar"/>
              </w:rPr>
              <w:t>ZC</w:t>
            </w:r>
            <w:r>
              <w:rPr>
                <w:rFonts w:hint="default"/>
                <w:color w:val="auto"/>
                <w:sz w:val="21"/>
                <w:szCs w:val="21"/>
                <w:vertAlign w:val="subscript"/>
                <w:lang w:bidi="ar"/>
              </w:rPr>
              <w:t>y</w:t>
            </w:r>
            <w:r>
              <w:rPr>
                <w:rFonts w:hint="default"/>
                <w:color w:val="auto"/>
                <w:sz w:val="21"/>
                <w:szCs w:val="21"/>
                <w:lang w:bidi="ar"/>
              </w:rPr>
              <w:t>指装卸扬尘产生量（单位：t）；</w:t>
            </w:r>
          </w:p>
          <w:p w14:paraId="51F7FE06">
            <w:pPr>
              <w:keepNext w:val="0"/>
              <w:keepLines w:val="0"/>
              <w:suppressLineNumbers w:val="0"/>
              <w:adjustRightInd w:val="0"/>
              <w:snapToGrid w:val="0"/>
              <w:spacing w:before="0" w:beforeAutospacing="0" w:after="0" w:afterAutospacing="0" w:line="360" w:lineRule="auto"/>
              <w:ind w:left="0" w:right="0" w:firstLine="420" w:firstLineChars="200"/>
              <w:rPr>
                <w:rFonts w:hint="eastAsia" w:eastAsia="宋体"/>
                <w:color w:val="auto"/>
                <w:sz w:val="21"/>
                <w:szCs w:val="21"/>
                <w:lang w:eastAsia="zh-CN"/>
              </w:rPr>
            </w:pPr>
            <w:r>
              <w:rPr>
                <w:rFonts w:hint="default"/>
                <w:color w:val="auto"/>
                <w:sz w:val="21"/>
                <w:szCs w:val="21"/>
                <w:lang w:bidi="ar"/>
              </w:rPr>
              <w:t>FC</w:t>
            </w:r>
            <w:r>
              <w:rPr>
                <w:rFonts w:hint="default"/>
                <w:color w:val="auto"/>
                <w:sz w:val="21"/>
                <w:szCs w:val="21"/>
                <w:vertAlign w:val="subscript"/>
                <w:lang w:bidi="ar"/>
              </w:rPr>
              <w:t>y</w:t>
            </w:r>
            <w:r>
              <w:rPr>
                <w:rFonts w:hint="default"/>
                <w:color w:val="auto"/>
                <w:sz w:val="21"/>
                <w:szCs w:val="21"/>
                <w:lang w:bidi="ar"/>
              </w:rPr>
              <w:t>指风蚀扬尘产生量（单位：t）；</w:t>
            </w:r>
          </w:p>
          <w:p w14:paraId="2C683D45">
            <w:pPr>
              <w:keepNext w:val="0"/>
              <w:keepLines w:val="0"/>
              <w:suppressLineNumbers w:val="0"/>
              <w:adjustRightInd w:val="0"/>
              <w:snapToGrid w:val="0"/>
              <w:spacing w:before="0" w:beforeAutospacing="0" w:after="0" w:afterAutospacing="0" w:line="360" w:lineRule="auto"/>
              <w:ind w:left="0" w:right="0" w:firstLine="420" w:firstLineChars="200"/>
              <w:rPr>
                <w:rFonts w:hint="eastAsia" w:eastAsia="宋体"/>
                <w:color w:val="auto"/>
                <w:sz w:val="21"/>
                <w:szCs w:val="21"/>
                <w:lang w:eastAsia="zh-CN"/>
              </w:rPr>
            </w:pPr>
            <w:r>
              <w:rPr>
                <w:rFonts w:hint="default"/>
                <w:color w:val="auto"/>
                <w:sz w:val="21"/>
                <w:szCs w:val="21"/>
                <w:lang w:bidi="ar"/>
              </w:rPr>
              <w:t>N</w:t>
            </w:r>
            <w:r>
              <w:rPr>
                <w:rFonts w:hint="default"/>
                <w:color w:val="auto"/>
                <w:sz w:val="21"/>
                <w:szCs w:val="21"/>
                <w:vertAlign w:val="subscript"/>
                <w:lang w:bidi="ar"/>
              </w:rPr>
              <w:t>c</w:t>
            </w:r>
            <w:r>
              <w:rPr>
                <w:rFonts w:hint="default"/>
                <w:color w:val="auto"/>
                <w:sz w:val="21"/>
                <w:szCs w:val="21"/>
                <w:lang w:bidi="ar"/>
              </w:rPr>
              <w:t>指年物料运载车次（单位：车）；</w:t>
            </w:r>
          </w:p>
          <w:p w14:paraId="2576218F">
            <w:pPr>
              <w:keepNext w:val="0"/>
              <w:keepLines w:val="0"/>
              <w:suppressLineNumbers w:val="0"/>
              <w:adjustRightInd w:val="0"/>
              <w:snapToGrid w:val="0"/>
              <w:spacing w:before="0" w:beforeAutospacing="0" w:after="0" w:afterAutospacing="0" w:line="360" w:lineRule="auto"/>
              <w:ind w:left="0" w:right="0" w:firstLine="420" w:firstLineChars="200"/>
              <w:rPr>
                <w:rFonts w:hint="default"/>
                <w:color w:val="auto"/>
                <w:sz w:val="21"/>
                <w:szCs w:val="21"/>
              </w:rPr>
            </w:pPr>
            <w:r>
              <w:rPr>
                <w:rFonts w:hint="default"/>
                <w:color w:val="auto"/>
                <w:sz w:val="21"/>
                <w:szCs w:val="21"/>
                <w:lang w:bidi="ar"/>
              </w:rPr>
              <w:t>D指单车平均运载量（单位：t/车），取</w:t>
            </w:r>
            <w:r>
              <w:rPr>
                <w:rFonts w:hint="eastAsia"/>
                <w:color w:val="auto"/>
                <w:sz w:val="21"/>
                <w:szCs w:val="21"/>
                <w:lang w:val="en-US" w:eastAsia="zh-CN" w:bidi="ar"/>
              </w:rPr>
              <w:t>25</w:t>
            </w:r>
            <w:r>
              <w:rPr>
                <w:rFonts w:hint="default"/>
                <w:color w:val="auto"/>
                <w:sz w:val="21"/>
                <w:szCs w:val="21"/>
                <w:lang w:bidi="ar"/>
              </w:rPr>
              <w:t>t/车；</w:t>
            </w:r>
          </w:p>
          <w:p w14:paraId="671DBE3D">
            <w:pPr>
              <w:keepNext w:val="0"/>
              <w:keepLines w:val="0"/>
              <w:suppressLineNumbers w:val="0"/>
              <w:adjustRightInd w:val="0"/>
              <w:snapToGrid w:val="0"/>
              <w:spacing w:before="0" w:beforeAutospacing="0" w:after="0" w:afterAutospacing="0" w:line="360" w:lineRule="auto"/>
              <w:ind w:left="0" w:right="0" w:firstLine="420" w:firstLineChars="200"/>
              <w:rPr>
                <w:rFonts w:hint="default"/>
                <w:color w:val="auto"/>
                <w:sz w:val="21"/>
                <w:szCs w:val="21"/>
              </w:rPr>
            </w:pPr>
            <w:r>
              <w:rPr>
                <w:rFonts w:hint="default"/>
                <w:color w:val="auto"/>
                <w:sz w:val="21"/>
                <w:szCs w:val="21"/>
                <w:lang w:bidi="ar"/>
              </w:rPr>
              <w:t>(a/b)指装卸扬尘概化系数（单位：kg/t），a指各省风速概化系数，根据附录1取0.0009，b指物料含水率概化系数，根据附录2取0.0084；</w:t>
            </w:r>
          </w:p>
          <w:p w14:paraId="6F8BBF65">
            <w:pPr>
              <w:keepNext w:val="0"/>
              <w:keepLines w:val="0"/>
              <w:suppressLineNumbers w:val="0"/>
              <w:adjustRightInd w:val="0"/>
              <w:snapToGrid w:val="0"/>
              <w:spacing w:before="0" w:beforeAutospacing="0" w:after="0" w:afterAutospacing="0" w:line="360" w:lineRule="auto"/>
              <w:ind w:left="0" w:right="0" w:firstLine="420" w:firstLineChars="200"/>
              <w:rPr>
                <w:rFonts w:hint="eastAsia" w:eastAsia="宋体"/>
                <w:color w:val="auto"/>
                <w:sz w:val="21"/>
                <w:szCs w:val="21"/>
                <w:lang w:eastAsia="zh-CN"/>
              </w:rPr>
            </w:pPr>
            <w:r>
              <w:rPr>
                <w:rFonts w:hint="default"/>
                <w:color w:val="auto"/>
                <w:sz w:val="21"/>
                <w:szCs w:val="21"/>
                <w:lang w:bidi="ar"/>
              </w:rPr>
              <w:t>E</w:t>
            </w:r>
            <w:r>
              <w:rPr>
                <w:rFonts w:hint="default"/>
                <w:color w:val="auto"/>
                <w:sz w:val="21"/>
                <w:szCs w:val="21"/>
                <w:vertAlign w:val="subscript"/>
                <w:lang w:bidi="ar"/>
              </w:rPr>
              <w:t>f</w:t>
            </w:r>
            <w:r>
              <w:rPr>
                <w:rFonts w:hint="default"/>
                <w:color w:val="auto"/>
                <w:sz w:val="21"/>
                <w:szCs w:val="21"/>
                <w:lang w:bidi="ar"/>
              </w:rPr>
              <w:t>指堆场风蚀扬尘概化系数（单位：kg/</w:t>
            </w:r>
            <w:r>
              <w:rPr>
                <w:rFonts w:hint="eastAsia"/>
                <w:color w:val="auto"/>
                <w:sz w:val="21"/>
                <w:szCs w:val="21"/>
                <w:lang w:eastAsia="zh-CN" w:bidi="ar"/>
              </w:rPr>
              <w:t>㎡</w:t>
            </w:r>
            <w:r>
              <w:rPr>
                <w:rFonts w:hint="default"/>
                <w:color w:val="auto"/>
                <w:sz w:val="21"/>
                <w:szCs w:val="21"/>
                <w:lang w:bidi="ar"/>
              </w:rPr>
              <w:t>），根据见附录3取0；</w:t>
            </w:r>
          </w:p>
          <w:p w14:paraId="022A5E85">
            <w:pPr>
              <w:keepNext w:val="0"/>
              <w:keepLines w:val="0"/>
              <w:suppressLineNumbers w:val="0"/>
              <w:adjustRightInd w:val="0"/>
              <w:snapToGrid w:val="0"/>
              <w:spacing w:before="0" w:beforeAutospacing="0" w:after="0" w:afterAutospacing="0" w:line="360" w:lineRule="auto"/>
              <w:ind w:left="0" w:right="0" w:firstLine="420" w:firstLineChars="200"/>
              <w:rPr>
                <w:rFonts w:hint="default"/>
                <w:color w:val="auto"/>
                <w:sz w:val="21"/>
                <w:szCs w:val="21"/>
              </w:rPr>
            </w:pPr>
            <w:r>
              <w:rPr>
                <w:rFonts w:hint="default"/>
                <w:color w:val="auto"/>
                <w:sz w:val="21"/>
                <w:szCs w:val="21"/>
                <w:lang w:bidi="ar"/>
              </w:rPr>
              <w:t>S指堆场占地面积（单位：</w:t>
            </w:r>
            <w:r>
              <w:rPr>
                <w:rFonts w:hint="eastAsia"/>
                <w:color w:val="auto"/>
                <w:sz w:val="21"/>
                <w:szCs w:val="21"/>
                <w:lang w:eastAsia="zh-CN" w:bidi="ar"/>
              </w:rPr>
              <w:t>㎡</w:t>
            </w:r>
            <w:r>
              <w:rPr>
                <w:rFonts w:hint="default"/>
                <w:color w:val="auto"/>
                <w:sz w:val="21"/>
                <w:szCs w:val="21"/>
                <w:lang w:bidi="ar"/>
              </w:rPr>
              <w:t>）。</w:t>
            </w:r>
          </w:p>
          <w:p w14:paraId="758D3E33">
            <w:pPr>
              <w:keepNext w:val="0"/>
              <w:keepLines w:val="0"/>
              <w:pageBreakBefore w:val="0"/>
              <w:suppressLineNumbers w:val="0"/>
              <w:wordWrap/>
              <w:topLinePunct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本项目设置1个陈化车间和1个原料车间，均为三面围挡设有顶棚的封闭的厂房</w:t>
            </w:r>
            <w:r>
              <w:rPr>
                <w:rFonts w:hint="eastAsia" w:cs="Times New Roman"/>
                <w:color w:val="auto"/>
                <w:sz w:val="21"/>
                <w:szCs w:val="21"/>
                <w:lang w:val="en-US" w:eastAsia="zh-CN"/>
              </w:rPr>
              <w:t>，原料车间</w:t>
            </w:r>
            <w:r>
              <w:rPr>
                <w:rFonts w:hint="eastAsia" w:cs="Times New Roman"/>
                <w:bCs/>
                <w:color w:val="auto"/>
                <w:sz w:val="21"/>
                <w:szCs w:val="21"/>
                <w:lang w:val="en-US" w:eastAsia="zh-CN"/>
              </w:rPr>
              <w:t>占地面积为405㎡，陈化车间占地面积为1150㎡。</w:t>
            </w:r>
          </w:p>
          <w:p w14:paraId="02C4D2B4">
            <w:pPr>
              <w:keepNext w:val="0"/>
              <w:keepLines w:val="0"/>
              <w:pageBreakBefore w:val="0"/>
              <w:suppressLineNumbers w:val="0"/>
              <w:wordWrap/>
              <w:topLinePunct w:val="0"/>
              <w:bidi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其中原料运输量为15500吨/a。即原料转运车次为620车/a。</w:t>
            </w:r>
          </w:p>
          <w:p w14:paraId="6F5279CD">
            <w:pPr>
              <w:keepNext w:val="0"/>
              <w:keepLines w:val="0"/>
              <w:pageBreakBefore w:val="0"/>
              <w:suppressLineNumbers w:val="0"/>
              <w:wordWrap/>
              <w:topLinePunct w:val="0"/>
              <w:bidi w:val="0"/>
              <w:adjustRightInd w:val="0"/>
              <w:snapToGrid w:val="0"/>
              <w:spacing w:before="0" w:beforeAutospacing="0" w:after="0" w:afterAutospacing="0" w:line="360" w:lineRule="auto"/>
              <w:ind w:left="0" w:right="0" w:firstLine="420" w:firstLineChars="200"/>
              <w:rPr>
                <w:rFonts w:hint="eastAsia" w:ascii="Times New Roman" w:hAnsi="Times New Roman" w:eastAsia="宋体" w:cs="Times New Roman"/>
                <w:bCs/>
                <w:color w:val="auto"/>
                <w:sz w:val="21"/>
                <w:szCs w:val="21"/>
                <w:lang w:eastAsia="zh-CN"/>
              </w:rPr>
            </w:pPr>
            <w:r>
              <w:rPr>
                <w:rFonts w:hint="default"/>
                <w:color w:val="auto"/>
                <w:sz w:val="21"/>
                <w:szCs w:val="21"/>
              </w:rPr>
              <w:t>根据上述公式，计算得堆场在无防治设施的情况下，</w:t>
            </w:r>
            <w:r>
              <w:rPr>
                <w:rFonts w:hint="eastAsia" w:cs="Times New Roman"/>
                <w:bCs/>
                <w:color w:val="auto"/>
                <w:sz w:val="21"/>
                <w:szCs w:val="21"/>
                <w:lang w:val="en-US" w:eastAsia="zh-CN"/>
              </w:rPr>
              <w:t>原料车间</w:t>
            </w:r>
            <w:r>
              <w:rPr>
                <w:rFonts w:hint="default"/>
                <w:color w:val="auto"/>
                <w:sz w:val="21"/>
                <w:szCs w:val="21"/>
              </w:rPr>
              <w:t>起尘量为</w:t>
            </w:r>
            <w:r>
              <w:rPr>
                <w:rFonts w:hint="eastAsia"/>
                <w:color w:val="auto"/>
                <w:sz w:val="21"/>
                <w:szCs w:val="21"/>
                <w:lang w:val="en-US" w:eastAsia="zh-CN"/>
              </w:rPr>
              <w:t>1.66</w:t>
            </w:r>
            <w:r>
              <w:rPr>
                <w:rFonts w:hint="default"/>
                <w:color w:val="auto"/>
                <w:sz w:val="21"/>
                <w:szCs w:val="21"/>
              </w:rPr>
              <w:t>t/a</w:t>
            </w:r>
            <w:r>
              <w:rPr>
                <w:rFonts w:hint="eastAsia"/>
                <w:color w:val="auto"/>
                <w:sz w:val="21"/>
                <w:szCs w:val="21"/>
                <w:lang w:eastAsia="zh-CN"/>
              </w:rPr>
              <w:t>。</w:t>
            </w:r>
          </w:p>
          <w:p w14:paraId="16A770E1">
            <w:pPr>
              <w:pStyle w:val="27"/>
              <w:keepNext w:val="0"/>
              <w:keepLines w:val="0"/>
              <w:suppressLineNumbers w:val="0"/>
              <w:snapToGrid/>
              <w:spacing w:before="0" w:beforeAutospacing="0" w:after="0" w:afterAutospacing="0" w:line="360" w:lineRule="auto"/>
              <w:ind w:left="0" w:right="0" w:firstLine="420" w:firstLineChars="200"/>
              <w:rPr>
                <w:rFonts w:hint="default"/>
                <w:color w:val="auto"/>
                <w:kern w:val="24"/>
                <w:sz w:val="21"/>
                <w:szCs w:val="21"/>
              </w:rPr>
            </w:pPr>
            <w:r>
              <w:rPr>
                <w:rFonts w:hint="eastAsia"/>
                <w:color w:val="auto"/>
                <w:sz w:val="21"/>
                <w:szCs w:val="21"/>
                <w:lang w:val="en-US" w:eastAsia="zh-CN"/>
              </w:rPr>
              <w:t>原料间、陈化间</w:t>
            </w:r>
            <w:r>
              <w:rPr>
                <w:rFonts w:hint="eastAsia" w:cs="Times New Roman"/>
                <w:color w:val="auto"/>
                <w:kern w:val="0"/>
                <w:sz w:val="21"/>
                <w:szCs w:val="21"/>
                <w:lang w:val="en-US" w:eastAsia="zh-CN" w:bidi="ar"/>
              </w:rPr>
              <w:t>在封闭的车间内</w:t>
            </w:r>
            <w:r>
              <w:rPr>
                <w:rFonts w:hint="eastAsia"/>
                <w:color w:val="auto"/>
                <w:kern w:val="24"/>
                <w:sz w:val="21"/>
                <w:szCs w:val="21"/>
                <w:lang w:eastAsia="zh-CN"/>
              </w:rPr>
              <w:t>，</w:t>
            </w:r>
            <w:r>
              <w:rPr>
                <w:rFonts w:hint="default"/>
                <w:color w:val="auto"/>
                <w:kern w:val="24"/>
                <w:sz w:val="21"/>
                <w:szCs w:val="21"/>
              </w:rPr>
              <w:t>且采取洒水降尘措施。</w:t>
            </w:r>
          </w:p>
          <w:p w14:paraId="7FB127FD">
            <w:pPr>
              <w:pStyle w:val="27"/>
              <w:keepNext w:val="0"/>
              <w:keepLines w:val="0"/>
              <w:suppressLineNumbers w:val="0"/>
              <w:snapToGrid/>
              <w:spacing w:before="0" w:beforeAutospacing="0" w:after="0" w:afterAutospacing="0" w:line="360" w:lineRule="auto"/>
              <w:ind w:left="0" w:right="0" w:firstLine="420" w:firstLineChars="200"/>
              <w:rPr>
                <w:rFonts w:hint="default"/>
                <w:color w:val="auto"/>
                <w:kern w:val="24"/>
                <w:sz w:val="21"/>
                <w:szCs w:val="21"/>
              </w:rPr>
            </w:pPr>
            <w:r>
              <w:rPr>
                <w:rFonts w:hint="default"/>
                <w:color w:val="auto"/>
                <w:kern w:val="24"/>
                <w:sz w:val="21"/>
                <w:szCs w:val="21"/>
              </w:rPr>
              <w:t>采取以上措施后，根据《排放源统计调查产排污核算方法和系数手册》（生态环境部公告2021年第24号）中</w:t>
            </w:r>
            <w:r>
              <w:rPr>
                <w:rFonts w:hint="default"/>
                <w:color w:val="auto"/>
                <w:sz w:val="21"/>
                <w:szCs w:val="21"/>
              </w:rPr>
              <w:t>工业企业固体物料堆场颗粒物排放量核算公式：</w:t>
            </w:r>
          </w:p>
          <w:p w14:paraId="17711E7F">
            <w:pPr>
              <w:pStyle w:val="27"/>
              <w:keepNext w:val="0"/>
              <w:keepLines w:val="0"/>
              <w:suppressLineNumbers w:val="0"/>
              <w:snapToGrid/>
              <w:spacing w:before="0" w:beforeAutospacing="0" w:after="0" w:afterAutospacing="0" w:line="360" w:lineRule="auto"/>
              <w:ind w:left="0" w:right="0" w:firstLineChars="200"/>
              <w:jc w:val="center"/>
              <w:rPr>
                <w:rFonts w:hint="default"/>
                <w:color w:val="auto"/>
                <w:kern w:val="24"/>
                <w:sz w:val="21"/>
                <w:szCs w:val="21"/>
              </w:rPr>
            </w:pPr>
            <w:r>
              <w:rPr>
                <w:rFonts w:hint="default"/>
                <w:color w:val="auto"/>
                <w:sz w:val="21"/>
                <w:szCs w:val="21"/>
              </w:rPr>
              <w:drawing>
                <wp:inline distT="0" distB="0" distL="114300" distR="114300">
                  <wp:extent cx="1649730" cy="229235"/>
                  <wp:effectExtent l="0" t="0" r="7620" b="1841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4"/>
                          <a:stretch>
                            <a:fillRect/>
                          </a:stretch>
                        </pic:blipFill>
                        <pic:spPr>
                          <a:xfrm>
                            <a:off x="0" y="0"/>
                            <a:ext cx="1649730" cy="229235"/>
                          </a:xfrm>
                          <a:prstGeom prst="rect">
                            <a:avLst/>
                          </a:prstGeom>
                          <a:noFill/>
                          <a:ln>
                            <a:noFill/>
                          </a:ln>
                        </pic:spPr>
                      </pic:pic>
                    </a:graphicData>
                  </a:graphic>
                </wp:inline>
              </w:drawing>
            </w:r>
          </w:p>
          <w:p w14:paraId="2FA8BD60">
            <w:pPr>
              <w:pStyle w:val="42"/>
              <w:keepNext w:val="0"/>
              <w:keepLines w:val="0"/>
              <w:suppressLineNumbers w:val="0"/>
              <w:autoSpaceDE/>
              <w:autoSpaceDN/>
              <w:adjustRightInd/>
              <w:spacing w:before="0" w:beforeAutospacing="0" w:after="0" w:afterAutospacing="0" w:line="360" w:lineRule="auto"/>
              <w:ind w:left="0" w:right="0" w:firstLine="420" w:firstLineChars="200"/>
              <w:rPr>
                <w:rFonts w:hint="default" w:ascii="Times New Roman" w:eastAsia="宋体" w:cs="Times New Roman"/>
                <w:color w:val="auto"/>
                <w:kern w:val="24"/>
                <w:sz w:val="21"/>
                <w:szCs w:val="21"/>
              </w:rPr>
            </w:pPr>
            <w:r>
              <w:rPr>
                <w:rFonts w:hint="default" w:ascii="Times New Roman" w:eastAsia="宋体" w:cs="Times New Roman"/>
                <w:color w:val="auto"/>
                <w:kern w:val="24"/>
                <w:sz w:val="21"/>
                <w:szCs w:val="21"/>
              </w:rPr>
              <w:t>式中：P—颗粒物产生量，t；</w:t>
            </w:r>
          </w:p>
          <w:p w14:paraId="55AF1984">
            <w:pPr>
              <w:pStyle w:val="42"/>
              <w:keepNext w:val="0"/>
              <w:keepLines w:val="0"/>
              <w:suppressLineNumbers w:val="0"/>
              <w:autoSpaceDE/>
              <w:autoSpaceDN/>
              <w:adjustRightInd/>
              <w:spacing w:before="0" w:beforeAutospacing="0" w:after="0" w:afterAutospacing="0" w:line="360" w:lineRule="auto"/>
              <w:ind w:left="0" w:right="0" w:firstLine="420" w:firstLineChars="200"/>
              <w:rPr>
                <w:rFonts w:hint="default" w:ascii="Times New Roman" w:eastAsia="宋体" w:cs="Times New Roman"/>
                <w:color w:val="auto"/>
                <w:kern w:val="24"/>
                <w:sz w:val="21"/>
                <w:szCs w:val="21"/>
              </w:rPr>
            </w:pPr>
            <w:r>
              <w:rPr>
                <w:rFonts w:hint="default" w:ascii="Times New Roman" w:eastAsia="宋体" w:cs="Times New Roman"/>
                <w:color w:val="auto"/>
                <w:kern w:val="24"/>
                <w:sz w:val="21"/>
                <w:szCs w:val="21"/>
              </w:rPr>
              <w:t>Uc—颗粒物排放量，t；</w:t>
            </w:r>
          </w:p>
          <w:p w14:paraId="47B10141">
            <w:pPr>
              <w:pStyle w:val="42"/>
              <w:keepNext w:val="0"/>
              <w:keepLines w:val="0"/>
              <w:suppressLineNumbers w:val="0"/>
              <w:autoSpaceDE/>
              <w:autoSpaceDN/>
              <w:adjustRightInd/>
              <w:spacing w:before="0" w:beforeAutospacing="0" w:after="0" w:afterAutospacing="0" w:line="360" w:lineRule="auto"/>
              <w:ind w:left="0" w:right="0" w:firstLine="420" w:firstLineChars="200"/>
              <w:rPr>
                <w:rFonts w:hint="default" w:ascii="Times New Roman" w:eastAsia="宋体" w:cs="Times New Roman"/>
                <w:color w:val="auto"/>
                <w:kern w:val="24"/>
                <w:sz w:val="21"/>
                <w:szCs w:val="21"/>
              </w:rPr>
            </w:pPr>
            <w:r>
              <w:rPr>
                <w:rFonts w:hint="default" w:ascii="Times New Roman" w:eastAsia="宋体" w:cs="Times New Roman"/>
                <w:color w:val="auto"/>
                <w:kern w:val="24"/>
                <w:sz w:val="21"/>
                <w:szCs w:val="21"/>
              </w:rPr>
              <w:t>Cm—颗粒物控制措施控制效率，%；</w:t>
            </w:r>
          </w:p>
          <w:p w14:paraId="344A9CFD">
            <w:pPr>
              <w:pStyle w:val="42"/>
              <w:keepNext w:val="0"/>
              <w:keepLines w:val="0"/>
              <w:suppressLineNumbers w:val="0"/>
              <w:autoSpaceDE/>
              <w:autoSpaceDN/>
              <w:adjustRightInd/>
              <w:spacing w:before="0" w:beforeAutospacing="0" w:after="0" w:afterAutospacing="0" w:line="360" w:lineRule="auto"/>
              <w:ind w:left="0" w:right="0" w:firstLine="420" w:firstLineChars="200"/>
              <w:rPr>
                <w:rFonts w:hint="default" w:ascii="Times New Roman" w:eastAsia="宋体" w:cs="Times New Roman"/>
                <w:color w:val="auto"/>
                <w:kern w:val="24"/>
                <w:sz w:val="21"/>
                <w:szCs w:val="21"/>
              </w:rPr>
            </w:pPr>
            <w:r>
              <w:rPr>
                <w:rFonts w:hint="default" w:ascii="Times New Roman" w:eastAsia="宋体" w:cs="Times New Roman"/>
                <w:color w:val="auto"/>
                <w:kern w:val="24"/>
                <w:sz w:val="21"/>
                <w:szCs w:val="21"/>
              </w:rPr>
              <w:t>Tm指堆场类型控制效率，%。</w:t>
            </w:r>
          </w:p>
          <w:p w14:paraId="5A5CC02D">
            <w:pPr>
              <w:pStyle w:val="27"/>
              <w:keepNext w:val="0"/>
              <w:keepLines w:val="0"/>
              <w:suppressLineNumbers w:val="0"/>
              <w:snapToGrid/>
              <w:spacing w:before="0" w:beforeAutospacing="0" w:after="0" w:afterAutospacing="0" w:line="360" w:lineRule="auto"/>
              <w:ind w:left="0" w:right="0" w:firstLine="420" w:firstLineChars="200"/>
              <w:rPr>
                <w:rFonts w:hint="default"/>
                <w:color w:val="auto"/>
                <w:kern w:val="24"/>
                <w:sz w:val="21"/>
                <w:szCs w:val="21"/>
              </w:rPr>
            </w:pPr>
            <w:r>
              <w:rPr>
                <w:rFonts w:hint="default"/>
                <w:color w:val="auto"/>
                <w:kern w:val="24"/>
                <w:sz w:val="21"/>
                <w:szCs w:val="21"/>
              </w:rPr>
              <w:t>根据《排放源统计调查产排污核算方法和系数手册》附录4、附录5，半敞开式</w:t>
            </w:r>
            <w:r>
              <w:rPr>
                <w:rFonts w:hint="eastAsia"/>
                <w:color w:val="auto"/>
                <w:kern w:val="24"/>
                <w:sz w:val="21"/>
                <w:szCs w:val="21"/>
                <w:lang w:val="en-US" w:eastAsia="zh-CN"/>
              </w:rPr>
              <w:t>堆存</w:t>
            </w:r>
            <w:r>
              <w:rPr>
                <w:rFonts w:hint="default"/>
                <w:color w:val="auto"/>
                <w:kern w:val="24"/>
                <w:sz w:val="21"/>
                <w:szCs w:val="21"/>
              </w:rPr>
              <w:t>类</w:t>
            </w:r>
            <w:r>
              <w:rPr>
                <w:rFonts w:hint="eastAsia"/>
                <w:color w:val="auto"/>
                <w:kern w:val="24"/>
                <w:sz w:val="21"/>
                <w:szCs w:val="21"/>
                <w:lang w:val="en-US" w:eastAsia="zh-CN"/>
              </w:rPr>
              <w:t>储存区</w:t>
            </w:r>
            <w:r>
              <w:rPr>
                <w:rFonts w:hint="default"/>
                <w:color w:val="auto"/>
                <w:kern w:val="24"/>
                <w:sz w:val="21"/>
                <w:szCs w:val="21"/>
              </w:rPr>
              <w:t>型控制效率为60%；采取洒水降尘颗粒物控制措施控制效率为74%。</w:t>
            </w:r>
          </w:p>
          <w:p w14:paraId="49BEC00D">
            <w:pPr>
              <w:keepNext w:val="0"/>
              <w:keepLines w:val="0"/>
              <w:pageBreakBefore w:val="0"/>
              <w:suppressLineNumbers w:val="0"/>
              <w:wordWrap/>
              <w:topLinePunct w:val="0"/>
              <w:bidi w:val="0"/>
              <w:adjustRightInd w:val="0"/>
              <w:snapToGrid w:val="0"/>
              <w:spacing w:before="0" w:beforeAutospacing="0" w:after="0" w:afterAutospacing="0" w:line="360" w:lineRule="auto"/>
              <w:ind w:left="0" w:right="0" w:firstLine="420" w:firstLineChars="200"/>
              <w:rPr>
                <w:rFonts w:hint="default" w:ascii="Times New Roman" w:hAnsi="Times New Roman" w:cs="Times New Roman"/>
                <w:bCs/>
                <w:color w:val="auto"/>
                <w:sz w:val="21"/>
                <w:szCs w:val="21"/>
              </w:rPr>
            </w:pPr>
            <w:r>
              <w:rPr>
                <w:rFonts w:hint="default"/>
                <w:color w:val="auto"/>
                <w:kern w:val="24"/>
                <w:sz w:val="21"/>
                <w:szCs w:val="21"/>
              </w:rPr>
              <w:t>根据上述公式计算，</w:t>
            </w:r>
            <w:r>
              <w:rPr>
                <w:rFonts w:hint="eastAsia" w:cs="Times New Roman"/>
                <w:bCs/>
                <w:color w:val="auto"/>
                <w:sz w:val="21"/>
                <w:szCs w:val="21"/>
                <w:lang w:val="en-US" w:eastAsia="zh-CN"/>
              </w:rPr>
              <w:t>原料车间</w:t>
            </w:r>
            <w:r>
              <w:rPr>
                <w:rFonts w:hint="eastAsia"/>
                <w:color w:val="auto"/>
                <w:sz w:val="21"/>
                <w:szCs w:val="21"/>
                <w:lang w:val="en-US" w:eastAsia="zh-CN"/>
              </w:rPr>
              <w:t>粉尘排放</w:t>
            </w:r>
            <w:r>
              <w:rPr>
                <w:rFonts w:hint="default"/>
                <w:color w:val="auto"/>
                <w:sz w:val="21"/>
                <w:szCs w:val="21"/>
              </w:rPr>
              <w:t>量为</w:t>
            </w:r>
            <w:r>
              <w:rPr>
                <w:rFonts w:hint="eastAsia"/>
                <w:color w:val="auto"/>
                <w:sz w:val="21"/>
                <w:szCs w:val="21"/>
                <w:lang w:val="en-US" w:eastAsia="zh-CN"/>
              </w:rPr>
              <w:t>=1.66×（1-0.6）×（1-0.74）=0.17</w:t>
            </w:r>
            <w:r>
              <w:rPr>
                <w:rFonts w:hint="default"/>
                <w:color w:val="auto"/>
                <w:sz w:val="21"/>
                <w:szCs w:val="21"/>
              </w:rPr>
              <w:t>t/a</w:t>
            </w:r>
            <w:r>
              <w:rPr>
                <w:rFonts w:hint="eastAsia"/>
                <w:color w:val="auto"/>
                <w:sz w:val="21"/>
                <w:szCs w:val="21"/>
                <w:lang w:eastAsia="zh-CN"/>
              </w:rPr>
              <w:t>。</w:t>
            </w:r>
          </w:p>
          <w:p w14:paraId="01ABAD10">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both"/>
              <w:textAlignment w:val="auto"/>
              <w:rPr>
                <w:rFonts w:hint="default" w:ascii="宋体" w:hAnsi="宋体" w:eastAsia="宋体" w:cs="宋体"/>
                <w:color w:val="auto"/>
                <w:kern w:val="2"/>
                <w:sz w:val="21"/>
                <w:szCs w:val="21"/>
                <w:lang w:val="en-US" w:eastAsia="zh-CN" w:bidi="ar-SA"/>
              </w:rPr>
            </w:pPr>
            <w:r>
              <w:rPr>
                <w:rFonts w:hint="default"/>
                <w:color w:val="auto"/>
                <w:kern w:val="24"/>
                <w:sz w:val="21"/>
                <w:szCs w:val="21"/>
              </w:rPr>
              <w:t>综上，本项目原料堆存过程中的粉尘</w:t>
            </w:r>
            <w:r>
              <w:rPr>
                <w:rFonts w:hint="eastAsia"/>
                <w:color w:val="auto"/>
                <w:sz w:val="21"/>
                <w:szCs w:val="21"/>
                <w:lang w:val="en-US" w:eastAsia="zh-CN"/>
              </w:rPr>
              <w:t>排放</w:t>
            </w:r>
            <w:r>
              <w:rPr>
                <w:rFonts w:hint="default"/>
                <w:color w:val="auto"/>
                <w:sz w:val="21"/>
                <w:szCs w:val="21"/>
              </w:rPr>
              <w:t>量</w:t>
            </w:r>
            <w:r>
              <w:rPr>
                <w:rFonts w:hint="default"/>
                <w:color w:val="auto"/>
                <w:kern w:val="24"/>
                <w:sz w:val="21"/>
                <w:szCs w:val="21"/>
              </w:rPr>
              <w:t>为</w:t>
            </w:r>
            <w:r>
              <w:rPr>
                <w:rFonts w:hint="eastAsia"/>
                <w:color w:val="auto"/>
                <w:kern w:val="24"/>
                <w:sz w:val="21"/>
                <w:szCs w:val="21"/>
                <w:lang w:val="en-US" w:eastAsia="zh-CN"/>
              </w:rPr>
              <w:t>0.17</w:t>
            </w:r>
            <w:r>
              <w:rPr>
                <w:rFonts w:hint="default"/>
                <w:color w:val="auto"/>
                <w:kern w:val="24"/>
                <w:sz w:val="21"/>
                <w:szCs w:val="21"/>
              </w:rPr>
              <w:t>t/a，</w:t>
            </w:r>
            <w:r>
              <w:rPr>
                <w:rFonts w:hint="eastAsia"/>
                <w:color w:val="auto"/>
                <w:kern w:val="24"/>
                <w:sz w:val="21"/>
                <w:szCs w:val="21"/>
                <w:lang w:val="en-US" w:eastAsia="zh-CN"/>
              </w:rPr>
              <w:t>0.024</w:t>
            </w:r>
            <w:r>
              <w:rPr>
                <w:rFonts w:hint="default"/>
                <w:color w:val="auto"/>
                <w:kern w:val="24"/>
                <w:sz w:val="21"/>
                <w:szCs w:val="21"/>
              </w:rPr>
              <w:t>kg/h</w:t>
            </w:r>
          </w:p>
          <w:p w14:paraId="0F586843">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both"/>
              <w:textAlignment w:val="auto"/>
              <w:rPr>
                <w:rFonts w:hint="default" w:ascii="宋体" w:hAnsi="宋体" w:eastAsia="宋体" w:cs="宋体"/>
                <w:b/>
                <w:bCs/>
                <w:color w:val="auto"/>
                <w:kern w:val="2"/>
                <w:sz w:val="21"/>
                <w:szCs w:val="21"/>
                <w:lang w:val="en-US" w:eastAsia="zh-CN" w:bidi="ar-SA"/>
              </w:rPr>
            </w:pPr>
            <w:r>
              <w:rPr>
                <w:rFonts w:hint="eastAsia" w:ascii="宋体" w:hAnsi="宋体" w:cs="宋体"/>
                <w:b/>
                <w:bCs/>
                <w:color w:val="auto"/>
                <w:kern w:val="2"/>
                <w:sz w:val="21"/>
                <w:szCs w:val="21"/>
                <w:lang w:val="en-US" w:eastAsia="zh-CN" w:bidi="ar-SA"/>
              </w:rPr>
              <w:t>④陈化物料输送至搅拌机的给料粉尘（T4）</w:t>
            </w:r>
          </w:p>
          <w:p w14:paraId="578D9DA0">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both"/>
              <w:textAlignment w:val="auto"/>
              <w:rPr>
                <w:rFonts w:hint="eastAsia" w:ascii="Times New Roman" w:hAnsi="Times New Roman" w:cs="Times New Roman"/>
                <w:b/>
                <w:bCs/>
                <w:color w:val="auto"/>
                <w:sz w:val="21"/>
                <w:szCs w:val="21"/>
                <w:lang w:val="en-US" w:eastAsia="zh-CN"/>
              </w:rPr>
            </w:pPr>
            <w:r>
              <w:rPr>
                <w:rFonts w:hint="eastAsia" w:ascii="Times New Roman" w:hAnsi="Times New Roman" w:eastAsia="宋体" w:cs="Times New Roman"/>
                <w:bCs/>
                <w:color w:val="auto"/>
                <w:sz w:val="21"/>
                <w:szCs w:val="21"/>
                <w:lang w:val="en-US" w:eastAsia="zh-CN"/>
              </w:rPr>
              <w:t>根据《逸散性工业粉尘控制技术》《工业污染核算》中的行业经验系数，给料口粉尘产生系数为0.05kg/t-原料。项目采用铲车将完成陈化的原料输送至全封闭输送机的给料口，最终进入封闭的搅拌机，</w:t>
            </w:r>
            <w:r>
              <w:rPr>
                <w:rFonts w:hint="eastAsia" w:cs="Times New Roman"/>
                <w:bCs/>
                <w:color w:val="auto"/>
                <w:sz w:val="21"/>
                <w:szCs w:val="21"/>
                <w:lang w:val="en-US" w:eastAsia="zh-CN"/>
              </w:rPr>
              <w:t>仅</w:t>
            </w:r>
            <w:r>
              <w:rPr>
                <w:rFonts w:hint="eastAsia" w:ascii="Times New Roman" w:hAnsi="Times New Roman" w:eastAsia="宋体" w:cs="Times New Roman"/>
                <w:bCs/>
                <w:color w:val="auto"/>
                <w:sz w:val="21"/>
                <w:szCs w:val="21"/>
                <w:lang w:val="en-US" w:eastAsia="zh-CN"/>
              </w:rPr>
              <w:t>产生给料粉尘，</w:t>
            </w:r>
            <w:r>
              <w:rPr>
                <w:rFonts w:hint="eastAsia" w:ascii="Times New Roman" w:hAnsi="Times New Roman" w:cs="Times New Roman"/>
                <w:bCs/>
                <w:color w:val="auto"/>
                <w:sz w:val="21"/>
                <w:szCs w:val="21"/>
                <w:lang w:val="en-US" w:eastAsia="zh-CN"/>
              </w:rPr>
              <w:t>给料量为15500</w:t>
            </w:r>
            <w:r>
              <w:rPr>
                <w:rFonts w:hint="eastAsia" w:ascii="Times New Roman" w:hAnsi="Times New Roman" w:eastAsia="宋体" w:cs="Times New Roman"/>
                <w:bCs/>
                <w:color w:val="auto"/>
                <w:sz w:val="21"/>
                <w:szCs w:val="21"/>
                <w:lang w:val="en-US" w:eastAsia="zh-CN"/>
              </w:rPr>
              <w:t>t/a，</w:t>
            </w:r>
            <w:r>
              <w:rPr>
                <w:rFonts w:hint="eastAsia" w:ascii="Times New Roman" w:hAnsi="Times New Roman" w:cs="Times New Roman"/>
                <w:bCs/>
                <w:color w:val="auto"/>
                <w:sz w:val="21"/>
                <w:szCs w:val="21"/>
                <w:lang w:val="en-US" w:eastAsia="zh-CN"/>
              </w:rPr>
              <w:t>产尘量为0.775t</w:t>
            </w:r>
            <w:r>
              <w:rPr>
                <w:rFonts w:hint="eastAsia" w:ascii="Times New Roman" w:hAnsi="Times New Roman" w:eastAsia="宋体" w:cs="Times New Roman"/>
                <w:bCs/>
                <w:color w:val="auto"/>
                <w:sz w:val="21"/>
                <w:szCs w:val="21"/>
                <w:lang w:val="en-US" w:eastAsia="zh-CN"/>
              </w:rPr>
              <w:t>/a，0.32</w:t>
            </w:r>
            <w:r>
              <w:rPr>
                <w:rFonts w:hint="eastAsia" w:ascii="Times New Roman" w:hAnsi="Times New Roman" w:eastAsia="宋体" w:cs="Times New Roman"/>
                <w:bCs/>
                <w:color w:val="auto"/>
                <w:sz w:val="21"/>
                <w:szCs w:val="21"/>
                <w:vertAlign w:val="baseline"/>
                <w:lang w:val="en-US" w:eastAsia="zh-CN"/>
              </w:rPr>
              <w:t>kg/h，通过设置</w:t>
            </w:r>
            <w:r>
              <w:rPr>
                <w:rFonts w:hint="eastAsia" w:ascii="Times New Roman" w:hAnsi="Times New Roman" w:eastAsia="宋体" w:cs="Times New Roman"/>
                <w:bCs/>
                <w:color w:val="auto"/>
                <w:sz w:val="21"/>
                <w:szCs w:val="21"/>
                <w:lang w:val="en-US" w:eastAsia="zh-CN"/>
              </w:rPr>
              <w:t>封闭厂房和喷淋洒水后（粉尘控制效率达</w:t>
            </w:r>
            <w:r>
              <w:rPr>
                <w:rFonts w:hint="eastAsia" w:cs="Times New Roman"/>
                <w:bCs/>
                <w:color w:val="auto"/>
                <w:sz w:val="21"/>
                <w:szCs w:val="21"/>
                <w:lang w:val="en-US" w:eastAsia="zh-CN"/>
              </w:rPr>
              <w:t>8</w:t>
            </w:r>
            <w:r>
              <w:rPr>
                <w:rFonts w:hint="eastAsia" w:ascii="Times New Roman" w:hAnsi="Times New Roman" w:cs="Times New Roman"/>
                <w:bCs/>
                <w:color w:val="auto"/>
                <w:sz w:val="21"/>
                <w:szCs w:val="21"/>
                <w:lang w:val="en-US" w:eastAsia="zh-CN"/>
              </w:rPr>
              <w:t>0</w:t>
            </w:r>
            <w:r>
              <w:rPr>
                <w:rFonts w:hint="eastAsia" w:ascii="Times New Roman" w:hAnsi="Times New Roman" w:eastAsia="宋体" w:cs="Times New Roman"/>
                <w:bCs/>
                <w:color w:val="auto"/>
                <w:sz w:val="21"/>
                <w:szCs w:val="21"/>
                <w:lang w:val="en-US" w:eastAsia="zh-CN"/>
              </w:rPr>
              <w:t>%），</w:t>
            </w:r>
            <w:r>
              <w:rPr>
                <w:rFonts w:hint="eastAsia" w:ascii="Times New Roman" w:hAnsi="Times New Roman" w:eastAsia="宋体" w:cs="Times New Roman"/>
                <w:bCs/>
                <w:color w:val="auto"/>
                <w:sz w:val="21"/>
                <w:szCs w:val="21"/>
                <w:vertAlign w:val="baseline"/>
                <w:lang w:val="en-US" w:eastAsia="zh-CN"/>
              </w:rPr>
              <w:t>排放量为0.</w:t>
            </w:r>
            <w:r>
              <w:rPr>
                <w:rFonts w:hint="eastAsia" w:cs="Times New Roman"/>
                <w:bCs/>
                <w:color w:val="auto"/>
                <w:sz w:val="21"/>
                <w:szCs w:val="21"/>
                <w:vertAlign w:val="baseline"/>
                <w:lang w:val="en-US" w:eastAsia="zh-CN"/>
              </w:rPr>
              <w:t>155</w:t>
            </w:r>
            <w:r>
              <w:rPr>
                <w:rFonts w:hint="eastAsia" w:ascii="Times New Roman" w:hAnsi="Times New Roman" w:eastAsia="宋体" w:cs="Times New Roman"/>
                <w:bCs/>
                <w:color w:val="auto"/>
                <w:sz w:val="21"/>
                <w:szCs w:val="21"/>
                <w:lang w:val="en-US" w:eastAsia="zh-CN"/>
              </w:rPr>
              <w:t>t/a，排放速率为0.0</w:t>
            </w:r>
            <w:r>
              <w:rPr>
                <w:rFonts w:hint="eastAsia" w:cs="Times New Roman"/>
                <w:bCs/>
                <w:color w:val="auto"/>
                <w:sz w:val="21"/>
                <w:szCs w:val="21"/>
                <w:lang w:val="en-US" w:eastAsia="zh-CN"/>
              </w:rPr>
              <w:t>65</w:t>
            </w:r>
            <w:r>
              <w:rPr>
                <w:rFonts w:hint="eastAsia" w:ascii="Times New Roman" w:hAnsi="Times New Roman" w:eastAsia="宋体" w:cs="Times New Roman"/>
                <w:bCs/>
                <w:color w:val="auto"/>
                <w:sz w:val="21"/>
                <w:szCs w:val="21"/>
                <w:vertAlign w:val="baseline"/>
                <w:lang w:val="en-US" w:eastAsia="zh-CN"/>
              </w:rPr>
              <w:t>kg/h，呈无组织排放</w:t>
            </w:r>
            <w:r>
              <w:rPr>
                <w:rFonts w:hint="eastAsia"/>
                <w:color w:val="auto"/>
                <w:lang w:eastAsia="zh-CN"/>
              </w:rPr>
              <w:t>。</w:t>
            </w:r>
          </w:p>
          <w:p w14:paraId="3C414F62">
            <w:pPr>
              <w:pStyle w:val="15"/>
              <w:pageBreakBefore w:val="0"/>
              <w:wordWrap/>
              <w:topLinePunct w:val="0"/>
              <w:bidi w:val="0"/>
              <w:snapToGrid w:val="0"/>
              <w:spacing w:line="360" w:lineRule="auto"/>
              <w:ind w:firstLine="422" w:firstLineChars="200"/>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val="en-US" w:eastAsia="zh-CN"/>
              </w:rPr>
              <w:t>⑤</w:t>
            </w:r>
            <w:r>
              <w:rPr>
                <w:rFonts w:hint="default" w:ascii="Times New Roman" w:hAnsi="Times New Roman" w:cs="Times New Roman"/>
                <w:b/>
                <w:bCs/>
                <w:color w:val="auto"/>
                <w:sz w:val="21"/>
                <w:szCs w:val="21"/>
              </w:rPr>
              <w:t>运输车辆动力扬尘</w:t>
            </w:r>
            <w:r>
              <w:rPr>
                <w:rFonts w:hint="default" w:ascii="Times New Roman" w:hAnsi="Times New Roman" w:cs="Times New Roman"/>
                <w:b/>
                <w:bCs w:val="0"/>
                <w:color w:val="auto"/>
                <w:sz w:val="21"/>
                <w:szCs w:val="21"/>
                <w:lang w:eastAsia="zh-CN"/>
              </w:rPr>
              <w:t>（</w:t>
            </w:r>
            <w:r>
              <w:rPr>
                <w:rFonts w:hint="default" w:ascii="Times New Roman" w:hAnsi="Times New Roman" w:cs="Times New Roman"/>
                <w:b/>
                <w:bCs w:val="0"/>
                <w:color w:val="auto"/>
                <w:sz w:val="21"/>
                <w:szCs w:val="21"/>
                <w:lang w:val="en-US" w:eastAsia="zh-CN"/>
              </w:rPr>
              <w:t>T</w:t>
            </w:r>
            <w:r>
              <w:rPr>
                <w:rFonts w:hint="eastAsia" w:ascii="Times New Roman" w:hAnsi="Times New Roman" w:cs="Times New Roman"/>
                <w:b/>
                <w:bCs w:val="0"/>
                <w:color w:val="auto"/>
                <w:sz w:val="21"/>
                <w:szCs w:val="21"/>
                <w:lang w:val="en-US" w:eastAsia="zh-CN"/>
              </w:rPr>
              <w:t>5</w:t>
            </w:r>
            <w:r>
              <w:rPr>
                <w:rFonts w:hint="default" w:ascii="Times New Roman" w:hAnsi="Times New Roman" w:cs="Times New Roman"/>
                <w:b/>
                <w:bCs w:val="0"/>
                <w:color w:val="auto"/>
                <w:sz w:val="21"/>
                <w:szCs w:val="21"/>
                <w:lang w:eastAsia="zh-CN"/>
              </w:rPr>
              <w:t>）</w:t>
            </w:r>
          </w:p>
          <w:p w14:paraId="5F6CC79F">
            <w:pPr>
              <w:pStyle w:val="11"/>
              <w:pageBreakBefore w:val="0"/>
              <w:widowControl w:val="0"/>
              <w:wordWrap/>
              <w:topLinePunct w:val="0"/>
              <w:bidi w:val="0"/>
              <w:adjustRightInd w:val="0"/>
              <w:snapToGrid w:val="0"/>
              <w:spacing w:before="0" w:after="0" w:line="360" w:lineRule="auto"/>
              <w:ind w:firstLine="420" w:firstLineChars="200"/>
              <w:jc w:val="left"/>
              <w:rPr>
                <w:rFonts w:hint="default" w:ascii="Times New Roman" w:hAnsi="Times New Roman" w:cs="Times New Roman"/>
                <w:snapToGrid w:val="0"/>
                <w:color w:val="auto"/>
                <w:sz w:val="21"/>
                <w:szCs w:val="21"/>
              </w:rPr>
            </w:pPr>
            <w:r>
              <w:rPr>
                <w:rFonts w:hint="default" w:ascii="Times New Roman" w:hAnsi="Times New Roman" w:cs="Times New Roman"/>
                <w:bCs/>
                <w:color w:val="auto"/>
                <w:sz w:val="21"/>
                <w:szCs w:val="21"/>
              </w:rPr>
              <w:t>车辆行驶产生的扬尘，在道路完全干燥的情况下，可按下列经验公式计算：</w:t>
            </w:r>
          </w:p>
          <w:p w14:paraId="4B6FF23E">
            <w:pPr>
              <w:pageBreakBefore w:val="0"/>
              <w:wordWrap/>
              <w:topLinePunct w:val="0"/>
              <w:bidi w:val="0"/>
              <w:adjustRightInd w:val="0"/>
              <w:snapToGrid w:val="0"/>
              <w:spacing w:line="360" w:lineRule="auto"/>
              <w:jc w:val="center"/>
              <w:rPr>
                <w:rFonts w:hint="default" w:ascii="Times New Roman" w:hAnsi="Times New Roman" w:cs="Times New Roman"/>
                <w:snapToGrid w:val="0"/>
                <w:color w:val="auto"/>
                <w:kern w:val="0"/>
                <w:szCs w:val="21"/>
              </w:rPr>
            </w:pPr>
            <w:r>
              <w:rPr>
                <w:rFonts w:hint="default" w:ascii="Times New Roman" w:hAnsi="Times New Roman" w:cs="Times New Roman"/>
                <w:snapToGrid w:val="0"/>
                <w:color w:val="auto"/>
                <w:kern w:val="0"/>
                <w:position w:val="-27"/>
                <w:szCs w:val="21"/>
              </w:rPr>
              <w:drawing>
                <wp:inline distT="0" distB="0" distL="114300" distR="114300">
                  <wp:extent cx="2183765" cy="770890"/>
                  <wp:effectExtent l="0" t="0" r="6985" b="1016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25"/>
                          <a:stretch>
                            <a:fillRect/>
                          </a:stretch>
                        </pic:blipFill>
                        <pic:spPr>
                          <a:xfrm>
                            <a:off x="0" y="0"/>
                            <a:ext cx="2183765" cy="770890"/>
                          </a:xfrm>
                          <a:prstGeom prst="rect">
                            <a:avLst/>
                          </a:prstGeom>
                          <a:noFill/>
                          <a:ln>
                            <a:noFill/>
                          </a:ln>
                        </pic:spPr>
                      </pic:pic>
                    </a:graphicData>
                  </a:graphic>
                </wp:inline>
              </w:drawing>
            </w:r>
          </w:p>
          <w:p w14:paraId="6B7F0219">
            <w:pPr>
              <w:pStyle w:val="11"/>
              <w:pageBreakBefore w:val="0"/>
              <w:widowControl w:val="0"/>
              <w:wordWrap/>
              <w:topLinePunct w:val="0"/>
              <w:bidi w:val="0"/>
              <w:adjustRightInd w:val="0"/>
              <w:snapToGrid w:val="0"/>
              <w:spacing w:before="0" w:after="0" w:line="360" w:lineRule="auto"/>
              <w:ind w:firstLine="420" w:firstLineChars="200"/>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 xml:space="preserve">式中：Qy——交通运输起尘量，kg/km·辆； </w:t>
            </w:r>
          </w:p>
          <w:p w14:paraId="0E2A6A6E">
            <w:pPr>
              <w:pStyle w:val="11"/>
              <w:pageBreakBefore w:val="0"/>
              <w:widowControl w:val="0"/>
              <w:wordWrap/>
              <w:topLinePunct w:val="0"/>
              <w:bidi w:val="0"/>
              <w:adjustRightInd w:val="0"/>
              <w:snapToGrid w:val="0"/>
              <w:spacing w:before="0" w:after="0" w:line="360" w:lineRule="auto"/>
              <w:ind w:firstLine="1050" w:firstLineChars="500"/>
              <w:rPr>
                <w:rFonts w:hint="default" w:ascii="Times New Roman" w:hAnsi="Times New Roman" w:cs="Times New Roman"/>
                <w:snapToGrid w:val="0"/>
                <w:color w:val="auto"/>
                <w:position w:val="2"/>
                <w:sz w:val="21"/>
                <w:szCs w:val="21"/>
              </w:rPr>
            </w:pPr>
            <w:r>
              <w:rPr>
                <w:rFonts w:hint="default" w:ascii="Times New Roman" w:hAnsi="Times New Roman" w:cs="Times New Roman"/>
                <w:snapToGrid w:val="0"/>
                <w:color w:val="auto"/>
                <w:position w:val="2"/>
                <w:sz w:val="21"/>
                <w:szCs w:val="21"/>
              </w:rPr>
              <w:t>Q</w:t>
            </w:r>
            <w:r>
              <w:rPr>
                <w:rFonts w:hint="default" w:ascii="Times New Roman" w:hAnsi="Times New Roman" w:cs="Times New Roman"/>
                <w:snapToGrid w:val="0"/>
                <w:color w:val="auto"/>
                <w:sz w:val="21"/>
                <w:szCs w:val="21"/>
              </w:rPr>
              <w:t>t</w:t>
            </w:r>
            <w:r>
              <w:rPr>
                <w:rFonts w:hint="default" w:ascii="Times New Roman" w:hAnsi="Times New Roman" w:cs="Times New Roman"/>
                <w:snapToGrid w:val="0"/>
                <w:color w:val="auto"/>
                <w:position w:val="2"/>
                <w:sz w:val="21"/>
                <w:szCs w:val="21"/>
              </w:rPr>
              <w:t xml:space="preserve">——交通途中起尘量，kg/a； </w:t>
            </w:r>
          </w:p>
          <w:p w14:paraId="0D3EFE51">
            <w:pPr>
              <w:pStyle w:val="11"/>
              <w:pageBreakBefore w:val="0"/>
              <w:widowControl w:val="0"/>
              <w:wordWrap/>
              <w:topLinePunct w:val="0"/>
              <w:bidi w:val="0"/>
              <w:adjustRightInd w:val="0"/>
              <w:snapToGrid w:val="0"/>
              <w:spacing w:before="0" w:after="0" w:line="360" w:lineRule="auto"/>
              <w:ind w:firstLine="1050" w:firstLineChars="500"/>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V——车辆行驶速度，km/h；</w:t>
            </w:r>
          </w:p>
          <w:p w14:paraId="0A76A30D">
            <w:pPr>
              <w:pStyle w:val="11"/>
              <w:pageBreakBefore w:val="0"/>
              <w:widowControl w:val="0"/>
              <w:wordWrap/>
              <w:topLinePunct w:val="0"/>
              <w:bidi w:val="0"/>
              <w:adjustRightInd w:val="0"/>
              <w:snapToGrid w:val="0"/>
              <w:spacing w:before="0" w:after="0" w:line="360" w:lineRule="auto"/>
              <w:ind w:firstLine="1050" w:firstLineChars="500"/>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P——路面状况，以每平米路面灰尘覆盖率表示，kg/m</w:t>
            </w:r>
            <w:r>
              <w:rPr>
                <w:rFonts w:hint="default" w:ascii="Times New Roman" w:hAnsi="Times New Roman" w:cs="Times New Roman"/>
                <w:snapToGrid w:val="0"/>
                <w:color w:val="auto"/>
                <w:sz w:val="21"/>
                <w:szCs w:val="21"/>
                <w:vertAlign w:val="superscript"/>
              </w:rPr>
              <w:t>2</w:t>
            </w:r>
            <w:r>
              <w:rPr>
                <w:rFonts w:hint="default" w:ascii="Times New Roman" w:hAnsi="Times New Roman" w:cs="Times New Roman"/>
                <w:snapToGrid w:val="0"/>
                <w:color w:val="auto"/>
                <w:sz w:val="21"/>
                <w:szCs w:val="21"/>
              </w:rPr>
              <w:t>；</w:t>
            </w:r>
          </w:p>
          <w:p w14:paraId="2F297486">
            <w:pPr>
              <w:pStyle w:val="11"/>
              <w:pageBreakBefore w:val="0"/>
              <w:widowControl w:val="0"/>
              <w:wordWrap/>
              <w:topLinePunct w:val="0"/>
              <w:bidi w:val="0"/>
              <w:adjustRightInd w:val="0"/>
              <w:snapToGrid w:val="0"/>
              <w:spacing w:before="0" w:after="0" w:line="360" w:lineRule="auto"/>
              <w:ind w:firstLine="1050" w:firstLineChars="500"/>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M——车辆载重，t/辆；</w:t>
            </w:r>
          </w:p>
          <w:p w14:paraId="2B8CC402">
            <w:pPr>
              <w:pStyle w:val="11"/>
              <w:pageBreakBefore w:val="0"/>
              <w:widowControl w:val="0"/>
              <w:wordWrap/>
              <w:topLinePunct w:val="0"/>
              <w:bidi w:val="0"/>
              <w:adjustRightInd w:val="0"/>
              <w:snapToGrid w:val="0"/>
              <w:spacing w:before="0" w:after="0" w:line="360" w:lineRule="auto"/>
              <w:ind w:firstLine="1050" w:firstLineChars="500"/>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L——运输距离，km；</w:t>
            </w:r>
          </w:p>
          <w:p w14:paraId="42F3490C">
            <w:pPr>
              <w:pStyle w:val="11"/>
              <w:pageBreakBefore w:val="0"/>
              <w:widowControl w:val="0"/>
              <w:wordWrap/>
              <w:topLinePunct w:val="0"/>
              <w:bidi w:val="0"/>
              <w:adjustRightInd w:val="0"/>
              <w:snapToGrid w:val="0"/>
              <w:spacing w:before="0" w:after="0" w:line="240" w:lineRule="auto"/>
              <w:ind w:firstLine="1050" w:firstLineChars="500"/>
              <w:rPr>
                <w:rFonts w:hint="default" w:ascii="Times New Roman" w:hAnsi="Times New Roman" w:cs="Times New Roman"/>
                <w:snapToGrid w:val="0"/>
                <w:color w:val="auto"/>
                <w:sz w:val="21"/>
                <w:szCs w:val="21"/>
              </w:rPr>
            </w:pPr>
            <w:r>
              <w:rPr>
                <w:rFonts w:hint="default" w:ascii="Times New Roman" w:hAnsi="Times New Roman" w:cs="Times New Roman"/>
                <w:snapToGrid w:val="0"/>
                <w:color w:val="auto"/>
                <w:sz w:val="21"/>
                <w:szCs w:val="21"/>
              </w:rPr>
              <w:t>Q——运输量，t/a。</w:t>
            </w:r>
          </w:p>
          <w:p w14:paraId="1BF08C99">
            <w:pPr>
              <w:pStyle w:val="4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表4-3  在不同车速和地面清洁程度的汽车扬尘   单位：kg/辆·km</w:t>
            </w:r>
          </w:p>
          <w:tbl>
            <w:tblPr>
              <w:tblStyle w:val="29"/>
              <w:tblW w:w="80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9"/>
              <w:gridCol w:w="1103"/>
              <w:gridCol w:w="1102"/>
              <w:gridCol w:w="1084"/>
              <w:gridCol w:w="1139"/>
              <w:gridCol w:w="1084"/>
              <w:gridCol w:w="1146"/>
            </w:tblGrid>
            <w:tr w14:paraId="2B0FF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359" w:type="dxa"/>
                  <w:shd w:val="clear" w:color="auto" w:fill="auto"/>
                  <w:vAlign w:val="center"/>
                  <mc:AlternateContent>
                    <mc:Choice Requires="wpsCustomData">
                      <wpsCustomData:diagonals>
                        <wpsCustomData:diagonal from="10000" to="30000">
                          <wpsCustomData:border w:val="single" w:color="auto" w:sz="4" w:space="0"/>
                        </wpsCustomData:diagonal>
                      </wpsCustomData:diagonals>
                    </mc:Choice>
                  </mc:AlternateContent>
                </w:tcPr>
                <w:p w14:paraId="7890EDD6">
                  <w:pPr>
                    <w:keepNext w:val="0"/>
                    <w:keepLines w:val="0"/>
                    <w:pageBreakBefore w:val="0"/>
                    <w:widowControl w:val="0"/>
                    <w:kinsoku/>
                    <w:wordWrap/>
                    <w:overflowPunct/>
                    <w:topLinePunct w:val="0"/>
                    <w:bidi w:val="0"/>
                    <w:adjustRightInd w:val="0"/>
                    <w:snapToGrid w:val="0"/>
                    <w:spacing w:before="95" w:beforeLines="30" w:after="95" w:afterLines="30"/>
                    <w:jc w:val="both"/>
                    <w:textAlignment w:val="auto"/>
                    <w:rPr>
                      <w:rFonts w:hint="default" w:ascii="Times New Roman" w:hAnsi="Times New Roman" w:cs="Times New Roman"/>
                      <w:color w:val="auto"/>
                      <w:szCs w:val="21"/>
                    </w:rPr>
                  </w:pPr>
                </w:p>
                <w:p w14:paraId="73343390">
                  <w:pPr>
                    <w:keepNext w:val="0"/>
                    <w:keepLines w:val="0"/>
                    <w:pageBreakBefore w:val="0"/>
                    <w:widowControl w:val="0"/>
                    <w:kinsoku/>
                    <w:wordWrap/>
                    <w:overflowPunct/>
                    <w:topLinePunct w:val="0"/>
                    <w:bidi w:val="0"/>
                    <w:adjustRightInd w:val="0"/>
                    <w:snapToGrid w:val="0"/>
                    <w:spacing w:before="95" w:beforeLines="30" w:after="95" w:afterLines="30"/>
                    <w:jc w:val="both"/>
                    <w:textAlignment w:val="auto"/>
                    <mc:AlternateContent>
                      <mc:Choice Requires="wpsCustomData">
                        <wpsCustomData:diagonalParaType/>
                      </mc:Choice>
                    </mc:AlternateContent>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车速</w:t>
                  </w:r>
                </w:p>
                <w:p w14:paraId="2B0E9E65">
                  <w:pPr>
                    <w:keepNext w:val="0"/>
                    <w:keepLines w:val="0"/>
                    <w:pageBreakBefore w:val="0"/>
                    <w:widowControl w:val="0"/>
                    <w:kinsoku/>
                    <w:wordWrap/>
                    <w:overflowPunct/>
                    <w:topLinePunct w:val="0"/>
                    <w:bidi w:val="0"/>
                    <w:adjustRightInd w:val="0"/>
                    <w:snapToGrid w:val="0"/>
                    <w:spacing w:before="95" w:beforeLines="30" w:after="95" w:afterLines="30"/>
                    <w:jc w:val="right"/>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粉尘</w:t>
                  </w:r>
                  <w:r>
                    <w:rPr>
                      <w:rFonts w:hint="default" w:ascii="Times New Roman" w:hAnsi="Times New Roman" w:cs="Times New Roman"/>
                      <w:color w:val="auto"/>
                      <w:szCs w:val="21"/>
                      <w:lang w:val="en-US" w:eastAsia="zh-CN"/>
                    </w:rPr>
                    <w:t>p</w:t>
                  </w:r>
                </w:p>
              </w:tc>
              <w:tc>
                <w:tcPr>
                  <w:tcW w:w="1103" w:type="dxa"/>
                  <w:shd w:val="clear" w:color="auto" w:fill="auto"/>
                  <w:vAlign w:val="center"/>
                </w:tcPr>
                <w:p w14:paraId="3E4FEC72">
                  <w:pPr>
                    <w:pStyle w:val="77"/>
                    <w:keepNext w:val="0"/>
                    <w:keepLines w:val="0"/>
                    <w:pageBreakBefore w:val="0"/>
                    <w:widowControl w:val="0"/>
                    <w:kinsoku/>
                    <w:wordWrap/>
                    <w:overflowPunct/>
                    <w:topLinePunct w:val="0"/>
                    <w:bidi w:val="0"/>
                    <w:adjustRightInd w:val="0"/>
                    <w:snapToGrid w:val="0"/>
                    <w:spacing w:before="95" w:beforeLines="30" w:after="95" w:afterLines="30"/>
                    <w:textAlignment w:val="auto"/>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0.1</w:t>
                  </w:r>
                </w:p>
                <w:p w14:paraId="159F3046">
                  <w:pPr>
                    <w:pStyle w:val="77"/>
                    <w:keepNext w:val="0"/>
                    <w:keepLines w:val="0"/>
                    <w:pageBreakBefore w:val="0"/>
                    <w:widowControl w:val="0"/>
                    <w:kinsoku/>
                    <w:wordWrap/>
                    <w:overflowPunct/>
                    <w:topLinePunct w:val="0"/>
                    <w:bidi w:val="0"/>
                    <w:adjustRightInd w:val="0"/>
                    <w:snapToGrid w:val="0"/>
                    <w:spacing w:before="95" w:beforeLines="30" w:after="95" w:afterLines="30"/>
                    <w:textAlignment w:val="auto"/>
                    <w:rPr>
                      <w:rFonts w:hint="default" w:ascii="Times New Roman" w:hAnsi="Times New Roman" w:cs="Times New Roman"/>
                      <w:color w:val="auto"/>
                      <w:szCs w:val="21"/>
                    </w:rPr>
                  </w:pPr>
                  <w:r>
                    <w:rPr>
                      <w:rFonts w:hint="default" w:ascii="Times New Roman" w:hAnsi="Times New Roman" w:cs="Times New Roman"/>
                      <w:snapToGrid w:val="0"/>
                      <w:color w:val="auto"/>
                      <w:szCs w:val="21"/>
                    </w:rPr>
                    <w:t>（kg/m</w:t>
                  </w:r>
                  <w:r>
                    <w:rPr>
                      <w:rFonts w:hint="default" w:ascii="Times New Roman" w:hAnsi="Times New Roman" w:cs="Times New Roman"/>
                      <w:snapToGrid w:val="0"/>
                      <w:color w:val="auto"/>
                      <w:szCs w:val="21"/>
                      <w:vertAlign w:val="superscript"/>
                      <w:lang w:val="en-US"/>
                    </w:rPr>
                    <w:t>2</w:t>
                  </w:r>
                  <w:r>
                    <w:rPr>
                      <w:rFonts w:hint="default" w:ascii="Times New Roman" w:hAnsi="Times New Roman" w:cs="Times New Roman"/>
                      <w:snapToGrid w:val="0"/>
                      <w:color w:val="auto"/>
                      <w:szCs w:val="21"/>
                    </w:rPr>
                    <w:t>）</w:t>
                  </w:r>
                </w:p>
              </w:tc>
              <w:tc>
                <w:tcPr>
                  <w:tcW w:w="1102" w:type="dxa"/>
                  <w:shd w:val="clear" w:color="auto" w:fill="auto"/>
                  <w:vAlign w:val="center"/>
                </w:tcPr>
                <w:p w14:paraId="5A7C5181">
                  <w:pPr>
                    <w:pStyle w:val="77"/>
                    <w:keepNext w:val="0"/>
                    <w:keepLines w:val="0"/>
                    <w:pageBreakBefore w:val="0"/>
                    <w:widowControl w:val="0"/>
                    <w:kinsoku/>
                    <w:wordWrap/>
                    <w:overflowPunct/>
                    <w:topLinePunct w:val="0"/>
                    <w:bidi w:val="0"/>
                    <w:adjustRightInd w:val="0"/>
                    <w:snapToGrid w:val="0"/>
                    <w:spacing w:before="95" w:beforeLines="30" w:after="95" w:afterLines="30"/>
                    <w:textAlignment w:val="auto"/>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0.2</w:t>
                  </w:r>
                </w:p>
                <w:p w14:paraId="0C1AB408">
                  <w:pPr>
                    <w:pStyle w:val="77"/>
                    <w:keepNext w:val="0"/>
                    <w:keepLines w:val="0"/>
                    <w:pageBreakBefore w:val="0"/>
                    <w:widowControl w:val="0"/>
                    <w:kinsoku/>
                    <w:wordWrap/>
                    <w:overflowPunct/>
                    <w:topLinePunct w:val="0"/>
                    <w:bidi w:val="0"/>
                    <w:adjustRightInd w:val="0"/>
                    <w:snapToGrid w:val="0"/>
                    <w:spacing w:before="95" w:beforeLines="30" w:after="95" w:afterLines="30"/>
                    <w:textAlignment w:val="auto"/>
                    <w:rPr>
                      <w:rFonts w:hint="default" w:ascii="Times New Roman" w:hAnsi="Times New Roman" w:cs="Times New Roman"/>
                      <w:color w:val="auto"/>
                      <w:szCs w:val="21"/>
                    </w:rPr>
                  </w:pPr>
                  <w:r>
                    <w:rPr>
                      <w:rFonts w:hint="default" w:ascii="Times New Roman" w:hAnsi="Times New Roman" w:cs="Times New Roman"/>
                      <w:snapToGrid w:val="0"/>
                      <w:color w:val="auto"/>
                      <w:szCs w:val="21"/>
                    </w:rPr>
                    <w:t>（kg/m</w:t>
                  </w:r>
                  <w:r>
                    <w:rPr>
                      <w:rFonts w:hint="default" w:ascii="Times New Roman" w:hAnsi="Times New Roman" w:cs="Times New Roman"/>
                      <w:snapToGrid w:val="0"/>
                      <w:color w:val="auto"/>
                      <w:szCs w:val="21"/>
                      <w:vertAlign w:val="superscript"/>
                      <w:lang w:val="en-US"/>
                    </w:rPr>
                    <w:t>2</w:t>
                  </w:r>
                  <w:r>
                    <w:rPr>
                      <w:rFonts w:hint="default" w:ascii="Times New Roman" w:hAnsi="Times New Roman" w:cs="Times New Roman"/>
                      <w:snapToGrid w:val="0"/>
                      <w:color w:val="auto"/>
                      <w:szCs w:val="21"/>
                    </w:rPr>
                    <w:t>）</w:t>
                  </w:r>
                </w:p>
              </w:tc>
              <w:tc>
                <w:tcPr>
                  <w:tcW w:w="1084" w:type="dxa"/>
                  <w:shd w:val="clear" w:color="auto" w:fill="auto"/>
                  <w:vAlign w:val="center"/>
                </w:tcPr>
                <w:p w14:paraId="5B7775C3">
                  <w:pPr>
                    <w:pStyle w:val="77"/>
                    <w:keepNext w:val="0"/>
                    <w:keepLines w:val="0"/>
                    <w:pageBreakBefore w:val="0"/>
                    <w:widowControl w:val="0"/>
                    <w:kinsoku/>
                    <w:wordWrap/>
                    <w:overflowPunct/>
                    <w:topLinePunct w:val="0"/>
                    <w:bidi w:val="0"/>
                    <w:adjustRightInd w:val="0"/>
                    <w:snapToGrid w:val="0"/>
                    <w:spacing w:before="95" w:beforeLines="30" w:after="95" w:afterLines="30"/>
                    <w:textAlignment w:val="auto"/>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0.3</w:t>
                  </w:r>
                </w:p>
                <w:p w14:paraId="4870554A">
                  <w:pPr>
                    <w:pStyle w:val="77"/>
                    <w:keepNext w:val="0"/>
                    <w:keepLines w:val="0"/>
                    <w:pageBreakBefore w:val="0"/>
                    <w:widowControl w:val="0"/>
                    <w:kinsoku/>
                    <w:wordWrap/>
                    <w:overflowPunct/>
                    <w:topLinePunct w:val="0"/>
                    <w:bidi w:val="0"/>
                    <w:adjustRightInd w:val="0"/>
                    <w:snapToGrid w:val="0"/>
                    <w:spacing w:before="95" w:beforeLines="30" w:after="95" w:afterLines="30"/>
                    <w:textAlignment w:val="auto"/>
                    <w:rPr>
                      <w:rFonts w:hint="default" w:ascii="Times New Roman" w:hAnsi="Times New Roman" w:cs="Times New Roman"/>
                      <w:color w:val="auto"/>
                      <w:szCs w:val="21"/>
                    </w:rPr>
                  </w:pPr>
                  <w:r>
                    <w:rPr>
                      <w:rFonts w:hint="default" w:ascii="Times New Roman" w:hAnsi="Times New Roman" w:cs="Times New Roman"/>
                      <w:snapToGrid w:val="0"/>
                      <w:color w:val="auto"/>
                      <w:szCs w:val="21"/>
                    </w:rPr>
                    <w:t>（kg/m</w:t>
                  </w:r>
                  <w:r>
                    <w:rPr>
                      <w:rFonts w:hint="default" w:ascii="Times New Roman" w:hAnsi="Times New Roman" w:cs="Times New Roman"/>
                      <w:snapToGrid w:val="0"/>
                      <w:color w:val="auto"/>
                      <w:szCs w:val="21"/>
                      <w:vertAlign w:val="superscript"/>
                      <w:lang w:val="en-US"/>
                    </w:rPr>
                    <w:t>2</w:t>
                  </w:r>
                  <w:r>
                    <w:rPr>
                      <w:rFonts w:hint="default" w:ascii="Times New Roman" w:hAnsi="Times New Roman" w:cs="Times New Roman"/>
                      <w:snapToGrid w:val="0"/>
                      <w:color w:val="auto"/>
                      <w:szCs w:val="21"/>
                    </w:rPr>
                    <w:t>）</w:t>
                  </w:r>
                </w:p>
              </w:tc>
              <w:tc>
                <w:tcPr>
                  <w:tcW w:w="1139" w:type="dxa"/>
                  <w:shd w:val="clear" w:color="auto" w:fill="auto"/>
                  <w:vAlign w:val="center"/>
                </w:tcPr>
                <w:p w14:paraId="4108DB64">
                  <w:pPr>
                    <w:pStyle w:val="77"/>
                    <w:keepNext w:val="0"/>
                    <w:keepLines w:val="0"/>
                    <w:pageBreakBefore w:val="0"/>
                    <w:widowControl w:val="0"/>
                    <w:kinsoku/>
                    <w:wordWrap/>
                    <w:overflowPunct/>
                    <w:topLinePunct w:val="0"/>
                    <w:bidi w:val="0"/>
                    <w:adjustRightInd w:val="0"/>
                    <w:snapToGrid w:val="0"/>
                    <w:spacing w:before="95" w:beforeLines="30" w:after="95" w:afterLines="30"/>
                    <w:textAlignment w:val="auto"/>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0.4</w:t>
                  </w:r>
                </w:p>
                <w:p w14:paraId="712477C0">
                  <w:pPr>
                    <w:pStyle w:val="77"/>
                    <w:keepNext w:val="0"/>
                    <w:keepLines w:val="0"/>
                    <w:pageBreakBefore w:val="0"/>
                    <w:widowControl w:val="0"/>
                    <w:kinsoku/>
                    <w:wordWrap/>
                    <w:overflowPunct/>
                    <w:topLinePunct w:val="0"/>
                    <w:bidi w:val="0"/>
                    <w:adjustRightInd w:val="0"/>
                    <w:snapToGrid w:val="0"/>
                    <w:spacing w:before="95" w:beforeLines="30" w:after="95" w:afterLines="30"/>
                    <w:textAlignment w:val="auto"/>
                    <w:rPr>
                      <w:rFonts w:hint="default" w:ascii="Times New Roman" w:hAnsi="Times New Roman" w:cs="Times New Roman"/>
                      <w:color w:val="auto"/>
                      <w:szCs w:val="21"/>
                    </w:rPr>
                  </w:pPr>
                  <w:r>
                    <w:rPr>
                      <w:rFonts w:hint="default" w:ascii="Times New Roman" w:hAnsi="Times New Roman" w:cs="Times New Roman"/>
                      <w:snapToGrid w:val="0"/>
                      <w:color w:val="auto"/>
                      <w:szCs w:val="21"/>
                    </w:rPr>
                    <w:t>（kg/m</w:t>
                  </w:r>
                  <w:r>
                    <w:rPr>
                      <w:rFonts w:hint="default" w:ascii="Times New Roman" w:hAnsi="Times New Roman" w:cs="Times New Roman"/>
                      <w:snapToGrid w:val="0"/>
                      <w:color w:val="auto"/>
                      <w:szCs w:val="21"/>
                      <w:vertAlign w:val="superscript"/>
                      <w:lang w:val="en-US"/>
                    </w:rPr>
                    <w:t>2</w:t>
                  </w:r>
                  <w:r>
                    <w:rPr>
                      <w:rFonts w:hint="default" w:ascii="Times New Roman" w:hAnsi="Times New Roman" w:cs="Times New Roman"/>
                      <w:snapToGrid w:val="0"/>
                      <w:color w:val="auto"/>
                      <w:szCs w:val="21"/>
                    </w:rPr>
                    <w:t>）</w:t>
                  </w:r>
                </w:p>
              </w:tc>
              <w:tc>
                <w:tcPr>
                  <w:tcW w:w="1084" w:type="dxa"/>
                  <w:shd w:val="clear" w:color="auto" w:fill="auto"/>
                  <w:vAlign w:val="center"/>
                </w:tcPr>
                <w:p w14:paraId="69C218B3">
                  <w:pPr>
                    <w:pStyle w:val="77"/>
                    <w:keepNext w:val="0"/>
                    <w:keepLines w:val="0"/>
                    <w:pageBreakBefore w:val="0"/>
                    <w:widowControl w:val="0"/>
                    <w:kinsoku/>
                    <w:wordWrap/>
                    <w:overflowPunct/>
                    <w:topLinePunct w:val="0"/>
                    <w:bidi w:val="0"/>
                    <w:adjustRightInd w:val="0"/>
                    <w:snapToGrid w:val="0"/>
                    <w:spacing w:before="95" w:beforeLines="30" w:after="95" w:afterLines="30"/>
                    <w:textAlignment w:val="auto"/>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0.5</w:t>
                  </w:r>
                </w:p>
                <w:p w14:paraId="1690487B">
                  <w:pPr>
                    <w:pStyle w:val="77"/>
                    <w:keepNext w:val="0"/>
                    <w:keepLines w:val="0"/>
                    <w:pageBreakBefore w:val="0"/>
                    <w:widowControl w:val="0"/>
                    <w:kinsoku/>
                    <w:wordWrap/>
                    <w:overflowPunct/>
                    <w:topLinePunct w:val="0"/>
                    <w:bidi w:val="0"/>
                    <w:adjustRightInd w:val="0"/>
                    <w:snapToGrid w:val="0"/>
                    <w:spacing w:before="95" w:beforeLines="30" w:after="95" w:afterLines="30"/>
                    <w:textAlignment w:val="auto"/>
                    <w:rPr>
                      <w:rFonts w:hint="default" w:ascii="Times New Roman" w:hAnsi="Times New Roman" w:cs="Times New Roman"/>
                      <w:color w:val="auto"/>
                      <w:szCs w:val="21"/>
                    </w:rPr>
                  </w:pPr>
                  <w:r>
                    <w:rPr>
                      <w:rFonts w:hint="default" w:ascii="Times New Roman" w:hAnsi="Times New Roman" w:cs="Times New Roman"/>
                      <w:snapToGrid w:val="0"/>
                      <w:color w:val="auto"/>
                      <w:szCs w:val="21"/>
                    </w:rPr>
                    <w:t>（kg/m</w:t>
                  </w:r>
                  <w:r>
                    <w:rPr>
                      <w:rFonts w:hint="default" w:ascii="Times New Roman" w:hAnsi="Times New Roman" w:cs="Times New Roman"/>
                      <w:snapToGrid w:val="0"/>
                      <w:color w:val="auto"/>
                      <w:szCs w:val="21"/>
                      <w:vertAlign w:val="superscript"/>
                      <w:lang w:val="en-US"/>
                    </w:rPr>
                    <w:t>2</w:t>
                  </w:r>
                  <w:r>
                    <w:rPr>
                      <w:rFonts w:hint="default" w:ascii="Times New Roman" w:hAnsi="Times New Roman" w:cs="Times New Roman"/>
                      <w:snapToGrid w:val="0"/>
                      <w:color w:val="auto"/>
                      <w:szCs w:val="21"/>
                    </w:rPr>
                    <w:t>）</w:t>
                  </w:r>
                </w:p>
              </w:tc>
              <w:tc>
                <w:tcPr>
                  <w:tcW w:w="1146" w:type="dxa"/>
                  <w:shd w:val="clear" w:color="auto" w:fill="auto"/>
                  <w:vAlign w:val="center"/>
                </w:tcPr>
                <w:p w14:paraId="4D039A83">
                  <w:pPr>
                    <w:pStyle w:val="77"/>
                    <w:keepNext w:val="0"/>
                    <w:keepLines w:val="0"/>
                    <w:pageBreakBefore w:val="0"/>
                    <w:widowControl w:val="0"/>
                    <w:kinsoku/>
                    <w:wordWrap/>
                    <w:overflowPunct/>
                    <w:topLinePunct w:val="0"/>
                    <w:bidi w:val="0"/>
                    <w:adjustRightInd w:val="0"/>
                    <w:snapToGrid w:val="0"/>
                    <w:spacing w:before="95" w:beforeLines="30" w:after="95" w:afterLines="30"/>
                    <w:textAlignment w:val="auto"/>
                    <w:rPr>
                      <w:rFonts w:hint="default" w:ascii="Times New Roman" w:hAnsi="Times New Roman" w:cs="Times New Roman"/>
                      <w:snapToGrid w:val="0"/>
                      <w:color w:val="auto"/>
                      <w:szCs w:val="21"/>
                    </w:rPr>
                  </w:pPr>
                  <w:r>
                    <w:rPr>
                      <w:rFonts w:hint="default" w:ascii="Times New Roman" w:hAnsi="Times New Roman" w:cs="Times New Roman"/>
                      <w:snapToGrid w:val="0"/>
                      <w:color w:val="auto"/>
                      <w:szCs w:val="21"/>
                    </w:rPr>
                    <w:t>1.0</w:t>
                  </w:r>
                </w:p>
                <w:p w14:paraId="23C7DB85">
                  <w:pPr>
                    <w:pStyle w:val="77"/>
                    <w:keepNext w:val="0"/>
                    <w:keepLines w:val="0"/>
                    <w:pageBreakBefore w:val="0"/>
                    <w:widowControl w:val="0"/>
                    <w:kinsoku/>
                    <w:wordWrap/>
                    <w:overflowPunct/>
                    <w:topLinePunct w:val="0"/>
                    <w:bidi w:val="0"/>
                    <w:adjustRightInd w:val="0"/>
                    <w:snapToGrid w:val="0"/>
                    <w:spacing w:before="95" w:beforeLines="30" w:after="95" w:afterLines="30"/>
                    <w:textAlignment w:val="auto"/>
                    <w:rPr>
                      <w:rFonts w:hint="default" w:ascii="Times New Roman" w:hAnsi="Times New Roman" w:cs="Times New Roman"/>
                      <w:color w:val="auto"/>
                      <w:szCs w:val="21"/>
                    </w:rPr>
                  </w:pPr>
                  <w:r>
                    <w:rPr>
                      <w:rFonts w:hint="default" w:ascii="Times New Roman" w:hAnsi="Times New Roman" w:cs="Times New Roman"/>
                      <w:snapToGrid w:val="0"/>
                      <w:color w:val="auto"/>
                      <w:szCs w:val="21"/>
                    </w:rPr>
                    <w:t>（kg/m</w:t>
                  </w:r>
                  <w:r>
                    <w:rPr>
                      <w:rFonts w:hint="default" w:ascii="Times New Roman" w:hAnsi="Times New Roman" w:cs="Times New Roman"/>
                      <w:snapToGrid w:val="0"/>
                      <w:color w:val="auto"/>
                      <w:szCs w:val="21"/>
                      <w:vertAlign w:val="superscript"/>
                      <w:lang w:val="en-US"/>
                    </w:rPr>
                    <w:t>2</w:t>
                  </w:r>
                  <w:r>
                    <w:rPr>
                      <w:rFonts w:hint="default" w:ascii="Times New Roman" w:hAnsi="Times New Roman" w:cs="Times New Roman"/>
                      <w:snapToGrid w:val="0"/>
                      <w:color w:val="auto"/>
                      <w:szCs w:val="21"/>
                    </w:rPr>
                    <w:t>）</w:t>
                  </w:r>
                </w:p>
              </w:tc>
            </w:tr>
            <w:tr w14:paraId="306F3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359" w:type="dxa"/>
                  <w:shd w:val="clear" w:color="auto" w:fill="auto"/>
                  <w:vAlign w:val="center"/>
                </w:tcPr>
                <w:p w14:paraId="13D4E95A">
                  <w:pPr>
                    <w:pStyle w:val="39"/>
                    <w:keepNext w:val="0"/>
                    <w:keepLines w:val="0"/>
                    <w:pageBreakBefore w:val="0"/>
                    <w:widowControl w:val="0"/>
                    <w:kinsoku/>
                    <w:wordWrap/>
                    <w:overflowPunct/>
                    <w:topLinePunct w:val="0"/>
                    <w:bidi w:val="0"/>
                    <w:snapToGrid w:val="0"/>
                    <w:spacing w:before="95" w:beforeLines="30" w:after="95" w:afterLines="30"/>
                    <w:textAlignment w:val="auto"/>
                    <w:rPr>
                      <w:rFonts w:hint="default" w:ascii="Times New Roman" w:hAnsi="Times New Roman" w:cs="Times New Roman"/>
                      <w:color w:val="auto"/>
                    </w:rPr>
                  </w:pPr>
                  <w:r>
                    <w:rPr>
                      <w:rFonts w:hint="default" w:ascii="Times New Roman" w:hAnsi="Times New Roman" w:cs="Times New Roman"/>
                      <w:color w:val="auto"/>
                    </w:rPr>
                    <w:t>5(km/h)</w:t>
                  </w:r>
                </w:p>
              </w:tc>
              <w:tc>
                <w:tcPr>
                  <w:tcW w:w="1103" w:type="dxa"/>
                  <w:shd w:val="clear" w:color="auto" w:fill="auto"/>
                  <w:vAlign w:val="center"/>
                </w:tcPr>
                <w:p w14:paraId="64184C74">
                  <w:pPr>
                    <w:pStyle w:val="39"/>
                    <w:keepNext w:val="0"/>
                    <w:keepLines w:val="0"/>
                    <w:pageBreakBefore w:val="0"/>
                    <w:widowControl w:val="0"/>
                    <w:kinsoku/>
                    <w:wordWrap/>
                    <w:overflowPunct/>
                    <w:topLinePunct w:val="0"/>
                    <w:bidi w:val="0"/>
                    <w:snapToGrid w:val="0"/>
                    <w:spacing w:before="95" w:beforeLines="30" w:after="95" w:afterLines="30"/>
                    <w:textAlignment w:val="auto"/>
                    <w:rPr>
                      <w:rFonts w:hint="default" w:ascii="Times New Roman" w:hAnsi="Times New Roman" w:cs="Times New Roman"/>
                      <w:color w:val="auto"/>
                    </w:rPr>
                  </w:pPr>
                  <w:r>
                    <w:rPr>
                      <w:rFonts w:hint="default" w:ascii="Times New Roman" w:hAnsi="Times New Roman" w:cs="Times New Roman"/>
                      <w:color w:val="auto"/>
                    </w:rPr>
                    <w:t>0.0756</w:t>
                  </w:r>
                </w:p>
              </w:tc>
              <w:tc>
                <w:tcPr>
                  <w:tcW w:w="1102" w:type="dxa"/>
                  <w:shd w:val="clear" w:color="auto" w:fill="auto"/>
                  <w:vAlign w:val="center"/>
                </w:tcPr>
                <w:p w14:paraId="39F0462C">
                  <w:pPr>
                    <w:pStyle w:val="39"/>
                    <w:keepNext w:val="0"/>
                    <w:keepLines w:val="0"/>
                    <w:pageBreakBefore w:val="0"/>
                    <w:widowControl w:val="0"/>
                    <w:kinsoku/>
                    <w:wordWrap/>
                    <w:overflowPunct/>
                    <w:topLinePunct w:val="0"/>
                    <w:bidi w:val="0"/>
                    <w:snapToGrid w:val="0"/>
                    <w:spacing w:before="95" w:beforeLines="30" w:after="95" w:afterLines="30"/>
                    <w:textAlignment w:val="auto"/>
                    <w:rPr>
                      <w:rFonts w:hint="default" w:ascii="Times New Roman" w:hAnsi="Times New Roman" w:cs="Times New Roman"/>
                      <w:color w:val="auto"/>
                    </w:rPr>
                  </w:pPr>
                  <w:r>
                    <w:rPr>
                      <w:rFonts w:hint="default" w:ascii="Times New Roman" w:hAnsi="Times New Roman" w:cs="Times New Roman"/>
                      <w:color w:val="auto"/>
                    </w:rPr>
                    <w:t>0.1246</w:t>
                  </w:r>
                </w:p>
              </w:tc>
              <w:tc>
                <w:tcPr>
                  <w:tcW w:w="1084" w:type="dxa"/>
                  <w:shd w:val="clear" w:color="auto" w:fill="auto"/>
                  <w:vAlign w:val="center"/>
                </w:tcPr>
                <w:p w14:paraId="248D9856">
                  <w:pPr>
                    <w:pStyle w:val="39"/>
                    <w:keepNext w:val="0"/>
                    <w:keepLines w:val="0"/>
                    <w:pageBreakBefore w:val="0"/>
                    <w:widowControl w:val="0"/>
                    <w:kinsoku/>
                    <w:wordWrap/>
                    <w:overflowPunct/>
                    <w:topLinePunct w:val="0"/>
                    <w:bidi w:val="0"/>
                    <w:snapToGrid w:val="0"/>
                    <w:spacing w:before="95" w:beforeLines="30" w:after="95" w:afterLines="30"/>
                    <w:textAlignment w:val="auto"/>
                    <w:rPr>
                      <w:rFonts w:hint="default" w:ascii="Times New Roman" w:hAnsi="Times New Roman" w:cs="Times New Roman"/>
                      <w:color w:val="auto"/>
                    </w:rPr>
                  </w:pPr>
                  <w:r>
                    <w:rPr>
                      <w:rFonts w:hint="default" w:ascii="Times New Roman" w:hAnsi="Times New Roman" w:cs="Times New Roman"/>
                      <w:color w:val="auto"/>
                    </w:rPr>
                    <w:t>0.1668</w:t>
                  </w:r>
                </w:p>
              </w:tc>
              <w:tc>
                <w:tcPr>
                  <w:tcW w:w="1139" w:type="dxa"/>
                  <w:shd w:val="clear" w:color="auto" w:fill="auto"/>
                  <w:vAlign w:val="center"/>
                </w:tcPr>
                <w:p w14:paraId="449B0C4B">
                  <w:pPr>
                    <w:pStyle w:val="39"/>
                    <w:keepNext w:val="0"/>
                    <w:keepLines w:val="0"/>
                    <w:pageBreakBefore w:val="0"/>
                    <w:widowControl w:val="0"/>
                    <w:kinsoku/>
                    <w:wordWrap/>
                    <w:overflowPunct/>
                    <w:topLinePunct w:val="0"/>
                    <w:bidi w:val="0"/>
                    <w:snapToGrid w:val="0"/>
                    <w:spacing w:before="95" w:beforeLines="30" w:after="95" w:afterLines="30"/>
                    <w:textAlignment w:val="auto"/>
                    <w:rPr>
                      <w:rFonts w:hint="default" w:ascii="Times New Roman" w:hAnsi="Times New Roman" w:cs="Times New Roman"/>
                      <w:color w:val="auto"/>
                    </w:rPr>
                  </w:pPr>
                  <w:r>
                    <w:rPr>
                      <w:rFonts w:hint="default" w:ascii="Times New Roman" w:hAnsi="Times New Roman" w:cs="Times New Roman"/>
                      <w:color w:val="auto"/>
                    </w:rPr>
                    <w:t>0.2052</w:t>
                  </w:r>
                </w:p>
              </w:tc>
              <w:tc>
                <w:tcPr>
                  <w:tcW w:w="1084" w:type="dxa"/>
                  <w:shd w:val="clear" w:color="auto" w:fill="auto"/>
                  <w:vAlign w:val="center"/>
                </w:tcPr>
                <w:p w14:paraId="05DC5FC0">
                  <w:pPr>
                    <w:pStyle w:val="39"/>
                    <w:keepNext w:val="0"/>
                    <w:keepLines w:val="0"/>
                    <w:pageBreakBefore w:val="0"/>
                    <w:widowControl w:val="0"/>
                    <w:kinsoku/>
                    <w:wordWrap/>
                    <w:overflowPunct/>
                    <w:topLinePunct w:val="0"/>
                    <w:bidi w:val="0"/>
                    <w:snapToGrid w:val="0"/>
                    <w:spacing w:before="95" w:beforeLines="30" w:after="95" w:afterLines="30"/>
                    <w:textAlignment w:val="auto"/>
                    <w:rPr>
                      <w:rFonts w:hint="default" w:ascii="Times New Roman" w:hAnsi="Times New Roman" w:cs="Times New Roman"/>
                      <w:color w:val="auto"/>
                    </w:rPr>
                  </w:pPr>
                  <w:r>
                    <w:rPr>
                      <w:rFonts w:hint="default" w:ascii="Times New Roman" w:hAnsi="Times New Roman" w:cs="Times New Roman"/>
                      <w:color w:val="auto"/>
                    </w:rPr>
                    <w:t>0.2410</w:t>
                  </w:r>
                </w:p>
              </w:tc>
              <w:tc>
                <w:tcPr>
                  <w:tcW w:w="1146" w:type="dxa"/>
                  <w:shd w:val="clear" w:color="auto" w:fill="auto"/>
                  <w:vAlign w:val="center"/>
                </w:tcPr>
                <w:p w14:paraId="40AD7249">
                  <w:pPr>
                    <w:pStyle w:val="39"/>
                    <w:keepNext w:val="0"/>
                    <w:keepLines w:val="0"/>
                    <w:pageBreakBefore w:val="0"/>
                    <w:widowControl w:val="0"/>
                    <w:kinsoku/>
                    <w:wordWrap/>
                    <w:overflowPunct/>
                    <w:topLinePunct w:val="0"/>
                    <w:bidi w:val="0"/>
                    <w:snapToGrid w:val="0"/>
                    <w:spacing w:before="95" w:beforeLines="30" w:after="95" w:afterLines="30"/>
                    <w:textAlignment w:val="auto"/>
                    <w:rPr>
                      <w:rFonts w:hint="default" w:ascii="Times New Roman" w:hAnsi="Times New Roman" w:cs="Times New Roman"/>
                      <w:color w:val="auto"/>
                    </w:rPr>
                  </w:pPr>
                  <w:r>
                    <w:rPr>
                      <w:rFonts w:hint="default" w:ascii="Times New Roman" w:hAnsi="Times New Roman" w:cs="Times New Roman"/>
                      <w:color w:val="auto"/>
                    </w:rPr>
                    <w:t>0.3969</w:t>
                  </w:r>
                </w:p>
              </w:tc>
            </w:tr>
            <w:tr w14:paraId="4606F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359" w:type="dxa"/>
                  <w:shd w:val="clear" w:color="auto" w:fill="auto"/>
                  <w:vAlign w:val="center"/>
                </w:tcPr>
                <w:p w14:paraId="0080F392">
                  <w:pPr>
                    <w:pStyle w:val="39"/>
                    <w:keepNext w:val="0"/>
                    <w:keepLines w:val="0"/>
                    <w:pageBreakBefore w:val="0"/>
                    <w:widowControl w:val="0"/>
                    <w:kinsoku/>
                    <w:wordWrap/>
                    <w:overflowPunct/>
                    <w:topLinePunct w:val="0"/>
                    <w:bidi w:val="0"/>
                    <w:snapToGrid w:val="0"/>
                    <w:spacing w:before="95" w:beforeLines="30" w:after="95" w:afterLines="30"/>
                    <w:textAlignment w:val="auto"/>
                    <w:rPr>
                      <w:rFonts w:hint="default" w:ascii="Times New Roman" w:hAnsi="Times New Roman" w:cs="Times New Roman"/>
                      <w:color w:val="auto"/>
                    </w:rPr>
                  </w:pPr>
                  <w:r>
                    <w:rPr>
                      <w:rFonts w:hint="default" w:ascii="Times New Roman" w:hAnsi="Times New Roman" w:cs="Times New Roman"/>
                      <w:color w:val="auto"/>
                    </w:rPr>
                    <w:t>10(km/h)</w:t>
                  </w:r>
                </w:p>
              </w:tc>
              <w:tc>
                <w:tcPr>
                  <w:tcW w:w="1103" w:type="dxa"/>
                  <w:shd w:val="clear" w:color="auto" w:fill="auto"/>
                  <w:vAlign w:val="center"/>
                </w:tcPr>
                <w:p w14:paraId="76E8EA38">
                  <w:pPr>
                    <w:pStyle w:val="39"/>
                    <w:keepNext w:val="0"/>
                    <w:keepLines w:val="0"/>
                    <w:pageBreakBefore w:val="0"/>
                    <w:widowControl w:val="0"/>
                    <w:kinsoku/>
                    <w:wordWrap/>
                    <w:overflowPunct/>
                    <w:topLinePunct w:val="0"/>
                    <w:bidi w:val="0"/>
                    <w:snapToGrid w:val="0"/>
                    <w:spacing w:before="95" w:beforeLines="30" w:after="95" w:afterLines="30"/>
                    <w:textAlignment w:val="auto"/>
                    <w:rPr>
                      <w:rFonts w:hint="default" w:ascii="Times New Roman" w:hAnsi="Times New Roman" w:cs="Times New Roman"/>
                      <w:color w:val="auto"/>
                    </w:rPr>
                  </w:pPr>
                  <w:r>
                    <w:rPr>
                      <w:rFonts w:hint="default" w:ascii="Times New Roman" w:hAnsi="Times New Roman" w:cs="Times New Roman"/>
                      <w:color w:val="auto"/>
                    </w:rPr>
                    <w:t>0.1513</w:t>
                  </w:r>
                </w:p>
              </w:tc>
              <w:tc>
                <w:tcPr>
                  <w:tcW w:w="1102" w:type="dxa"/>
                  <w:shd w:val="clear" w:color="auto" w:fill="auto"/>
                  <w:vAlign w:val="center"/>
                </w:tcPr>
                <w:p w14:paraId="4E6CCEF4">
                  <w:pPr>
                    <w:pStyle w:val="39"/>
                    <w:keepNext w:val="0"/>
                    <w:keepLines w:val="0"/>
                    <w:pageBreakBefore w:val="0"/>
                    <w:widowControl w:val="0"/>
                    <w:kinsoku/>
                    <w:wordWrap/>
                    <w:overflowPunct/>
                    <w:topLinePunct w:val="0"/>
                    <w:bidi w:val="0"/>
                    <w:snapToGrid w:val="0"/>
                    <w:spacing w:before="95" w:beforeLines="30" w:after="95" w:afterLines="30"/>
                    <w:textAlignment w:val="auto"/>
                    <w:rPr>
                      <w:rFonts w:hint="default" w:ascii="Times New Roman" w:hAnsi="Times New Roman" w:cs="Times New Roman"/>
                      <w:color w:val="auto"/>
                    </w:rPr>
                  </w:pPr>
                  <w:r>
                    <w:rPr>
                      <w:rFonts w:hint="default" w:ascii="Times New Roman" w:hAnsi="Times New Roman" w:cs="Times New Roman"/>
                      <w:color w:val="auto"/>
                    </w:rPr>
                    <w:t>0.2492</w:t>
                  </w:r>
                </w:p>
              </w:tc>
              <w:tc>
                <w:tcPr>
                  <w:tcW w:w="1084" w:type="dxa"/>
                  <w:shd w:val="clear" w:color="auto" w:fill="auto"/>
                  <w:vAlign w:val="center"/>
                </w:tcPr>
                <w:p w14:paraId="14E25E26">
                  <w:pPr>
                    <w:pStyle w:val="39"/>
                    <w:keepNext w:val="0"/>
                    <w:keepLines w:val="0"/>
                    <w:pageBreakBefore w:val="0"/>
                    <w:widowControl w:val="0"/>
                    <w:kinsoku/>
                    <w:wordWrap/>
                    <w:overflowPunct/>
                    <w:topLinePunct w:val="0"/>
                    <w:bidi w:val="0"/>
                    <w:snapToGrid w:val="0"/>
                    <w:spacing w:before="95" w:beforeLines="30" w:after="95" w:afterLines="30"/>
                    <w:textAlignment w:val="auto"/>
                    <w:rPr>
                      <w:rFonts w:hint="default" w:ascii="Times New Roman" w:hAnsi="Times New Roman" w:cs="Times New Roman"/>
                      <w:color w:val="auto"/>
                    </w:rPr>
                  </w:pPr>
                  <w:r>
                    <w:rPr>
                      <w:rFonts w:hint="default" w:ascii="Times New Roman" w:hAnsi="Times New Roman" w:cs="Times New Roman"/>
                      <w:color w:val="auto"/>
                    </w:rPr>
                    <w:t>0.3336</w:t>
                  </w:r>
                </w:p>
              </w:tc>
              <w:tc>
                <w:tcPr>
                  <w:tcW w:w="1139" w:type="dxa"/>
                  <w:shd w:val="clear" w:color="auto" w:fill="auto"/>
                  <w:vAlign w:val="center"/>
                </w:tcPr>
                <w:p w14:paraId="1C25EACA">
                  <w:pPr>
                    <w:pStyle w:val="39"/>
                    <w:keepNext w:val="0"/>
                    <w:keepLines w:val="0"/>
                    <w:pageBreakBefore w:val="0"/>
                    <w:widowControl w:val="0"/>
                    <w:kinsoku/>
                    <w:wordWrap/>
                    <w:overflowPunct/>
                    <w:topLinePunct w:val="0"/>
                    <w:bidi w:val="0"/>
                    <w:snapToGrid w:val="0"/>
                    <w:spacing w:before="95" w:beforeLines="30" w:after="95" w:afterLines="30"/>
                    <w:textAlignment w:val="auto"/>
                    <w:rPr>
                      <w:rFonts w:hint="default" w:ascii="Times New Roman" w:hAnsi="Times New Roman" w:cs="Times New Roman"/>
                      <w:color w:val="auto"/>
                    </w:rPr>
                  </w:pPr>
                  <w:r>
                    <w:rPr>
                      <w:rFonts w:hint="default" w:ascii="Times New Roman" w:hAnsi="Times New Roman" w:cs="Times New Roman"/>
                      <w:color w:val="auto"/>
                    </w:rPr>
                    <w:t>0.4104</w:t>
                  </w:r>
                </w:p>
              </w:tc>
              <w:tc>
                <w:tcPr>
                  <w:tcW w:w="1084" w:type="dxa"/>
                  <w:shd w:val="clear" w:color="auto" w:fill="auto"/>
                  <w:vAlign w:val="center"/>
                </w:tcPr>
                <w:p w14:paraId="29B813D6">
                  <w:pPr>
                    <w:pStyle w:val="39"/>
                    <w:keepNext w:val="0"/>
                    <w:keepLines w:val="0"/>
                    <w:pageBreakBefore w:val="0"/>
                    <w:widowControl w:val="0"/>
                    <w:kinsoku/>
                    <w:wordWrap/>
                    <w:overflowPunct/>
                    <w:topLinePunct w:val="0"/>
                    <w:bidi w:val="0"/>
                    <w:snapToGrid w:val="0"/>
                    <w:spacing w:before="95" w:beforeLines="30" w:after="95" w:afterLines="30"/>
                    <w:textAlignment w:val="auto"/>
                    <w:rPr>
                      <w:rFonts w:hint="default" w:ascii="Times New Roman" w:hAnsi="Times New Roman" w:cs="Times New Roman"/>
                      <w:color w:val="auto"/>
                    </w:rPr>
                  </w:pPr>
                  <w:r>
                    <w:rPr>
                      <w:rFonts w:hint="default" w:ascii="Times New Roman" w:hAnsi="Times New Roman" w:cs="Times New Roman"/>
                      <w:color w:val="auto"/>
                    </w:rPr>
                    <w:t>0.4819</w:t>
                  </w:r>
                </w:p>
              </w:tc>
              <w:tc>
                <w:tcPr>
                  <w:tcW w:w="1146" w:type="dxa"/>
                  <w:shd w:val="clear" w:color="auto" w:fill="auto"/>
                  <w:vAlign w:val="center"/>
                </w:tcPr>
                <w:p w14:paraId="5CA84812">
                  <w:pPr>
                    <w:pStyle w:val="39"/>
                    <w:keepNext w:val="0"/>
                    <w:keepLines w:val="0"/>
                    <w:pageBreakBefore w:val="0"/>
                    <w:widowControl w:val="0"/>
                    <w:kinsoku/>
                    <w:wordWrap/>
                    <w:overflowPunct/>
                    <w:topLinePunct w:val="0"/>
                    <w:bidi w:val="0"/>
                    <w:snapToGrid w:val="0"/>
                    <w:spacing w:before="95" w:beforeLines="30" w:after="95" w:afterLines="30"/>
                    <w:textAlignment w:val="auto"/>
                    <w:rPr>
                      <w:rFonts w:hint="default" w:ascii="Times New Roman" w:hAnsi="Times New Roman" w:cs="Times New Roman"/>
                      <w:color w:val="auto"/>
                    </w:rPr>
                  </w:pPr>
                  <w:r>
                    <w:rPr>
                      <w:rFonts w:hint="default" w:ascii="Times New Roman" w:hAnsi="Times New Roman" w:cs="Times New Roman"/>
                      <w:color w:val="auto"/>
                    </w:rPr>
                    <w:t>0.7938</w:t>
                  </w:r>
                </w:p>
              </w:tc>
            </w:tr>
            <w:tr w14:paraId="17B92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359" w:type="dxa"/>
                  <w:shd w:val="clear" w:color="auto" w:fill="auto"/>
                  <w:vAlign w:val="center"/>
                </w:tcPr>
                <w:p w14:paraId="6F548417">
                  <w:pPr>
                    <w:pStyle w:val="39"/>
                    <w:keepNext w:val="0"/>
                    <w:keepLines w:val="0"/>
                    <w:pageBreakBefore w:val="0"/>
                    <w:widowControl w:val="0"/>
                    <w:kinsoku/>
                    <w:wordWrap/>
                    <w:overflowPunct/>
                    <w:topLinePunct w:val="0"/>
                    <w:bidi w:val="0"/>
                    <w:snapToGrid w:val="0"/>
                    <w:spacing w:before="95" w:beforeLines="30" w:after="95" w:afterLines="30"/>
                    <w:textAlignment w:val="auto"/>
                    <w:rPr>
                      <w:rFonts w:hint="default" w:ascii="Times New Roman" w:hAnsi="Times New Roman" w:cs="Times New Roman"/>
                      <w:color w:val="auto"/>
                    </w:rPr>
                  </w:pPr>
                  <w:r>
                    <w:rPr>
                      <w:rFonts w:hint="default" w:ascii="Times New Roman" w:hAnsi="Times New Roman" w:cs="Times New Roman"/>
                      <w:color w:val="auto"/>
                    </w:rPr>
                    <w:t>15(km/h)</w:t>
                  </w:r>
                </w:p>
              </w:tc>
              <w:tc>
                <w:tcPr>
                  <w:tcW w:w="1103" w:type="dxa"/>
                  <w:shd w:val="clear" w:color="auto" w:fill="auto"/>
                  <w:vAlign w:val="center"/>
                </w:tcPr>
                <w:p w14:paraId="0E7E3134">
                  <w:pPr>
                    <w:pStyle w:val="39"/>
                    <w:keepNext w:val="0"/>
                    <w:keepLines w:val="0"/>
                    <w:pageBreakBefore w:val="0"/>
                    <w:widowControl w:val="0"/>
                    <w:kinsoku/>
                    <w:wordWrap/>
                    <w:overflowPunct/>
                    <w:topLinePunct w:val="0"/>
                    <w:bidi w:val="0"/>
                    <w:snapToGrid w:val="0"/>
                    <w:spacing w:before="95" w:beforeLines="30" w:after="95" w:afterLines="30"/>
                    <w:textAlignment w:val="auto"/>
                    <w:rPr>
                      <w:rFonts w:hint="default" w:ascii="Times New Roman" w:hAnsi="Times New Roman" w:cs="Times New Roman"/>
                      <w:color w:val="auto"/>
                    </w:rPr>
                  </w:pPr>
                  <w:r>
                    <w:rPr>
                      <w:rFonts w:hint="default" w:ascii="Times New Roman" w:hAnsi="Times New Roman" w:cs="Times New Roman"/>
                      <w:color w:val="auto"/>
                    </w:rPr>
                    <w:t>0.2269</w:t>
                  </w:r>
                </w:p>
              </w:tc>
              <w:tc>
                <w:tcPr>
                  <w:tcW w:w="1102" w:type="dxa"/>
                  <w:shd w:val="clear" w:color="auto" w:fill="auto"/>
                  <w:vAlign w:val="center"/>
                </w:tcPr>
                <w:p w14:paraId="24C69AC2">
                  <w:pPr>
                    <w:pStyle w:val="39"/>
                    <w:keepNext w:val="0"/>
                    <w:keepLines w:val="0"/>
                    <w:pageBreakBefore w:val="0"/>
                    <w:widowControl w:val="0"/>
                    <w:kinsoku/>
                    <w:wordWrap/>
                    <w:overflowPunct/>
                    <w:topLinePunct w:val="0"/>
                    <w:bidi w:val="0"/>
                    <w:snapToGrid w:val="0"/>
                    <w:spacing w:before="95" w:beforeLines="30" w:after="95" w:afterLines="30"/>
                    <w:textAlignment w:val="auto"/>
                    <w:rPr>
                      <w:rFonts w:hint="default" w:ascii="Times New Roman" w:hAnsi="Times New Roman" w:cs="Times New Roman"/>
                      <w:color w:val="auto"/>
                    </w:rPr>
                  </w:pPr>
                  <w:r>
                    <w:rPr>
                      <w:rFonts w:hint="default" w:ascii="Times New Roman" w:hAnsi="Times New Roman" w:cs="Times New Roman"/>
                      <w:color w:val="auto"/>
                    </w:rPr>
                    <w:t>0.3737</w:t>
                  </w:r>
                </w:p>
              </w:tc>
              <w:tc>
                <w:tcPr>
                  <w:tcW w:w="1084" w:type="dxa"/>
                  <w:shd w:val="clear" w:color="auto" w:fill="auto"/>
                  <w:vAlign w:val="center"/>
                </w:tcPr>
                <w:p w14:paraId="1D66C4E4">
                  <w:pPr>
                    <w:pStyle w:val="39"/>
                    <w:keepNext w:val="0"/>
                    <w:keepLines w:val="0"/>
                    <w:pageBreakBefore w:val="0"/>
                    <w:widowControl w:val="0"/>
                    <w:kinsoku/>
                    <w:wordWrap/>
                    <w:overflowPunct/>
                    <w:topLinePunct w:val="0"/>
                    <w:bidi w:val="0"/>
                    <w:snapToGrid w:val="0"/>
                    <w:spacing w:before="95" w:beforeLines="30" w:after="95" w:afterLines="30"/>
                    <w:textAlignment w:val="auto"/>
                    <w:rPr>
                      <w:rFonts w:hint="default" w:ascii="Times New Roman" w:hAnsi="Times New Roman" w:cs="Times New Roman"/>
                      <w:color w:val="auto"/>
                    </w:rPr>
                  </w:pPr>
                  <w:r>
                    <w:rPr>
                      <w:rFonts w:hint="default" w:ascii="Times New Roman" w:hAnsi="Times New Roman" w:cs="Times New Roman"/>
                      <w:color w:val="auto"/>
                    </w:rPr>
                    <w:t>0.5004</w:t>
                  </w:r>
                </w:p>
              </w:tc>
              <w:tc>
                <w:tcPr>
                  <w:tcW w:w="1139" w:type="dxa"/>
                  <w:shd w:val="clear" w:color="auto" w:fill="auto"/>
                  <w:vAlign w:val="center"/>
                </w:tcPr>
                <w:p w14:paraId="6233547B">
                  <w:pPr>
                    <w:pStyle w:val="39"/>
                    <w:keepNext w:val="0"/>
                    <w:keepLines w:val="0"/>
                    <w:pageBreakBefore w:val="0"/>
                    <w:widowControl w:val="0"/>
                    <w:kinsoku/>
                    <w:wordWrap/>
                    <w:overflowPunct/>
                    <w:topLinePunct w:val="0"/>
                    <w:bidi w:val="0"/>
                    <w:snapToGrid w:val="0"/>
                    <w:spacing w:before="95" w:beforeLines="30" w:after="95" w:afterLines="30"/>
                    <w:textAlignment w:val="auto"/>
                    <w:rPr>
                      <w:rFonts w:hint="default" w:ascii="Times New Roman" w:hAnsi="Times New Roman" w:cs="Times New Roman"/>
                      <w:color w:val="auto"/>
                    </w:rPr>
                  </w:pPr>
                  <w:r>
                    <w:rPr>
                      <w:rFonts w:hint="default" w:ascii="Times New Roman" w:hAnsi="Times New Roman" w:cs="Times New Roman"/>
                      <w:color w:val="auto"/>
                    </w:rPr>
                    <w:t>0.6156</w:t>
                  </w:r>
                </w:p>
              </w:tc>
              <w:tc>
                <w:tcPr>
                  <w:tcW w:w="1084" w:type="dxa"/>
                  <w:shd w:val="clear" w:color="auto" w:fill="auto"/>
                  <w:vAlign w:val="center"/>
                </w:tcPr>
                <w:p w14:paraId="475464FB">
                  <w:pPr>
                    <w:pStyle w:val="39"/>
                    <w:keepNext w:val="0"/>
                    <w:keepLines w:val="0"/>
                    <w:pageBreakBefore w:val="0"/>
                    <w:widowControl w:val="0"/>
                    <w:kinsoku/>
                    <w:wordWrap/>
                    <w:overflowPunct/>
                    <w:topLinePunct w:val="0"/>
                    <w:bidi w:val="0"/>
                    <w:snapToGrid w:val="0"/>
                    <w:spacing w:before="95" w:beforeLines="30" w:after="95" w:afterLines="30"/>
                    <w:textAlignment w:val="auto"/>
                    <w:rPr>
                      <w:rFonts w:hint="default" w:ascii="Times New Roman" w:hAnsi="Times New Roman" w:cs="Times New Roman"/>
                      <w:color w:val="auto"/>
                    </w:rPr>
                  </w:pPr>
                  <w:r>
                    <w:rPr>
                      <w:rFonts w:hint="default" w:ascii="Times New Roman" w:hAnsi="Times New Roman" w:cs="Times New Roman"/>
                      <w:color w:val="auto"/>
                    </w:rPr>
                    <w:t>0.7229</w:t>
                  </w:r>
                </w:p>
              </w:tc>
              <w:tc>
                <w:tcPr>
                  <w:tcW w:w="1146" w:type="dxa"/>
                  <w:shd w:val="clear" w:color="auto" w:fill="auto"/>
                  <w:vAlign w:val="center"/>
                </w:tcPr>
                <w:p w14:paraId="20FF83A1">
                  <w:pPr>
                    <w:pStyle w:val="39"/>
                    <w:keepNext w:val="0"/>
                    <w:keepLines w:val="0"/>
                    <w:pageBreakBefore w:val="0"/>
                    <w:widowControl w:val="0"/>
                    <w:kinsoku/>
                    <w:wordWrap/>
                    <w:overflowPunct/>
                    <w:topLinePunct w:val="0"/>
                    <w:bidi w:val="0"/>
                    <w:snapToGrid w:val="0"/>
                    <w:spacing w:before="95" w:beforeLines="30" w:after="95" w:afterLines="30"/>
                    <w:textAlignment w:val="auto"/>
                    <w:rPr>
                      <w:rFonts w:hint="default" w:ascii="Times New Roman" w:hAnsi="Times New Roman" w:cs="Times New Roman"/>
                      <w:color w:val="auto"/>
                    </w:rPr>
                  </w:pPr>
                  <w:r>
                    <w:rPr>
                      <w:rFonts w:hint="default" w:ascii="Times New Roman" w:hAnsi="Times New Roman" w:cs="Times New Roman"/>
                      <w:color w:val="auto"/>
                    </w:rPr>
                    <w:t>1.1907</w:t>
                  </w:r>
                </w:p>
              </w:tc>
            </w:tr>
            <w:tr w14:paraId="35204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1359" w:type="dxa"/>
                  <w:shd w:val="clear" w:color="auto" w:fill="auto"/>
                  <w:vAlign w:val="center"/>
                </w:tcPr>
                <w:p w14:paraId="057350A3">
                  <w:pPr>
                    <w:pStyle w:val="39"/>
                    <w:keepNext w:val="0"/>
                    <w:keepLines w:val="0"/>
                    <w:pageBreakBefore w:val="0"/>
                    <w:widowControl w:val="0"/>
                    <w:kinsoku/>
                    <w:wordWrap/>
                    <w:overflowPunct/>
                    <w:topLinePunct w:val="0"/>
                    <w:bidi w:val="0"/>
                    <w:snapToGrid w:val="0"/>
                    <w:spacing w:before="95" w:beforeLines="30" w:after="95" w:afterLines="30"/>
                    <w:textAlignment w:val="auto"/>
                    <w:rPr>
                      <w:rFonts w:hint="default" w:ascii="Times New Roman" w:hAnsi="Times New Roman" w:cs="Times New Roman"/>
                      <w:color w:val="auto"/>
                    </w:rPr>
                  </w:pPr>
                  <w:r>
                    <w:rPr>
                      <w:rFonts w:hint="default" w:ascii="Times New Roman" w:hAnsi="Times New Roman" w:cs="Times New Roman"/>
                      <w:color w:val="auto"/>
                    </w:rPr>
                    <w:t>20(km/h)</w:t>
                  </w:r>
                </w:p>
              </w:tc>
              <w:tc>
                <w:tcPr>
                  <w:tcW w:w="1103" w:type="dxa"/>
                  <w:shd w:val="clear" w:color="auto" w:fill="auto"/>
                  <w:vAlign w:val="center"/>
                </w:tcPr>
                <w:p w14:paraId="4F5C412C">
                  <w:pPr>
                    <w:pStyle w:val="39"/>
                    <w:keepNext w:val="0"/>
                    <w:keepLines w:val="0"/>
                    <w:pageBreakBefore w:val="0"/>
                    <w:widowControl w:val="0"/>
                    <w:kinsoku/>
                    <w:wordWrap/>
                    <w:overflowPunct/>
                    <w:topLinePunct w:val="0"/>
                    <w:bidi w:val="0"/>
                    <w:snapToGrid w:val="0"/>
                    <w:spacing w:before="95" w:beforeLines="30" w:after="95" w:afterLines="30"/>
                    <w:textAlignment w:val="auto"/>
                    <w:rPr>
                      <w:rFonts w:hint="default" w:ascii="Times New Roman" w:hAnsi="Times New Roman" w:cs="Times New Roman"/>
                      <w:color w:val="auto"/>
                    </w:rPr>
                  </w:pPr>
                  <w:r>
                    <w:rPr>
                      <w:rFonts w:hint="default" w:ascii="Times New Roman" w:hAnsi="Times New Roman" w:cs="Times New Roman"/>
                      <w:color w:val="auto"/>
                    </w:rPr>
                    <w:t>0.3025</w:t>
                  </w:r>
                </w:p>
              </w:tc>
              <w:tc>
                <w:tcPr>
                  <w:tcW w:w="1102" w:type="dxa"/>
                  <w:shd w:val="clear" w:color="auto" w:fill="auto"/>
                  <w:vAlign w:val="center"/>
                </w:tcPr>
                <w:p w14:paraId="19C309F2">
                  <w:pPr>
                    <w:pStyle w:val="39"/>
                    <w:keepNext w:val="0"/>
                    <w:keepLines w:val="0"/>
                    <w:pageBreakBefore w:val="0"/>
                    <w:widowControl w:val="0"/>
                    <w:kinsoku/>
                    <w:wordWrap/>
                    <w:overflowPunct/>
                    <w:topLinePunct w:val="0"/>
                    <w:bidi w:val="0"/>
                    <w:snapToGrid w:val="0"/>
                    <w:spacing w:before="95" w:beforeLines="30" w:after="95" w:afterLines="30"/>
                    <w:textAlignment w:val="auto"/>
                    <w:rPr>
                      <w:rFonts w:hint="default" w:ascii="Times New Roman" w:hAnsi="Times New Roman" w:cs="Times New Roman"/>
                      <w:color w:val="auto"/>
                    </w:rPr>
                  </w:pPr>
                  <w:r>
                    <w:rPr>
                      <w:rFonts w:hint="default" w:ascii="Times New Roman" w:hAnsi="Times New Roman" w:cs="Times New Roman"/>
                      <w:color w:val="auto"/>
                    </w:rPr>
                    <w:t>0.4983</w:t>
                  </w:r>
                </w:p>
              </w:tc>
              <w:tc>
                <w:tcPr>
                  <w:tcW w:w="1084" w:type="dxa"/>
                  <w:shd w:val="clear" w:color="auto" w:fill="auto"/>
                  <w:vAlign w:val="center"/>
                </w:tcPr>
                <w:p w14:paraId="4C45C3B0">
                  <w:pPr>
                    <w:pStyle w:val="39"/>
                    <w:keepNext w:val="0"/>
                    <w:keepLines w:val="0"/>
                    <w:pageBreakBefore w:val="0"/>
                    <w:widowControl w:val="0"/>
                    <w:kinsoku/>
                    <w:wordWrap/>
                    <w:overflowPunct/>
                    <w:topLinePunct w:val="0"/>
                    <w:bidi w:val="0"/>
                    <w:snapToGrid w:val="0"/>
                    <w:spacing w:before="95" w:beforeLines="30" w:after="95" w:afterLines="30"/>
                    <w:textAlignment w:val="auto"/>
                    <w:rPr>
                      <w:rFonts w:hint="default" w:ascii="Times New Roman" w:hAnsi="Times New Roman" w:cs="Times New Roman"/>
                      <w:color w:val="auto"/>
                    </w:rPr>
                  </w:pPr>
                  <w:r>
                    <w:rPr>
                      <w:rFonts w:hint="default" w:ascii="Times New Roman" w:hAnsi="Times New Roman" w:cs="Times New Roman"/>
                      <w:color w:val="auto"/>
                    </w:rPr>
                    <w:t>0.6672</w:t>
                  </w:r>
                </w:p>
              </w:tc>
              <w:tc>
                <w:tcPr>
                  <w:tcW w:w="1139" w:type="dxa"/>
                  <w:shd w:val="clear" w:color="auto" w:fill="auto"/>
                  <w:vAlign w:val="center"/>
                </w:tcPr>
                <w:p w14:paraId="6772B977">
                  <w:pPr>
                    <w:pStyle w:val="39"/>
                    <w:keepNext w:val="0"/>
                    <w:keepLines w:val="0"/>
                    <w:pageBreakBefore w:val="0"/>
                    <w:widowControl w:val="0"/>
                    <w:kinsoku/>
                    <w:wordWrap/>
                    <w:overflowPunct/>
                    <w:topLinePunct w:val="0"/>
                    <w:bidi w:val="0"/>
                    <w:snapToGrid w:val="0"/>
                    <w:spacing w:before="95" w:beforeLines="30" w:after="95" w:afterLines="30"/>
                    <w:textAlignment w:val="auto"/>
                    <w:rPr>
                      <w:rFonts w:hint="default" w:ascii="Times New Roman" w:hAnsi="Times New Roman" w:cs="Times New Roman"/>
                      <w:color w:val="auto"/>
                    </w:rPr>
                  </w:pPr>
                  <w:r>
                    <w:rPr>
                      <w:rFonts w:hint="default" w:ascii="Times New Roman" w:hAnsi="Times New Roman" w:cs="Times New Roman"/>
                      <w:color w:val="auto"/>
                    </w:rPr>
                    <w:t>0.8208</w:t>
                  </w:r>
                </w:p>
              </w:tc>
              <w:tc>
                <w:tcPr>
                  <w:tcW w:w="1084" w:type="dxa"/>
                  <w:shd w:val="clear" w:color="auto" w:fill="auto"/>
                  <w:vAlign w:val="center"/>
                </w:tcPr>
                <w:p w14:paraId="47593937">
                  <w:pPr>
                    <w:pStyle w:val="39"/>
                    <w:keepNext w:val="0"/>
                    <w:keepLines w:val="0"/>
                    <w:pageBreakBefore w:val="0"/>
                    <w:widowControl w:val="0"/>
                    <w:kinsoku/>
                    <w:wordWrap/>
                    <w:overflowPunct/>
                    <w:topLinePunct w:val="0"/>
                    <w:bidi w:val="0"/>
                    <w:snapToGrid w:val="0"/>
                    <w:spacing w:before="95" w:beforeLines="30" w:after="95" w:afterLines="30"/>
                    <w:textAlignment w:val="auto"/>
                    <w:rPr>
                      <w:rFonts w:hint="default" w:ascii="Times New Roman" w:hAnsi="Times New Roman" w:cs="Times New Roman"/>
                      <w:color w:val="auto"/>
                    </w:rPr>
                  </w:pPr>
                  <w:r>
                    <w:rPr>
                      <w:rFonts w:hint="default" w:ascii="Times New Roman" w:hAnsi="Times New Roman" w:cs="Times New Roman"/>
                      <w:color w:val="auto"/>
                    </w:rPr>
                    <w:t>0.9639</w:t>
                  </w:r>
                </w:p>
              </w:tc>
              <w:tc>
                <w:tcPr>
                  <w:tcW w:w="1146" w:type="dxa"/>
                  <w:shd w:val="clear" w:color="auto" w:fill="auto"/>
                  <w:vAlign w:val="center"/>
                </w:tcPr>
                <w:p w14:paraId="546AD31E">
                  <w:pPr>
                    <w:pStyle w:val="39"/>
                    <w:keepNext w:val="0"/>
                    <w:keepLines w:val="0"/>
                    <w:pageBreakBefore w:val="0"/>
                    <w:widowControl w:val="0"/>
                    <w:kinsoku/>
                    <w:wordWrap/>
                    <w:overflowPunct/>
                    <w:topLinePunct w:val="0"/>
                    <w:bidi w:val="0"/>
                    <w:snapToGrid w:val="0"/>
                    <w:spacing w:before="95" w:beforeLines="30" w:after="95" w:afterLines="30"/>
                    <w:textAlignment w:val="auto"/>
                    <w:rPr>
                      <w:rFonts w:hint="default" w:ascii="Times New Roman" w:hAnsi="Times New Roman" w:cs="Times New Roman"/>
                      <w:color w:val="auto"/>
                    </w:rPr>
                  </w:pPr>
                  <w:r>
                    <w:rPr>
                      <w:rFonts w:hint="default" w:ascii="Times New Roman" w:hAnsi="Times New Roman" w:cs="Times New Roman"/>
                      <w:color w:val="auto"/>
                    </w:rPr>
                    <w:t>1.5876</w:t>
                  </w:r>
                </w:p>
              </w:tc>
            </w:tr>
          </w:tbl>
          <w:p w14:paraId="1DECFDDF">
            <w:pPr>
              <w:pStyle w:val="27"/>
              <w:pageBreakBefore w:val="0"/>
              <w:wordWrap/>
              <w:topLinePunct w:val="0"/>
              <w:bidi w:val="0"/>
              <w:snapToGrid w:val="0"/>
              <w:spacing w:before="0" w:after="0" w:line="360" w:lineRule="auto"/>
              <w:ind w:firstLineChars="200"/>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本项目车辆在厂区内行驶距离按</w:t>
            </w:r>
            <w:r>
              <w:rPr>
                <w:rFonts w:hint="eastAsia" w:cs="Times New Roman"/>
                <w:bCs/>
                <w:color w:val="auto"/>
                <w:sz w:val="21"/>
                <w:szCs w:val="21"/>
                <w:lang w:val="en-US" w:eastAsia="zh-CN"/>
              </w:rPr>
              <w:t>2</w:t>
            </w:r>
            <w:r>
              <w:rPr>
                <w:rFonts w:hint="default" w:ascii="Times New Roman" w:hAnsi="Times New Roman" w:cs="Times New Roman"/>
                <w:bCs/>
                <w:color w:val="auto"/>
                <w:sz w:val="21"/>
                <w:szCs w:val="21"/>
              </w:rPr>
              <w:t>00m计，每年运输</w:t>
            </w:r>
            <w:r>
              <w:rPr>
                <w:rFonts w:hint="eastAsia" w:cs="Times New Roman"/>
                <w:bCs/>
                <w:color w:val="auto"/>
                <w:sz w:val="21"/>
                <w:szCs w:val="21"/>
                <w:lang w:val="en-US" w:eastAsia="zh-CN"/>
              </w:rPr>
              <w:t>31235</w:t>
            </w:r>
            <w:r>
              <w:rPr>
                <w:rFonts w:hint="default" w:ascii="Times New Roman" w:hAnsi="Times New Roman" w:cs="Times New Roman"/>
                <w:bCs/>
                <w:color w:val="auto"/>
                <w:sz w:val="21"/>
                <w:szCs w:val="21"/>
              </w:rPr>
              <w:t>吨物料</w:t>
            </w:r>
            <w:r>
              <w:rPr>
                <w:rFonts w:hint="eastAsia" w:cs="Times New Roman"/>
                <w:bCs/>
                <w:color w:val="auto"/>
                <w:sz w:val="21"/>
                <w:szCs w:val="21"/>
                <w:lang w:eastAsia="zh-CN"/>
              </w:rPr>
              <w:t>（</w:t>
            </w:r>
            <w:r>
              <w:rPr>
                <w:rFonts w:hint="eastAsia" w:cs="Times New Roman"/>
                <w:bCs/>
                <w:color w:val="auto"/>
                <w:sz w:val="21"/>
                <w:szCs w:val="21"/>
                <w:lang w:val="en-US" w:eastAsia="zh-CN"/>
              </w:rPr>
              <w:t>产品+原料</w:t>
            </w:r>
            <w:r>
              <w:rPr>
                <w:rFonts w:hint="eastAsia" w:cs="Times New Roman"/>
                <w:bCs/>
                <w:color w:val="auto"/>
                <w:sz w:val="21"/>
                <w:szCs w:val="21"/>
                <w:lang w:eastAsia="zh-CN"/>
              </w:rPr>
              <w:t>）</w:t>
            </w:r>
            <w:r>
              <w:rPr>
                <w:rFonts w:hint="default" w:ascii="Times New Roman" w:hAnsi="Times New Roman" w:cs="Times New Roman"/>
                <w:bCs/>
                <w:color w:val="auto"/>
                <w:sz w:val="21"/>
                <w:szCs w:val="21"/>
              </w:rPr>
              <w:t>，车辆载重按25t计，车速以</w:t>
            </w:r>
            <w:r>
              <w:rPr>
                <w:rFonts w:hint="eastAsia" w:cs="Times New Roman"/>
                <w:bCs/>
                <w:color w:val="auto"/>
                <w:sz w:val="21"/>
                <w:szCs w:val="21"/>
                <w:lang w:val="en-US" w:eastAsia="zh-CN"/>
              </w:rPr>
              <w:t>10</w:t>
            </w:r>
            <w:r>
              <w:rPr>
                <w:rFonts w:hint="default" w:ascii="Times New Roman" w:hAnsi="Times New Roman" w:cs="Times New Roman"/>
                <w:bCs/>
                <w:color w:val="auto"/>
                <w:sz w:val="21"/>
                <w:szCs w:val="21"/>
              </w:rPr>
              <w:t>km/h计</w:t>
            </w:r>
            <w:r>
              <w:rPr>
                <w:rFonts w:hint="eastAsia" w:ascii="Times New Roman" w:hAnsi="Times New Roman" w:cs="Times New Roman"/>
                <w:bCs/>
                <w:color w:val="auto"/>
                <w:sz w:val="21"/>
                <w:szCs w:val="21"/>
                <w:lang w:eastAsia="zh-CN"/>
              </w:rPr>
              <w:t>，</w:t>
            </w:r>
            <w:r>
              <w:rPr>
                <w:rFonts w:hint="default" w:ascii="Times New Roman" w:hAnsi="Times New Roman" w:cs="Times New Roman"/>
                <w:bCs/>
                <w:color w:val="auto"/>
                <w:sz w:val="21"/>
                <w:szCs w:val="21"/>
              </w:rPr>
              <w:t>道路路况以0.3kg/m</w:t>
            </w:r>
            <w:r>
              <w:rPr>
                <w:rFonts w:hint="default" w:ascii="Times New Roman" w:hAnsi="Times New Roman" w:cs="Times New Roman"/>
                <w:bCs/>
                <w:color w:val="auto"/>
                <w:sz w:val="21"/>
                <w:szCs w:val="21"/>
                <w:vertAlign w:val="superscript"/>
              </w:rPr>
              <w:t>2</w:t>
            </w:r>
            <w:r>
              <w:rPr>
                <w:rFonts w:hint="default" w:ascii="Times New Roman" w:hAnsi="Times New Roman" w:cs="Times New Roman"/>
                <w:bCs/>
                <w:color w:val="auto"/>
                <w:sz w:val="21"/>
                <w:szCs w:val="21"/>
              </w:rPr>
              <w:t>的起尘量计，</w:t>
            </w:r>
            <w:r>
              <w:rPr>
                <w:rFonts w:hint="eastAsia" w:ascii="Times New Roman" w:hAnsi="Times New Roman" w:cs="Times New Roman"/>
                <w:bCs/>
                <w:color w:val="auto"/>
                <w:sz w:val="21"/>
                <w:szCs w:val="21"/>
                <w:lang w:val="en-US" w:eastAsia="zh-CN"/>
              </w:rPr>
              <w:t>Qy=1.2875</w:t>
            </w:r>
            <w:r>
              <w:rPr>
                <w:rFonts w:hint="default" w:ascii="Times New Roman" w:hAnsi="Times New Roman" w:cs="Times New Roman"/>
                <w:snapToGrid w:val="0"/>
                <w:color w:val="auto"/>
                <w:sz w:val="21"/>
                <w:szCs w:val="21"/>
              </w:rPr>
              <w:t>kg/km·辆</w:t>
            </w:r>
            <w:r>
              <w:rPr>
                <w:rFonts w:hint="default" w:ascii="Times New Roman" w:hAnsi="Times New Roman" w:cs="Times New Roman"/>
                <w:bCs/>
                <w:color w:val="auto"/>
                <w:sz w:val="21"/>
                <w:szCs w:val="21"/>
              </w:rPr>
              <w:t>，则项目区汽车动力起尘量约为</w:t>
            </w:r>
            <w:r>
              <w:rPr>
                <w:rFonts w:hint="eastAsia" w:cs="Times New Roman"/>
                <w:bCs/>
                <w:color w:val="auto"/>
                <w:sz w:val="21"/>
                <w:szCs w:val="21"/>
                <w:lang w:val="en-US" w:eastAsia="zh-CN"/>
              </w:rPr>
              <w:t>0.322</w:t>
            </w:r>
            <w:r>
              <w:rPr>
                <w:rFonts w:hint="default" w:ascii="Times New Roman" w:hAnsi="Times New Roman" w:cs="Times New Roman"/>
                <w:bCs/>
                <w:color w:val="auto"/>
                <w:sz w:val="21"/>
                <w:szCs w:val="21"/>
              </w:rPr>
              <w:t>t/a。规划车辆运输路线，定期洒水降尘，减少运输道路扬尘的产生；运输车辆加盖防尘网，要求封闭运输；</w:t>
            </w:r>
            <w:r>
              <w:rPr>
                <w:rFonts w:hint="eastAsia" w:cs="Times New Roman"/>
                <w:bCs/>
                <w:color w:val="auto"/>
                <w:sz w:val="21"/>
                <w:szCs w:val="21"/>
                <w:lang w:val="en-US" w:eastAsia="zh-CN"/>
              </w:rPr>
              <w:t>类比同类项目综合</w:t>
            </w:r>
            <w:r>
              <w:rPr>
                <w:rFonts w:hint="default" w:ascii="Times New Roman" w:hAnsi="Times New Roman" w:eastAsia="Times New Roman" w:cs="Times New Roman"/>
                <w:color w:val="auto"/>
                <w:sz w:val="21"/>
                <w:szCs w:val="21"/>
                <w:lang w:val="zh-CN"/>
              </w:rPr>
              <w:t>降尘效率可达</w:t>
            </w:r>
            <w:r>
              <w:rPr>
                <w:rFonts w:hint="eastAsia" w:eastAsia="宋体" w:cs="Times New Roman"/>
                <w:color w:val="auto"/>
                <w:sz w:val="21"/>
                <w:szCs w:val="21"/>
                <w:lang w:val="en-US" w:eastAsia="zh-CN"/>
              </w:rPr>
              <w:t>5</w:t>
            </w:r>
            <w:r>
              <w:rPr>
                <w:rFonts w:hint="default" w:ascii="Times New Roman" w:hAnsi="Times New Roman" w:eastAsia="Times New Roman" w:cs="Times New Roman"/>
                <w:color w:val="auto"/>
                <w:sz w:val="21"/>
                <w:szCs w:val="21"/>
                <w:lang w:val="zh-CN"/>
              </w:rPr>
              <w:t>0%，</w:t>
            </w:r>
            <w:r>
              <w:rPr>
                <w:rFonts w:hint="default" w:ascii="Times New Roman" w:hAnsi="Times New Roman" w:cs="Times New Roman"/>
                <w:bCs/>
                <w:color w:val="auto"/>
                <w:sz w:val="21"/>
                <w:szCs w:val="21"/>
                <w:lang w:val="zh-CN"/>
              </w:rPr>
              <w:t>则运输车辆</w:t>
            </w:r>
            <w:r>
              <w:rPr>
                <w:rFonts w:hint="default" w:ascii="Times New Roman" w:hAnsi="Times New Roman" w:cs="Times New Roman"/>
                <w:bCs/>
                <w:color w:val="auto"/>
                <w:sz w:val="21"/>
                <w:szCs w:val="21"/>
              </w:rPr>
              <w:t>动力起尘排放量为0.</w:t>
            </w:r>
            <w:r>
              <w:rPr>
                <w:rFonts w:hint="eastAsia" w:cs="Times New Roman"/>
                <w:bCs/>
                <w:color w:val="auto"/>
                <w:sz w:val="21"/>
                <w:szCs w:val="21"/>
                <w:lang w:val="en-US" w:eastAsia="zh-CN"/>
              </w:rPr>
              <w:t>161</w:t>
            </w:r>
            <w:r>
              <w:rPr>
                <w:rFonts w:hint="default" w:ascii="Times New Roman" w:hAnsi="Times New Roman" w:cs="Times New Roman"/>
                <w:bCs/>
                <w:color w:val="auto"/>
                <w:sz w:val="21"/>
                <w:szCs w:val="21"/>
              </w:rPr>
              <w:t>t/a。</w:t>
            </w:r>
          </w:p>
          <w:p w14:paraId="2CB9EA34">
            <w:pPr>
              <w:pStyle w:val="38"/>
              <w:bidi w:val="0"/>
              <w:ind w:left="0" w:leftChars="0" w:firstLine="422" w:firstLineChars="200"/>
              <w:rPr>
                <w:rFonts w:hint="default" w:ascii="宋体" w:hAnsi="宋体" w:eastAsia="宋体" w:cs="宋体"/>
                <w:b/>
                <w:bCs/>
                <w:color w:val="auto"/>
                <w:kern w:val="2"/>
                <w:sz w:val="21"/>
                <w:szCs w:val="21"/>
                <w:lang w:val="en-US" w:eastAsia="zh-CN" w:bidi="ar-SA"/>
              </w:rPr>
            </w:pPr>
            <w:r>
              <w:rPr>
                <w:rFonts w:hint="eastAsia" w:ascii="宋体" w:hAnsi="宋体" w:cs="宋体"/>
                <w:b/>
                <w:bCs/>
                <w:color w:val="auto"/>
                <w:kern w:val="2"/>
                <w:sz w:val="21"/>
                <w:szCs w:val="21"/>
                <w:lang w:val="en-US" w:eastAsia="zh-CN" w:bidi="ar-SA"/>
              </w:rPr>
              <w:t>⑥其余工序加工粉尘（T6）</w:t>
            </w:r>
          </w:p>
          <w:p w14:paraId="100674CB">
            <w:pPr>
              <w:pStyle w:val="38"/>
              <w:bidi w:val="0"/>
              <w:ind w:left="0" w:leftChars="0" w:firstLine="420" w:firstLineChars="200"/>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搅拌后的物料含水率为30%，为可塑性的泥坯，在对辊破碎、制坯、切条、修坯、晾干环节是不产生无组织废气的。</w:t>
            </w:r>
          </w:p>
          <w:p w14:paraId="741ACAAF">
            <w:pPr>
              <w:pStyle w:val="38"/>
              <w:bidi w:val="0"/>
              <w:rPr>
                <w:rFonts w:hint="default" w:ascii="宋体" w:hAnsi="宋体" w:eastAsia="宋体" w:cs="宋体"/>
                <w:b/>
                <w:bCs/>
                <w:color w:val="auto"/>
                <w:lang w:val="en-US" w:eastAsia="zh-CN"/>
              </w:rPr>
            </w:pPr>
            <w:r>
              <w:rPr>
                <w:rFonts w:hint="eastAsia" w:ascii="宋体" w:hAnsi="宋体" w:cs="宋体"/>
                <w:b/>
                <w:bCs/>
                <w:color w:val="auto"/>
                <w:lang w:val="en-US" w:eastAsia="zh-CN"/>
              </w:rPr>
              <w:t>⑦次品对辊破碎粉尘（T7）</w:t>
            </w:r>
          </w:p>
          <w:p w14:paraId="02B40B90">
            <w:pPr>
              <w:pStyle w:val="38"/>
              <w:bidi w:val="0"/>
              <w:rPr>
                <w:rFonts w:hint="default" w:ascii="Times New Roman" w:hAnsi="Times New Roman" w:cs="Times New Roman"/>
                <w:color w:val="auto"/>
              </w:rPr>
            </w:pPr>
            <w:r>
              <w:rPr>
                <w:rFonts w:hint="default" w:ascii="Times New Roman" w:hAnsi="Times New Roman" w:cs="Times New Roman"/>
                <w:color w:val="auto"/>
                <w:lang w:val="en-US" w:eastAsia="zh-CN"/>
              </w:rPr>
              <w:t>次品洒水润湿，掺入含水率为30%原料中，利用对辊机进行破碎，破碎</w:t>
            </w:r>
            <w:r>
              <w:rPr>
                <w:rFonts w:hint="default" w:ascii="Times New Roman" w:hAnsi="Times New Roman" w:cs="Times New Roman"/>
                <w:color w:val="auto"/>
              </w:rPr>
              <w:t>过程</w:t>
            </w:r>
            <w:r>
              <w:rPr>
                <w:rFonts w:hint="default" w:ascii="Times New Roman" w:hAnsi="Times New Roman" w:cs="Times New Roman"/>
                <w:color w:val="auto"/>
                <w:lang w:val="en-US" w:eastAsia="zh-CN"/>
              </w:rPr>
              <w:t>为湿式过程，基本不产生颗粒物。</w:t>
            </w:r>
          </w:p>
          <w:p w14:paraId="3D6FE48E">
            <w:pPr>
              <w:keepNext w:val="0"/>
              <w:keepLines w:val="0"/>
              <w:pageBreakBefore w:val="0"/>
              <w:widowControl w:val="0"/>
              <w:kinsoku/>
              <w:wordWrap/>
              <w:overflowPunct/>
              <w:topLinePunct w:val="0"/>
              <w:autoSpaceDE/>
              <w:autoSpaceDN/>
              <w:bidi w:val="0"/>
              <w:adjustRightInd/>
              <w:snapToGrid w:val="0"/>
              <w:spacing w:line="360" w:lineRule="auto"/>
              <w:ind w:firstLine="422" w:firstLineChars="200"/>
              <w:jc w:val="both"/>
              <w:textAlignment w:val="auto"/>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bCs/>
                <w:color w:val="auto"/>
                <w:kern w:val="2"/>
                <w:sz w:val="21"/>
                <w:szCs w:val="21"/>
                <w:lang w:val="en-US" w:eastAsia="zh-CN" w:bidi="ar-SA"/>
              </w:rPr>
              <w:t>⑧项目无组织废气治理措施及结论</w:t>
            </w:r>
          </w:p>
          <w:p w14:paraId="1639FAD9">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both"/>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卸料粉尘（T1）通过</w:t>
            </w:r>
            <w:r>
              <w:rPr>
                <w:rFonts w:hint="default" w:ascii="Times New Roman" w:hAnsi="Times New Roman" w:cs="Times New Roman"/>
                <w:b w:val="0"/>
                <w:bCs w:val="0"/>
                <w:color w:val="auto"/>
                <w:sz w:val="21"/>
                <w:szCs w:val="21"/>
              </w:rPr>
              <w:t>封闭厂房</w:t>
            </w:r>
            <w:r>
              <w:rPr>
                <w:rFonts w:hint="default" w:ascii="Times New Roman" w:hAnsi="Times New Roman" w:cs="Times New Roman"/>
                <w:b w:val="0"/>
                <w:bCs w:val="0"/>
                <w:color w:val="auto"/>
                <w:sz w:val="21"/>
                <w:szCs w:val="21"/>
                <w:lang w:val="en-US" w:eastAsia="zh-CN"/>
              </w:rPr>
              <w:t>阻隔+</w:t>
            </w:r>
            <w:r>
              <w:rPr>
                <w:rFonts w:hint="default" w:ascii="Times New Roman" w:hAnsi="Times New Roman" w:cs="Times New Roman"/>
                <w:b w:val="0"/>
                <w:bCs w:val="0"/>
                <w:color w:val="auto"/>
                <w:sz w:val="21"/>
                <w:szCs w:val="21"/>
              </w:rPr>
              <w:t>洒水降尘后，呈无组织排放。</w:t>
            </w:r>
          </w:p>
          <w:p w14:paraId="1AD8EA20">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both"/>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原料车间至陈化车间给料粉尘（T2）通过</w:t>
            </w:r>
            <w:r>
              <w:rPr>
                <w:rFonts w:hint="default" w:ascii="Times New Roman" w:hAnsi="Times New Roman" w:cs="Times New Roman"/>
                <w:b w:val="0"/>
                <w:bCs w:val="0"/>
                <w:color w:val="auto"/>
                <w:sz w:val="21"/>
                <w:szCs w:val="21"/>
              </w:rPr>
              <w:t>封闭厂房</w:t>
            </w:r>
            <w:r>
              <w:rPr>
                <w:rFonts w:hint="default" w:ascii="Times New Roman" w:hAnsi="Times New Roman" w:cs="Times New Roman"/>
                <w:b w:val="0"/>
                <w:bCs w:val="0"/>
                <w:color w:val="auto"/>
                <w:sz w:val="21"/>
                <w:szCs w:val="21"/>
                <w:lang w:val="en-US" w:eastAsia="zh-CN"/>
              </w:rPr>
              <w:t>阻隔+</w:t>
            </w:r>
            <w:r>
              <w:rPr>
                <w:rFonts w:hint="default" w:ascii="Times New Roman" w:hAnsi="Times New Roman" w:cs="Times New Roman"/>
                <w:b w:val="0"/>
                <w:bCs w:val="0"/>
                <w:color w:val="auto"/>
                <w:sz w:val="21"/>
                <w:szCs w:val="21"/>
              </w:rPr>
              <w:t>洒水降尘后，</w:t>
            </w:r>
            <w:r>
              <w:rPr>
                <w:rFonts w:hint="default" w:ascii="Times New Roman" w:hAnsi="Times New Roman" w:eastAsia="宋体" w:cs="Times New Roman"/>
                <w:b w:val="0"/>
                <w:bCs w:val="0"/>
                <w:color w:val="auto"/>
                <w:sz w:val="21"/>
                <w:szCs w:val="21"/>
                <w:vertAlign w:val="baseline"/>
                <w:lang w:val="en-US" w:eastAsia="zh-CN"/>
              </w:rPr>
              <w:t>呈无组织排放</w:t>
            </w:r>
            <w:r>
              <w:rPr>
                <w:rFonts w:hint="default" w:ascii="Times New Roman" w:hAnsi="Times New Roman" w:cs="Times New Roman"/>
                <w:b w:val="0"/>
                <w:bCs w:val="0"/>
                <w:color w:val="auto"/>
                <w:sz w:val="21"/>
                <w:szCs w:val="21"/>
                <w:lang w:eastAsia="zh-CN"/>
              </w:rPr>
              <w:t>。</w:t>
            </w:r>
          </w:p>
          <w:p w14:paraId="30C4EF0E">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both"/>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原料、陈化车间储存粉尘（T3）</w:t>
            </w:r>
            <w:r>
              <w:rPr>
                <w:rFonts w:hint="default" w:ascii="Times New Roman" w:hAnsi="Times New Roman" w:cs="Times New Roman"/>
                <w:b w:val="0"/>
                <w:bCs w:val="0"/>
                <w:color w:val="auto"/>
                <w:kern w:val="2"/>
                <w:sz w:val="21"/>
                <w:szCs w:val="21"/>
                <w:lang w:val="en-US" w:eastAsia="zh-CN" w:bidi="ar-SA"/>
              </w:rPr>
              <w:t>通过</w:t>
            </w:r>
            <w:r>
              <w:rPr>
                <w:rFonts w:hint="default" w:ascii="Times New Roman" w:hAnsi="Times New Roman" w:cs="Times New Roman"/>
                <w:b w:val="0"/>
                <w:bCs w:val="0"/>
                <w:color w:val="auto"/>
                <w:sz w:val="21"/>
                <w:szCs w:val="21"/>
              </w:rPr>
              <w:t>封闭厂房</w:t>
            </w:r>
            <w:r>
              <w:rPr>
                <w:rFonts w:hint="default" w:ascii="Times New Roman" w:hAnsi="Times New Roman" w:cs="Times New Roman"/>
                <w:b w:val="0"/>
                <w:bCs w:val="0"/>
                <w:color w:val="auto"/>
                <w:sz w:val="21"/>
                <w:szCs w:val="21"/>
                <w:lang w:val="en-US" w:eastAsia="zh-CN"/>
              </w:rPr>
              <w:t>阻隔+</w:t>
            </w:r>
            <w:r>
              <w:rPr>
                <w:rFonts w:hint="default" w:ascii="Times New Roman" w:hAnsi="Times New Roman" w:cs="Times New Roman"/>
                <w:b w:val="0"/>
                <w:bCs w:val="0"/>
                <w:color w:val="auto"/>
                <w:sz w:val="21"/>
                <w:szCs w:val="21"/>
              </w:rPr>
              <w:t>洒水降尘后，</w:t>
            </w:r>
            <w:r>
              <w:rPr>
                <w:rFonts w:hint="default" w:ascii="Times New Roman" w:hAnsi="Times New Roman" w:eastAsia="宋体" w:cs="Times New Roman"/>
                <w:b w:val="0"/>
                <w:bCs w:val="0"/>
                <w:color w:val="auto"/>
                <w:sz w:val="21"/>
                <w:szCs w:val="21"/>
                <w:vertAlign w:val="baseline"/>
                <w:lang w:val="en-US" w:eastAsia="zh-CN"/>
              </w:rPr>
              <w:t>呈无组织排放</w:t>
            </w:r>
            <w:r>
              <w:rPr>
                <w:rFonts w:hint="default" w:ascii="Times New Roman" w:hAnsi="Times New Roman" w:cs="Times New Roman"/>
                <w:b w:val="0"/>
                <w:bCs w:val="0"/>
                <w:color w:val="auto"/>
                <w:sz w:val="21"/>
                <w:szCs w:val="21"/>
                <w:vertAlign w:val="baseline"/>
                <w:lang w:val="en-US" w:eastAsia="zh-CN"/>
              </w:rPr>
              <w:t>。</w:t>
            </w:r>
          </w:p>
          <w:p w14:paraId="7D396744">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both"/>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kern w:val="2"/>
                <w:sz w:val="21"/>
                <w:szCs w:val="21"/>
                <w:lang w:val="en-US" w:eastAsia="zh-CN" w:bidi="ar-SA"/>
              </w:rPr>
              <w:t>陈化物料输送至搅拌机的给料粉尘（T4）</w:t>
            </w:r>
            <w:r>
              <w:rPr>
                <w:rFonts w:hint="default" w:ascii="Times New Roman" w:hAnsi="Times New Roman" w:eastAsia="宋体" w:cs="Times New Roman"/>
                <w:b w:val="0"/>
                <w:bCs w:val="0"/>
                <w:color w:val="auto"/>
                <w:sz w:val="21"/>
                <w:szCs w:val="21"/>
                <w:lang w:val="en-US" w:eastAsia="zh-CN"/>
              </w:rPr>
              <w:t>采用全封闭输送机</w:t>
            </w:r>
            <w:r>
              <w:rPr>
                <w:rFonts w:hint="default" w:ascii="Times New Roman" w:hAnsi="Times New Roman" w:cs="Times New Roman"/>
                <w:b w:val="0"/>
                <w:bCs w:val="0"/>
                <w:color w:val="auto"/>
                <w:sz w:val="21"/>
                <w:szCs w:val="21"/>
                <w:lang w:val="en-US" w:eastAsia="zh-CN"/>
              </w:rPr>
              <w:t>；搅拌机全封闭；给料口洒水+厂房阻隔降尘后</w:t>
            </w:r>
            <w:r>
              <w:rPr>
                <w:rFonts w:hint="default" w:ascii="Times New Roman" w:hAnsi="Times New Roman" w:cs="Times New Roman"/>
                <w:b w:val="0"/>
                <w:bCs w:val="0"/>
                <w:color w:val="auto"/>
                <w:sz w:val="21"/>
                <w:szCs w:val="21"/>
              </w:rPr>
              <w:t>，呈无组织排放</w:t>
            </w:r>
            <w:r>
              <w:rPr>
                <w:rFonts w:hint="default" w:ascii="Times New Roman" w:hAnsi="Times New Roman" w:cs="Times New Roman"/>
                <w:b w:val="0"/>
                <w:bCs w:val="0"/>
                <w:color w:val="auto"/>
                <w:sz w:val="21"/>
                <w:szCs w:val="21"/>
                <w:lang w:eastAsia="zh-CN"/>
              </w:rPr>
              <w:t>。</w:t>
            </w:r>
          </w:p>
          <w:p w14:paraId="1CE4B6BF">
            <w:pPr>
              <w:pStyle w:val="15"/>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rPr>
              <w:t>运输车辆动力扬尘</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lang w:val="en-US" w:eastAsia="zh-CN"/>
              </w:rPr>
              <w:t>T5</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lang w:val="en-US" w:eastAsia="zh-CN"/>
              </w:rPr>
              <w:t>采用清扫地面，定期</w:t>
            </w:r>
            <w:r>
              <w:rPr>
                <w:rFonts w:hint="default" w:ascii="Times New Roman" w:hAnsi="Times New Roman" w:cs="Times New Roman"/>
                <w:b w:val="0"/>
                <w:bCs w:val="0"/>
                <w:color w:val="auto"/>
                <w:sz w:val="21"/>
                <w:szCs w:val="21"/>
              </w:rPr>
              <w:t>洒水降尘</w:t>
            </w:r>
            <w:r>
              <w:rPr>
                <w:rFonts w:hint="default" w:ascii="Times New Roman" w:hAnsi="Times New Roman" w:cs="Times New Roman"/>
                <w:b w:val="0"/>
                <w:bCs w:val="0"/>
                <w:color w:val="auto"/>
                <w:sz w:val="21"/>
                <w:szCs w:val="21"/>
                <w:lang w:val="en-US" w:eastAsia="zh-CN"/>
              </w:rPr>
              <w:t>后，</w:t>
            </w:r>
            <w:r>
              <w:rPr>
                <w:rFonts w:hint="default" w:ascii="Times New Roman" w:hAnsi="Times New Roman" w:cs="Times New Roman"/>
                <w:b w:val="0"/>
                <w:bCs w:val="0"/>
                <w:color w:val="auto"/>
                <w:sz w:val="21"/>
                <w:szCs w:val="21"/>
              </w:rPr>
              <w:t>呈无组织排放</w:t>
            </w:r>
            <w:r>
              <w:rPr>
                <w:rFonts w:hint="default" w:ascii="Times New Roman" w:hAnsi="Times New Roman" w:cs="Times New Roman"/>
                <w:b w:val="0"/>
                <w:bCs w:val="0"/>
                <w:color w:val="auto"/>
                <w:sz w:val="21"/>
                <w:szCs w:val="21"/>
                <w:lang w:eastAsia="zh-CN"/>
              </w:rPr>
              <w:t>。</w:t>
            </w:r>
          </w:p>
          <w:p w14:paraId="3ECE1729">
            <w:pPr>
              <w:pStyle w:val="38"/>
              <w:keepNext w:val="0"/>
              <w:keepLines w:val="0"/>
              <w:pageBreakBefore w:val="0"/>
              <w:widowControl w:val="0"/>
              <w:kinsoku/>
              <w:wordWrap/>
              <w:overflowPunct/>
              <w:topLinePunct w:val="0"/>
              <w:autoSpaceDE/>
              <w:autoSpaceDN/>
              <w:bidi w:val="0"/>
              <w:adjustRightInd/>
              <w:snapToGrid w:val="0"/>
              <w:ind w:left="0" w:leftChars="0" w:firstLine="420" w:firstLineChars="200"/>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其余工序加工粉尘（T6）</w:t>
            </w:r>
            <w:r>
              <w:rPr>
                <w:rFonts w:hint="default" w:ascii="Times New Roman" w:hAnsi="Times New Roman" w:cs="Times New Roman"/>
                <w:color w:val="auto"/>
                <w:sz w:val="21"/>
                <w:szCs w:val="21"/>
                <w:lang w:val="en-US" w:eastAsia="zh-CN"/>
              </w:rPr>
              <w:t>湿料加工，不产生粉尘</w:t>
            </w:r>
            <w:r>
              <w:rPr>
                <w:rFonts w:hint="default" w:ascii="Times New Roman" w:hAnsi="Times New Roman" w:cs="Times New Roman"/>
                <w:b w:val="0"/>
                <w:bCs w:val="0"/>
                <w:color w:val="auto"/>
                <w:kern w:val="2"/>
                <w:sz w:val="21"/>
                <w:szCs w:val="21"/>
                <w:lang w:val="en-US" w:eastAsia="zh-CN" w:bidi="ar-SA"/>
              </w:rPr>
              <w:t>。</w:t>
            </w:r>
          </w:p>
          <w:p w14:paraId="14941863">
            <w:pPr>
              <w:pStyle w:val="38"/>
              <w:keepNext w:val="0"/>
              <w:keepLines w:val="0"/>
              <w:pageBreakBefore w:val="0"/>
              <w:widowControl w:val="0"/>
              <w:kinsoku/>
              <w:wordWrap/>
              <w:overflowPunct/>
              <w:topLinePunct w:val="0"/>
              <w:autoSpaceDE/>
              <w:autoSpaceDN/>
              <w:bidi w:val="0"/>
              <w:adjustRightInd/>
              <w:snapToGrid w:val="0"/>
              <w:textAlignment w:val="auto"/>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sz w:val="21"/>
                <w:szCs w:val="21"/>
                <w:lang w:val="en-US" w:eastAsia="zh-CN"/>
              </w:rPr>
              <w:t>次品对辊破碎粉尘（T7）次品洒水润湿破碎，不产生粉尘。</w:t>
            </w:r>
          </w:p>
          <w:p w14:paraId="4DCE987F">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cs="Times New Roman"/>
                <w:b/>
                <w:bCs/>
                <w:color w:val="auto"/>
                <w:kern w:val="2"/>
                <w:sz w:val="21"/>
                <w:szCs w:val="21"/>
                <w:lang w:val="en-US" w:eastAsia="zh-CN" w:bidi="ar-SA"/>
              </w:rPr>
            </w:pP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eastAsia="zh-CN"/>
              </w:rPr>
              <w:t>无组织废气处理措施</w:t>
            </w:r>
            <w:r>
              <w:rPr>
                <w:rFonts w:hint="default" w:ascii="Times New Roman" w:hAnsi="Times New Roman" w:eastAsia="宋体" w:cs="Times New Roman"/>
                <w:color w:val="auto"/>
                <w:sz w:val="21"/>
                <w:szCs w:val="21"/>
              </w:rPr>
              <w:t>符合</w:t>
            </w:r>
            <w:r>
              <w:rPr>
                <w:rFonts w:hint="default" w:ascii="Times New Roman" w:hAnsi="Times New Roman" w:eastAsia="宋体" w:cs="Times New Roman"/>
                <w:b w:val="0"/>
                <w:bCs w:val="0"/>
                <w:color w:val="auto"/>
                <w:sz w:val="21"/>
                <w:szCs w:val="21"/>
                <w:lang w:eastAsia="zh-CN"/>
              </w:rPr>
              <w:t>《排污许可证申请与核发技术规范</w:t>
            </w:r>
            <w:r>
              <w:rPr>
                <w:rFonts w:hint="default"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lang w:eastAsia="zh-CN"/>
              </w:rPr>
              <w:t>陶瓷砖瓦工业》（HJ 954-2018）</w:t>
            </w:r>
            <w:r>
              <w:rPr>
                <w:rFonts w:hint="default" w:ascii="Times New Roman" w:hAnsi="Times New Roman" w:eastAsia="宋体" w:cs="Times New Roman"/>
                <w:color w:val="auto"/>
                <w:sz w:val="21"/>
                <w:szCs w:val="21"/>
                <w:lang w:val="en-US" w:eastAsia="zh-CN"/>
              </w:rPr>
              <w:t>表23</w:t>
            </w:r>
            <w:r>
              <w:rPr>
                <w:rFonts w:hint="default" w:ascii="Times New Roman" w:hAnsi="Times New Roman" w:eastAsia="宋体" w:cs="Times New Roman"/>
                <w:color w:val="auto"/>
                <w:sz w:val="21"/>
                <w:szCs w:val="21"/>
              </w:rPr>
              <w:t>砖瓦工业排污单位无组织排放控制要求</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企业落实以上措施，厂界无组织颗粒物可达标排放</w:t>
            </w:r>
            <w:r>
              <w:rPr>
                <w:rFonts w:hint="default" w:ascii="Times New Roman" w:hAnsi="Times New Roman" w:eastAsia="宋体" w:cs="Times New Roman"/>
                <w:color w:val="auto"/>
                <w:sz w:val="21"/>
                <w:szCs w:val="21"/>
              </w:rPr>
              <w:t>。</w:t>
            </w:r>
          </w:p>
          <w:p w14:paraId="23B14916">
            <w:pPr>
              <w:widowControl w:val="0"/>
              <w:bidi w:val="0"/>
              <w:spacing w:line="360" w:lineRule="auto"/>
              <w:ind w:left="0" w:leftChars="0" w:firstLine="422" w:firstLineChars="200"/>
              <w:jc w:val="both"/>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kern w:val="2"/>
                <w:sz w:val="21"/>
                <w:szCs w:val="21"/>
                <w:lang w:val="en-US" w:eastAsia="zh-CN" w:bidi="ar-SA"/>
              </w:rPr>
              <w:t>项目大气污染物核算一览表如下：</w:t>
            </w:r>
          </w:p>
          <w:p w14:paraId="35CCBA40">
            <w:pPr>
              <w:pStyle w:val="38"/>
              <w:pageBreakBefore w:val="0"/>
              <w:wordWrap/>
              <w:topLinePunct w:val="0"/>
              <w:bidi w:val="0"/>
              <w:snapToGrid w:val="0"/>
              <w:ind w:firstLine="420"/>
              <w:rPr>
                <w:rFonts w:hint="default" w:ascii="Times New Roman" w:hAnsi="Times New Roman" w:cs="Times New Roman"/>
                <w:color w:val="auto"/>
              </w:rPr>
            </w:pPr>
            <w:r>
              <w:rPr>
                <w:rFonts w:hint="default" w:ascii="Times New Roman" w:hAnsi="Times New Roman" w:cs="Times New Roman"/>
                <w:color w:val="auto"/>
              </w:rPr>
              <w:t>综上，本工程主要大气污染物产生量估算结果如下表。</w:t>
            </w:r>
          </w:p>
          <w:p w14:paraId="01DDBAC7">
            <w:pPr>
              <w:pStyle w:val="4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表4-4  本工程废气污染物排放量估算结果</w:t>
            </w:r>
          </w:p>
          <w:tbl>
            <w:tblPr>
              <w:tblStyle w:val="29"/>
              <w:tblW w:w="7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9"/>
              <w:gridCol w:w="1448"/>
              <w:gridCol w:w="2231"/>
              <w:gridCol w:w="1026"/>
              <w:gridCol w:w="904"/>
            </w:tblGrid>
            <w:tr w14:paraId="72563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2369" w:type="dxa"/>
                  <w:tcBorders>
                    <w:tl2br w:val="nil"/>
                    <w:tr2bl w:val="nil"/>
                  </w:tcBorders>
                  <w:vAlign w:val="center"/>
                </w:tcPr>
                <w:p w14:paraId="0653B2C7">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b/>
                      <w:bCs/>
                      <w:color w:val="auto"/>
                      <w:szCs w:val="21"/>
                    </w:rPr>
                  </w:pPr>
                  <w:bookmarkStart w:id="6" w:name="OLE_LINK40" w:colFirst="3" w:colLast="4"/>
                  <w:bookmarkStart w:id="7" w:name="_Hlk26301976"/>
                  <w:r>
                    <w:rPr>
                      <w:rFonts w:hint="default" w:ascii="Times New Roman" w:hAnsi="Times New Roman" w:cs="Times New Roman"/>
                      <w:b/>
                      <w:bCs/>
                      <w:color w:val="auto"/>
                      <w:szCs w:val="21"/>
                    </w:rPr>
                    <w:t>污染源</w:t>
                  </w:r>
                </w:p>
              </w:tc>
              <w:tc>
                <w:tcPr>
                  <w:tcW w:w="1448" w:type="dxa"/>
                  <w:tcBorders>
                    <w:tl2br w:val="nil"/>
                    <w:tr2bl w:val="nil"/>
                  </w:tcBorders>
                  <w:vAlign w:val="center"/>
                </w:tcPr>
                <w:p w14:paraId="1CD314DB">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污染因子</w:t>
                  </w:r>
                </w:p>
              </w:tc>
              <w:tc>
                <w:tcPr>
                  <w:tcW w:w="2231" w:type="dxa"/>
                  <w:tcBorders>
                    <w:tl2br w:val="nil"/>
                    <w:tr2bl w:val="nil"/>
                  </w:tcBorders>
                  <w:vAlign w:val="center"/>
                </w:tcPr>
                <w:p w14:paraId="259D6E24">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 xml:space="preserve"> 治理措施</w:t>
                  </w:r>
                </w:p>
              </w:tc>
              <w:tc>
                <w:tcPr>
                  <w:tcW w:w="1026" w:type="dxa"/>
                  <w:tcBorders>
                    <w:tl2br w:val="nil"/>
                    <w:tr2bl w:val="nil"/>
                  </w:tcBorders>
                  <w:vAlign w:val="center"/>
                </w:tcPr>
                <w:p w14:paraId="7EE7B23C">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产生量</w:t>
                  </w:r>
                </w:p>
                <w:p w14:paraId="001D29E3">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（t/a）</w:t>
                  </w:r>
                </w:p>
              </w:tc>
              <w:tc>
                <w:tcPr>
                  <w:tcW w:w="904" w:type="dxa"/>
                  <w:tcBorders>
                    <w:tl2br w:val="nil"/>
                    <w:tr2bl w:val="nil"/>
                  </w:tcBorders>
                  <w:vAlign w:val="center"/>
                </w:tcPr>
                <w:p w14:paraId="2626FB68">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排放量</w:t>
                  </w:r>
                </w:p>
                <w:p w14:paraId="7958A435">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（t/a）</w:t>
                  </w:r>
                </w:p>
              </w:tc>
            </w:tr>
            <w:tr w14:paraId="6A18B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369" w:type="dxa"/>
                  <w:vMerge w:val="restart"/>
                  <w:tcBorders>
                    <w:tl2br w:val="nil"/>
                    <w:tr2bl w:val="nil"/>
                  </w:tcBorders>
                  <w:vAlign w:val="center"/>
                </w:tcPr>
                <w:p w14:paraId="7FFDBDAC">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b w:val="0"/>
                      <w:bCs w:val="0"/>
                      <w:color w:val="auto"/>
                      <w:szCs w:val="21"/>
                    </w:rPr>
                  </w:pPr>
                  <w:r>
                    <w:rPr>
                      <w:rFonts w:hint="eastAsia"/>
                      <w:b w:val="0"/>
                      <w:bCs w:val="0"/>
                      <w:color w:val="auto"/>
                      <w:lang w:val="en-US" w:eastAsia="zh-CN"/>
                    </w:rPr>
                    <w:t>烧成废气DA001</w:t>
                  </w:r>
                </w:p>
              </w:tc>
              <w:tc>
                <w:tcPr>
                  <w:tcW w:w="1448" w:type="dxa"/>
                  <w:tcBorders>
                    <w:tl2br w:val="nil"/>
                    <w:tr2bl w:val="nil"/>
                  </w:tcBorders>
                  <w:vAlign w:val="center"/>
                </w:tcPr>
                <w:p w14:paraId="2EE25795">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有组织</w:t>
                  </w:r>
                  <w:r>
                    <w:rPr>
                      <w:rFonts w:hint="eastAsia" w:cs="Times New Roman"/>
                      <w:color w:val="auto"/>
                      <w:szCs w:val="21"/>
                      <w:lang w:val="en-US" w:eastAsia="zh-CN"/>
                    </w:rPr>
                    <w:t>烟尘</w:t>
                  </w:r>
                </w:p>
              </w:tc>
              <w:tc>
                <w:tcPr>
                  <w:tcW w:w="2231" w:type="dxa"/>
                  <w:tcBorders>
                    <w:tl2br w:val="nil"/>
                    <w:tr2bl w:val="nil"/>
                  </w:tcBorders>
                  <w:vAlign w:val="center"/>
                </w:tcPr>
                <w:p w14:paraId="04986E78">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szCs w:val="21"/>
                    </w:rPr>
                  </w:pPr>
                  <w:r>
                    <w:rPr>
                      <w:rFonts w:hint="eastAsia" w:cs="Times New Roman"/>
                      <w:color w:val="auto"/>
                      <w:sz w:val="21"/>
                      <w:szCs w:val="21"/>
                      <w:lang w:val="en-US" w:eastAsia="zh-CN"/>
                    </w:rPr>
                    <w:t>布袋除尘设施+</w:t>
                  </w:r>
                  <w:r>
                    <w:rPr>
                      <w:rFonts w:hint="eastAsia" w:eastAsia="宋体" w:cs="黑体"/>
                      <w:b w:val="0"/>
                      <w:bCs/>
                      <w:color w:val="auto"/>
                      <w:sz w:val="21"/>
                      <w:szCs w:val="21"/>
                      <w:highlight w:val="none"/>
                      <w:lang w:val="en-US" w:eastAsia="zh-CN"/>
                    </w:rPr>
                    <w:t>脱硫塔</w:t>
                  </w:r>
                </w:p>
              </w:tc>
              <w:tc>
                <w:tcPr>
                  <w:tcW w:w="1026" w:type="dxa"/>
                  <w:tcBorders>
                    <w:tl2br w:val="nil"/>
                    <w:tr2bl w:val="nil"/>
                  </w:tcBorders>
                  <w:vAlign w:val="center"/>
                </w:tcPr>
                <w:p w14:paraId="3E693227">
                  <w:pPr>
                    <w:pStyle w:val="39"/>
                    <w:keepNext w:val="0"/>
                    <w:keepLines w:val="0"/>
                    <w:pageBreakBefore w:val="0"/>
                    <w:widowControl w:val="0"/>
                    <w:kinsoku/>
                    <w:wordWrap/>
                    <w:overflowPunct/>
                    <w:topLinePunct w:val="0"/>
                    <w:autoSpaceDE/>
                    <w:autoSpaceDN/>
                    <w:bidi w:val="0"/>
                    <w:snapToGrid w:val="0"/>
                    <w:spacing w:before="95" w:beforeLines="30" w:after="95" w:afterLines="30" w:line="240" w:lineRule="auto"/>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21.53</w:t>
                  </w:r>
                </w:p>
              </w:tc>
              <w:tc>
                <w:tcPr>
                  <w:tcW w:w="904" w:type="dxa"/>
                  <w:tcBorders>
                    <w:tl2br w:val="nil"/>
                    <w:tr2bl w:val="nil"/>
                  </w:tcBorders>
                  <w:vAlign w:val="center"/>
                </w:tcPr>
                <w:p w14:paraId="6AA0F540">
                  <w:pPr>
                    <w:pStyle w:val="39"/>
                    <w:keepNext w:val="0"/>
                    <w:keepLines w:val="0"/>
                    <w:pageBreakBefore w:val="0"/>
                    <w:widowControl w:val="0"/>
                    <w:kinsoku/>
                    <w:wordWrap/>
                    <w:overflowPunct/>
                    <w:topLinePunct w:val="0"/>
                    <w:autoSpaceDE/>
                    <w:autoSpaceDN/>
                    <w:bidi w:val="0"/>
                    <w:snapToGrid w:val="0"/>
                    <w:spacing w:before="95" w:beforeLines="30" w:after="95" w:afterLines="30" w:line="240" w:lineRule="auto"/>
                    <w:textAlignment w:val="auto"/>
                    <w:rPr>
                      <w:rFonts w:hint="default" w:ascii="Times New Roman" w:hAnsi="Times New Roman" w:cs="Times New Roman"/>
                      <w:color w:val="auto"/>
                    </w:rPr>
                  </w:pPr>
                  <w:r>
                    <w:rPr>
                      <w:rFonts w:hint="eastAsia" w:cs="黑体"/>
                      <w:b w:val="0"/>
                      <w:bCs w:val="0"/>
                      <w:color w:val="auto"/>
                      <w:sz w:val="21"/>
                      <w:szCs w:val="21"/>
                      <w:lang w:val="en-US" w:eastAsia="zh-CN"/>
                    </w:rPr>
                    <w:t>0.22</w:t>
                  </w:r>
                </w:p>
              </w:tc>
            </w:tr>
            <w:tr w14:paraId="51800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2369" w:type="dxa"/>
                  <w:vMerge w:val="continue"/>
                  <w:tcBorders>
                    <w:tl2br w:val="nil"/>
                    <w:tr2bl w:val="nil"/>
                  </w:tcBorders>
                  <w:vAlign w:val="center"/>
                </w:tcPr>
                <w:p w14:paraId="3F1E5412">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eastAsia"/>
                      <w:b w:val="0"/>
                      <w:bCs w:val="0"/>
                      <w:color w:val="auto"/>
                      <w:lang w:val="en-US" w:eastAsia="zh-CN"/>
                    </w:rPr>
                  </w:pPr>
                </w:p>
              </w:tc>
              <w:tc>
                <w:tcPr>
                  <w:tcW w:w="1448" w:type="dxa"/>
                  <w:tcBorders>
                    <w:tl2br w:val="nil"/>
                    <w:tr2bl w:val="nil"/>
                  </w:tcBorders>
                  <w:vAlign w:val="center"/>
                </w:tcPr>
                <w:p w14:paraId="31F00542">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二氧化硫</w:t>
                  </w:r>
                </w:p>
              </w:tc>
              <w:tc>
                <w:tcPr>
                  <w:tcW w:w="2231" w:type="dxa"/>
                  <w:tcBorders>
                    <w:tl2br w:val="nil"/>
                    <w:tr2bl w:val="nil"/>
                  </w:tcBorders>
                  <w:vAlign w:val="center"/>
                </w:tcPr>
                <w:p w14:paraId="4B7E2249">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szCs w:val="21"/>
                    </w:rPr>
                  </w:pPr>
                  <w:r>
                    <w:rPr>
                      <w:rFonts w:hint="eastAsia" w:eastAsia="宋体" w:cs="黑体"/>
                      <w:b w:val="0"/>
                      <w:bCs/>
                      <w:color w:val="auto"/>
                      <w:sz w:val="21"/>
                      <w:szCs w:val="21"/>
                      <w:highlight w:val="none"/>
                      <w:lang w:val="en-US" w:eastAsia="zh-CN"/>
                    </w:rPr>
                    <w:t>脱硫塔</w:t>
                  </w:r>
                </w:p>
              </w:tc>
              <w:tc>
                <w:tcPr>
                  <w:tcW w:w="1026" w:type="dxa"/>
                  <w:tcBorders>
                    <w:tl2br w:val="nil"/>
                    <w:tr2bl w:val="nil"/>
                  </w:tcBorders>
                  <w:vAlign w:val="center"/>
                </w:tcPr>
                <w:p w14:paraId="226D40B8">
                  <w:pPr>
                    <w:pStyle w:val="39"/>
                    <w:keepNext w:val="0"/>
                    <w:keepLines w:val="0"/>
                    <w:pageBreakBefore w:val="0"/>
                    <w:widowControl w:val="0"/>
                    <w:kinsoku/>
                    <w:wordWrap/>
                    <w:overflowPunct/>
                    <w:topLinePunct w:val="0"/>
                    <w:autoSpaceDE/>
                    <w:autoSpaceDN/>
                    <w:bidi w:val="0"/>
                    <w:snapToGrid w:val="0"/>
                    <w:spacing w:before="95" w:beforeLines="30" w:after="95" w:afterLines="30" w:line="240" w:lineRule="auto"/>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11.17</w:t>
                  </w:r>
                </w:p>
              </w:tc>
              <w:tc>
                <w:tcPr>
                  <w:tcW w:w="904" w:type="dxa"/>
                  <w:tcBorders>
                    <w:tl2br w:val="nil"/>
                    <w:tr2bl w:val="nil"/>
                  </w:tcBorders>
                  <w:vAlign w:val="center"/>
                </w:tcPr>
                <w:p w14:paraId="2D7703D4">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cs="Times New Roman"/>
                      <w:color w:val="auto"/>
                    </w:rPr>
                  </w:pPr>
                  <w:r>
                    <w:rPr>
                      <w:rFonts w:hint="eastAsia" w:ascii="Times New Roman" w:hAnsi="Times New Roman" w:eastAsia="宋体" w:cs="Times New Roman"/>
                      <w:color w:val="auto"/>
                      <w:kern w:val="2"/>
                      <w:sz w:val="21"/>
                      <w:szCs w:val="21"/>
                      <w:lang w:val="en-US" w:eastAsia="zh-CN" w:bidi="ar-SA"/>
                    </w:rPr>
                    <w:t>1.</w:t>
                  </w:r>
                  <w:r>
                    <w:rPr>
                      <w:rFonts w:hint="eastAsia" w:cs="Times New Roman"/>
                      <w:color w:val="auto"/>
                      <w:kern w:val="2"/>
                      <w:sz w:val="21"/>
                      <w:szCs w:val="21"/>
                      <w:lang w:val="en-US" w:eastAsia="zh-CN" w:bidi="ar-SA"/>
                    </w:rPr>
                    <w:t>1</w:t>
                  </w:r>
                </w:p>
              </w:tc>
            </w:tr>
            <w:tr w14:paraId="1B1A6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2369" w:type="dxa"/>
                  <w:vMerge w:val="continue"/>
                  <w:tcBorders>
                    <w:tl2br w:val="nil"/>
                    <w:tr2bl w:val="nil"/>
                  </w:tcBorders>
                  <w:vAlign w:val="center"/>
                </w:tcPr>
                <w:p w14:paraId="36E519BB">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eastAsia"/>
                      <w:b w:val="0"/>
                      <w:bCs w:val="0"/>
                      <w:color w:val="auto"/>
                      <w:lang w:val="en-US" w:eastAsia="zh-CN"/>
                    </w:rPr>
                  </w:pPr>
                </w:p>
              </w:tc>
              <w:tc>
                <w:tcPr>
                  <w:tcW w:w="1448" w:type="dxa"/>
                  <w:tcBorders>
                    <w:tl2br w:val="nil"/>
                    <w:tr2bl w:val="nil"/>
                  </w:tcBorders>
                  <w:vAlign w:val="center"/>
                </w:tcPr>
                <w:p w14:paraId="72A9827F">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氮氧化物</w:t>
                  </w:r>
                </w:p>
              </w:tc>
              <w:tc>
                <w:tcPr>
                  <w:tcW w:w="2231" w:type="dxa"/>
                  <w:tcBorders>
                    <w:tl2br w:val="nil"/>
                    <w:tr2bl w:val="nil"/>
                  </w:tcBorders>
                  <w:vAlign w:val="center"/>
                </w:tcPr>
                <w:p w14:paraId="100C7711">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1026" w:type="dxa"/>
                  <w:tcBorders>
                    <w:tl2br w:val="nil"/>
                    <w:tr2bl w:val="nil"/>
                  </w:tcBorders>
                  <w:vAlign w:val="center"/>
                </w:tcPr>
                <w:p w14:paraId="64F4E675">
                  <w:pPr>
                    <w:pStyle w:val="39"/>
                    <w:keepNext w:val="0"/>
                    <w:keepLines w:val="0"/>
                    <w:pageBreakBefore w:val="0"/>
                    <w:widowControl w:val="0"/>
                    <w:kinsoku/>
                    <w:wordWrap/>
                    <w:overflowPunct/>
                    <w:topLinePunct w:val="0"/>
                    <w:autoSpaceDE/>
                    <w:autoSpaceDN/>
                    <w:bidi w:val="0"/>
                    <w:snapToGrid w:val="0"/>
                    <w:spacing w:before="95" w:beforeLines="30" w:after="95" w:afterLines="30" w:line="240" w:lineRule="auto"/>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3.97</w:t>
                  </w:r>
                </w:p>
              </w:tc>
              <w:tc>
                <w:tcPr>
                  <w:tcW w:w="904" w:type="dxa"/>
                  <w:tcBorders>
                    <w:tl2br w:val="nil"/>
                    <w:tr2bl w:val="nil"/>
                  </w:tcBorders>
                  <w:vAlign w:val="center"/>
                </w:tcPr>
                <w:p w14:paraId="4F570EAD">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cs="Times New Roman"/>
                      <w:color w:val="auto"/>
                    </w:rPr>
                  </w:pPr>
                  <w:r>
                    <w:rPr>
                      <w:rFonts w:hint="eastAsia" w:cs="黑体"/>
                      <w:color w:val="auto"/>
                      <w:sz w:val="21"/>
                      <w:szCs w:val="21"/>
                      <w:lang w:val="en-US" w:eastAsia="zh-CN"/>
                    </w:rPr>
                    <w:t>3.97</w:t>
                  </w:r>
                </w:p>
              </w:tc>
            </w:tr>
            <w:tr w14:paraId="35A57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2369" w:type="dxa"/>
                  <w:vMerge w:val="continue"/>
                  <w:tcBorders>
                    <w:tl2br w:val="nil"/>
                    <w:tr2bl w:val="nil"/>
                  </w:tcBorders>
                  <w:vAlign w:val="center"/>
                </w:tcPr>
                <w:p w14:paraId="19E0A79B">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eastAsia"/>
                      <w:b w:val="0"/>
                      <w:bCs w:val="0"/>
                      <w:color w:val="auto"/>
                      <w:lang w:val="en-US" w:eastAsia="zh-CN"/>
                    </w:rPr>
                  </w:pPr>
                </w:p>
              </w:tc>
              <w:tc>
                <w:tcPr>
                  <w:tcW w:w="1448" w:type="dxa"/>
                  <w:tcBorders>
                    <w:tl2br w:val="nil"/>
                    <w:tr2bl w:val="nil"/>
                  </w:tcBorders>
                  <w:vAlign w:val="center"/>
                </w:tcPr>
                <w:p w14:paraId="45DD2F85">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氟化物</w:t>
                  </w:r>
                </w:p>
              </w:tc>
              <w:tc>
                <w:tcPr>
                  <w:tcW w:w="2231" w:type="dxa"/>
                  <w:tcBorders>
                    <w:tl2br w:val="nil"/>
                    <w:tr2bl w:val="nil"/>
                  </w:tcBorders>
                  <w:vAlign w:val="center"/>
                </w:tcPr>
                <w:p w14:paraId="5B1FD74A">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szCs w:val="21"/>
                      <w:lang w:val="en-US"/>
                    </w:rPr>
                  </w:pPr>
                  <w:r>
                    <w:rPr>
                      <w:rFonts w:hint="eastAsia" w:eastAsia="宋体" w:cs="黑体"/>
                      <w:b w:val="0"/>
                      <w:bCs/>
                      <w:color w:val="auto"/>
                      <w:sz w:val="21"/>
                      <w:szCs w:val="21"/>
                      <w:highlight w:val="none"/>
                      <w:lang w:val="en-US" w:eastAsia="zh-CN"/>
                    </w:rPr>
                    <w:t>脱硫塔协同处置</w:t>
                  </w:r>
                </w:p>
              </w:tc>
              <w:tc>
                <w:tcPr>
                  <w:tcW w:w="1026" w:type="dxa"/>
                  <w:tcBorders>
                    <w:tl2br w:val="nil"/>
                    <w:tr2bl w:val="nil"/>
                  </w:tcBorders>
                  <w:vAlign w:val="center"/>
                </w:tcPr>
                <w:p w14:paraId="39E8A8FE">
                  <w:pPr>
                    <w:pStyle w:val="39"/>
                    <w:keepNext w:val="0"/>
                    <w:keepLines w:val="0"/>
                    <w:pageBreakBefore w:val="0"/>
                    <w:widowControl w:val="0"/>
                    <w:kinsoku/>
                    <w:wordWrap/>
                    <w:overflowPunct/>
                    <w:topLinePunct w:val="0"/>
                    <w:autoSpaceDE/>
                    <w:autoSpaceDN/>
                    <w:bidi w:val="0"/>
                    <w:snapToGrid w:val="0"/>
                    <w:spacing w:before="95" w:beforeLines="30" w:after="95" w:afterLines="30" w:line="240" w:lineRule="auto"/>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0.807</w:t>
                  </w:r>
                </w:p>
              </w:tc>
              <w:tc>
                <w:tcPr>
                  <w:tcW w:w="904" w:type="dxa"/>
                  <w:tcBorders>
                    <w:tl2br w:val="nil"/>
                    <w:tr2bl w:val="nil"/>
                  </w:tcBorders>
                  <w:vAlign w:val="center"/>
                </w:tcPr>
                <w:p w14:paraId="1EFCB143">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cs="Times New Roman"/>
                      <w:color w:val="auto"/>
                      <w:lang w:val="en-US"/>
                    </w:rPr>
                  </w:pPr>
                  <w:r>
                    <w:rPr>
                      <w:rFonts w:hint="eastAsia"/>
                      <w:color w:val="auto"/>
                      <w:lang w:val="en-US" w:eastAsia="zh-CN"/>
                    </w:rPr>
                    <w:t>0.04</w:t>
                  </w:r>
                </w:p>
              </w:tc>
            </w:tr>
            <w:tr w14:paraId="6464B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2369" w:type="dxa"/>
                  <w:tcBorders>
                    <w:tl2br w:val="nil"/>
                    <w:tr2bl w:val="nil"/>
                  </w:tcBorders>
                  <w:vAlign w:val="center"/>
                </w:tcPr>
                <w:p w14:paraId="4092FCF9">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szCs w:val="21"/>
                      <w:lang w:eastAsia="zh-CN"/>
                    </w:rPr>
                  </w:pPr>
                  <w:r>
                    <w:rPr>
                      <w:rFonts w:hint="eastAsia" w:ascii="宋体" w:hAnsi="宋体" w:cs="宋体"/>
                      <w:b w:val="0"/>
                      <w:bCs w:val="0"/>
                      <w:color w:val="auto"/>
                      <w:kern w:val="2"/>
                      <w:sz w:val="21"/>
                      <w:szCs w:val="21"/>
                      <w:lang w:val="en-US" w:eastAsia="zh-CN" w:bidi="ar-SA"/>
                    </w:rPr>
                    <w:t>卸料粉尘（T1）</w:t>
                  </w:r>
                </w:p>
              </w:tc>
              <w:tc>
                <w:tcPr>
                  <w:tcW w:w="1448" w:type="dxa"/>
                  <w:tcBorders>
                    <w:tl2br w:val="nil"/>
                    <w:tr2bl w:val="nil"/>
                  </w:tcBorders>
                  <w:vAlign w:val="center"/>
                </w:tcPr>
                <w:p w14:paraId="6AAAEF0E">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无组织粉尘</w:t>
                  </w:r>
                </w:p>
              </w:tc>
              <w:tc>
                <w:tcPr>
                  <w:tcW w:w="2231" w:type="dxa"/>
                  <w:tcBorders>
                    <w:tl2br w:val="nil"/>
                    <w:tr2bl w:val="nil"/>
                  </w:tcBorders>
                  <w:vAlign w:val="center"/>
                </w:tcPr>
                <w:p w14:paraId="7DE05665">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厂房阻隔及洒水降尘</w:t>
                  </w:r>
                </w:p>
              </w:tc>
              <w:tc>
                <w:tcPr>
                  <w:tcW w:w="1026" w:type="dxa"/>
                  <w:tcBorders>
                    <w:tl2br w:val="nil"/>
                    <w:tr2bl w:val="nil"/>
                  </w:tcBorders>
                  <w:vAlign w:val="center"/>
                </w:tcPr>
                <w:p w14:paraId="4E0561B2">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cs="Times New Roman"/>
                      <w:bCs/>
                      <w:color w:val="auto"/>
                      <w:szCs w:val="21"/>
                      <w:lang w:val="en-US" w:eastAsia="zh-CN"/>
                    </w:rPr>
                    <w:t>0.</w:t>
                  </w:r>
                  <w:r>
                    <w:rPr>
                      <w:rFonts w:hint="eastAsia" w:cs="Times New Roman"/>
                      <w:bCs/>
                      <w:color w:val="auto"/>
                      <w:szCs w:val="21"/>
                      <w:lang w:val="en-US" w:eastAsia="zh-CN"/>
                    </w:rPr>
                    <w:t>338</w:t>
                  </w:r>
                </w:p>
              </w:tc>
              <w:tc>
                <w:tcPr>
                  <w:tcW w:w="904" w:type="dxa"/>
                  <w:tcBorders>
                    <w:tl2br w:val="nil"/>
                    <w:tr2bl w:val="nil"/>
                  </w:tcBorders>
                  <w:vAlign w:val="center"/>
                </w:tcPr>
                <w:p w14:paraId="386C5124">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cs="Times New Roman"/>
                      <w:bCs/>
                      <w:color w:val="auto"/>
                      <w:szCs w:val="21"/>
                      <w:lang w:val="en-US" w:eastAsia="zh-CN"/>
                    </w:rPr>
                    <w:t>0.</w:t>
                  </w:r>
                  <w:r>
                    <w:rPr>
                      <w:rFonts w:hint="eastAsia" w:cs="Times New Roman"/>
                      <w:bCs/>
                      <w:color w:val="auto"/>
                      <w:szCs w:val="21"/>
                      <w:lang w:val="en-US" w:eastAsia="zh-CN"/>
                    </w:rPr>
                    <w:t>101</w:t>
                  </w:r>
                </w:p>
              </w:tc>
            </w:tr>
            <w:tr w14:paraId="1D1DF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2369" w:type="dxa"/>
                  <w:tcBorders>
                    <w:tl2br w:val="nil"/>
                    <w:tr2bl w:val="nil"/>
                  </w:tcBorders>
                  <w:vAlign w:val="center"/>
                </w:tcPr>
                <w:p w14:paraId="42154849">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cs="Times New Roman"/>
                      <w:b w:val="0"/>
                      <w:bCs w:val="0"/>
                      <w:color w:val="auto"/>
                      <w:szCs w:val="21"/>
                    </w:rPr>
                  </w:pPr>
                  <w:r>
                    <w:rPr>
                      <w:rFonts w:hint="eastAsia" w:ascii="宋体" w:hAnsi="宋体" w:cs="宋体"/>
                      <w:b w:val="0"/>
                      <w:bCs w:val="0"/>
                      <w:color w:val="auto"/>
                      <w:kern w:val="2"/>
                      <w:sz w:val="21"/>
                      <w:szCs w:val="21"/>
                      <w:lang w:val="en-US" w:eastAsia="zh-CN" w:bidi="ar-SA"/>
                    </w:rPr>
                    <w:t>原料车间至陈化车间给料粉尘（T2）</w:t>
                  </w:r>
                </w:p>
              </w:tc>
              <w:tc>
                <w:tcPr>
                  <w:tcW w:w="1448" w:type="dxa"/>
                  <w:tcBorders>
                    <w:tl2br w:val="nil"/>
                    <w:tr2bl w:val="nil"/>
                  </w:tcBorders>
                  <w:vAlign w:val="center"/>
                </w:tcPr>
                <w:p w14:paraId="339FB294">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无组织粉尘</w:t>
                  </w:r>
                </w:p>
              </w:tc>
              <w:tc>
                <w:tcPr>
                  <w:tcW w:w="2231" w:type="dxa"/>
                  <w:tcBorders>
                    <w:tl2br w:val="nil"/>
                    <w:tr2bl w:val="nil"/>
                  </w:tcBorders>
                  <w:vAlign w:val="center"/>
                </w:tcPr>
                <w:p w14:paraId="747CDB2D">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厂房阻隔及洒水降尘</w:t>
                  </w:r>
                </w:p>
              </w:tc>
              <w:tc>
                <w:tcPr>
                  <w:tcW w:w="1026" w:type="dxa"/>
                  <w:tcBorders>
                    <w:tl2br w:val="nil"/>
                    <w:tr2bl w:val="nil"/>
                  </w:tcBorders>
                  <w:vAlign w:val="center"/>
                </w:tcPr>
                <w:p w14:paraId="7EED356F">
                  <w:pPr>
                    <w:pStyle w:val="39"/>
                    <w:keepNext w:val="0"/>
                    <w:keepLines w:val="0"/>
                    <w:pageBreakBefore w:val="0"/>
                    <w:widowControl w:val="0"/>
                    <w:kinsoku/>
                    <w:wordWrap/>
                    <w:overflowPunct/>
                    <w:topLinePunct w:val="0"/>
                    <w:autoSpaceDE/>
                    <w:autoSpaceDN/>
                    <w:bidi w:val="0"/>
                    <w:snapToGrid w:val="0"/>
                    <w:spacing w:before="95" w:beforeLines="30" w:after="95" w:afterLines="30" w:line="240" w:lineRule="auto"/>
                    <w:ind w:firstLine="0" w:firstLineChars="0"/>
                    <w:textAlignment w:val="auto"/>
                    <w:rPr>
                      <w:rFonts w:hint="default" w:ascii="Times New Roman" w:hAnsi="Times New Roman" w:cs="Times New Roman"/>
                      <w:color w:val="auto"/>
                    </w:rPr>
                  </w:pPr>
                  <w:r>
                    <w:rPr>
                      <w:rFonts w:hint="eastAsia" w:cs="Times New Roman"/>
                      <w:color w:val="auto"/>
                      <w:lang w:val="en-US" w:eastAsia="zh-CN"/>
                    </w:rPr>
                    <w:t>0.775</w:t>
                  </w:r>
                </w:p>
              </w:tc>
              <w:tc>
                <w:tcPr>
                  <w:tcW w:w="904" w:type="dxa"/>
                  <w:tcBorders>
                    <w:tl2br w:val="nil"/>
                    <w:tr2bl w:val="nil"/>
                  </w:tcBorders>
                  <w:vAlign w:val="center"/>
                </w:tcPr>
                <w:p w14:paraId="356FBDB9">
                  <w:pPr>
                    <w:pStyle w:val="39"/>
                    <w:keepNext w:val="0"/>
                    <w:keepLines w:val="0"/>
                    <w:pageBreakBefore w:val="0"/>
                    <w:widowControl w:val="0"/>
                    <w:kinsoku/>
                    <w:wordWrap/>
                    <w:overflowPunct/>
                    <w:topLinePunct w:val="0"/>
                    <w:autoSpaceDE/>
                    <w:autoSpaceDN/>
                    <w:bidi w:val="0"/>
                    <w:snapToGrid w:val="0"/>
                    <w:spacing w:before="95" w:beforeLines="30" w:after="95" w:afterLines="30" w:line="240" w:lineRule="auto"/>
                    <w:ind w:firstLine="0" w:firstLineChars="0"/>
                    <w:textAlignment w:val="auto"/>
                    <w:rPr>
                      <w:rFonts w:hint="default" w:ascii="Times New Roman" w:hAnsi="Times New Roman" w:cs="Times New Roman"/>
                      <w:color w:val="auto"/>
                      <w:lang w:val="en-US"/>
                    </w:rPr>
                  </w:pPr>
                  <w:r>
                    <w:rPr>
                      <w:rFonts w:hint="eastAsia" w:cs="Times New Roman"/>
                      <w:color w:val="auto"/>
                      <w:lang w:val="en-US" w:eastAsia="zh-CN"/>
                    </w:rPr>
                    <w:t>0.155</w:t>
                  </w:r>
                </w:p>
              </w:tc>
            </w:tr>
            <w:tr w14:paraId="53DE7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2369" w:type="dxa"/>
                  <w:tcBorders>
                    <w:tl2br w:val="nil"/>
                    <w:tr2bl w:val="nil"/>
                  </w:tcBorders>
                  <w:vAlign w:val="center"/>
                </w:tcPr>
                <w:p w14:paraId="046EBEC5">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b w:val="0"/>
                      <w:bCs w:val="0"/>
                      <w:color w:val="auto"/>
                      <w:szCs w:val="21"/>
                    </w:rPr>
                  </w:pPr>
                  <w:bookmarkStart w:id="8" w:name="_Hlk26301099"/>
                  <w:bookmarkStart w:id="9" w:name="OLE_LINK36" w:colFirst="3" w:colLast="4"/>
                  <w:r>
                    <w:rPr>
                      <w:rFonts w:hint="eastAsia" w:cs="Times New Roman"/>
                      <w:b w:val="0"/>
                      <w:bCs w:val="0"/>
                      <w:color w:val="auto"/>
                      <w:sz w:val="21"/>
                      <w:szCs w:val="21"/>
                      <w:lang w:val="en-US" w:eastAsia="zh-CN"/>
                    </w:rPr>
                    <w:t>原料、陈化车间储存粉尘（T3）</w:t>
                  </w:r>
                </w:p>
              </w:tc>
              <w:tc>
                <w:tcPr>
                  <w:tcW w:w="1448" w:type="dxa"/>
                  <w:tcBorders>
                    <w:tl2br w:val="nil"/>
                    <w:tr2bl w:val="nil"/>
                  </w:tcBorders>
                  <w:vAlign w:val="center"/>
                </w:tcPr>
                <w:p w14:paraId="757F4429">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无组织粉尘</w:t>
                  </w:r>
                </w:p>
              </w:tc>
              <w:tc>
                <w:tcPr>
                  <w:tcW w:w="2231" w:type="dxa"/>
                  <w:tcBorders>
                    <w:tl2br w:val="nil"/>
                    <w:tr2bl w:val="nil"/>
                  </w:tcBorders>
                  <w:vAlign w:val="center"/>
                </w:tcPr>
                <w:p w14:paraId="36D1161E">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b w:val="0"/>
                      <w:bCs w:val="0"/>
                      <w:color w:val="auto"/>
                      <w:sz w:val="21"/>
                      <w:szCs w:val="21"/>
                    </w:rPr>
                    <w:t>封闭厂房</w:t>
                  </w:r>
                  <w:r>
                    <w:rPr>
                      <w:rFonts w:hint="default" w:ascii="Times New Roman" w:hAnsi="Times New Roman" w:cs="Times New Roman"/>
                      <w:b w:val="0"/>
                      <w:bCs w:val="0"/>
                      <w:color w:val="auto"/>
                      <w:sz w:val="21"/>
                      <w:szCs w:val="21"/>
                      <w:lang w:val="en-US" w:eastAsia="zh-CN"/>
                    </w:rPr>
                    <w:t>阻隔+</w:t>
                  </w:r>
                  <w:r>
                    <w:rPr>
                      <w:rFonts w:hint="default" w:ascii="Times New Roman" w:hAnsi="Times New Roman" w:cs="Times New Roman"/>
                      <w:b w:val="0"/>
                      <w:bCs w:val="0"/>
                      <w:color w:val="auto"/>
                      <w:sz w:val="21"/>
                      <w:szCs w:val="21"/>
                    </w:rPr>
                    <w:t>洒水降尘后</w:t>
                  </w:r>
                </w:p>
              </w:tc>
              <w:tc>
                <w:tcPr>
                  <w:tcW w:w="1026" w:type="dxa"/>
                  <w:tcBorders>
                    <w:tl2br w:val="nil"/>
                    <w:tr2bl w:val="nil"/>
                  </w:tcBorders>
                  <w:vAlign w:val="center"/>
                </w:tcPr>
                <w:p w14:paraId="1442513B">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lang w:val="en-US"/>
                    </w:rPr>
                  </w:pPr>
                  <w:r>
                    <w:rPr>
                      <w:rFonts w:hint="eastAsia" w:cs="Times New Roman"/>
                      <w:bCs/>
                      <w:color w:val="auto"/>
                      <w:szCs w:val="21"/>
                      <w:lang w:val="en-US" w:eastAsia="zh-CN"/>
                    </w:rPr>
                    <w:t>1.66</w:t>
                  </w:r>
                </w:p>
              </w:tc>
              <w:tc>
                <w:tcPr>
                  <w:tcW w:w="904" w:type="dxa"/>
                  <w:tcBorders>
                    <w:tl2br w:val="nil"/>
                    <w:tr2bl w:val="nil"/>
                  </w:tcBorders>
                  <w:vAlign w:val="center"/>
                </w:tcPr>
                <w:p w14:paraId="1B81D1B1">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lang w:val="en-US"/>
                    </w:rPr>
                  </w:pPr>
                  <w:r>
                    <w:rPr>
                      <w:rFonts w:hint="eastAsia" w:cs="Times New Roman"/>
                      <w:bCs/>
                      <w:color w:val="auto"/>
                      <w:szCs w:val="21"/>
                      <w:lang w:val="en-US" w:eastAsia="zh-CN"/>
                    </w:rPr>
                    <w:t>0.17</w:t>
                  </w:r>
                </w:p>
              </w:tc>
            </w:tr>
            <w:tr w14:paraId="5A9FC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2369" w:type="dxa"/>
                  <w:tcBorders>
                    <w:tl2br w:val="nil"/>
                    <w:tr2bl w:val="nil"/>
                  </w:tcBorders>
                  <w:vAlign w:val="center"/>
                </w:tcPr>
                <w:p w14:paraId="3C0D89BF">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default" w:ascii="Times New Roman" w:hAnsi="Times New Roman" w:eastAsia="宋体" w:cs="Times New Roman"/>
                      <w:b w:val="0"/>
                      <w:bCs w:val="0"/>
                      <w:color w:val="auto"/>
                      <w:szCs w:val="21"/>
                      <w:lang w:val="en-US" w:eastAsia="zh-CN"/>
                    </w:rPr>
                  </w:pPr>
                  <w:r>
                    <w:rPr>
                      <w:rFonts w:hint="eastAsia" w:ascii="宋体" w:hAnsi="宋体" w:cs="宋体"/>
                      <w:b w:val="0"/>
                      <w:bCs w:val="0"/>
                      <w:color w:val="auto"/>
                      <w:kern w:val="2"/>
                      <w:sz w:val="21"/>
                      <w:szCs w:val="21"/>
                      <w:lang w:val="en-US" w:eastAsia="zh-CN" w:bidi="ar-SA"/>
                    </w:rPr>
                    <w:t>陈化物料输送至搅拌机的给料粉尘（T4）</w:t>
                  </w:r>
                </w:p>
              </w:tc>
              <w:tc>
                <w:tcPr>
                  <w:tcW w:w="1448" w:type="dxa"/>
                  <w:tcBorders>
                    <w:tl2br w:val="nil"/>
                    <w:tr2bl w:val="nil"/>
                  </w:tcBorders>
                  <w:vAlign w:val="center"/>
                </w:tcPr>
                <w:p w14:paraId="08604980">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无组织粉尘</w:t>
                  </w:r>
                </w:p>
              </w:tc>
              <w:tc>
                <w:tcPr>
                  <w:tcW w:w="2231" w:type="dxa"/>
                  <w:tcBorders>
                    <w:tl2br w:val="nil"/>
                    <w:tr2bl w:val="nil"/>
                  </w:tcBorders>
                  <w:vAlign w:val="center"/>
                </w:tcPr>
                <w:p w14:paraId="30450EE1">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输送机全封闭；搅拌机全封闭；给料口洒水降尘+厂房阻隔</w:t>
                  </w:r>
                </w:p>
              </w:tc>
              <w:tc>
                <w:tcPr>
                  <w:tcW w:w="1026" w:type="dxa"/>
                  <w:tcBorders>
                    <w:tl2br w:val="nil"/>
                    <w:tr2bl w:val="nil"/>
                  </w:tcBorders>
                  <w:vAlign w:val="center"/>
                </w:tcPr>
                <w:p w14:paraId="4CFC52B3">
                  <w:pPr>
                    <w:pStyle w:val="39"/>
                    <w:keepNext w:val="0"/>
                    <w:keepLines w:val="0"/>
                    <w:pageBreakBefore w:val="0"/>
                    <w:widowControl w:val="0"/>
                    <w:kinsoku/>
                    <w:wordWrap/>
                    <w:overflowPunct/>
                    <w:topLinePunct w:val="0"/>
                    <w:autoSpaceDE/>
                    <w:autoSpaceDN/>
                    <w:bidi w:val="0"/>
                    <w:snapToGrid w:val="0"/>
                    <w:spacing w:before="95" w:beforeLines="30" w:after="95" w:afterLines="30" w:line="240" w:lineRule="auto"/>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0.775</w:t>
                  </w:r>
                </w:p>
              </w:tc>
              <w:tc>
                <w:tcPr>
                  <w:tcW w:w="904" w:type="dxa"/>
                  <w:tcBorders>
                    <w:tl2br w:val="nil"/>
                    <w:tr2bl w:val="nil"/>
                  </w:tcBorders>
                  <w:vAlign w:val="center"/>
                </w:tcPr>
                <w:p w14:paraId="62AC1765">
                  <w:pPr>
                    <w:pStyle w:val="39"/>
                    <w:keepNext w:val="0"/>
                    <w:keepLines w:val="0"/>
                    <w:pageBreakBefore w:val="0"/>
                    <w:widowControl w:val="0"/>
                    <w:kinsoku/>
                    <w:wordWrap/>
                    <w:overflowPunct/>
                    <w:topLinePunct w:val="0"/>
                    <w:autoSpaceDE/>
                    <w:autoSpaceDN/>
                    <w:bidi w:val="0"/>
                    <w:snapToGrid w:val="0"/>
                    <w:spacing w:before="95" w:beforeLines="30" w:after="95" w:afterLines="30" w:line="240" w:lineRule="auto"/>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0.233</w:t>
                  </w:r>
                </w:p>
              </w:tc>
            </w:tr>
            <w:tr w14:paraId="40F1E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2369" w:type="dxa"/>
                  <w:tcBorders>
                    <w:tl2br w:val="nil"/>
                    <w:tr2bl w:val="nil"/>
                  </w:tcBorders>
                  <w:vAlign w:val="center"/>
                </w:tcPr>
                <w:p w14:paraId="79B40D01">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b w:val="0"/>
                      <w:bCs w:val="0"/>
                      <w:color w:val="auto"/>
                      <w:szCs w:val="21"/>
                    </w:rPr>
                  </w:pPr>
                  <w:r>
                    <w:rPr>
                      <w:rFonts w:hint="default" w:ascii="Times New Roman" w:hAnsi="Times New Roman" w:cs="Times New Roman"/>
                      <w:b w:val="0"/>
                      <w:bCs w:val="0"/>
                      <w:color w:val="auto"/>
                      <w:sz w:val="21"/>
                      <w:szCs w:val="21"/>
                    </w:rPr>
                    <w:t>运输车辆动力扬尘</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lang w:val="en-US" w:eastAsia="zh-CN"/>
                    </w:rPr>
                    <w:t>T</w:t>
                  </w:r>
                  <w:r>
                    <w:rPr>
                      <w:rFonts w:hint="eastAsia" w:ascii="Times New Roman" w:hAnsi="Times New Roman" w:cs="Times New Roman"/>
                      <w:b w:val="0"/>
                      <w:bCs w:val="0"/>
                      <w:color w:val="auto"/>
                      <w:sz w:val="21"/>
                      <w:szCs w:val="21"/>
                      <w:lang w:val="en-US" w:eastAsia="zh-CN"/>
                    </w:rPr>
                    <w:t>5</w:t>
                  </w:r>
                  <w:r>
                    <w:rPr>
                      <w:rFonts w:hint="default" w:ascii="Times New Roman" w:hAnsi="Times New Roman" w:cs="Times New Roman"/>
                      <w:b w:val="0"/>
                      <w:bCs w:val="0"/>
                      <w:color w:val="auto"/>
                      <w:sz w:val="21"/>
                      <w:szCs w:val="21"/>
                      <w:lang w:eastAsia="zh-CN"/>
                    </w:rPr>
                    <w:t>）</w:t>
                  </w:r>
                </w:p>
              </w:tc>
              <w:tc>
                <w:tcPr>
                  <w:tcW w:w="1448" w:type="dxa"/>
                  <w:tcBorders>
                    <w:tl2br w:val="nil"/>
                    <w:tr2bl w:val="nil"/>
                  </w:tcBorders>
                  <w:vAlign w:val="center"/>
                </w:tcPr>
                <w:p w14:paraId="6FBFEB6F">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无组织粉尘</w:t>
                  </w:r>
                </w:p>
              </w:tc>
              <w:tc>
                <w:tcPr>
                  <w:tcW w:w="2231" w:type="dxa"/>
                  <w:tcBorders>
                    <w:tl2br w:val="nil"/>
                    <w:tr2bl w:val="nil"/>
                  </w:tcBorders>
                  <w:vAlign w:val="center"/>
                </w:tcPr>
                <w:p w14:paraId="5E86BEC6">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color w:val="auto"/>
                      <w:szCs w:val="21"/>
                      <w:lang w:eastAsia="zh-CN"/>
                    </w:rPr>
                  </w:pPr>
                  <w:r>
                    <w:rPr>
                      <w:rFonts w:hint="eastAsia" w:cs="Times New Roman"/>
                      <w:color w:val="auto"/>
                      <w:szCs w:val="21"/>
                      <w:lang w:val="en-US" w:eastAsia="zh-CN"/>
                    </w:rPr>
                    <w:t>清扫地面，定期</w:t>
                  </w:r>
                  <w:r>
                    <w:rPr>
                      <w:rFonts w:hint="default" w:ascii="Times New Roman" w:hAnsi="Times New Roman" w:cs="Times New Roman"/>
                      <w:color w:val="auto"/>
                      <w:szCs w:val="21"/>
                    </w:rPr>
                    <w:t>洒水降尘</w:t>
                  </w:r>
                </w:p>
              </w:tc>
              <w:tc>
                <w:tcPr>
                  <w:tcW w:w="1026" w:type="dxa"/>
                  <w:tcBorders>
                    <w:tl2br w:val="nil"/>
                    <w:tr2bl w:val="nil"/>
                  </w:tcBorders>
                  <w:vAlign w:val="center"/>
                </w:tcPr>
                <w:p w14:paraId="68ABFA81">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szCs w:val="21"/>
                      <w:lang w:val="en-US"/>
                    </w:rPr>
                  </w:pPr>
                  <w:r>
                    <w:rPr>
                      <w:rFonts w:hint="eastAsia" w:cs="Times New Roman"/>
                      <w:bCs/>
                      <w:color w:val="auto"/>
                      <w:szCs w:val="21"/>
                      <w:lang w:val="en-US" w:eastAsia="zh-CN"/>
                    </w:rPr>
                    <w:t>0.322</w:t>
                  </w:r>
                </w:p>
              </w:tc>
              <w:tc>
                <w:tcPr>
                  <w:tcW w:w="904" w:type="dxa"/>
                  <w:tcBorders>
                    <w:tl2br w:val="nil"/>
                    <w:tr2bl w:val="nil"/>
                  </w:tcBorders>
                  <w:vAlign w:val="center"/>
                </w:tcPr>
                <w:p w14:paraId="1C5720F2">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bCs/>
                      <w:color w:val="auto"/>
                      <w:szCs w:val="21"/>
                      <w:lang w:val="en-US" w:eastAsia="zh-CN"/>
                    </w:rPr>
                    <w:t>0.</w:t>
                  </w:r>
                  <w:r>
                    <w:rPr>
                      <w:rFonts w:hint="eastAsia" w:cs="Times New Roman"/>
                      <w:bCs/>
                      <w:color w:val="auto"/>
                      <w:szCs w:val="21"/>
                      <w:lang w:val="en-US" w:eastAsia="zh-CN"/>
                    </w:rPr>
                    <w:t>161</w:t>
                  </w:r>
                </w:p>
              </w:tc>
            </w:tr>
            <w:tr w14:paraId="7880C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2369" w:type="dxa"/>
                  <w:tcBorders>
                    <w:tl2br w:val="nil"/>
                    <w:tr2bl w:val="nil"/>
                  </w:tcBorders>
                  <w:vAlign w:val="center"/>
                </w:tcPr>
                <w:p w14:paraId="5DC93C1C">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b w:val="0"/>
                      <w:bCs w:val="0"/>
                      <w:color w:val="auto"/>
                      <w:szCs w:val="21"/>
                    </w:rPr>
                  </w:pPr>
                  <w:r>
                    <w:rPr>
                      <w:rFonts w:hint="eastAsia" w:ascii="宋体" w:hAnsi="宋体" w:cs="宋体"/>
                      <w:b w:val="0"/>
                      <w:bCs w:val="0"/>
                      <w:color w:val="auto"/>
                      <w:kern w:val="2"/>
                      <w:sz w:val="21"/>
                      <w:szCs w:val="21"/>
                      <w:lang w:val="en-US" w:eastAsia="zh-CN" w:bidi="ar-SA"/>
                    </w:rPr>
                    <w:t>对辊破碎、制坯、切条、修坯、晾干工序加工粉尘（T6）</w:t>
                  </w:r>
                </w:p>
              </w:tc>
              <w:tc>
                <w:tcPr>
                  <w:tcW w:w="1448" w:type="dxa"/>
                  <w:tcBorders>
                    <w:tl2br w:val="nil"/>
                    <w:tr2bl w:val="nil"/>
                  </w:tcBorders>
                  <w:vAlign w:val="center"/>
                </w:tcPr>
                <w:p w14:paraId="6CBEE1F8">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无组织粉尘</w:t>
                  </w:r>
                </w:p>
              </w:tc>
              <w:tc>
                <w:tcPr>
                  <w:tcW w:w="2231" w:type="dxa"/>
                  <w:tcBorders>
                    <w:tl2br w:val="nil"/>
                    <w:tr2bl w:val="nil"/>
                  </w:tcBorders>
                  <w:vAlign w:val="center"/>
                </w:tcPr>
                <w:p w14:paraId="2378CA11">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szCs w:val="21"/>
                      <w:lang w:val="en-US"/>
                    </w:rPr>
                  </w:pPr>
                  <w:r>
                    <w:rPr>
                      <w:rFonts w:hint="eastAsia" w:cs="Times New Roman"/>
                      <w:color w:val="auto"/>
                      <w:szCs w:val="21"/>
                      <w:lang w:val="en-US" w:eastAsia="zh-CN"/>
                    </w:rPr>
                    <w:t>湿料加工</w:t>
                  </w:r>
                </w:p>
              </w:tc>
              <w:tc>
                <w:tcPr>
                  <w:tcW w:w="1026" w:type="dxa"/>
                  <w:tcBorders>
                    <w:tl2br w:val="nil"/>
                    <w:tr2bl w:val="nil"/>
                  </w:tcBorders>
                  <w:vAlign w:val="center"/>
                </w:tcPr>
                <w:p w14:paraId="5BD3CF6F">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bCs/>
                      <w:color w:val="auto"/>
                      <w:szCs w:val="21"/>
                      <w:lang w:val="en-US" w:eastAsia="zh-CN"/>
                    </w:rPr>
                  </w:pPr>
                  <w:r>
                    <w:rPr>
                      <w:rFonts w:hint="eastAsia" w:cs="Times New Roman"/>
                      <w:bCs/>
                      <w:color w:val="auto"/>
                      <w:szCs w:val="21"/>
                      <w:lang w:val="en-US" w:eastAsia="zh-CN"/>
                    </w:rPr>
                    <w:t>/</w:t>
                  </w:r>
                </w:p>
              </w:tc>
              <w:tc>
                <w:tcPr>
                  <w:tcW w:w="904" w:type="dxa"/>
                  <w:tcBorders>
                    <w:tl2br w:val="nil"/>
                    <w:tr2bl w:val="nil"/>
                  </w:tcBorders>
                  <w:vAlign w:val="center"/>
                </w:tcPr>
                <w:p w14:paraId="4FBE139D">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bCs/>
                      <w:color w:val="auto"/>
                      <w:szCs w:val="21"/>
                      <w:lang w:val="en-US" w:eastAsia="zh-CN"/>
                    </w:rPr>
                  </w:pPr>
                  <w:r>
                    <w:rPr>
                      <w:rFonts w:hint="eastAsia" w:cs="Times New Roman"/>
                      <w:bCs/>
                      <w:color w:val="auto"/>
                      <w:szCs w:val="21"/>
                      <w:lang w:val="en-US" w:eastAsia="zh-CN"/>
                    </w:rPr>
                    <w:t>/</w:t>
                  </w:r>
                </w:p>
              </w:tc>
            </w:tr>
            <w:bookmarkEnd w:id="6"/>
            <w:bookmarkEnd w:id="7"/>
            <w:bookmarkEnd w:id="8"/>
            <w:bookmarkEnd w:id="9"/>
            <w:tr w14:paraId="76F37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369" w:type="dxa"/>
                  <w:tcBorders>
                    <w:tl2br w:val="nil"/>
                    <w:tr2bl w:val="nil"/>
                  </w:tcBorders>
                  <w:vAlign w:val="center"/>
                </w:tcPr>
                <w:p w14:paraId="31AA80D3">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b w:val="0"/>
                      <w:bCs w:val="0"/>
                      <w:color w:val="auto"/>
                      <w:szCs w:val="21"/>
                    </w:rPr>
                  </w:pPr>
                  <w:r>
                    <w:rPr>
                      <w:rFonts w:hint="eastAsia" w:ascii="宋体" w:hAnsi="宋体" w:cs="宋体"/>
                      <w:b w:val="0"/>
                      <w:bCs w:val="0"/>
                      <w:color w:val="auto"/>
                      <w:lang w:val="en-US" w:eastAsia="zh-CN"/>
                    </w:rPr>
                    <w:t>次品对辊破碎粉尘（T7）</w:t>
                  </w:r>
                </w:p>
              </w:tc>
              <w:tc>
                <w:tcPr>
                  <w:tcW w:w="1448" w:type="dxa"/>
                  <w:tcBorders>
                    <w:tl2br w:val="nil"/>
                    <w:tr2bl w:val="nil"/>
                  </w:tcBorders>
                  <w:vAlign w:val="center"/>
                </w:tcPr>
                <w:p w14:paraId="6280115F">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无组织粉尘</w:t>
                  </w:r>
                </w:p>
              </w:tc>
              <w:tc>
                <w:tcPr>
                  <w:tcW w:w="2231" w:type="dxa"/>
                  <w:tcBorders>
                    <w:tl2br w:val="nil"/>
                    <w:tr2bl w:val="nil"/>
                  </w:tcBorders>
                  <w:vAlign w:val="center"/>
                </w:tcPr>
                <w:p w14:paraId="08BED23A">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洒水润湿破碎</w:t>
                  </w:r>
                </w:p>
              </w:tc>
              <w:tc>
                <w:tcPr>
                  <w:tcW w:w="1026" w:type="dxa"/>
                  <w:tcBorders>
                    <w:tl2br w:val="nil"/>
                    <w:tr2bl w:val="nil"/>
                  </w:tcBorders>
                  <w:vAlign w:val="center"/>
                </w:tcPr>
                <w:p w14:paraId="4EB8DE5E">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szCs w:val="21"/>
                    </w:rPr>
                  </w:pPr>
                  <w:r>
                    <w:rPr>
                      <w:rFonts w:hint="eastAsia" w:cs="Times New Roman"/>
                      <w:bCs/>
                      <w:color w:val="auto"/>
                      <w:sz w:val="21"/>
                      <w:szCs w:val="21"/>
                      <w:lang w:val="en-US" w:eastAsia="zh-CN"/>
                    </w:rPr>
                    <w:t>/</w:t>
                  </w:r>
                </w:p>
              </w:tc>
              <w:tc>
                <w:tcPr>
                  <w:tcW w:w="904" w:type="dxa"/>
                  <w:tcBorders>
                    <w:tl2br w:val="nil"/>
                    <w:tr2bl w:val="nil"/>
                  </w:tcBorders>
                  <w:vAlign w:val="center"/>
                </w:tcPr>
                <w:p w14:paraId="56A23BF3">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bCs/>
                      <w:color w:val="auto"/>
                      <w:szCs w:val="21"/>
                      <w:lang w:val="en-US" w:eastAsia="zh-CN"/>
                    </w:rPr>
                    <w:t>/</w:t>
                  </w:r>
                </w:p>
              </w:tc>
            </w:tr>
            <w:tr w14:paraId="3D393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3817" w:type="dxa"/>
                  <w:gridSpan w:val="2"/>
                  <w:vMerge w:val="restart"/>
                  <w:tcBorders>
                    <w:tl2br w:val="nil"/>
                    <w:tr2bl w:val="nil"/>
                  </w:tcBorders>
                  <w:vAlign w:val="center"/>
                </w:tcPr>
                <w:p w14:paraId="04AAB6FE">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合计</w:t>
                  </w:r>
                </w:p>
              </w:tc>
              <w:tc>
                <w:tcPr>
                  <w:tcW w:w="2231" w:type="dxa"/>
                  <w:tcBorders>
                    <w:tl2br w:val="nil"/>
                    <w:tr2bl w:val="nil"/>
                  </w:tcBorders>
                  <w:vAlign w:val="center"/>
                </w:tcPr>
                <w:p w14:paraId="05A0F7DC">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有组织烟尘</w:t>
                  </w:r>
                </w:p>
              </w:tc>
              <w:tc>
                <w:tcPr>
                  <w:tcW w:w="1026" w:type="dxa"/>
                  <w:tcBorders>
                    <w:tl2br w:val="nil"/>
                    <w:tr2bl w:val="nil"/>
                  </w:tcBorders>
                  <w:vAlign w:val="center"/>
                </w:tcPr>
                <w:p w14:paraId="31FF4845">
                  <w:pPr>
                    <w:pStyle w:val="39"/>
                    <w:keepNext w:val="0"/>
                    <w:keepLines w:val="0"/>
                    <w:pageBreakBefore w:val="0"/>
                    <w:widowControl w:val="0"/>
                    <w:kinsoku/>
                    <w:wordWrap/>
                    <w:overflowPunct/>
                    <w:topLinePunct w:val="0"/>
                    <w:autoSpaceDE/>
                    <w:autoSpaceDN/>
                    <w:bidi w:val="0"/>
                    <w:snapToGrid w:val="0"/>
                    <w:spacing w:before="95" w:beforeLines="30" w:after="95" w:afterLines="30" w:line="240" w:lineRule="auto"/>
                    <w:ind w:firstLine="0" w:firstLineChars="0"/>
                    <w:textAlignment w:val="auto"/>
                    <w:rPr>
                      <w:rFonts w:hint="default" w:ascii="Times New Roman" w:hAnsi="Times New Roman" w:cs="Times New Roman"/>
                      <w:color w:val="auto"/>
                      <w:szCs w:val="21"/>
                      <w:lang w:val="en-US" w:eastAsia="zh-CN"/>
                    </w:rPr>
                  </w:pPr>
                  <w:r>
                    <w:rPr>
                      <w:rFonts w:hint="eastAsia" w:cs="Times New Roman"/>
                      <w:color w:val="auto"/>
                      <w:lang w:val="en-US" w:eastAsia="zh-CN"/>
                    </w:rPr>
                    <w:t>21.53</w:t>
                  </w:r>
                </w:p>
              </w:tc>
              <w:tc>
                <w:tcPr>
                  <w:tcW w:w="904" w:type="dxa"/>
                  <w:tcBorders>
                    <w:tl2br w:val="nil"/>
                    <w:tr2bl w:val="nil"/>
                  </w:tcBorders>
                  <w:vAlign w:val="center"/>
                </w:tcPr>
                <w:p w14:paraId="2C624E46">
                  <w:pPr>
                    <w:pStyle w:val="39"/>
                    <w:keepNext w:val="0"/>
                    <w:keepLines w:val="0"/>
                    <w:pageBreakBefore w:val="0"/>
                    <w:widowControl w:val="0"/>
                    <w:kinsoku/>
                    <w:wordWrap/>
                    <w:overflowPunct/>
                    <w:topLinePunct w:val="0"/>
                    <w:autoSpaceDE/>
                    <w:autoSpaceDN/>
                    <w:bidi w:val="0"/>
                    <w:snapToGrid w:val="0"/>
                    <w:spacing w:before="95" w:beforeLines="30" w:after="95" w:afterLines="30" w:line="240" w:lineRule="auto"/>
                    <w:ind w:firstLine="0" w:firstLineChars="0"/>
                    <w:textAlignment w:val="auto"/>
                    <w:rPr>
                      <w:rFonts w:hint="default" w:ascii="Times New Roman" w:hAnsi="Times New Roman" w:cs="Times New Roman"/>
                      <w:color w:val="auto"/>
                      <w:szCs w:val="21"/>
                      <w:lang w:val="en-US" w:eastAsia="zh-CN"/>
                    </w:rPr>
                  </w:pPr>
                  <w:r>
                    <w:rPr>
                      <w:rFonts w:hint="eastAsia" w:cs="黑体"/>
                      <w:b w:val="0"/>
                      <w:bCs w:val="0"/>
                      <w:color w:val="auto"/>
                      <w:sz w:val="21"/>
                      <w:szCs w:val="21"/>
                      <w:lang w:val="en-US" w:eastAsia="zh-CN"/>
                    </w:rPr>
                    <w:t>0.22</w:t>
                  </w:r>
                </w:p>
              </w:tc>
            </w:tr>
            <w:tr w14:paraId="07CE4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3817" w:type="dxa"/>
                  <w:gridSpan w:val="2"/>
                  <w:vMerge w:val="continue"/>
                  <w:tcBorders>
                    <w:tl2br w:val="nil"/>
                    <w:tr2bl w:val="nil"/>
                  </w:tcBorders>
                  <w:vAlign w:val="center"/>
                </w:tcPr>
                <w:p w14:paraId="747D8C74">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szCs w:val="21"/>
                    </w:rPr>
                  </w:pPr>
                </w:p>
              </w:tc>
              <w:tc>
                <w:tcPr>
                  <w:tcW w:w="2231" w:type="dxa"/>
                  <w:tcBorders>
                    <w:tl2br w:val="nil"/>
                    <w:tr2bl w:val="nil"/>
                  </w:tcBorders>
                  <w:vAlign w:val="center"/>
                </w:tcPr>
                <w:p w14:paraId="19E6DDE6">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无组织颗粒物</w:t>
                  </w:r>
                </w:p>
              </w:tc>
              <w:tc>
                <w:tcPr>
                  <w:tcW w:w="1026" w:type="dxa"/>
                  <w:tcBorders>
                    <w:tl2br w:val="nil"/>
                    <w:tr2bl w:val="nil"/>
                  </w:tcBorders>
                  <w:vAlign w:val="center"/>
                </w:tcPr>
                <w:p w14:paraId="631E182B">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szCs w:val="21"/>
                      <w:lang w:val="en-US" w:eastAsia="zh-CN"/>
                    </w:rPr>
                  </w:pPr>
                  <w:r>
                    <w:rPr>
                      <w:rFonts w:hint="eastAsia" w:cs="Times New Roman"/>
                      <w:color w:val="auto"/>
                      <w:szCs w:val="21"/>
                      <w:lang w:val="en-US" w:eastAsia="zh-CN"/>
                    </w:rPr>
                    <w:t>3.87</w:t>
                  </w:r>
                </w:p>
              </w:tc>
              <w:tc>
                <w:tcPr>
                  <w:tcW w:w="904" w:type="dxa"/>
                  <w:tcBorders>
                    <w:tl2br w:val="nil"/>
                    <w:tr2bl w:val="nil"/>
                  </w:tcBorders>
                  <w:vAlign w:val="center"/>
                </w:tcPr>
                <w:p w14:paraId="244D72E6">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szCs w:val="21"/>
                      <w:lang w:val="en-US" w:eastAsia="zh-CN"/>
                    </w:rPr>
                  </w:pPr>
                  <w:r>
                    <w:rPr>
                      <w:rFonts w:hint="eastAsia" w:cs="Times New Roman"/>
                      <w:color w:val="auto"/>
                      <w:szCs w:val="21"/>
                      <w:lang w:val="en-US" w:eastAsia="zh-CN"/>
                    </w:rPr>
                    <w:t>0.82</w:t>
                  </w:r>
                </w:p>
              </w:tc>
            </w:tr>
            <w:tr w14:paraId="4B2E9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3817" w:type="dxa"/>
                  <w:gridSpan w:val="2"/>
                  <w:vMerge w:val="continue"/>
                  <w:tcBorders>
                    <w:tl2br w:val="nil"/>
                    <w:tr2bl w:val="nil"/>
                  </w:tcBorders>
                  <w:vAlign w:val="center"/>
                </w:tcPr>
                <w:p w14:paraId="644A051D">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szCs w:val="21"/>
                    </w:rPr>
                  </w:pPr>
                </w:p>
              </w:tc>
              <w:tc>
                <w:tcPr>
                  <w:tcW w:w="2231" w:type="dxa"/>
                  <w:tcBorders>
                    <w:tl2br w:val="nil"/>
                    <w:tr2bl w:val="nil"/>
                  </w:tcBorders>
                  <w:vAlign w:val="center"/>
                </w:tcPr>
                <w:p w14:paraId="535F8749">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szCs w:val="21"/>
                    </w:rPr>
                  </w:pPr>
                  <w:r>
                    <w:rPr>
                      <w:rFonts w:hint="eastAsia" w:cs="Times New Roman"/>
                      <w:color w:val="auto"/>
                      <w:szCs w:val="21"/>
                      <w:lang w:val="en-US" w:eastAsia="zh-CN"/>
                    </w:rPr>
                    <w:t>二氧化硫</w:t>
                  </w:r>
                </w:p>
              </w:tc>
              <w:tc>
                <w:tcPr>
                  <w:tcW w:w="1026" w:type="dxa"/>
                  <w:tcBorders>
                    <w:tl2br w:val="nil"/>
                    <w:tr2bl w:val="nil"/>
                  </w:tcBorders>
                  <w:vAlign w:val="center"/>
                </w:tcPr>
                <w:p w14:paraId="29E76555">
                  <w:pPr>
                    <w:pStyle w:val="39"/>
                    <w:keepNext w:val="0"/>
                    <w:keepLines w:val="0"/>
                    <w:pageBreakBefore w:val="0"/>
                    <w:widowControl w:val="0"/>
                    <w:kinsoku/>
                    <w:wordWrap/>
                    <w:overflowPunct/>
                    <w:topLinePunct w:val="0"/>
                    <w:autoSpaceDE/>
                    <w:autoSpaceDN/>
                    <w:bidi w:val="0"/>
                    <w:snapToGrid w:val="0"/>
                    <w:spacing w:before="95" w:beforeLines="30" w:after="95" w:afterLines="30" w:line="240" w:lineRule="auto"/>
                    <w:ind w:firstLine="0" w:firstLineChars="0"/>
                    <w:textAlignment w:val="auto"/>
                    <w:rPr>
                      <w:rFonts w:hint="default" w:ascii="Times New Roman" w:hAnsi="Times New Roman" w:cs="Times New Roman"/>
                      <w:color w:val="auto"/>
                      <w:szCs w:val="21"/>
                      <w:lang w:val="en-US" w:eastAsia="zh-CN"/>
                    </w:rPr>
                  </w:pPr>
                  <w:r>
                    <w:rPr>
                      <w:rFonts w:hint="eastAsia" w:cs="Times New Roman"/>
                      <w:color w:val="auto"/>
                      <w:lang w:val="en-US" w:eastAsia="zh-CN"/>
                    </w:rPr>
                    <w:t>11.17</w:t>
                  </w:r>
                </w:p>
              </w:tc>
              <w:tc>
                <w:tcPr>
                  <w:tcW w:w="904" w:type="dxa"/>
                  <w:tcBorders>
                    <w:tl2br w:val="nil"/>
                    <w:tr2bl w:val="nil"/>
                  </w:tcBorders>
                  <w:vAlign w:val="center"/>
                </w:tcPr>
                <w:p w14:paraId="7F60BA4D">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cs="Times New Roman"/>
                      <w:color w:val="auto"/>
                      <w:szCs w:val="21"/>
                      <w:lang w:val="en-US" w:eastAsia="zh-CN"/>
                    </w:rPr>
                  </w:pPr>
                  <w:r>
                    <w:rPr>
                      <w:rFonts w:hint="eastAsia" w:ascii="Times New Roman" w:hAnsi="Times New Roman" w:eastAsia="宋体" w:cs="Times New Roman"/>
                      <w:color w:val="auto"/>
                      <w:kern w:val="2"/>
                      <w:sz w:val="21"/>
                      <w:szCs w:val="21"/>
                      <w:lang w:val="en-US" w:eastAsia="zh-CN" w:bidi="ar-SA"/>
                    </w:rPr>
                    <w:t>1.</w:t>
                  </w:r>
                  <w:r>
                    <w:rPr>
                      <w:rFonts w:hint="eastAsia" w:cs="Times New Roman"/>
                      <w:color w:val="auto"/>
                      <w:kern w:val="2"/>
                      <w:sz w:val="21"/>
                      <w:szCs w:val="21"/>
                      <w:lang w:val="en-US" w:eastAsia="zh-CN" w:bidi="ar-SA"/>
                    </w:rPr>
                    <w:t>1</w:t>
                  </w:r>
                </w:p>
              </w:tc>
            </w:tr>
            <w:tr w14:paraId="442C3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3817" w:type="dxa"/>
                  <w:gridSpan w:val="2"/>
                  <w:vMerge w:val="continue"/>
                  <w:tcBorders>
                    <w:tl2br w:val="nil"/>
                    <w:tr2bl w:val="nil"/>
                  </w:tcBorders>
                  <w:vAlign w:val="center"/>
                </w:tcPr>
                <w:p w14:paraId="7CFF88AB">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szCs w:val="21"/>
                    </w:rPr>
                  </w:pPr>
                </w:p>
              </w:tc>
              <w:tc>
                <w:tcPr>
                  <w:tcW w:w="2231" w:type="dxa"/>
                  <w:tcBorders>
                    <w:tl2br w:val="nil"/>
                    <w:tr2bl w:val="nil"/>
                  </w:tcBorders>
                  <w:vAlign w:val="center"/>
                </w:tcPr>
                <w:p w14:paraId="5AAD20BA">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szCs w:val="21"/>
                    </w:rPr>
                  </w:pPr>
                  <w:r>
                    <w:rPr>
                      <w:rFonts w:hint="eastAsia" w:cs="Times New Roman"/>
                      <w:color w:val="auto"/>
                      <w:szCs w:val="21"/>
                      <w:lang w:val="en-US" w:eastAsia="zh-CN"/>
                    </w:rPr>
                    <w:t>氮氧化物</w:t>
                  </w:r>
                </w:p>
              </w:tc>
              <w:tc>
                <w:tcPr>
                  <w:tcW w:w="1026" w:type="dxa"/>
                  <w:tcBorders>
                    <w:tl2br w:val="nil"/>
                    <w:tr2bl w:val="nil"/>
                  </w:tcBorders>
                  <w:vAlign w:val="center"/>
                </w:tcPr>
                <w:p w14:paraId="33FD1DDA">
                  <w:pPr>
                    <w:pStyle w:val="39"/>
                    <w:keepNext w:val="0"/>
                    <w:keepLines w:val="0"/>
                    <w:pageBreakBefore w:val="0"/>
                    <w:widowControl w:val="0"/>
                    <w:kinsoku/>
                    <w:wordWrap/>
                    <w:overflowPunct/>
                    <w:topLinePunct w:val="0"/>
                    <w:autoSpaceDE/>
                    <w:autoSpaceDN/>
                    <w:bidi w:val="0"/>
                    <w:snapToGrid w:val="0"/>
                    <w:spacing w:before="95" w:beforeLines="30" w:after="95" w:afterLines="30" w:line="240" w:lineRule="auto"/>
                    <w:ind w:firstLine="0" w:firstLineChars="0"/>
                    <w:textAlignment w:val="auto"/>
                    <w:rPr>
                      <w:rFonts w:hint="default" w:ascii="Times New Roman" w:hAnsi="Times New Roman" w:cs="Times New Roman"/>
                      <w:color w:val="auto"/>
                      <w:szCs w:val="21"/>
                      <w:lang w:val="en-US" w:eastAsia="zh-CN"/>
                    </w:rPr>
                  </w:pPr>
                  <w:r>
                    <w:rPr>
                      <w:rFonts w:hint="eastAsia" w:cs="Times New Roman"/>
                      <w:color w:val="auto"/>
                      <w:lang w:val="en-US" w:eastAsia="zh-CN"/>
                    </w:rPr>
                    <w:t>3.97</w:t>
                  </w:r>
                </w:p>
              </w:tc>
              <w:tc>
                <w:tcPr>
                  <w:tcW w:w="904" w:type="dxa"/>
                  <w:tcBorders>
                    <w:tl2br w:val="nil"/>
                    <w:tr2bl w:val="nil"/>
                  </w:tcBorders>
                  <w:vAlign w:val="center"/>
                </w:tcPr>
                <w:p w14:paraId="1D3B5137">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cs="Times New Roman"/>
                      <w:color w:val="auto"/>
                      <w:szCs w:val="21"/>
                      <w:lang w:val="en-US" w:eastAsia="zh-CN"/>
                    </w:rPr>
                  </w:pPr>
                  <w:r>
                    <w:rPr>
                      <w:rFonts w:hint="eastAsia" w:cs="黑体"/>
                      <w:color w:val="auto"/>
                      <w:sz w:val="21"/>
                      <w:szCs w:val="21"/>
                      <w:lang w:val="en-US" w:eastAsia="zh-CN"/>
                    </w:rPr>
                    <w:t>3.97</w:t>
                  </w:r>
                </w:p>
              </w:tc>
            </w:tr>
            <w:tr w14:paraId="61C77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3817" w:type="dxa"/>
                  <w:gridSpan w:val="2"/>
                  <w:vMerge w:val="continue"/>
                  <w:tcBorders>
                    <w:tl2br w:val="nil"/>
                    <w:tr2bl w:val="nil"/>
                  </w:tcBorders>
                  <w:vAlign w:val="center"/>
                </w:tcPr>
                <w:p w14:paraId="2B0341CC">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szCs w:val="21"/>
                    </w:rPr>
                  </w:pPr>
                </w:p>
              </w:tc>
              <w:tc>
                <w:tcPr>
                  <w:tcW w:w="2231" w:type="dxa"/>
                  <w:tcBorders>
                    <w:tl2br w:val="nil"/>
                    <w:tr2bl w:val="nil"/>
                  </w:tcBorders>
                  <w:vAlign w:val="center"/>
                </w:tcPr>
                <w:p w14:paraId="374E6FAF">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cs="Times New Roman"/>
                      <w:color w:val="auto"/>
                      <w:szCs w:val="21"/>
                    </w:rPr>
                  </w:pPr>
                  <w:r>
                    <w:rPr>
                      <w:rFonts w:hint="eastAsia" w:cs="Times New Roman"/>
                      <w:color w:val="auto"/>
                      <w:szCs w:val="21"/>
                      <w:lang w:val="en-US" w:eastAsia="zh-CN"/>
                    </w:rPr>
                    <w:t>氟化物</w:t>
                  </w:r>
                </w:p>
              </w:tc>
              <w:tc>
                <w:tcPr>
                  <w:tcW w:w="1026" w:type="dxa"/>
                  <w:tcBorders>
                    <w:tl2br w:val="nil"/>
                    <w:tr2bl w:val="nil"/>
                  </w:tcBorders>
                  <w:vAlign w:val="center"/>
                </w:tcPr>
                <w:p w14:paraId="60787607">
                  <w:pPr>
                    <w:pStyle w:val="39"/>
                    <w:keepNext w:val="0"/>
                    <w:keepLines w:val="0"/>
                    <w:pageBreakBefore w:val="0"/>
                    <w:widowControl w:val="0"/>
                    <w:kinsoku/>
                    <w:wordWrap/>
                    <w:overflowPunct/>
                    <w:topLinePunct w:val="0"/>
                    <w:autoSpaceDE/>
                    <w:autoSpaceDN/>
                    <w:bidi w:val="0"/>
                    <w:snapToGrid w:val="0"/>
                    <w:spacing w:before="95" w:beforeLines="30" w:after="95" w:afterLines="30" w:line="240" w:lineRule="auto"/>
                    <w:ind w:firstLine="0" w:firstLineChars="0"/>
                    <w:textAlignment w:val="auto"/>
                    <w:rPr>
                      <w:rFonts w:hint="default" w:ascii="Times New Roman" w:hAnsi="Times New Roman" w:cs="Times New Roman"/>
                      <w:color w:val="auto"/>
                      <w:szCs w:val="21"/>
                      <w:lang w:val="en-US" w:eastAsia="zh-CN"/>
                    </w:rPr>
                  </w:pPr>
                  <w:r>
                    <w:rPr>
                      <w:rFonts w:hint="eastAsia" w:cs="Times New Roman"/>
                      <w:color w:val="auto"/>
                      <w:lang w:val="en-US" w:eastAsia="zh-CN"/>
                    </w:rPr>
                    <w:t>0.807</w:t>
                  </w:r>
                </w:p>
              </w:tc>
              <w:tc>
                <w:tcPr>
                  <w:tcW w:w="904" w:type="dxa"/>
                  <w:tcBorders>
                    <w:tl2br w:val="nil"/>
                    <w:tr2bl w:val="nil"/>
                  </w:tcBorders>
                  <w:vAlign w:val="center"/>
                </w:tcPr>
                <w:p w14:paraId="41DD02D6">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cs="Times New Roman"/>
                      <w:color w:val="auto"/>
                      <w:szCs w:val="21"/>
                      <w:lang w:val="en-US" w:eastAsia="zh-CN"/>
                    </w:rPr>
                  </w:pPr>
                  <w:r>
                    <w:rPr>
                      <w:rFonts w:hint="eastAsia"/>
                      <w:color w:val="auto"/>
                      <w:lang w:val="en-US" w:eastAsia="zh-CN"/>
                    </w:rPr>
                    <w:t>0.04</w:t>
                  </w:r>
                </w:p>
              </w:tc>
            </w:tr>
          </w:tbl>
          <w:p w14:paraId="1EEE369E">
            <w:pPr>
              <w:widowControl w:val="0"/>
              <w:bidi w:val="0"/>
              <w:spacing w:line="360" w:lineRule="auto"/>
              <w:ind w:firstLine="422" w:firstLineChars="200"/>
              <w:jc w:val="both"/>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w:t>
            </w:r>
            <w:r>
              <w:rPr>
                <w:rFonts w:hint="eastAsia" w:cs="Times New Roman"/>
                <w:b/>
                <w:bCs/>
                <w:color w:val="auto"/>
                <w:kern w:val="2"/>
                <w:sz w:val="21"/>
                <w:szCs w:val="21"/>
                <w:lang w:val="en-US" w:eastAsia="zh-CN" w:bidi="ar-SA"/>
              </w:rPr>
              <w:t>3</w:t>
            </w:r>
            <w:r>
              <w:rPr>
                <w:rFonts w:hint="eastAsia" w:ascii="Times New Roman" w:hAnsi="Times New Roman" w:eastAsia="宋体" w:cs="Times New Roman"/>
                <w:b/>
                <w:bCs/>
                <w:color w:val="auto"/>
                <w:kern w:val="2"/>
                <w:sz w:val="21"/>
                <w:szCs w:val="21"/>
                <w:lang w:val="en-US" w:eastAsia="zh-CN" w:bidi="ar-SA"/>
              </w:rPr>
              <w:t>）项目排放口信息</w:t>
            </w:r>
          </w:p>
          <w:p w14:paraId="7C1BC2BF">
            <w:pPr>
              <w:widowControl w:val="0"/>
              <w:bidi w:val="0"/>
              <w:spacing w:line="360" w:lineRule="auto"/>
              <w:ind w:firstLine="420" w:firstLineChars="200"/>
              <w:jc w:val="both"/>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本项目排放口信息见下表：</w:t>
            </w:r>
          </w:p>
          <w:p w14:paraId="5BFD85BA">
            <w:pPr>
              <w:widowControl w:val="0"/>
              <w:bidi w:val="0"/>
              <w:spacing w:line="360" w:lineRule="auto"/>
              <w:ind w:firstLine="422" w:firstLineChars="200"/>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表4-</w:t>
            </w:r>
            <w:r>
              <w:rPr>
                <w:rFonts w:hint="eastAsia" w:cs="Times New Roman"/>
                <w:b/>
                <w:bCs/>
                <w:color w:val="auto"/>
                <w:kern w:val="2"/>
                <w:sz w:val="21"/>
                <w:szCs w:val="21"/>
                <w:lang w:val="en-US" w:eastAsia="zh-CN" w:bidi="ar-SA"/>
              </w:rPr>
              <w:t>6</w:t>
            </w:r>
            <w:r>
              <w:rPr>
                <w:rFonts w:hint="eastAsia" w:ascii="Times New Roman" w:hAnsi="Times New Roman" w:eastAsia="宋体" w:cs="Times New Roman"/>
                <w:b/>
                <w:bCs/>
                <w:color w:val="auto"/>
                <w:kern w:val="2"/>
                <w:sz w:val="21"/>
                <w:szCs w:val="21"/>
                <w:lang w:val="en-US" w:eastAsia="zh-CN" w:bidi="ar-SA"/>
              </w:rPr>
              <w:t xml:space="preserve">  排放口信息一览表</w:t>
            </w:r>
          </w:p>
          <w:tbl>
            <w:tblPr>
              <w:tblStyle w:val="30"/>
              <w:tblW w:w="7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835"/>
              <w:gridCol w:w="835"/>
              <w:gridCol w:w="780"/>
              <w:gridCol w:w="700"/>
              <w:gridCol w:w="1140"/>
              <w:gridCol w:w="2832"/>
            </w:tblGrid>
            <w:tr w14:paraId="09BA7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876" w:type="dxa"/>
                  <w:vMerge w:val="restart"/>
                  <w:vAlign w:val="center"/>
                </w:tcPr>
                <w:p w14:paraId="699E6014">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排放口编号</w:t>
                  </w:r>
                </w:p>
              </w:tc>
              <w:tc>
                <w:tcPr>
                  <w:tcW w:w="1670" w:type="dxa"/>
                  <w:gridSpan w:val="2"/>
                  <w:vAlign w:val="center"/>
                </w:tcPr>
                <w:p w14:paraId="64873D65">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地理坐标  °</w:t>
                  </w:r>
                </w:p>
              </w:tc>
              <w:tc>
                <w:tcPr>
                  <w:tcW w:w="2620" w:type="dxa"/>
                  <w:gridSpan w:val="3"/>
                  <w:vAlign w:val="center"/>
                </w:tcPr>
                <w:p w14:paraId="5131E751">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排气筒参数</w:t>
                  </w:r>
                </w:p>
              </w:tc>
              <w:tc>
                <w:tcPr>
                  <w:tcW w:w="2832" w:type="dxa"/>
                  <w:vMerge w:val="restart"/>
                  <w:vAlign w:val="center"/>
                </w:tcPr>
                <w:p w14:paraId="7CBFEA5A">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排放标准</w:t>
                  </w:r>
                </w:p>
              </w:tc>
            </w:tr>
            <w:tr w14:paraId="6A272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876" w:type="dxa"/>
                  <w:vMerge w:val="continue"/>
                  <w:vAlign w:val="center"/>
                </w:tcPr>
                <w:p w14:paraId="76BB7ACC">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835" w:type="dxa"/>
                  <w:vAlign w:val="center"/>
                </w:tcPr>
                <w:p w14:paraId="1BC30DFD">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经度</w:t>
                  </w:r>
                </w:p>
              </w:tc>
              <w:tc>
                <w:tcPr>
                  <w:tcW w:w="835" w:type="dxa"/>
                  <w:vAlign w:val="center"/>
                </w:tcPr>
                <w:p w14:paraId="7CA6BED5">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纬度</w:t>
                  </w:r>
                </w:p>
              </w:tc>
              <w:tc>
                <w:tcPr>
                  <w:tcW w:w="780" w:type="dxa"/>
                  <w:vAlign w:val="center"/>
                </w:tcPr>
                <w:p w14:paraId="76458A83">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高度m</w:t>
                  </w:r>
                </w:p>
              </w:tc>
              <w:tc>
                <w:tcPr>
                  <w:tcW w:w="700" w:type="dxa"/>
                  <w:vAlign w:val="center"/>
                </w:tcPr>
                <w:p w14:paraId="6D54D7EB">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内径m</w:t>
                  </w:r>
                </w:p>
              </w:tc>
              <w:tc>
                <w:tcPr>
                  <w:tcW w:w="1140" w:type="dxa"/>
                  <w:vAlign w:val="center"/>
                </w:tcPr>
                <w:p w14:paraId="03E040F0">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排气筒温度℃</w:t>
                  </w:r>
                </w:p>
              </w:tc>
              <w:tc>
                <w:tcPr>
                  <w:tcW w:w="2832" w:type="dxa"/>
                  <w:vMerge w:val="continue"/>
                  <w:vAlign w:val="center"/>
                </w:tcPr>
                <w:p w14:paraId="3B4FD56F">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r>
            <w:tr w14:paraId="221BF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876" w:type="dxa"/>
                  <w:vAlign w:val="center"/>
                </w:tcPr>
                <w:p w14:paraId="42EF3367">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DA001</w:t>
                  </w:r>
                </w:p>
              </w:tc>
              <w:tc>
                <w:tcPr>
                  <w:tcW w:w="835" w:type="dxa"/>
                  <w:vAlign w:val="center"/>
                </w:tcPr>
                <w:p w14:paraId="1BC638EF">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102°55'13.616"</w:t>
                  </w:r>
                </w:p>
              </w:tc>
              <w:tc>
                <w:tcPr>
                  <w:tcW w:w="835" w:type="dxa"/>
                  <w:vAlign w:val="center"/>
                </w:tcPr>
                <w:p w14:paraId="4CDD484E">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24°12'19.703"</w:t>
                  </w:r>
                </w:p>
              </w:tc>
              <w:tc>
                <w:tcPr>
                  <w:tcW w:w="780" w:type="dxa"/>
                  <w:vAlign w:val="center"/>
                </w:tcPr>
                <w:p w14:paraId="3F440426">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15</w:t>
                  </w:r>
                </w:p>
              </w:tc>
              <w:tc>
                <w:tcPr>
                  <w:tcW w:w="700" w:type="dxa"/>
                  <w:vAlign w:val="center"/>
                </w:tcPr>
                <w:p w14:paraId="6847BE7E">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0.5</w:t>
                  </w:r>
                </w:p>
              </w:tc>
              <w:tc>
                <w:tcPr>
                  <w:tcW w:w="1140" w:type="dxa"/>
                  <w:vAlign w:val="center"/>
                </w:tcPr>
                <w:p w14:paraId="47E1BB6C">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128</w:t>
                  </w:r>
                </w:p>
              </w:tc>
              <w:tc>
                <w:tcPr>
                  <w:tcW w:w="2832" w:type="dxa"/>
                  <w:vAlign w:val="center"/>
                </w:tcPr>
                <w:p w14:paraId="360C8B38">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eastAsia="宋体"/>
                      <w:color w:val="auto"/>
                      <w:kern w:val="0"/>
                      <w:szCs w:val="21"/>
                    </w:rPr>
                    <w:t>《砖瓦工业大气污染物排放标准》（GB29620-2013）</w:t>
                  </w:r>
                  <w:r>
                    <w:rPr>
                      <w:rFonts w:hint="eastAsia" w:eastAsia="宋体"/>
                      <w:color w:val="auto"/>
                      <w:kern w:val="0"/>
                      <w:szCs w:val="21"/>
                      <w:lang w:val="en-US" w:eastAsia="zh-CN"/>
                    </w:rPr>
                    <w:t>及修改单</w:t>
                  </w:r>
                </w:p>
              </w:tc>
            </w:tr>
          </w:tbl>
          <w:p w14:paraId="7BBDDC50">
            <w:pPr>
              <w:widowControl w:val="0"/>
              <w:bidi w:val="0"/>
              <w:spacing w:line="360" w:lineRule="auto"/>
              <w:ind w:left="0" w:leftChars="0" w:firstLine="420" w:firstLineChars="200"/>
              <w:jc w:val="both"/>
              <w:rPr>
                <w:rFonts w:hint="eastAsia" w:ascii="Times New Roman" w:hAnsi="Times New Roman" w:eastAsia="宋体" w:cs="Times New Roman"/>
                <w:b/>
                <w:bCs/>
                <w:color w:val="auto"/>
                <w:kern w:val="2"/>
                <w:sz w:val="21"/>
                <w:szCs w:val="21"/>
                <w:lang w:val="en-US" w:eastAsia="zh-CN" w:bidi="ar-SA"/>
              </w:rPr>
            </w:pPr>
            <w:r>
              <w:rPr>
                <w:rFonts w:hint="eastAsia" w:cs="Times New Roman"/>
                <w:b w:val="0"/>
                <w:bCs w:val="0"/>
                <w:color w:val="auto"/>
                <w:kern w:val="2"/>
                <w:sz w:val="21"/>
                <w:szCs w:val="21"/>
                <w:lang w:val="en-US" w:eastAsia="zh-CN" w:bidi="ar-SA"/>
              </w:rPr>
              <w:t>排放口高度设置合理性分析：根据</w:t>
            </w:r>
            <w:r>
              <w:rPr>
                <w:rFonts w:hint="eastAsia" w:eastAsia="宋体"/>
                <w:b w:val="0"/>
                <w:bCs w:val="0"/>
                <w:color w:val="auto"/>
                <w:kern w:val="0"/>
                <w:szCs w:val="21"/>
              </w:rPr>
              <w:t>《</w:t>
            </w:r>
            <w:r>
              <w:rPr>
                <w:rFonts w:hint="eastAsia" w:eastAsia="宋体"/>
                <w:color w:val="auto"/>
                <w:kern w:val="0"/>
                <w:szCs w:val="21"/>
              </w:rPr>
              <w:t>砖瓦工业大气污染物排放标准》（GB29620-2013）</w:t>
            </w:r>
            <w:r>
              <w:rPr>
                <w:rFonts w:hint="eastAsia" w:eastAsia="宋体"/>
                <w:color w:val="auto"/>
                <w:kern w:val="0"/>
                <w:szCs w:val="21"/>
                <w:lang w:val="en-US" w:eastAsia="zh-CN"/>
              </w:rPr>
              <w:t>及修改单</w:t>
            </w:r>
            <w:r>
              <w:rPr>
                <w:rFonts w:hint="eastAsia"/>
                <w:color w:val="auto"/>
                <w:kern w:val="0"/>
                <w:szCs w:val="21"/>
                <w:lang w:val="en-US" w:eastAsia="zh-CN"/>
              </w:rPr>
              <w:t>中“4.6产生大气污染物的生产工艺和装置必须设立局部或整体气体收集系统和集中净化处理装置。人工干燥及焙烧窑的排气筒高度一律不得低于15m。排气筒周围半径200m范围内有建筑物时，排气筒高度还应高出最高建筑物3m以上。”根据现场踏勘结果，项目厂房高度为12m，周围200m内没有12m以上的建筑物，本项目排放口高度设置为15m合理。</w:t>
            </w:r>
          </w:p>
          <w:p w14:paraId="058696F3">
            <w:pPr>
              <w:widowControl w:val="0"/>
              <w:bidi w:val="0"/>
              <w:spacing w:line="360" w:lineRule="auto"/>
              <w:ind w:left="0" w:leftChars="0" w:firstLine="422" w:firstLineChars="200"/>
              <w:jc w:val="both"/>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w:t>
            </w:r>
            <w:r>
              <w:rPr>
                <w:rFonts w:hint="eastAsia" w:cs="Times New Roman"/>
                <w:b/>
                <w:bCs/>
                <w:color w:val="auto"/>
                <w:kern w:val="2"/>
                <w:sz w:val="21"/>
                <w:szCs w:val="21"/>
                <w:lang w:val="en-US" w:eastAsia="zh-CN" w:bidi="ar-SA"/>
              </w:rPr>
              <w:t>4</w:t>
            </w:r>
            <w:r>
              <w:rPr>
                <w:rFonts w:hint="eastAsia" w:ascii="Times New Roman" w:hAnsi="Times New Roman" w:eastAsia="宋体" w:cs="Times New Roman"/>
                <w:b/>
                <w:bCs/>
                <w:color w:val="auto"/>
                <w:kern w:val="2"/>
                <w:sz w:val="21"/>
                <w:szCs w:val="21"/>
                <w:lang w:val="en-US" w:eastAsia="zh-CN" w:bidi="ar-SA"/>
              </w:rPr>
              <w:t>）环保措施可行性分析</w:t>
            </w:r>
          </w:p>
          <w:p w14:paraId="1F476422">
            <w:pPr>
              <w:pStyle w:val="38"/>
              <w:bidi w:val="0"/>
              <w:rPr>
                <w:rFonts w:hint="eastAsia"/>
                <w:color w:val="auto"/>
                <w:lang w:val="en-US" w:eastAsia="zh-CN"/>
              </w:rPr>
            </w:pPr>
            <w:r>
              <w:rPr>
                <w:rFonts w:hint="eastAsia"/>
                <w:color w:val="auto"/>
                <w:lang w:val="en-US" w:eastAsia="zh-CN"/>
              </w:rPr>
              <w:t>①有组织废气</w:t>
            </w:r>
          </w:p>
          <w:p w14:paraId="3EC691E7">
            <w:pPr>
              <w:pStyle w:val="38"/>
              <w:bidi w:val="0"/>
              <w:rPr>
                <w:rFonts w:hint="eastAsia"/>
                <w:color w:val="auto"/>
                <w:lang w:val="en-US" w:eastAsia="zh-CN"/>
              </w:rPr>
            </w:pPr>
            <w:r>
              <w:rPr>
                <w:rFonts w:hint="eastAsia"/>
                <w:color w:val="auto"/>
                <w:lang w:val="en-US" w:eastAsia="zh-CN"/>
              </w:rPr>
              <w:t>根据《排污许可证申请与核发技术规范-工业炉窑》（HJ1121-2020）、《排污许可证申请与核发技术规范-陶瓷砖瓦工业》（HJ954-2018），废气污染防治可行技术与本项目采用技术对比见下表。</w:t>
            </w:r>
          </w:p>
          <w:p w14:paraId="603CFCCA">
            <w:pPr>
              <w:widowControl w:val="0"/>
              <w:bidi w:val="0"/>
              <w:spacing w:line="360" w:lineRule="auto"/>
              <w:ind w:firstLine="422" w:firstLineChars="200"/>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表4-</w:t>
            </w:r>
            <w:r>
              <w:rPr>
                <w:rFonts w:hint="eastAsia" w:cs="Times New Roman"/>
                <w:b/>
                <w:bCs/>
                <w:color w:val="auto"/>
                <w:kern w:val="2"/>
                <w:sz w:val="21"/>
                <w:szCs w:val="21"/>
                <w:lang w:val="en-US" w:eastAsia="zh-CN" w:bidi="ar-SA"/>
              </w:rPr>
              <w:t>7-1</w:t>
            </w:r>
            <w:r>
              <w:rPr>
                <w:rFonts w:hint="eastAsia" w:ascii="Times New Roman" w:hAnsi="Times New Roman" w:eastAsia="宋体" w:cs="Times New Roman"/>
                <w:b/>
                <w:bCs/>
                <w:color w:val="auto"/>
                <w:kern w:val="2"/>
                <w:sz w:val="21"/>
                <w:szCs w:val="21"/>
                <w:lang w:val="en-US" w:eastAsia="zh-CN" w:bidi="ar-SA"/>
              </w:rPr>
              <w:t xml:space="preserve">  废气污染防治可行技术与本项目采用技术对比表</w:t>
            </w:r>
          </w:p>
          <w:tbl>
            <w:tblPr>
              <w:tblStyle w:val="30"/>
              <w:tblW w:w="78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1"/>
              <w:gridCol w:w="3146"/>
              <w:gridCol w:w="1777"/>
              <w:gridCol w:w="1215"/>
            </w:tblGrid>
            <w:tr w14:paraId="24434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721" w:type="dxa"/>
                </w:tcPr>
                <w:p w14:paraId="138EA82B">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污染物</w:t>
                  </w:r>
                </w:p>
              </w:tc>
              <w:tc>
                <w:tcPr>
                  <w:tcW w:w="3146" w:type="dxa"/>
                  <w:vAlign w:val="top"/>
                </w:tcPr>
                <w:p w14:paraId="482ABE58">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可行技术</w:t>
                  </w:r>
                </w:p>
              </w:tc>
              <w:tc>
                <w:tcPr>
                  <w:tcW w:w="1777" w:type="dxa"/>
                  <w:vAlign w:val="top"/>
                </w:tcPr>
                <w:p w14:paraId="3A8C1E36">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本项目采用技术</w:t>
                  </w:r>
                </w:p>
              </w:tc>
              <w:tc>
                <w:tcPr>
                  <w:tcW w:w="1215" w:type="dxa"/>
                  <w:vAlign w:val="top"/>
                </w:tcPr>
                <w:p w14:paraId="0C26966A">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可行性</w:t>
                  </w:r>
                </w:p>
              </w:tc>
            </w:tr>
            <w:tr w14:paraId="743AF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721" w:type="dxa"/>
                </w:tcPr>
                <w:p w14:paraId="28A5B605">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颗粒物</w:t>
                  </w:r>
                </w:p>
              </w:tc>
              <w:tc>
                <w:tcPr>
                  <w:tcW w:w="3146" w:type="dxa"/>
                </w:tcPr>
                <w:p w14:paraId="5BF9749D">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布袋除尘等技术</w:t>
                  </w:r>
                </w:p>
              </w:tc>
              <w:tc>
                <w:tcPr>
                  <w:tcW w:w="1777" w:type="dxa"/>
                  <w:vAlign w:val="center"/>
                </w:tcPr>
                <w:p w14:paraId="53FC0C57">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布袋除尘器</w:t>
                  </w:r>
                </w:p>
              </w:tc>
              <w:tc>
                <w:tcPr>
                  <w:tcW w:w="1215" w:type="dxa"/>
                  <w:vMerge w:val="restart"/>
                  <w:vAlign w:val="center"/>
                </w:tcPr>
                <w:p w14:paraId="34BBC068">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可行</w:t>
                  </w:r>
                </w:p>
              </w:tc>
            </w:tr>
            <w:tr w14:paraId="619A5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721" w:type="dxa"/>
                </w:tcPr>
                <w:p w14:paraId="60B8254A">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二氧化硫</w:t>
                  </w:r>
                </w:p>
              </w:tc>
              <w:tc>
                <w:tcPr>
                  <w:tcW w:w="3146" w:type="dxa"/>
                </w:tcPr>
                <w:p w14:paraId="5B04C1A0">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湿法脱硫技术</w:t>
                  </w:r>
                </w:p>
              </w:tc>
              <w:tc>
                <w:tcPr>
                  <w:tcW w:w="1777" w:type="dxa"/>
                </w:tcPr>
                <w:p w14:paraId="3D6E6BCD">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脱硫塔</w:t>
                  </w:r>
                  <w:r>
                    <w:rPr>
                      <w:rFonts w:hint="eastAsia" w:ascii="Times New Roman" w:hAnsi="Times New Roman" w:eastAsia="宋体" w:cs="Times New Roman"/>
                      <w:color w:val="auto"/>
                      <w:kern w:val="2"/>
                      <w:sz w:val="21"/>
                      <w:szCs w:val="21"/>
                      <w:lang w:val="en-US" w:eastAsia="zh-CN" w:bidi="ar-SA"/>
                    </w:rPr>
                    <w:t>（双碱法）</w:t>
                  </w:r>
                </w:p>
              </w:tc>
              <w:tc>
                <w:tcPr>
                  <w:tcW w:w="1215" w:type="dxa"/>
                  <w:vMerge w:val="continue"/>
                </w:tcPr>
                <w:p w14:paraId="5F3B8F18">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both"/>
                    <w:textAlignment w:val="auto"/>
                    <w:rPr>
                      <w:rFonts w:hint="default" w:ascii="Times New Roman" w:hAnsi="Times New Roman" w:eastAsia="宋体" w:cs="Times New Roman"/>
                      <w:color w:val="auto"/>
                      <w:kern w:val="2"/>
                      <w:sz w:val="21"/>
                      <w:szCs w:val="21"/>
                      <w:vertAlign w:val="baseline"/>
                      <w:lang w:val="en-US" w:eastAsia="zh-CN" w:bidi="ar-SA"/>
                    </w:rPr>
                  </w:pPr>
                </w:p>
              </w:tc>
            </w:tr>
            <w:tr w14:paraId="7BAA7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721" w:type="dxa"/>
                  <w:vAlign w:val="center"/>
                </w:tcPr>
                <w:p w14:paraId="16029155">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氟化物</w:t>
                  </w:r>
                </w:p>
              </w:tc>
              <w:tc>
                <w:tcPr>
                  <w:tcW w:w="3146" w:type="dxa"/>
                  <w:vAlign w:val="center"/>
                </w:tcPr>
                <w:p w14:paraId="277CB399">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湿法脱</w:t>
                  </w:r>
                  <w:r>
                    <w:rPr>
                      <w:rFonts w:hint="eastAsia" w:cs="Times New Roman"/>
                      <w:color w:val="auto"/>
                      <w:kern w:val="2"/>
                      <w:sz w:val="21"/>
                      <w:szCs w:val="21"/>
                      <w:lang w:val="en-US" w:eastAsia="zh-CN" w:bidi="ar-SA"/>
                    </w:rPr>
                    <w:t>氟</w:t>
                  </w:r>
                  <w:r>
                    <w:rPr>
                      <w:rFonts w:hint="eastAsia" w:ascii="Times New Roman" w:hAnsi="Times New Roman" w:eastAsia="宋体" w:cs="Times New Roman"/>
                      <w:color w:val="auto"/>
                      <w:kern w:val="2"/>
                      <w:sz w:val="21"/>
                      <w:szCs w:val="21"/>
                      <w:lang w:val="en-US" w:eastAsia="zh-CN" w:bidi="ar-SA"/>
                    </w:rPr>
                    <w:t>技术</w:t>
                  </w:r>
                </w:p>
              </w:tc>
              <w:tc>
                <w:tcPr>
                  <w:tcW w:w="1777" w:type="dxa"/>
                  <w:vAlign w:val="center"/>
                </w:tcPr>
                <w:p w14:paraId="3CAAC582">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脱硫塔协同处置</w:t>
                  </w:r>
                </w:p>
              </w:tc>
              <w:tc>
                <w:tcPr>
                  <w:tcW w:w="1215" w:type="dxa"/>
                  <w:vMerge w:val="continue"/>
                  <w:vAlign w:val="center"/>
                </w:tcPr>
                <w:p w14:paraId="4017AA36">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both"/>
                    <w:textAlignment w:val="auto"/>
                    <w:rPr>
                      <w:rFonts w:hint="default" w:ascii="Times New Roman" w:hAnsi="Times New Roman" w:eastAsia="宋体" w:cs="Times New Roman"/>
                      <w:color w:val="auto"/>
                      <w:kern w:val="2"/>
                      <w:sz w:val="21"/>
                      <w:szCs w:val="21"/>
                      <w:vertAlign w:val="baseline"/>
                      <w:lang w:val="en-US" w:eastAsia="zh-CN" w:bidi="ar-SA"/>
                    </w:rPr>
                  </w:pPr>
                </w:p>
              </w:tc>
            </w:tr>
          </w:tbl>
          <w:p w14:paraId="3E9715C3">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Times New Roman" w:hAnsi="Times New Roman" w:eastAsia="宋体" w:cs="黑体"/>
                <w:color w:val="auto"/>
                <w:sz w:val="21"/>
                <w:szCs w:val="21"/>
                <w:lang w:eastAsia="zh-CN"/>
              </w:rPr>
            </w:pPr>
            <w:r>
              <w:rPr>
                <w:rFonts w:ascii="Times New Roman" w:hAnsi="Times New Roman" w:eastAsia="宋体" w:cs="Times New Roman"/>
                <w:color w:val="auto"/>
                <w:sz w:val="21"/>
                <w:szCs w:val="21"/>
              </w:rPr>
              <w:t>项目</w:t>
            </w:r>
            <w:r>
              <w:rPr>
                <w:rFonts w:hint="default" w:ascii="Times New Roman" w:hAnsi="Times New Roman" w:eastAsia="宋体" w:cs="Times New Roman"/>
                <w:b w:val="0"/>
                <w:bCs/>
                <w:color w:val="auto"/>
                <w:sz w:val="21"/>
                <w:szCs w:val="21"/>
                <w:lang w:eastAsia="zh-CN"/>
              </w:rPr>
              <w:t>梭式窑</w:t>
            </w:r>
            <w:r>
              <w:rPr>
                <w:rFonts w:hint="eastAsia" w:ascii="Times New Roman" w:hAnsi="Times New Roman" w:eastAsia="宋体" w:cs="Times New Roman"/>
                <w:b w:val="0"/>
                <w:bCs/>
                <w:color w:val="auto"/>
                <w:sz w:val="21"/>
                <w:szCs w:val="21"/>
                <w:lang w:eastAsia="zh-CN"/>
              </w:rPr>
              <w:t>烧制砖瓦产生的</w:t>
            </w:r>
            <w:r>
              <w:rPr>
                <w:rFonts w:hint="default" w:ascii="Times New Roman" w:hAnsi="Times New Roman" w:eastAsia="宋体" w:cs="Times New Roman"/>
                <w:b w:val="0"/>
                <w:bCs/>
                <w:color w:val="auto"/>
                <w:sz w:val="21"/>
                <w:szCs w:val="21"/>
              </w:rPr>
              <w:t>废气</w:t>
            </w:r>
            <w:r>
              <w:rPr>
                <w:rFonts w:hint="eastAsia" w:ascii="Times New Roman" w:hAnsi="Times New Roman" w:eastAsia="宋体" w:cs="Times New Roman"/>
                <w:b w:val="0"/>
                <w:bCs/>
                <w:color w:val="auto"/>
                <w:sz w:val="21"/>
                <w:szCs w:val="21"/>
                <w:lang w:eastAsia="zh-CN"/>
              </w:rPr>
              <w:t>采用</w:t>
            </w:r>
            <w:r>
              <w:rPr>
                <w:rFonts w:hint="eastAsia" w:ascii="Times New Roman" w:hAnsi="Times New Roman" w:eastAsia="宋体" w:cs="黑体"/>
                <w:b w:val="0"/>
                <w:bCs/>
                <w:color w:val="auto"/>
                <w:sz w:val="21"/>
                <w:szCs w:val="21"/>
                <w:lang w:val="en-US" w:eastAsia="zh-CN"/>
              </w:rPr>
              <w:t>布袋除尘器+</w:t>
            </w:r>
            <w:r>
              <w:rPr>
                <w:rFonts w:hint="default" w:ascii="Times New Roman" w:hAnsi="Times New Roman" w:eastAsia="宋体" w:cs="黑体"/>
                <w:b w:val="0"/>
                <w:bCs/>
                <w:color w:val="auto"/>
                <w:sz w:val="21"/>
                <w:szCs w:val="21"/>
                <w:lang w:val="en-US" w:eastAsia="zh-CN"/>
              </w:rPr>
              <w:t>脱硫塔</w:t>
            </w:r>
            <w:r>
              <w:rPr>
                <w:rFonts w:hint="eastAsia" w:ascii="Times New Roman" w:hAnsi="Times New Roman" w:eastAsia="宋体" w:cs="黑体"/>
                <w:color w:val="auto"/>
                <w:sz w:val="21"/>
                <w:szCs w:val="21"/>
              </w:rPr>
              <w:t>处理</w:t>
            </w:r>
            <w:r>
              <w:rPr>
                <w:rFonts w:ascii="Times New Roman" w:hAnsi="Times New Roman" w:eastAsia="宋体" w:cs="Times New Roman"/>
                <w:color w:val="auto"/>
                <w:sz w:val="21"/>
                <w:szCs w:val="21"/>
              </w:rPr>
              <w:t>，选用</w:t>
            </w:r>
            <w:r>
              <w:rPr>
                <w:rFonts w:hint="eastAsia" w:ascii="Times New Roman" w:hAnsi="Times New Roman" w:eastAsia="宋体" w:cs="Times New Roman"/>
                <w:color w:val="auto"/>
                <w:sz w:val="21"/>
                <w:szCs w:val="21"/>
                <w:lang w:eastAsia="zh-CN"/>
              </w:rPr>
              <w:t>的废气治理措施</w:t>
            </w:r>
            <w:r>
              <w:rPr>
                <w:rFonts w:ascii="Times New Roman" w:hAnsi="Times New Roman" w:eastAsia="宋体" w:cs="Times New Roman"/>
                <w:color w:val="auto"/>
                <w:sz w:val="21"/>
                <w:szCs w:val="21"/>
              </w:rPr>
              <w:t>属于</w:t>
            </w:r>
            <w:r>
              <w:rPr>
                <w:rFonts w:hint="eastAsia" w:ascii="Times New Roman" w:hAnsi="Times New Roman" w:eastAsia="宋体" w:cs="Times New Roman"/>
                <w:color w:val="auto"/>
                <w:sz w:val="21"/>
                <w:szCs w:val="21"/>
              </w:rPr>
              <w:t>排污许可证申请与核发技术规范</w:t>
            </w:r>
            <w:r>
              <w:rPr>
                <w:rFonts w:ascii="Times New Roman" w:hAnsi="Times New Roman" w:eastAsia="宋体" w:cs="Times New Roman"/>
                <w:color w:val="auto"/>
                <w:sz w:val="21"/>
                <w:szCs w:val="21"/>
              </w:rPr>
              <w:t>中的</w:t>
            </w:r>
            <w:r>
              <w:rPr>
                <w:rFonts w:hint="eastAsia" w:ascii="Times New Roman" w:hAnsi="Times New Roman" w:eastAsia="宋体" w:cs="Times New Roman"/>
                <w:color w:val="auto"/>
                <w:sz w:val="21"/>
                <w:szCs w:val="21"/>
              </w:rPr>
              <w:t>可行技术</w:t>
            </w:r>
            <w:r>
              <w:rPr>
                <w:rFonts w:hint="eastAsia" w:ascii="Times New Roman" w:hAnsi="Times New Roman" w:eastAsia="宋体" w:cs="Times New Roman"/>
                <w:color w:val="auto"/>
                <w:sz w:val="21"/>
                <w:szCs w:val="21"/>
                <w:lang w:eastAsia="zh-CN"/>
              </w:rPr>
              <w:t>。</w:t>
            </w:r>
          </w:p>
          <w:p w14:paraId="23D6B037">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Times New Roman" w:hAnsi="Times New Roman" w:eastAsia="宋体" w:cs="Times New Roman"/>
                <w:b w:val="0"/>
                <w:bCs w:val="0"/>
                <w:color w:val="auto"/>
                <w:sz w:val="21"/>
                <w:szCs w:val="21"/>
                <w:lang w:eastAsia="zh-CN"/>
              </w:rPr>
            </w:pPr>
            <w:r>
              <w:rPr>
                <w:rFonts w:hint="eastAsia" w:ascii="宋体" w:hAnsi="宋体" w:eastAsia="宋体" w:cs="宋体"/>
                <w:b w:val="0"/>
                <w:bCs w:val="0"/>
                <w:color w:val="auto"/>
                <w:sz w:val="21"/>
                <w:szCs w:val="21"/>
                <w:lang w:val="en-US" w:eastAsia="zh-CN"/>
              </w:rPr>
              <w:t>②</w:t>
            </w:r>
            <w:r>
              <w:rPr>
                <w:rFonts w:hint="eastAsia" w:ascii="Times New Roman" w:hAnsi="Times New Roman" w:eastAsia="宋体" w:cs="Times New Roman"/>
                <w:b w:val="0"/>
                <w:bCs w:val="0"/>
                <w:color w:val="auto"/>
                <w:sz w:val="21"/>
                <w:szCs w:val="21"/>
                <w:lang w:val="en-US" w:eastAsia="zh-CN"/>
              </w:rPr>
              <w:t>无组织废气</w:t>
            </w:r>
          </w:p>
          <w:p w14:paraId="5B171110">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Times New Roman" w:hAnsi="Times New Roman" w:eastAsia="宋体" w:cs="黑体"/>
                <w:color w:val="auto"/>
                <w:sz w:val="21"/>
                <w:szCs w:val="21"/>
                <w:lang w:eastAsia="zh-CN"/>
              </w:rPr>
            </w:pPr>
            <w:r>
              <w:rPr>
                <w:rFonts w:hint="eastAsia" w:ascii="Times New Roman" w:hAnsi="Times New Roman" w:eastAsia="宋体" w:cs="Times New Roman"/>
                <w:color w:val="auto"/>
                <w:sz w:val="21"/>
                <w:szCs w:val="21"/>
                <w:lang w:eastAsia="zh-CN"/>
              </w:rPr>
              <w:t>对照</w:t>
            </w:r>
            <w:r>
              <w:rPr>
                <w:rFonts w:hint="eastAsia" w:ascii="Times New Roman" w:hAnsi="Times New Roman" w:eastAsia="宋体" w:cs="黑体"/>
                <w:b w:val="0"/>
                <w:bCs w:val="0"/>
                <w:color w:val="auto"/>
                <w:sz w:val="21"/>
                <w:szCs w:val="21"/>
                <w:lang w:eastAsia="zh-CN"/>
              </w:rPr>
              <w:t>《排污许可证申请与核发技术规范</w:t>
            </w:r>
            <w:r>
              <w:rPr>
                <w:rFonts w:hint="eastAsia" w:ascii="Times New Roman" w:hAnsi="Times New Roman" w:eastAsia="宋体" w:cs="黑体"/>
                <w:b w:val="0"/>
                <w:bCs w:val="0"/>
                <w:color w:val="auto"/>
                <w:sz w:val="21"/>
                <w:szCs w:val="21"/>
                <w:lang w:val="en-US" w:eastAsia="zh-CN"/>
              </w:rPr>
              <w:t xml:space="preserve"> </w:t>
            </w:r>
            <w:r>
              <w:rPr>
                <w:rFonts w:hint="eastAsia" w:ascii="Times New Roman" w:hAnsi="Times New Roman" w:eastAsia="宋体" w:cs="黑体"/>
                <w:b w:val="0"/>
                <w:bCs w:val="0"/>
                <w:color w:val="auto"/>
                <w:sz w:val="21"/>
                <w:szCs w:val="21"/>
                <w:lang w:eastAsia="zh-CN"/>
              </w:rPr>
              <w:t>陶瓷砖瓦工业》（HJ 954-2018）</w:t>
            </w:r>
            <w:r>
              <w:rPr>
                <w:rFonts w:hint="eastAsia" w:ascii="Times New Roman" w:hAnsi="Times New Roman" w:eastAsia="宋体" w:cs="黑体"/>
                <w:color w:val="auto"/>
                <w:sz w:val="21"/>
                <w:szCs w:val="21"/>
                <w:lang w:val="en-US" w:eastAsia="zh-CN"/>
              </w:rPr>
              <w:t>表23</w:t>
            </w:r>
            <w:r>
              <w:rPr>
                <w:rFonts w:hint="eastAsia" w:ascii="Times New Roman" w:hAnsi="Times New Roman" w:eastAsia="宋体" w:cs="黑体"/>
                <w:color w:val="auto"/>
                <w:sz w:val="21"/>
                <w:szCs w:val="21"/>
              </w:rPr>
              <w:t>砖瓦工业排污单位无组织排放控制要求</w:t>
            </w:r>
            <w:r>
              <w:rPr>
                <w:rFonts w:hint="eastAsia" w:ascii="Times New Roman" w:hAnsi="Times New Roman" w:eastAsia="宋体" w:cs="黑体"/>
                <w:color w:val="auto"/>
                <w:sz w:val="21"/>
                <w:szCs w:val="21"/>
                <w:lang w:eastAsia="zh-CN"/>
              </w:rPr>
              <w:t>，本项目与其</w:t>
            </w:r>
            <w:r>
              <w:rPr>
                <w:rFonts w:hint="eastAsia" w:ascii="Times New Roman" w:hAnsi="Times New Roman" w:eastAsia="宋体" w:cs="Times New Roman"/>
                <w:color w:val="auto"/>
                <w:sz w:val="21"/>
                <w:szCs w:val="21"/>
              </w:rPr>
              <w:t>比对分析如下：</w:t>
            </w:r>
          </w:p>
          <w:p w14:paraId="12EA352D">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default" w:ascii="Times New Roman" w:hAnsi="Times New Roman" w:eastAsia="宋体" w:cs="黑体"/>
                <w:b/>
                <w:color w:val="auto"/>
                <w:kern w:val="2"/>
                <w:sz w:val="21"/>
                <w:szCs w:val="21"/>
                <w:lang w:val="en-US" w:eastAsia="zh-CN" w:bidi="ar-SA"/>
              </w:rPr>
            </w:pPr>
            <w:r>
              <w:rPr>
                <w:rFonts w:hint="eastAsia" w:ascii="Times New Roman" w:hAnsi="Times New Roman" w:eastAsia="宋体" w:cs="黑体"/>
                <w:b/>
                <w:color w:val="auto"/>
                <w:kern w:val="2"/>
                <w:sz w:val="21"/>
                <w:szCs w:val="21"/>
                <w:lang w:val="en-US" w:eastAsia="zh-CN" w:bidi="ar-SA"/>
              </w:rPr>
              <w:t>表4-7-2  与无组织排放控制要求符合性分析</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670"/>
              <w:gridCol w:w="3484"/>
              <w:gridCol w:w="2647"/>
              <w:gridCol w:w="705"/>
            </w:tblGrid>
            <w:tr w14:paraId="58D8F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9" w:type="pct"/>
                  <w:vAlign w:val="center"/>
                </w:tcPr>
                <w:p w14:paraId="402AFB65">
                  <w:pPr>
                    <w:widowControl w:val="0"/>
                    <w:bidi w:val="0"/>
                    <w:spacing w:line="240" w:lineRule="auto"/>
                    <w:ind w:firstLine="0" w:firstLineChars="0"/>
                    <w:jc w:val="center"/>
                    <w:rPr>
                      <w:rFonts w:hint="default" w:ascii="Times New Roman" w:hAnsi="Times New Roman" w:eastAsia="宋体" w:cs="黑体"/>
                      <w:b/>
                      <w:color w:val="auto"/>
                      <w:kern w:val="2"/>
                      <w:sz w:val="21"/>
                      <w:szCs w:val="21"/>
                      <w:vertAlign w:val="baseline"/>
                      <w:lang w:val="en-US" w:eastAsia="zh-CN" w:bidi="ar-SA"/>
                    </w:rPr>
                  </w:pPr>
                  <w:r>
                    <w:rPr>
                      <w:rFonts w:hint="eastAsia" w:ascii="Times New Roman" w:hAnsi="Times New Roman" w:eastAsia="宋体" w:cs="黑体"/>
                      <w:b w:val="0"/>
                      <w:bCs/>
                      <w:color w:val="auto"/>
                      <w:kern w:val="2"/>
                      <w:sz w:val="21"/>
                      <w:szCs w:val="21"/>
                      <w:lang w:val="en-US" w:eastAsia="zh-CN" w:bidi="ar-SA"/>
                    </w:rPr>
                    <w:t>序号</w:t>
                  </w:r>
                </w:p>
              </w:tc>
              <w:tc>
                <w:tcPr>
                  <w:tcW w:w="422" w:type="pct"/>
                  <w:vAlign w:val="center"/>
                </w:tcPr>
                <w:p w14:paraId="17AC91EE">
                  <w:pPr>
                    <w:widowControl w:val="0"/>
                    <w:bidi w:val="0"/>
                    <w:spacing w:line="240" w:lineRule="auto"/>
                    <w:ind w:firstLine="0" w:firstLineChars="0"/>
                    <w:jc w:val="center"/>
                    <w:rPr>
                      <w:rFonts w:hint="eastAsia" w:ascii="Times New Roman" w:hAnsi="Times New Roman" w:eastAsia="宋体" w:cs="黑体"/>
                      <w:b w:val="0"/>
                      <w:bCs/>
                      <w:color w:val="auto"/>
                      <w:kern w:val="2"/>
                      <w:sz w:val="21"/>
                      <w:szCs w:val="21"/>
                      <w:lang w:val="en-US" w:eastAsia="zh-CN" w:bidi="ar-SA"/>
                    </w:rPr>
                  </w:pPr>
                  <w:r>
                    <w:rPr>
                      <w:rFonts w:hint="eastAsia" w:ascii="Times New Roman" w:hAnsi="Times New Roman" w:eastAsia="宋体" w:cs="黑体"/>
                      <w:b w:val="0"/>
                      <w:bCs/>
                      <w:color w:val="auto"/>
                      <w:kern w:val="2"/>
                      <w:sz w:val="21"/>
                      <w:szCs w:val="21"/>
                      <w:lang w:val="en-US" w:eastAsia="zh-CN" w:bidi="ar-SA"/>
                    </w:rPr>
                    <w:t>主要环节</w:t>
                  </w:r>
                </w:p>
              </w:tc>
              <w:tc>
                <w:tcPr>
                  <w:tcW w:w="2195" w:type="pct"/>
                  <w:vAlign w:val="center"/>
                </w:tcPr>
                <w:p w14:paraId="389D23F0">
                  <w:pPr>
                    <w:widowControl w:val="0"/>
                    <w:bidi w:val="0"/>
                    <w:spacing w:line="240" w:lineRule="auto"/>
                    <w:ind w:firstLine="0" w:firstLineChars="0"/>
                    <w:jc w:val="center"/>
                    <w:rPr>
                      <w:rFonts w:hint="default" w:ascii="Times New Roman" w:hAnsi="Times New Roman" w:eastAsia="宋体" w:cs="黑体"/>
                      <w:b/>
                      <w:color w:val="auto"/>
                      <w:kern w:val="2"/>
                      <w:sz w:val="21"/>
                      <w:szCs w:val="21"/>
                      <w:vertAlign w:val="baseline"/>
                      <w:lang w:val="en-US" w:eastAsia="zh-CN" w:bidi="ar-SA"/>
                    </w:rPr>
                  </w:pPr>
                  <w:r>
                    <w:rPr>
                      <w:rFonts w:hint="eastAsia" w:ascii="Times New Roman" w:hAnsi="Times New Roman" w:eastAsia="宋体" w:cs="黑体"/>
                      <w:b w:val="0"/>
                      <w:bCs/>
                      <w:color w:val="auto"/>
                      <w:kern w:val="2"/>
                      <w:sz w:val="21"/>
                      <w:szCs w:val="21"/>
                      <w:lang w:val="en-US" w:eastAsia="zh-CN" w:bidi="ar-SA"/>
                    </w:rPr>
                    <w:t>要求</w:t>
                  </w:r>
                </w:p>
              </w:tc>
              <w:tc>
                <w:tcPr>
                  <w:tcW w:w="1668" w:type="pct"/>
                  <w:vAlign w:val="center"/>
                </w:tcPr>
                <w:p w14:paraId="0BD44136">
                  <w:pPr>
                    <w:widowControl w:val="0"/>
                    <w:bidi w:val="0"/>
                    <w:spacing w:line="240" w:lineRule="auto"/>
                    <w:ind w:firstLine="0" w:firstLineChars="0"/>
                    <w:jc w:val="center"/>
                    <w:rPr>
                      <w:rFonts w:hint="default" w:ascii="Times New Roman" w:hAnsi="Times New Roman" w:eastAsia="宋体" w:cs="黑体"/>
                      <w:b/>
                      <w:color w:val="auto"/>
                      <w:kern w:val="2"/>
                      <w:sz w:val="21"/>
                      <w:szCs w:val="21"/>
                      <w:vertAlign w:val="baseline"/>
                      <w:lang w:val="en-US" w:eastAsia="zh-CN" w:bidi="ar-SA"/>
                    </w:rPr>
                  </w:pPr>
                  <w:r>
                    <w:rPr>
                      <w:rFonts w:hint="eastAsia" w:ascii="Times New Roman" w:hAnsi="Times New Roman" w:eastAsia="宋体" w:cs="黑体"/>
                      <w:b w:val="0"/>
                      <w:bCs/>
                      <w:color w:val="auto"/>
                      <w:kern w:val="2"/>
                      <w:sz w:val="21"/>
                      <w:szCs w:val="21"/>
                      <w:lang w:val="en-US" w:eastAsia="zh-CN" w:bidi="ar-SA"/>
                    </w:rPr>
                    <w:t>项目基本情况</w:t>
                  </w:r>
                </w:p>
              </w:tc>
              <w:tc>
                <w:tcPr>
                  <w:tcW w:w="444" w:type="pct"/>
                  <w:vAlign w:val="center"/>
                </w:tcPr>
                <w:p w14:paraId="5F994C01">
                  <w:pPr>
                    <w:widowControl w:val="0"/>
                    <w:bidi w:val="0"/>
                    <w:spacing w:line="240" w:lineRule="auto"/>
                    <w:ind w:firstLine="0" w:firstLineChars="0"/>
                    <w:jc w:val="center"/>
                    <w:rPr>
                      <w:rFonts w:hint="default" w:ascii="Times New Roman" w:hAnsi="Times New Roman" w:eastAsia="宋体" w:cs="黑体"/>
                      <w:b/>
                      <w:color w:val="auto"/>
                      <w:kern w:val="2"/>
                      <w:sz w:val="21"/>
                      <w:szCs w:val="21"/>
                      <w:vertAlign w:val="baseline"/>
                      <w:lang w:val="en-US" w:eastAsia="zh-CN" w:bidi="ar-SA"/>
                    </w:rPr>
                  </w:pPr>
                  <w:r>
                    <w:rPr>
                      <w:rFonts w:hint="eastAsia" w:ascii="Times New Roman" w:hAnsi="Times New Roman" w:eastAsia="宋体" w:cs="黑体"/>
                      <w:b w:val="0"/>
                      <w:bCs/>
                      <w:color w:val="auto"/>
                      <w:kern w:val="2"/>
                      <w:sz w:val="21"/>
                      <w:szCs w:val="21"/>
                      <w:lang w:val="en-US" w:eastAsia="zh-CN" w:bidi="ar-SA"/>
                    </w:rPr>
                    <w:t>符合性</w:t>
                  </w:r>
                </w:p>
              </w:tc>
            </w:tr>
            <w:tr w14:paraId="5411B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vAlign w:val="center"/>
                </w:tcPr>
                <w:p w14:paraId="4B129E21">
                  <w:pPr>
                    <w:widowControl w:val="0"/>
                    <w:bidi w:val="0"/>
                    <w:spacing w:line="240" w:lineRule="auto"/>
                    <w:ind w:firstLine="0" w:firstLineChars="0"/>
                    <w:jc w:val="center"/>
                    <w:rPr>
                      <w:rFonts w:hint="eastAsia" w:ascii="Times New Roman" w:hAnsi="Times New Roman" w:eastAsia="宋体" w:cs="黑体"/>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1</w:t>
                  </w:r>
                </w:p>
              </w:tc>
              <w:tc>
                <w:tcPr>
                  <w:tcW w:w="422" w:type="pct"/>
                  <w:vAlign w:val="center"/>
                </w:tcPr>
                <w:p w14:paraId="61311D16">
                  <w:pPr>
                    <w:widowControl w:val="0"/>
                    <w:bidi w:val="0"/>
                    <w:spacing w:line="240" w:lineRule="auto"/>
                    <w:ind w:firstLine="0" w:firstLineChars="0"/>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原辅料制备</w:t>
                  </w:r>
                </w:p>
              </w:tc>
              <w:tc>
                <w:tcPr>
                  <w:tcW w:w="2195" w:type="pct"/>
                  <w:vAlign w:val="center"/>
                </w:tcPr>
                <w:p w14:paraId="0A7CAF34">
                  <w:pPr>
                    <w:widowControl w:val="0"/>
                    <w:bidi w:val="0"/>
                    <w:spacing w:line="240" w:lineRule="auto"/>
                    <w:ind w:firstLine="0" w:firstLineChars="0"/>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1）粉状物料料场应采用封闭、半封闭料场（仓、库、棚），并采取抑尘措施；原煤、块石、粘湿物料等料场应采用封闭、半封闭料场（仓、库、棚），或四周设置防风抑尘网、挡风墙，或采取覆盖等抑尘措施，防风抑尘网、挡风墙高度不低于堆存物料高度的1.1倍；有包装袋的物料采取覆盖措施。</w:t>
                  </w:r>
                </w:p>
                <w:p w14:paraId="380A60C9">
                  <w:pPr>
                    <w:widowControl w:val="0"/>
                    <w:bidi w:val="0"/>
                    <w:spacing w:line="240" w:lineRule="auto"/>
                    <w:ind w:firstLine="0" w:firstLineChars="0"/>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（2）原料均化应在封闭、半封闭料场（仓、库、棚）中进行。</w:t>
                  </w:r>
                </w:p>
                <w:p w14:paraId="2C937DCA">
                  <w:pPr>
                    <w:widowControl w:val="0"/>
                    <w:bidi w:val="0"/>
                    <w:spacing w:line="240" w:lineRule="auto"/>
                    <w:ind w:firstLine="0" w:firstLineChars="0"/>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（3）粉状物料应密闭输送；其他物料输送应在转运点设置集气罩，并配备除尘设施。</w:t>
                  </w:r>
                </w:p>
                <w:p w14:paraId="2BDF1074">
                  <w:pPr>
                    <w:widowControl w:val="0"/>
                    <w:bidi w:val="0"/>
                    <w:spacing w:line="240" w:lineRule="auto"/>
                    <w:ind w:firstLine="0" w:firstLineChars="0"/>
                    <w:jc w:val="center"/>
                    <w:rPr>
                      <w:rFonts w:hint="eastAsia" w:ascii="Times New Roman" w:hAnsi="Times New Roman" w:eastAsia="宋体" w:cs="黑体"/>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（4）原料的粉碎、筛分、配料、混合搅拌、制备等工序，均应采用封闭式作业，并配备除尘设施。</w:t>
                  </w:r>
                </w:p>
              </w:tc>
              <w:tc>
                <w:tcPr>
                  <w:tcW w:w="1668" w:type="pct"/>
                  <w:vAlign w:val="center"/>
                </w:tcPr>
                <w:p w14:paraId="0D326023">
                  <w:pPr>
                    <w:widowControl w:val="0"/>
                    <w:bidi w:val="0"/>
                    <w:spacing w:line="240" w:lineRule="auto"/>
                    <w:ind w:firstLine="0" w:firstLineChars="0"/>
                    <w:jc w:val="center"/>
                    <w:rPr>
                      <w:rFonts w:hint="eastAsia" w:ascii="Times New Roman" w:hAnsi="Times New Roman" w:eastAsia="宋体" w:cs="黑体"/>
                      <w:b w:val="0"/>
                      <w:bCs w:val="0"/>
                      <w:color w:val="auto"/>
                      <w:kern w:val="2"/>
                      <w:sz w:val="21"/>
                      <w:szCs w:val="21"/>
                      <w:lang w:val="en-US" w:eastAsia="zh-CN" w:bidi="ar-SA"/>
                    </w:rPr>
                  </w:pPr>
                  <w:r>
                    <w:rPr>
                      <w:rFonts w:hint="eastAsia" w:ascii="Times New Roman" w:hAnsi="Times New Roman" w:eastAsia="宋体" w:cs="黑体"/>
                      <w:b w:val="0"/>
                      <w:bCs w:val="0"/>
                      <w:color w:val="auto"/>
                      <w:kern w:val="2"/>
                      <w:sz w:val="21"/>
                      <w:szCs w:val="21"/>
                      <w:highlight w:val="none"/>
                      <w:lang w:val="en-US" w:eastAsia="zh-CN" w:bidi="ar-SA"/>
                    </w:rPr>
                    <w:t>（1）本</w:t>
                  </w:r>
                  <w:r>
                    <w:rPr>
                      <w:rFonts w:hint="eastAsia" w:ascii="宋体" w:hAnsi="宋体" w:eastAsia="宋体" w:cs="宋体"/>
                      <w:b w:val="0"/>
                      <w:bCs w:val="0"/>
                      <w:color w:val="auto"/>
                      <w:kern w:val="0"/>
                      <w:sz w:val="21"/>
                      <w:szCs w:val="21"/>
                      <w:highlight w:val="none"/>
                      <w:lang w:val="en-US" w:eastAsia="zh-CN" w:bidi="ar-SA"/>
                    </w:rPr>
                    <w:t>项目弃</w:t>
                  </w:r>
                  <w:r>
                    <w:rPr>
                      <w:rFonts w:hint="eastAsia" w:ascii="Times New Roman" w:hAnsi="Times New Roman" w:eastAsia="宋体" w:cs="黑体"/>
                      <w:b w:val="0"/>
                      <w:bCs w:val="0"/>
                      <w:color w:val="auto"/>
                      <w:kern w:val="2"/>
                      <w:sz w:val="21"/>
                      <w:szCs w:val="21"/>
                      <w:lang w:val="en-US" w:eastAsia="zh-CN" w:bidi="ar-SA"/>
                    </w:rPr>
                    <w:t>土堆放于半封闭的原料堆棚内</w:t>
                  </w:r>
                  <w:r>
                    <w:rPr>
                      <w:rFonts w:hint="eastAsia" w:cs="黑体"/>
                      <w:b w:val="0"/>
                      <w:bCs w:val="0"/>
                      <w:color w:val="auto"/>
                      <w:kern w:val="2"/>
                      <w:sz w:val="21"/>
                      <w:szCs w:val="21"/>
                      <w:lang w:val="en-US" w:eastAsia="zh-CN" w:bidi="ar-SA"/>
                    </w:rPr>
                    <w:t>（三面围挡+设有顶棚）</w:t>
                  </w:r>
                  <w:r>
                    <w:rPr>
                      <w:rFonts w:hint="eastAsia" w:ascii="Times New Roman" w:hAnsi="Times New Roman" w:eastAsia="宋体" w:cs="黑体"/>
                      <w:b w:val="0"/>
                      <w:bCs w:val="0"/>
                      <w:color w:val="auto"/>
                      <w:kern w:val="2"/>
                      <w:sz w:val="21"/>
                      <w:szCs w:val="21"/>
                      <w:lang w:val="en-US" w:eastAsia="zh-CN" w:bidi="ar-SA"/>
                    </w:rPr>
                    <w:t>，定期洒水喷淋对弃土保湿，煤炭堆放于</w:t>
                  </w:r>
                  <w:r>
                    <w:rPr>
                      <w:rFonts w:hint="eastAsia" w:cs="黑体"/>
                      <w:b w:val="0"/>
                      <w:bCs w:val="0"/>
                      <w:color w:val="auto"/>
                      <w:kern w:val="2"/>
                      <w:sz w:val="21"/>
                      <w:szCs w:val="21"/>
                      <w:lang w:val="en-US" w:eastAsia="zh-CN" w:bidi="ar-SA"/>
                    </w:rPr>
                    <w:t>烧成车间</w:t>
                  </w:r>
                  <w:r>
                    <w:rPr>
                      <w:rFonts w:hint="eastAsia" w:ascii="Times New Roman" w:hAnsi="Times New Roman" w:eastAsia="宋体" w:cs="黑体"/>
                      <w:b w:val="0"/>
                      <w:bCs w:val="0"/>
                      <w:color w:val="auto"/>
                      <w:kern w:val="2"/>
                      <w:sz w:val="21"/>
                      <w:szCs w:val="21"/>
                      <w:lang w:val="en-US" w:eastAsia="zh-CN" w:bidi="ar-SA"/>
                    </w:rPr>
                    <w:t>内</w:t>
                  </w:r>
                  <w:r>
                    <w:rPr>
                      <w:rFonts w:hint="eastAsia" w:cs="黑体"/>
                      <w:b w:val="0"/>
                      <w:bCs w:val="0"/>
                      <w:color w:val="auto"/>
                      <w:kern w:val="2"/>
                      <w:sz w:val="21"/>
                      <w:szCs w:val="21"/>
                      <w:lang w:val="en-US" w:eastAsia="zh-CN" w:bidi="ar-SA"/>
                    </w:rPr>
                    <w:t>（三面围挡+设有顶棚）</w:t>
                  </w:r>
                  <w:r>
                    <w:rPr>
                      <w:rFonts w:hint="eastAsia" w:ascii="Times New Roman" w:hAnsi="Times New Roman" w:eastAsia="宋体" w:cs="黑体"/>
                      <w:b w:val="0"/>
                      <w:bCs w:val="0"/>
                      <w:color w:val="auto"/>
                      <w:kern w:val="2"/>
                      <w:sz w:val="21"/>
                      <w:szCs w:val="21"/>
                      <w:lang w:val="en-US" w:eastAsia="zh-CN" w:bidi="ar-SA"/>
                    </w:rPr>
                    <w:t>，</w:t>
                  </w:r>
                  <w:r>
                    <w:rPr>
                      <w:rFonts w:hint="eastAsia" w:cs="黑体"/>
                      <w:b w:val="0"/>
                      <w:bCs w:val="0"/>
                      <w:color w:val="auto"/>
                      <w:kern w:val="2"/>
                      <w:sz w:val="21"/>
                      <w:szCs w:val="21"/>
                      <w:lang w:val="en-US" w:eastAsia="zh-CN" w:bidi="ar-SA"/>
                    </w:rPr>
                    <w:t>采用</w:t>
                  </w:r>
                  <w:r>
                    <w:rPr>
                      <w:rFonts w:hint="eastAsia" w:ascii="Times New Roman" w:hAnsi="Times New Roman" w:eastAsia="宋体" w:cs="黑体"/>
                      <w:b w:val="0"/>
                      <w:bCs w:val="0"/>
                      <w:color w:val="auto"/>
                      <w:kern w:val="2"/>
                      <w:sz w:val="21"/>
                      <w:szCs w:val="21"/>
                      <w:lang w:val="en-US" w:eastAsia="zh-CN" w:bidi="ar-SA"/>
                    </w:rPr>
                    <w:t>抑尘网遮盖；</w:t>
                  </w:r>
                </w:p>
                <w:p w14:paraId="63651EDF">
                  <w:pPr>
                    <w:widowControl w:val="0"/>
                    <w:bidi w:val="0"/>
                    <w:spacing w:line="240" w:lineRule="auto"/>
                    <w:ind w:firstLine="0" w:firstLineChars="0"/>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黑体"/>
                      <w:b w:val="0"/>
                      <w:bCs w:val="0"/>
                      <w:color w:val="auto"/>
                      <w:kern w:val="2"/>
                      <w:sz w:val="21"/>
                      <w:szCs w:val="21"/>
                      <w:lang w:val="en-US" w:eastAsia="zh-CN" w:bidi="ar-SA"/>
                    </w:rPr>
                    <w:t>（2）原</w:t>
                  </w:r>
                  <w:r>
                    <w:rPr>
                      <w:rFonts w:hint="eastAsia" w:ascii="Times New Roman" w:hAnsi="Times New Roman" w:eastAsia="宋体" w:cs="Times New Roman"/>
                      <w:b w:val="0"/>
                      <w:bCs/>
                      <w:color w:val="auto"/>
                      <w:kern w:val="2"/>
                      <w:sz w:val="21"/>
                      <w:szCs w:val="21"/>
                      <w:lang w:val="en-US" w:eastAsia="zh-CN" w:bidi="ar-SA"/>
                    </w:rPr>
                    <w:t>料转运直接由半封闭的原料堆棚进入封闭的</w:t>
                  </w:r>
                  <w:r>
                    <w:rPr>
                      <w:rFonts w:hint="eastAsia" w:cs="Times New Roman"/>
                      <w:b w:val="0"/>
                      <w:bCs/>
                      <w:color w:val="auto"/>
                      <w:kern w:val="2"/>
                      <w:sz w:val="21"/>
                      <w:szCs w:val="21"/>
                      <w:lang w:val="en-US" w:eastAsia="zh-CN" w:bidi="ar-SA"/>
                    </w:rPr>
                    <w:t>制坯</w:t>
                  </w:r>
                  <w:r>
                    <w:rPr>
                      <w:rFonts w:hint="eastAsia" w:ascii="Times New Roman" w:hAnsi="Times New Roman" w:eastAsia="宋体" w:cs="Times New Roman"/>
                      <w:b w:val="0"/>
                      <w:bCs/>
                      <w:color w:val="auto"/>
                      <w:kern w:val="2"/>
                      <w:sz w:val="21"/>
                      <w:szCs w:val="21"/>
                      <w:lang w:val="en-US" w:eastAsia="zh-CN" w:bidi="ar-SA"/>
                    </w:rPr>
                    <w:t>车间内，该过程均在</w:t>
                  </w:r>
                  <w:r>
                    <w:rPr>
                      <w:rFonts w:hint="eastAsia" w:ascii="Times New Roman" w:hAnsi="Times New Roman" w:eastAsia="宋体" w:cs="黑体"/>
                      <w:b w:val="0"/>
                      <w:bCs/>
                      <w:color w:val="auto"/>
                      <w:kern w:val="2"/>
                      <w:sz w:val="21"/>
                      <w:szCs w:val="21"/>
                      <w:highlight w:val="none"/>
                      <w:lang w:val="en-US" w:eastAsia="zh-CN" w:bidi="ar-SA"/>
                    </w:rPr>
                    <w:t>封闭的堆棚/车间内进行，产生的粉尘能有效控制在堆棚/车间内</w:t>
                  </w:r>
                  <w:r>
                    <w:rPr>
                      <w:rFonts w:hint="eastAsia" w:ascii="宋体" w:hAnsi="宋体" w:eastAsia="宋体" w:cs="宋体"/>
                      <w:b w:val="0"/>
                      <w:bCs/>
                      <w:color w:val="auto"/>
                      <w:kern w:val="0"/>
                      <w:sz w:val="21"/>
                      <w:szCs w:val="21"/>
                      <w:highlight w:val="none"/>
                      <w:lang w:val="en-US" w:eastAsia="zh-CN" w:bidi="ar-SA"/>
                    </w:rPr>
                    <w:t>；生产设备均设置于封闭车间内，其生产过程均为</w:t>
                  </w:r>
                  <w:r>
                    <w:rPr>
                      <w:rFonts w:hint="eastAsia" w:ascii="Times New Roman" w:hAnsi="Times New Roman" w:eastAsia="宋体" w:cs="Times New Roman"/>
                      <w:b w:val="0"/>
                      <w:bCs/>
                      <w:color w:val="auto"/>
                      <w:kern w:val="2"/>
                      <w:sz w:val="21"/>
                      <w:szCs w:val="21"/>
                      <w:lang w:val="en-US" w:eastAsia="zh-CN" w:bidi="ar-SA"/>
                    </w:rPr>
                    <w:t>封闭式作业；</w:t>
                  </w:r>
                </w:p>
                <w:p w14:paraId="16A3871F">
                  <w:pPr>
                    <w:widowControl w:val="0"/>
                    <w:bidi w:val="0"/>
                    <w:spacing w:line="240" w:lineRule="auto"/>
                    <w:ind w:firstLine="0" w:firstLineChars="0"/>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（3）不涉及粉料运输；</w:t>
                  </w:r>
                </w:p>
                <w:p w14:paraId="5093A132">
                  <w:pPr>
                    <w:widowControl w:val="0"/>
                    <w:bidi w:val="0"/>
                    <w:spacing w:line="240" w:lineRule="auto"/>
                    <w:ind w:firstLine="0" w:firstLineChars="0"/>
                    <w:jc w:val="center"/>
                    <w:rPr>
                      <w:rFonts w:hint="eastAsia" w:ascii="Times New Roman" w:hAnsi="Times New Roman" w:eastAsia="宋体" w:cs="黑体"/>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（4）原料搅拌与</w:t>
                  </w:r>
                  <w:r>
                    <w:rPr>
                      <w:rFonts w:hint="eastAsia" w:cs="Times New Roman"/>
                      <w:b w:val="0"/>
                      <w:bCs/>
                      <w:color w:val="auto"/>
                      <w:kern w:val="2"/>
                      <w:sz w:val="21"/>
                      <w:szCs w:val="21"/>
                      <w:lang w:val="en-US" w:eastAsia="zh-CN" w:bidi="ar-SA"/>
                    </w:rPr>
                    <w:t>对辊</w:t>
                  </w:r>
                  <w:r>
                    <w:rPr>
                      <w:rFonts w:hint="eastAsia" w:ascii="Times New Roman" w:hAnsi="Times New Roman" w:eastAsia="宋体" w:cs="Times New Roman"/>
                      <w:b w:val="0"/>
                      <w:bCs/>
                      <w:color w:val="auto"/>
                      <w:kern w:val="2"/>
                      <w:sz w:val="21"/>
                      <w:szCs w:val="21"/>
                      <w:lang w:val="en-US" w:eastAsia="zh-CN" w:bidi="ar-SA"/>
                    </w:rPr>
                    <w:t>破碎均为湿式加工，不涉及干式生产</w:t>
                  </w:r>
                  <w:r>
                    <w:rPr>
                      <w:rFonts w:hint="eastAsia" w:ascii="Times New Roman" w:hAnsi="Times New Roman" w:eastAsia="宋体" w:cs="黑体"/>
                      <w:b w:val="0"/>
                      <w:bCs/>
                      <w:color w:val="auto"/>
                      <w:kern w:val="2"/>
                      <w:sz w:val="21"/>
                      <w:szCs w:val="21"/>
                      <w:highlight w:val="none"/>
                      <w:lang w:val="en-US" w:eastAsia="zh-CN" w:bidi="ar-SA"/>
                    </w:rPr>
                    <w:t>。</w:t>
                  </w:r>
                </w:p>
              </w:tc>
              <w:tc>
                <w:tcPr>
                  <w:tcW w:w="444" w:type="pct"/>
                  <w:vAlign w:val="center"/>
                </w:tcPr>
                <w:p w14:paraId="11A924C6">
                  <w:pPr>
                    <w:widowControl w:val="0"/>
                    <w:bidi w:val="0"/>
                    <w:spacing w:line="240" w:lineRule="auto"/>
                    <w:ind w:firstLine="0" w:firstLineChars="0"/>
                    <w:jc w:val="center"/>
                    <w:rPr>
                      <w:rFonts w:hint="eastAsia" w:ascii="Times New Roman" w:hAnsi="Times New Roman" w:eastAsia="宋体" w:cs="黑体"/>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符合</w:t>
                  </w:r>
                </w:p>
              </w:tc>
            </w:tr>
            <w:tr w14:paraId="7A9C2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vAlign w:val="center"/>
                </w:tcPr>
                <w:p w14:paraId="07B4DCD5">
                  <w:pPr>
                    <w:widowControl w:val="0"/>
                    <w:bidi w:val="0"/>
                    <w:spacing w:line="240" w:lineRule="auto"/>
                    <w:ind w:firstLine="0" w:firstLineChars="0"/>
                    <w:jc w:val="center"/>
                    <w:rPr>
                      <w:rFonts w:hint="eastAsia" w:ascii="Times New Roman" w:hAnsi="Times New Roman" w:eastAsia="宋体" w:cs="黑体"/>
                      <w:b w:val="0"/>
                      <w:bCs/>
                      <w:color w:val="auto"/>
                      <w:kern w:val="2"/>
                      <w:sz w:val="21"/>
                      <w:szCs w:val="21"/>
                      <w:lang w:val="en-US" w:eastAsia="zh-CN" w:bidi="ar-SA"/>
                    </w:rPr>
                  </w:pPr>
                  <w:r>
                    <w:rPr>
                      <w:rFonts w:hint="eastAsia" w:ascii="Times New Roman" w:hAnsi="Times New Roman" w:eastAsia="宋体" w:cs="黑体"/>
                      <w:b w:val="0"/>
                      <w:bCs/>
                      <w:color w:val="auto"/>
                      <w:kern w:val="2"/>
                      <w:sz w:val="21"/>
                      <w:szCs w:val="21"/>
                      <w:lang w:val="en-US" w:eastAsia="zh-CN" w:bidi="ar-SA"/>
                    </w:rPr>
                    <w:t>2</w:t>
                  </w:r>
                </w:p>
              </w:tc>
              <w:tc>
                <w:tcPr>
                  <w:tcW w:w="422" w:type="pct"/>
                  <w:vAlign w:val="center"/>
                </w:tcPr>
                <w:p w14:paraId="4086C109">
                  <w:pPr>
                    <w:widowControl w:val="0"/>
                    <w:bidi w:val="0"/>
                    <w:spacing w:line="240" w:lineRule="auto"/>
                    <w:ind w:firstLine="0" w:firstLineChars="0"/>
                    <w:jc w:val="center"/>
                    <w:rPr>
                      <w:rFonts w:hint="eastAsia" w:ascii="Times New Roman" w:hAnsi="Times New Roman" w:eastAsia="宋体" w:cs="黑体"/>
                      <w:b w:val="0"/>
                      <w:bCs/>
                      <w:color w:val="auto"/>
                      <w:kern w:val="2"/>
                      <w:sz w:val="21"/>
                      <w:szCs w:val="21"/>
                      <w:lang w:val="en-US" w:eastAsia="zh-CN" w:bidi="ar-SA"/>
                    </w:rPr>
                  </w:pPr>
                  <w:r>
                    <w:rPr>
                      <w:rFonts w:hint="eastAsia" w:ascii="Times New Roman" w:hAnsi="Times New Roman" w:eastAsia="宋体" w:cs="黑体"/>
                      <w:b w:val="0"/>
                      <w:bCs/>
                      <w:color w:val="auto"/>
                      <w:kern w:val="2"/>
                      <w:sz w:val="21"/>
                      <w:szCs w:val="21"/>
                      <w:lang w:val="en-US" w:eastAsia="zh-CN" w:bidi="ar-SA"/>
                    </w:rPr>
                    <w:t>成型干燥系统</w:t>
                  </w:r>
                </w:p>
              </w:tc>
              <w:tc>
                <w:tcPr>
                  <w:tcW w:w="2195" w:type="pct"/>
                  <w:vAlign w:val="center"/>
                </w:tcPr>
                <w:p w14:paraId="48784058">
                  <w:pPr>
                    <w:widowControl w:val="0"/>
                    <w:bidi w:val="0"/>
                    <w:spacing w:line="240" w:lineRule="auto"/>
                    <w:ind w:firstLine="0" w:firstLineChars="0"/>
                    <w:jc w:val="center"/>
                    <w:rPr>
                      <w:rFonts w:hint="eastAsia" w:ascii="Times New Roman" w:hAnsi="Times New Roman" w:eastAsia="宋体" w:cs="黑体"/>
                      <w:b w:val="0"/>
                      <w:bCs/>
                      <w:color w:val="auto"/>
                      <w:kern w:val="2"/>
                      <w:sz w:val="21"/>
                      <w:szCs w:val="21"/>
                      <w:lang w:val="en-US" w:eastAsia="zh-CN" w:bidi="ar-SA"/>
                    </w:rPr>
                  </w:pPr>
                  <w:r>
                    <w:rPr>
                      <w:rFonts w:hint="eastAsia" w:ascii="Times New Roman" w:hAnsi="Times New Roman" w:eastAsia="宋体" w:cs="黑体"/>
                      <w:b w:val="0"/>
                      <w:bCs/>
                      <w:color w:val="auto"/>
                      <w:kern w:val="2"/>
                      <w:sz w:val="21"/>
                      <w:szCs w:val="21"/>
                      <w:lang w:val="en-US" w:eastAsia="zh-CN" w:bidi="ar-SA"/>
                    </w:rPr>
                    <w:t>成型、干燥、焙烧及打包等工序的产尘点应设置集气罩，并配备除尘设施。</w:t>
                  </w:r>
                </w:p>
              </w:tc>
              <w:tc>
                <w:tcPr>
                  <w:tcW w:w="1668" w:type="pct"/>
                  <w:vAlign w:val="center"/>
                </w:tcPr>
                <w:p w14:paraId="0B8CBCF8">
                  <w:pPr>
                    <w:widowControl w:val="0"/>
                    <w:bidi w:val="0"/>
                    <w:spacing w:line="240" w:lineRule="auto"/>
                    <w:ind w:firstLine="0" w:firstLineChars="0"/>
                    <w:jc w:val="center"/>
                    <w:rPr>
                      <w:rFonts w:hint="eastAsia" w:ascii="Times New Roman" w:hAnsi="Times New Roman" w:eastAsia="宋体" w:cs="黑体"/>
                      <w:b w:val="0"/>
                      <w:bCs/>
                      <w:color w:val="auto"/>
                      <w:kern w:val="2"/>
                      <w:sz w:val="21"/>
                      <w:szCs w:val="21"/>
                      <w:lang w:val="en-US" w:eastAsia="zh-CN" w:bidi="ar-SA"/>
                    </w:rPr>
                  </w:pPr>
                  <w:r>
                    <w:rPr>
                      <w:rFonts w:hint="eastAsia" w:ascii="Times New Roman" w:hAnsi="Times New Roman" w:eastAsia="宋体" w:cs="黑体"/>
                      <w:b w:val="0"/>
                      <w:bCs/>
                      <w:color w:val="auto"/>
                      <w:kern w:val="2"/>
                      <w:sz w:val="21"/>
                      <w:szCs w:val="21"/>
                      <w:lang w:val="en-US" w:eastAsia="zh-CN" w:bidi="ar-SA"/>
                    </w:rPr>
                    <w:t>本项目生产过程均在封闭车间内进行；砖瓦</w:t>
                  </w:r>
                  <w:r>
                    <w:rPr>
                      <w:rFonts w:hint="eastAsia" w:cs="黑体"/>
                      <w:b w:val="0"/>
                      <w:bCs/>
                      <w:color w:val="auto"/>
                      <w:kern w:val="2"/>
                      <w:sz w:val="21"/>
                      <w:szCs w:val="21"/>
                      <w:lang w:val="en-US" w:eastAsia="zh-CN" w:bidi="ar-SA"/>
                    </w:rPr>
                    <w:t>晾干</w:t>
                  </w:r>
                  <w:r>
                    <w:rPr>
                      <w:rFonts w:hint="eastAsia" w:ascii="Times New Roman" w:hAnsi="Times New Roman" w:eastAsia="宋体" w:cs="黑体"/>
                      <w:b w:val="0"/>
                      <w:bCs/>
                      <w:color w:val="auto"/>
                      <w:kern w:val="2"/>
                      <w:sz w:val="21"/>
                      <w:szCs w:val="21"/>
                      <w:lang w:val="en-US" w:eastAsia="zh-CN" w:bidi="ar-SA"/>
                    </w:rPr>
                    <w:t>采用</w:t>
                  </w:r>
                  <w:r>
                    <w:rPr>
                      <w:rFonts w:hint="eastAsia" w:cs="Times New Roman"/>
                      <w:b w:val="0"/>
                      <w:bCs/>
                      <w:color w:val="auto"/>
                      <w:kern w:val="2"/>
                      <w:sz w:val="21"/>
                      <w:szCs w:val="21"/>
                      <w:lang w:val="en-US" w:eastAsia="zh-CN" w:bidi="ar-SA"/>
                    </w:rPr>
                    <w:t>半</w:t>
                  </w:r>
                  <w:r>
                    <w:rPr>
                      <w:rFonts w:hint="eastAsia" w:ascii="Times New Roman" w:hAnsi="Times New Roman" w:eastAsia="宋体" w:cs="Times New Roman"/>
                      <w:b w:val="0"/>
                      <w:bCs/>
                      <w:color w:val="auto"/>
                      <w:kern w:val="2"/>
                      <w:sz w:val="21"/>
                      <w:szCs w:val="21"/>
                      <w:lang w:val="en-US" w:eastAsia="zh-CN" w:bidi="ar-SA"/>
                    </w:rPr>
                    <w:t>封闭</w:t>
                  </w:r>
                  <w:r>
                    <w:rPr>
                      <w:rFonts w:hint="eastAsia" w:cs="Times New Roman"/>
                      <w:b w:val="0"/>
                      <w:bCs/>
                      <w:color w:val="auto"/>
                      <w:kern w:val="2"/>
                      <w:sz w:val="21"/>
                      <w:szCs w:val="21"/>
                      <w:lang w:val="en-US" w:eastAsia="zh-CN" w:bidi="ar-SA"/>
                    </w:rPr>
                    <w:t>钢构车间（一面围挡+设有顶棚）</w:t>
                  </w:r>
                  <w:r>
                    <w:rPr>
                      <w:rFonts w:hint="eastAsia" w:ascii="Times New Roman" w:hAnsi="Times New Roman" w:eastAsia="宋体" w:cs="Times New Roman"/>
                      <w:b w:val="0"/>
                      <w:bCs/>
                      <w:color w:val="auto"/>
                      <w:kern w:val="2"/>
                      <w:sz w:val="21"/>
                      <w:szCs w:val="21"/>
                      <w:lang w:val="en-US" w:eastAsia="zh-CN" w:bidi="ar-SA"/>
                    </w:rPr>
                    <w:t>；砖瓦烧制采用梭式窑，位于封闭车间内</w:t>
                  </w:r>
                  <w:r>
                    <w:rPr>
                      <w:rFonts w:hint="eastAsia" w:ascii="Times New Roman" w:hAnsi="Times New Roman" w:eastAsia="宋体" w:cs="黑体"/>
                      <w:b w:val="0"/>
                      <w:bCs/>
                      <w:color w:val="auto"/>
                      <w:kern w:val="2"/>
                      <w:sz w:val="21"/>
                      <w:szCs w:val="21"/>
                      <w:lang w:val="en-US" w:eastAsia="zh-CN" w:bidi="ar-SA"/>
                    </w:rPr>
                    <w:t>；梭式窑废气</w:t>
                  </w:r>
                  <w:r>
                    <w:rPr>
                      <w:rFonts w:hint="default" w:ascii="Times New Roman" w:hAnsi="Times New Roman" w:eastAsia="宋体" w:cs="Times New Roman"/>
                      <w:b w:val="0"/>
                      <w:bCs/>
                      <w:color w:val="auto"/>
                      <w:kern w:val="2"/>
                      <w:sz w:val="21"/>
                      <w:szCs w:val="21"/>
                      <w:lang w:val="en-US" w:eastAsia="zh-CN" w:bidi="ar-SA"/>
                    </w:rPr>
                    <w:t>经</w:t>
                  </w:r>
                  <w:r>
                    <w:rPr>
                      <w:rFonts w:hint="eastAsia" w:ascii="Times New Roman" w:hAnsi="Times New Roman" w:eastAsia="宋体" w:cs="黑体"/>
                      <w:b w:val="0"/>
                      <w:bCs/>
                      <w:color w:val="auto"/>
                      <w:kern w:val="2"/>
                      <w:sz w:val="21"/>
                      <w:szCs w:val="21"/>
                      <w:lang w:val="en-US" w:eastAsia="zh-CN" w:bidi="ar-SA"/>
                    </w:rPr>
                    <w:t>布袋除尘器+脱硫塔处理后通过</w:t>
                  </w:r>
                  <w:r>
                    <w:rPr>
                      <w:rFonts w:hint="eastAsia" w:cs="黑体"/>
                      <w:b w:val="0"/>
                      <w:bCs/>
                      <w:color w:val="auto"/>
                      <w:kern w:val="2"/>
                      <w:sz w:val="21"/>
                      <w:szCs w:val="21"/>
                      <w:lang w:val="en-US" w:eastAsia="zh-CN" w:bidi="ar-SA"/>
                    </w:rPr>
                    <w:t>15</w:t>
                  </w:r>
                  <w:r>
                    <w:rPr>
                      <w:rFonts w:hint="eastAsia" w:ascii="Times New Roman" w:hAnsi="Times New Roman" w:eastAsia="宋体" w:cs="黑体"/>
                      <w:b w:val="0"/>
                      <w:bCs/>
                      <w:color w:val="auto"/>
                      <w:kern w:val="2"/>
                      <w:sz w:val="21"/>
                      <w:szCs w:val="21"/>
                      <w:lang w:val="en-US" w:eastAsia="zh-CN" w:bidi="ar-SA"/>
                    </w:rPr>
                    <w:t>m高排气筒（DA001）排放。</w:t>
                  </w:r>
                </w:p>
              </w:tc>
              <w:tc>
                <w:tcPr>
                  <w:tcW w:w="444" w:type="pct"/>
                  <w:vAlign w:val="center"/>
                </w:tcPr>
                <w:p w14:paraId="39A72063">
                  <w:pPr>
                    <w:widowControl w:val="0"/>
                    <w:bidi w:val="0"/>
                    <w:spacing w:line="240" w:lineRule="auto"/>
                    <w:ind w:firstLine="0" w:firstLineChars="0"/>
                    <w:jc w:val="center"/>
                    <w:rPr>
                      <w:rFonts w:hint="eastAsia" w:ascii="Times New Roman" w:hAnsi="Times New Roman" w:eastAsia="宋体" w:cs="黑体"/>
                      <w:b w:val="0"/>
                      <w:bCs/>
                      <w:color w:val="auto"/>
                      <w:kern w:val="2"/>
                      <w:sz w:val="21"/>
                      <w:szCs w:val="21"/>
                      <w:lang w:val="en-US" w:eastAsia="zh-CN" w:bidi="ar-SA"/>
                    </w:rPr>
                  </w:pPr>
                  <w:r>
                    <w:rPr>
                      <w:rFonts w:hint="eastAsia" w:ascii="Times New Roman" w:hAnsi="Times New Roman" w:eastAsia="宋体" w:cs="黑体"/>
                      <w:b w:val="0"/>
                      <w:bCs/>
                      <w:color w:val="auto"/>
                      <w:kern w:val="2"/>
                      <w:sz w:val="21"/>
                      <w:szCs w:val="21"/>
                      <w:lang w:val="en-US" w:eastAsia="zh-CN" w:bidi="ar-SA"/>
                    </w:rPr>
                    <w:t>符合</w:t>
                  </w:r>
                </w:p>
              </w:tc>
            </w:tr>
            <w:tr w14:paraId="6B0E9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vAlign w:val="center"/>
                </w:tcPr>
                <w:p w14:paraId="505ABE94">
                  <w:pPr>
                    <w:widowControl w:val="0"/>
                    <w:bidi w:val="0"/>
                    <w:spacing w:line="240" w:lineRule="auto"/>
                    <w:ind w:firstLine="0" w:firstLineChars="0"/>
                    <w:jc w:val="center"/>
                    <w:rPr>
                      <w:rFonts w:hint="eastAsia" w:ascii="Times New Roman" w:hAnsi="Times New Roman" w:eastAsia="宋体" w:cs="黑体"/>
                      <w:b w:val="0"/>
                      <w:bCs/>
                      <w:color w:val="auto"/>
                      <w:kern w:val="2"/>
                      <w:sz w:val="21"/>
                      <w:szCs w:val="21"/>
                      <w:lang w:val="en-US" w:eastAsia="zh-CN" w:bidi="ar-SA"/>
                    </w:rPr>
                  </w:pPr>
                  <w:r>
                    <w:rPr>
                      <w:rFonts w:hint="eastAsia" w:ascii="Times New Roman" w:hAnsi="Times New Roman" w:eastAsia="宋体" w:cs="黑体"/>
                      <w:b w:val="0"/>
                      <w:bCs/>
                      <w:color w:val="auto"/>
                      <w:kern w:val="2"/>
                      <w:sz w:val="21"/>
                      <w:szCs w:val="21"/>
                      <w:lang w:val="en-US" w:eastAsia="zh-CN" w:bidi="ar-SA"/>
                    </w:rPr>
                    <w:t>3</w:t>
                  </w:r>
                </w:p>
              </w:tc>
              <w:tc>
                <w:tcPr>
                  <w:tcW w:w="422" w:type="pct"/>
                  <w:vAlign w:val="center"/>
                </w:tcPr>
                <w:p w14:paraId="6AF2B8F5">
                  <w:pPr>
                    <w:widowControl w:val="0"/>
                    <w:bidi w:val="0"/>
                    <w:spacing w:line="240" w:lineRule="auto"/>
                    <w:ind w:firstLine="0" w:firstLineChars="0"/>
                    <w:jc w:val="center"/>
                    <w:rPr>
                      <w:rFonts w:hint="eastAsia" w:ascii="Times New Roman" w:hAnsi="Times New Roman" w:eastAsia="宋体" w:cs="黑体"/>
                      <w:b w:val="0"/>
                      <w:bCs/>
                      <w:color w:val="auto"/>
                      <w:kern w:val="2"/>
                      <w:sz w:val="21"/>
                      <w:szCs w:val="21"/>
                      <w:lang w:val="en-US" w:eastAsia="zh-CN" w:bidi="ar-SA"/>
                    </w:rPr>
                  </w:pPr>
                  <w:r>
                    <w:rPr>
                      <w:rFonts w:hint="eastAsia" w:ascii="Times New Roman" w:hAnsi="Times New Roman" w:eastAsia="宋体" w:cs="黑体"/>
                      <w:b w:val="0"/>
                      <w:bCs/>
                      <w:color w:val="auto"/>
                      <w:kern w:val="2"/>
                      <w:sz w:val="21"/>
                      <w:szCs w:val="21"/>
                      <w:lang w:val="en-US" w:eastAsia="zh-CN" w:bidi="ar-SA"/>
                    </w:rPr>
                    <w:t>烧成系统</w:t>
                  </w:r>
                </w:p>
              </w:tc>
              <w:tc>
                <w:tcPr>
                  <w:tcW w:w="2195" w:type="pct"/>
                  <w:vAlign w:val="center"/>
                </w:tcPr>
                <w:p w14:paraId="23F4D962">
                  <w:pPr>
                    <w:widowControl w:val="0"/>
                    <w:bidi w:val="0"/>
                    <w:spacing w:line="240" w:lineRule="auto"/>
                    <w:ind w:firstLine="0" w:firstLineChars="0"/>
                    <w:jc w:val="center"/>
                    <w:rPr>
                      <w:rFonts w:hint="eastAsia" w:ascii="Times New Roman" w:hAnsi="Times New Roman" w:eastAsia="宋体" w:cs="黑体"/>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脱硝用氨水采用全封闭罐车运输、配氨气回收或吸收回用装置、氨罐区设氨气泄漏检测设施。</w:t>
                  </w:r>
                </w:p>
              </w:tc>
              <w:tc>
                <w:tcPr>
                  <w:tcW w:w="1668" w:type="pct"/>
                  <w:vAlign w:val="center"/>
                </w:tcPr>
                <w:p w14:paraId="0584FB12">
                  <w:pPr>
                    <w:widowControl w:val="0"/>
                    <w:bidi w:val="0"/>
                    <w:spacing w:line="240" w:lineRule="auto"/>
                    <w:ind w:firstLine="0" w:firstLineChars="0"/>
                    <w:jc w:val="center"/>
                    <w:rPr>
                      <w:rFonts w:hint="eastAsia" w:ascii="Times New Roman" w:hAnsi="Times New Roman" w:eastAsia="宋体" w:cs="黑体"/>
                      <w:b w:val="0"/>
                      <w:bCs/>
                      <w:color w:val="auto"/>
                      <w:kern w:val="2"/>
                      <w:sz w:val="21"/>
                      <w:szCs w:val="21"/>
                      <w:lang w:val="en-US" w:eastAsia="zh-CN" w:bidi="ar-SA"/>
                    </w:rPr>
                  </w:pPr>
                  <w:r>
                    <w:rPr>
                      <w:rFonts w:hint="eastAsia" w:ascii="Times New Roman" w:hAnsi="Times New Roman" w:eastAsia="宋体" w:cs="黑体"/>
                      <w:b w:val="0"/>
                      <w:bCs/>
                      <w:color w:val="auto"/>
                      <w:kern w:val="2"/>
                      <w:sz w:val="21"/>
                      <w:szCs w:val="21"/>
                      <w:lang w:val="en-US" w:eastAsia="zh-CN" w:bidi="ar-SA"/>
                    </w:rPr>
                    <w:t>本项目不涉及。</w:t>
                  </w:r>
                </w:p>
              </w:tc>
              <w:tc>
                <w:tcPr>
                  <w:tcW w:w="444" w:type="pct"/>
                  <w:vAlign w:val="center"/>
                </w:tcPr>
                <w:p w14:paraId="2C978809">
                  <w:pPr>
                    <w:widowControl w:val="0"/>
                    <w:bidi w:val="0"/>
                    <w:spacing w:line="240" w:lineRule="auto"/>
                    <w:ind w:firstLine="0" w:firstLineChars="0"/>
                    <w:jc w:val="center"/>
                    <w:rPr>
                      <w:rFonts w:hint="eastAsia" w:ascii="Times New Roman" w:hAnsi="Times New Roman" w:eastAsia="宋体" w:cs="黑体"/>
                      <w:b w:val="0"/>
                      <w:bCs/>
                      <w:color w:val="auto"/>
                      <w:kern w:val="2"/>
                      <w:sz w:val="21"/>
                      <w:szCs w:val="21"/>
                      <w:lang w:val="en-US" w:eastAsia="zh-CN" w:bidi="ar-SA"/>
                    </w:rPr>
                  </w:pPr>
                  <w:r>
                    <w:rPr>
                      <w:rFonts w:hint="eastAsia" w:ascii="Times New Roman" w:hAnsi="Times New Roman" w:eastAsia="宋体" w:cs="黑体"/>
                      <w:b w:val="0"/>
                      <w:bCs/>
                      <w:color w:val="auto"/>
                      <w:kern w:val="2"/>
                      <w:sz w:val="21"/>
                      <w:szCs w:val="21"/>
                      <w:lang w:val="en-US" w:eastAsia="zh-CN" w:bidi="ar-SA"/>
                    </w:rPr>
                    <w:t>符合</w:t>
                  </w:r>
                </w:p>
              </w:tc>
            </w:tr>
            <w:tr w14:paraId="285B6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vAlign w:val="center"/>
                </w:tcPr>
                <w:p w14:paraId="3C503D59">
                  <w:pPr>
                    <w:widowControl w:val="0"/>
                    <w:bidi w:val="0"/>
                    <w:spacing w:line="240" w:lineRule="auto"/>
                    <w:ind w:firstLine="0" w:firstLineChars="0"/>
                    <w:jc w:val="center"/>
                    <w:rPr>
                      <w:rFonts w:hint="eastAsia" w:ascii="Times New Roman" w:hAnsi="Times New Roman" w:eastAsia="宋体" w:cs="黑体"/>
                      <w:b w:val="0"/>
                      <w:bCs/>
                      <w:color w:val="auto"/>
                      <w:kern w:val="2"/>
                      <w:sz w:val="21"/>
                      <w:szCs w:val="21"/>
                      <w:lang w:val="en-US" w:eastAsia="zh-CN" w:bidi="ar-SA"/>
                    </w:rPr>
                  </w:pPr>
                  <w:r>
                    <w:rPr>
                      <w:rFonts w:hint="eastAsia" w:ascii="Times New Roman" w:hAnsi="Times New Roman" w:eastAsia="宋体" w:cs="黑体"/>
                      <w:b w:val="0"/>
                      <w:bCs/>
                      <w:color w:val="auto"/>
                      <w:kern w:val="2"/>
                      <w:sz w:val="21"/>
                      <w:szCs w:val="21"/>
                      <w:lang w:val="en-US" w:eastAsia="zh-CN" w:bidi="ar-SA"/>
                    </w:rPr>
                    <w:t>4</w:t>
                  </w:r>
                </w:p>
              </w:tc>
              <w:tc>
                <w:tcPr>
                  <w:tcW w:w="422" w:type="pct"/>
                  <w:vMerge w:val="restart"/>
                  <w:vAlign w:val="center"/>
                </w:tcPr>
                <w:p w14:paraId="6B625373">
                  <w:pPr>
                    <w:widowControl w:val="0"/>
                    <w:bidi w:val="0"/>
                    <w:spacing w:line="240" w:lineRule="auto"/>
                    <w:ind w:firstLine="0" w:firstLineChars="0"/>
                    <w:jc w:val="center"/>
                    <w:rPr>
                      <w:rFonts w:hint="eastAsia" w:ascii="Times New Roman" w:hAnsi="Times New Roman" w:eastAsia="宋体" w:cs="黑体"/>
                      <w:b w:val="0"/>
                      <w:bCs/>
                      <w:color w:val="auto"/>
                      <w:kern w:val="2"/>
                      <w:sz w:val="21"/>
                      <w:szCs w:val="21"/>
                      <w:lang w:val="en-US" w:eastAsia="zh-CN" w:bidi="ar-SA"/>
                    </w:rPr>
                  </w:pPr>
                  <w:r>
                    <w:rPr>
                      <w:rFonts w:hint="eastAsia" w:ascii="Times New Roman" w:hAnsi="Times New Roman" w:eastAsia="宋体" w:cs="黑体"/>
                      <w:b w:val="0"/>
                      <w:bCs/>
                      <w:color w:val="auto"/>
                      <w:kern w:val="2"/>
                      <w:sz w:val="21"/>
                      <w:szCs w:val="21"/>
                      <w:lang w:val="en-US" w:eastAsia="zh-CN" w:bidi="ar-SA"/>
                    </w:rPr>
                    <w:t>其他要求</w:t>
                  </w:r>
                </w:p>
              </w:tc>
              <w:tc>
                <w:tcPr>
                  <w:tcW w:w="2195" w:type="pct"/>
                  <w:vAlign w:val="center"/>
                </w:tcPr>
                <w:p w14:paraId="2D5F6CCC">
                  <w:pPr>
                    <w:widowControl w:val="0"/>
                    <w:bidi w:val="0"/>
                    <w:spacing w:line="240" w:lineRule="auto"/>
                    <w:ind w:firstLine="0" w:firstLineChars="0"/>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（1）厂区道路应硬化。道路采取清扫、洒水等措施，保持清洁。</w:t>
                  </w:r>
                </w:p>
                <w:p w14:paraId="40D8CBC2">
                  <w:pPr>
                    <w:widowControl w:val="0"/>
                    <w:bidi w:val="0"/>
                    <w:spacing w:line="240" w:lineRule="auto"/>
                    <w:ind w:firstLine="0" w:firstLineChars="0"/>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（2）厂区应设置车轮冲洗设施，或采取其他有效控制措施。</w:t>
                  </w:r>
                </w:p>
                <w:p w14:paraId="3FD00400">
                  <w:pPr>
                    <w:widowControl w:val="0"/>
                    <w:bidi w:val="0"/>
                    <w:spacing w:line="240" w:lineRule="auto"/>
                    <w:ind w:firstLine="0" w:firstLineChars="0"/>
                    <w:jc w:val="center"/>
                    <w:rPr>
                      <w:rFonts w:hint="eastAsia" w:ascii="Times New Roman" w:hAnsi="Times New Roman" w:eastAsia="宋体" w:cs="Times New Roman"/>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（3）脱硝系统氨的储存、卸载、输送、制备等过程应密闭，并采取氨气泄漏检测措施。</w:t>
                  </w:r>
                </w:p>
                <w:p w14:paraId="2DBCCCA0">
                  <w:pPr>
                    <w:widowControl w:val="0"/>
                    <w:bidi w:val="0"/>
                    <w:spacing w:line="240" w:lineRule="auto"/>
                    <w:ind w:firstLine="0" w:firstLineChars="0"/>
                    <w:jc w:val="center"/>
                    <w:rPr>
                      <w:rFonts w:hint="eastAsia" w:ascii="Times New Roman" w:hAnsi="Times New Roman" w:eastAsia="宋体" w:cs="黑体"/>
                      <w:b w:val="0"/>
                      <w:bCs/>
                      <w:color w:val="auto"/>
                      <w:kern w:val="2"/>
                      <w:sz w:val="21"/>
                      <w:szCs w:val="21"/>
                      <w:lang w:val="en-US" w:eastAsia="zh-CN" w:bidi="ar-SA"/>
                    </w:rPr>
                  </w:pPr>
                  <w:r>
                    <w:rPr>
                      <w:rFonts w:hint="eastAsia" w:ascii="Times New Roman" w:hAnsi="Times New Roman" w:eastAsia="宋体" w:cs="Times New Roman"/>
                      <w:b w:val="0"/>
                      <w:bCs/>
                      <w:color w:val="auto"/>
                      <w:kern w:val="2"/>
                      <w:sz w:val="21"/>
                      <w:szCs w:val="21"/>
                      <w:lang w:val="en-US" w:eastAsia="zh-CN" w:bidi="ar-SA"/>
                    </w:rPr>
                    <w:t>（3）煤气发生炉气化后的固体残渣，应采取围挡、覆盖等抑尘措施。</w:t>
                  </w:r>
                </w:p>
              </w:tc>
              <w:tc>
                <w:tcPr>
                  <w:tcW w:w="1668" w:type="pct"/>
                  <w:vAlign w:val="center"/>
                </w:tcPr>
                <w:p w14:paraId="348F526B">
                  <w:pPr>
                    <w:widowControl w:val="0"/>
                    <w:bidi w:val="0"/>
                    <w:spacing w:line="240" w:lineRule="auto"/>
                    <w:ind w:firstLine="0" w:firstLineChars="0"/>
                    <w:jc w:val="center"/>
                    <w:rPr>
                      <w:rFonts w:hint="eastAsia" w:ascii="Times New Roman" w:hAnsi="Times New Roman" w:eastAsia="宋体" w:cs="黑体"/>
                      <w:b w:val="0"/>
                      <w:bCs/>
                      <w:color w:val="auto"/>
                      <w:kern w:val="2"/>
                      <w:sz w:val="21"/>
                      <w:szCs w:val="21"/>
                      <w:lang w:val="en-US" w:eastAsia="zh-CN" w:bidi="ar-SA"/>
                    </w:rPr>
                  </w:pPr>
                  <w:r>
                    <w:rPr>
                      <w:rFonts w:hint="eastAsia" w:ascii="Times New Roman" w:hAnsi="Times New Roman" w:eastAsia="宋体" w:cs="黑体"/>
                      <w:b w:val="0"/>
                      <w:bCs/>
                      <w:color w:val="auto"/>
                      <w:kern w:val="2"/>
                      <w:sz w:val="21"/>
                      <w:szCs w:val="21"/>
                      <w:highlight w:val="none"/>
                      <w:lang w:val="en-US" w:eastAsia="zh-CN" w:bidi="ar-SA"/>
                    </w:rPr>
                    <w:t>厂区内地面水泥硬化，</w:t>
                  </w:r>
                  <w:r>
                    <w:rPr>
                      <w:rFonts w:hint="eastAsia" w:ascii="Times New Roman" w:hAnsi="Times New Roman" w:eastAsia="宋体" w:cs="黑体"/>
                      <w:b w:val="0"/>
                      <w:bCs/>
                      <w:color w:val="auto"/>
                      <w:kern w:val="2"/>
                      <w:sz w:val="21"/>
                      <w:szCs w:val="21"/>
                      <w:lang w:val="en-US" w:eastAsia="zh-CN" w:bidi="ar-SA"/>
                    </w:rPr>
                    <w:t>安排专人定期进行清扫，并采用喷水软管进行洒水降尘。</w:t>
                  </w:r>
                </w:p>
              </w:tc>
              <w:tc>
                <w:tcPr>
                  <w:tcW w:w="444" w:type="pct"/>
                  <w:vAlign w:val="center"/>
                </w:tcPr>
                <w:p w14:paraId="5077430A">
                  <w:pPr>
                    <w:widowControl w:val="0"/>
                    <w:bidi w:val="0"/>
                    <w:spacing w:line="240" w:lineRule="auto"/>
                    <w:ind w:firstLine="0" w:firstLineChars="0"/>
                    <w:jc w:val="center"/>
                    <w:rPr>
                      <w:rFonts w:hint="eastAsia" w:ascii="Times New Roman" w:hAnsi="Times New Roman" w:eastAsia="宋体" w:cs="黑体"/>
                      <w:b w:val="0"/>
                      <w:bCs/>
                      <w:color w:val="auto"/>
                      <w:kern w:val="2"/>
                      <w:sz w:val="21"/>
                      <w:szCs w:val="21"/>
                      <w:lang w:val="en-US" w:eastAsia="zh-CN" w:bidi="ar-SA"/>
                    </w:rPr>
                  </w:pPr>
                  <w:r>
                    <w:rPr>
                      <w:rFonts w:hint="eastAsia" w:ascii="Times New Roman" w:hAnsi="Times New Roman" w:eastAsia="宋体" w:cs="黑体"/>
                      <w:b w:val="0"/>
                      <w:bCs/>
                      <w:color w:val="auto"/>
                      <w:kern w:val="2"/>
                      <w:sz w:val="21"/>
                      <w:szCs w:val="21"/>
                      <w:lang w:val="en-US" w:eastAsia="zh-CN" w:bidi="ar-SA"/>
                    </w:rPr>
                    <w:t>符合</w:t>
                  </w:r>
                </w:p>
              </w:tc>
            </w:tr>
            <w:tr w14:paraId="7A8E3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vAlign w:val="center"/>
                </w:tcPr>
                <w:p w14:paraId="3285E686">
                  <w:pPr>
                    <w:widowControl w:val="0"/>
                    <w:bidi w:val="0"/>
                    <w:spacing w:line="240" w:lineRule="auto"/>
                    <w:ind w:firstLine="0" w:firstLineChars="0"/>
                    <w:jc w:val="center"/>
                    <w:rPr>
                      <w:rFonts w:hint="default" w:ascii="Times New Roman" w:hAnsi="Times New Roman" w:eastAsia="宋体" w:cs="黑体"/>
                      <w:b w:val="0"/>
                      <w:bCs/>
                      <w:color w:val="auto"/>
                      <w:kern w:val="2"/>
                      <w:sz w:val="21"/>
                      <w:szCs w:val="21"/>
                      <w:lang w:val="en-US" w:eastAsia="zh-CN" w:bidi="ar-SA"/>
                    </w:rPr>
                  </w:pPr>
                  <w:r>
                    <w:rPr>
                      <w:rFonts w:hint="eastAsia" w:cs="黑体"/>
                      <w:b w:val="0"/>
                      <w:bCs/>
                      <w:color w:val="auto"/>
                      <w:kern w:val="2"/>
                      <w:sz w:val="21"/>
                      <w:szCs w:val="21"/>
                      <w:lang w:val="en-US" w:eastAsia="zh-CN" w:bidi="ar-SA"/>
                    </w:rPr>
                    <w:t>5</w:t>
                  </w:r>
                </w:p>
              </w:tc>
              <w:tc>
                <w:tcPr>
                  <w:tcW w:w="422" w:type="pct"/>
                  <w:vMerge w:val="continue"/>
                  <w:vAlign w:val="center"/>
                </w:tcPr>
                <w:p w14:paraId="543F4C8B">
                  <w:pPr>
                    <w:widowControl w:val="0"/>
                    <w:bidi w:val="0"/>
                    <w:spacing w:line="240" w:lineRule="auto"/>
                    <w:ind w:firstLine="0" w:firstLineChars="0"/>
                    <w:jc w:val="center"/>
                    <w:rPr>
                      <w:rFonts w:hint="eastAsia" w:ascii="Times New Roman" w:hAnsi="Times New Roman" w:eastAsia="宋体" w:cs="黑体"/>
                      <w:b w:val="0"/>
                      <w:bCs/>
                      <w:color w:val="auto"/>
                      <w:kern w:val="2"/>
                      <w:sz w:val="21"/>
                      <w:szCs w:val="21"/>
                      <w:lang w:val="en-US" w:eastAsia="zh-CN" w:bidi="ar-SA"/>
                    </w:rPr>
                  </w:pPr>
                </w:p>
              </w:tc>
              <w:tc>
                <w:tcPr>
                  <w:tcW w:w="2195" w:type="pct"/>
                  <w:vAlign w:val="center"/>
                </w:tcPr>
                <w:p w14:paraId="016D8645">
                  <w:pPr>
                    <w:widowControl w:val="0"/>
                    <w:bidi w:val="0"/>
                    <w:spacing w:line="240" w:lineRule="auto"/>
                    <w:ind w:firstLine="0" w:firstLineChars="0"/>
                    <w:jc w:val="center"/>
                    <w:rPr>
                      <w:rFonts w:hint="eastAsia" w:ascii="Times New Roman" w:hAnsi="Times New Roman" w:eastAsia="宋体" w:cs="Times New Roman"/>
                      <w:b w:val="0"/>
                      <w:bCs/>
                      <w:color w:val="auto"/>
                      <w:kern w:val="2"/>
                      <w:sz w:val="21"/>
                      <w:szCs w:val="21"/>
                      <w:lang w:val="en-US" w:eastAsia="zh-CN" w:bidi="ar-SA"/>
                    </w:rPr>
                  </w:pPr>
                  <w:r>
                    <w:rPr>
                      <w:rFonts w:hint="eastAsia" w:cs="Times New Roman"/>
                      <w:b w:val="0"/>
                      <w:bCs/>
                      <w:color w:val="auto"/>
                      <w:kern w:val="2"/>
                      <w:sz w:val="21"/>
                      <w:szCs w:val="21"/>
                      <w:lang w:val="en-US" w:eastAsia="zh-CN" w:bidi="ar-SA"/>
                    </w:rPr>
                    <w:t>禁止物料露天堆放</w:t>
                  </w:r>
                </w:p>
              </w:tc>
              <w:tc>
                <w:tcPr>
                  <w:tcW w:w="1668" w:type="pct"/>
                  <w:vAlign w:val="center"/>
                </w:tcPr>
                <w:p w14:paraId="6B78B8E1">
                  <w:pPr>
                    <w:widowControl w:val="0"/>
                    <w:bidi w:val="0"/>
                    <w:spacing w:line="240" w:lineRule="auto"/>
                    <w:ind w:firstLine="0" w:firstLineChars="0"/>
                    <w:jc w:val="center"/>
                    <w:rPr>
                      <w:rFonts w:hint="eastAsia" w:ascii="Times New Roman" w:hAnsi="Times New Roman" w:eastAsia="宋体" w:cs="黑体"/>
                      <w:b w:val="0"/>
                      <w:bCs/>
                      <w:color w:val="auto"/>
                      <w:kern w:val="2"/>
                      <w:sz w:val="21"/>
                      <w:szCs w:val="21"/>
                      <w:highlight w:val="none"/>
                      <w:lang w:val="en-US" w:eastAsia="zh-CN" w:bidi="ar-SA"/>
                    </w:rPr>
                  </w:pPr>
                  <w:r>
                    <w:rPr>
                      <w:rFonts w:hint="eastAsia" w:cs="黑体"/>
                      <w:b w:val="0"/>
                      <w:bCs/>
                      <w:color w:val="auto"/>
                      <w:kern w:val="2"/>
                      <w:sz w:val="21"/>
                      <w:szCs w:val="21"/>
                      <w:highlight w:val="none"/>
                      <w:lang w:val="en-US" w:eastAsia="zh-CN" w:bidi="ar-SA"/>
                    </w:rPr>
                    <w:t>本项目原料储存于封闭厂房内，定期洒水降尘，不露天堆放。</w:t>
                  </w:r>
                </w:p>
              </w:tc>
              <w:tc>
                <w:tcPr>
                  <w:tcW w:w="444" w:type="pct"/>
                  <w:vAlign w:val="center"/>
                </w:tcPr>
                <w:p w14:paraId="46192000">
                  <w:pPr>
                    <w:widowControl w:val="0"/>
                    <w:bidi w:val="0"/>
                    <w:spacing w:line="240" w:lineRule="auto"/>
                    <w:ind w:firstLine="0" w:firstLineChars="0"/>
                    <w:jc w:val="center"/>
                    <w:rPr>
                      <w:rFonts w:hint="eastAsia" w:ascii="Times New Roman" w:hAnsi="Times New Roman" w:eastAsia="宋体" w:cs="黑体"/>
                      <w:b w:val="0"/>
                      <w:bCs/>
                      <w:color w:val="auto"/>
                      <w:kern w:val="2"/>
                      <w:sz w:val="21"/>
                      <w:szCs w:val="21"/>
                      <w:lang w:val="en-US" w:eastAsia="zh-CN" w:bidi="ar-SA"/>
                    </w:rPr>
                  </w:pPr>
                  <w:r>
                    <w:rPr>
                      <w:rFonts w:hint="eastAsia" w:cs="黑体"/>
                      <w:b w:val="0"/>
                      <w:bCs/>
                      <w:color w:val="auto"/>
                      <w:kern w:val="2"/>
                      <w:sz w:val="21"/>
                      <w:szCs w:val="21"/>
                      <w:lang w:val="en-US" w:eastAsia="zh-CN" w:bidi="ar-SA"/>
                    </w:rPr>
                    <w:t>符合</w:t>
                  </w:r>
                </w:p>
              </w:tc>
            </w:tr>
          </w:tbl>
          <w:p w14:paraId="34BE4BF0">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Times New Roman" w:hAnsi="Times New Roman" w:eastAsia="宋体" w:cs="Times New Roman"/>
                <w:color w:val="auto"/>
                <w:sz w:val="21"/>
                <w:szCs w:val="21"/>
              </w:rPr>
            </w:pPr>
            <w:r>
              <w:rPr>
                <w:rFonts w:hint="eastAsia" w:ascii="Times New Roman" w:hAnsi="Times New Roman" w:eastAsia="宋体" w:cs="黑体"/>
                <w:color w:val="auto"/>
                <w:sz w:val="21"/>
                <w:szCs w:val="21"/>
              </w:rPr>
              <w:t>综上，本项目</w:t>
            </w:r>
            <w:r>
              <w:rPr>
                <w:rFonts w:hint="eastAsia" w:ascii="Times New Roman" w:hAnsi="Times New Roman" w:eastAsia="宋体" w:cs="黑体"/>
                <w:color w:val="auto"/>
                <w:sz w:val="21"/>
                <w:szCs w:val="21"/>
                <w:lang w:eastAsia="zh-CN"/>
              </w:rPr>
              <w:t>无组织废气处理措施</w:t>
            </w:r>
            <w:r>
              <w:rPr>
                <w:rFonts w:hint="eastAsia" w:ascii="Times New Roman" w:hAnsi="Times New Roman" w:eastAsia="宋体" w:cs="黑体"/>
                <w:color w:val="auto"/>
                <w:sz w:val="21"/>
                <w:szCs w:val="21"/>
              </w:rPr>
              <w:t>符合</w:t>
            </w:r>
            <w:r>
              <w:rPr>
                <w:rFonts w:hint="eastAsia" w:ascii="Times New Roman" w:hAnsi="Times New Roman" w:eastAsia="宋体" w:cs="黑体"/>
                <w:b w:val="0"/>
                <w:bCs w:val="0"/>
                <w:color w:val="auto"/>
                <w:sz w:val="21"/>
                <w:szCs w:val="21"/>
                <w:lang w:eastAsia="zh-CN"/>
              </w:rPr>
              <w:t>《排污许可证申请与核发技术规范</w:t>
            </w:r>
            <w:r>
              <w:rPr>
                <w:rFonts w:hint="eastAsia" w:ascii="Times New Roman" w:hAnsi="Times New Roman" w:eastAsia="宋体" w:cs="黑体"/>
                <w:b w:val="0"/>
                <w:bCs w:val="0"/>
                <w:color w:val="auto"/>
                <w:sz w:val="21"/>
                <w:szCs w:val="21"/>
                <w:lang w:val="en-US" w:eastAsia="zh-CN"/>
              </w:rPr>
              <w:t xml:space="preserve"> </w:t>
            </w:r>
            <w:r>
              <w:rPr>
                <w:rFonts w:hint="eastAsia" w:ascii="Times New Roman" w:hAnsi="Times New Roman" w:eastAsia="宋体" w:cs="黑体"/>
                <w:b w:val="0"/>
                <w:bCs w:val="0"/>
                <w:color w:val="auto"/>
                <w:sz w:val="21"/>
                <w:szCs w:val="21"/>
                <w:lang w:eastAsia="zh-CN"/>
              </w:rPr>
              <w:t>陶瓷砖瓦工业》（HJ 954-2018）</w:t>
            </w:r>
            <w:r>
              <w:rPr>
                <w:rFonts w:hint="eastAsia" w:ascii="Times New Roman" w:hAnsi="Times New Roman" w:eastAsia="宋体" w:cs="黑体"/>
                <w:color w:val="auto"/>
                <w:sz w:val="21"/>
                <w:szCs w:val="21"/>
                <w:lang w:val="en-US" w:eastAsia="zh-CN"/>
              </w:rPr>
              <w:t>表23</w:t>
            </w:r>
            <w:r>
              <w:rPr>
                <w:rFonts w:hint="eastAsia" w:ascii="Times New Roman" w:hAnsi="Times New Roman" w:eastAsia="宋体" w:cs="黑体"/>
                <w:color w:val="auto"/>
                <w:sz w:val="21"/>
                <w:szCs w:val="21"/>
              </w:rPr>
              <w:t>砖瓦工业排污单位无组织排放控制要求</w:t>
            </w:r>
            <w:r>
              <w:rPr>
                <w:rFonts w:hint="eastAsia" w:cs="黑体"/>
                <w:color w:val="auto"/>
                <w:sz w:val="21"/>
                <w:szCs w:val="21"/>
                <w:lang w:eastAsia="zh-CN"/>
              </w:rPr>
              <w:t>，</w:t>
            </w:r>
            <w:r>
              <w:rPr>
                <w:rFonts w:hint="eastAsia" w:cs="黑体"/>
                <w:color w:val="auto"/>
                <w:sz w:val="21"/>
                <w:szCs w:val="21"/>
                <w:lang w:val="en-US" w:eastAsia="zh-CN"/>
              </w:rPr>
              <w:t>企业落实以上措施，厂界无组织颗粒物可达标排放</w:t>
            </w:r>
            <w:r>
              <w:rPr>
                <w:rFonts w:hint="eastAsia" w:ascii="Times New Roman" w:hAnsi="Times New Roman" w:eastAsia="宋体" w:cs="黑体"/>
                <w:color w:val="auto"/>
                <w:sz w:val="21"/>
                <w:szCs w:val="21"/>
              </w:rPr>
              <w:t>。</w:t>
            </w:r>
          </w:p>
          <w:p w14:paraId="04635166">
            <w:pPr>
              <w:widowControl w:val="0"/>
              <w:bidi w:val="0"/>
              <w:spacing w:line="360" w:lineRule="auto"/>
              <w:ind w:left="0" w:leftChars="0" w:firstLine="422" w:firstLineChars="200"/>
              <w:jc w:val="both"/>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w:t>
            </w:r>
            <w:r>
              <w:rPr>
                <w:rFonts w:hint="eastAsia" w:cs="Times New Roman"/>
                <w:b/>
                <w:bCs/>
                <w:color w:val="auto"/>
                <w:kern w:val="2"/>
                <w:sz w:val="21"/>
                <w:szCs w:val="21"/>
                <w:lang w:val="en-US" w:eastAsia="zh-CN" w:bidi="ar-SA"/>
              </w:rPr>
              <w:t>5</w:t>
            </w:r>
            <w:r>
              <w:rPr>
                <w:rFonts w:hint="eastAsia" w:ascii="Times New Roman" w:hAnsi="Times New Roman" w:eastAsia="宋体" w:cs="Times New Roman"/>
                <w:b/>
                <w:bCs/>
                <w:color w:val="auto"/>
                <w:kern w:val="2"/>
                <w:sz w:val="21"/>
                <w:szCs w:val="21"/>
                <w:lang w:val="en-US" w:eastAsia="zh-CN" w:bidi="ar-SA"/>
              </w:rPr>
              <w:t>）</w:t>
            </w:r>
            <w:r>
              <w:rPr>
                <w:rFonts w:hint="eastAsia" w:cs="Times New Roman"/>
                <w:b/>
                <w:bCs/>
                <w:color w:val="auto"/>
                <w:kern w:val="2"/>
                <w:sz w:val="21"/>
                <w:szCs w:val="21"/>
                <w:lang w:val="en-US" w:eastAsia="zh-CN" w:bidi="ar-SA"/>
              </w:rPr>
              <w:t>排放口设置的合理性分析</w:t>
            </w:r>
          </w:p>
          <w:p w14:paraId="4CFD7C25">
            <w:pPr>
              <w:pStyle w:val="38"/>
              <w:bidi w:val="0"/>
              <w:rPr>
                <w:rFonts w:hint="eastAsia"/>
                <w:color w:val="auto"/>
                <w:lang w:val="en-US" w:eastAsia="zh-CN"/>
              </w:rPr>
            </w:pPr>
            <w:r>
              <w:rPr>
                <w:rFonts w:hint="eastAsia"/>
                <w:color w:val="auto"/>
                <w:lang w:val="en-US" w:eastAsia="zh-CN"/>
              </w:rPr>
              <w:t>根据《砖瓦工业大气污染物排放标准》（GB29620-2013）及其修改单（生态环境部公告2020年第71号）中“4.6人工干燥及焙烧窑的排气筒高度一律不得低于15m。排气筒周围半径200m范围内有建筑物时，排气筒高度还应高出最高建筑物3m以上。”经现场核实，排气筒周围半径200m范围内无居民区，排气筒高度设置为15m，符合要求。</w:t>
            </w:r>
          </w:p>
          <w:p w14:paraId="2D406DA0">
            <w:pPr>
              <w:widowControl w:val="0"/>
              <w:bidi w:val="0"/>
              <w:spacing w:line="360" w:lineRule="auto"/>
              <w:ind w:firstLine="420" w:firstLineChars="200"/>
              <w:jc w:val="left"/>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根据《大气污染治理工程技术导则》（HJ2000-2010）中5.3.5排气筒的出口直径应根据出口流速确定，流速宜取15m/s左右</w:t>
            </w:r>
            <w:r>
              <w:rPr>
                <w:rFonts w:hint="eastAsia" w:ascii="Times New Roman" w:hAnsi="Times New Roman" w:eastAsia="宋体" w:cs="Times New Roman"/>
                <w:bCs/>
                <w:color w:val="auto"/>
                <w:sz w:val="21"/>
                <w:szCs w:val="21"/>
                <w:lang w:val="en-US" w:eastAsia="zh-CN"/>
              </w:rPr>
              <w:t>，本项目内径为0.5m，流速为14.15m/s，符合要求。</w:t>
            </w:r>
          </w:p>
          <w:p w14:paraId="49C2F75D">
            <w:pPr>
              <w:widowControl w:val="0"/>
              <w:bidi w:val="0"/>
              <w:spacing w:line="360" w:lineRule="auto"/>
              <w:ind w:firstLine="0" w:firstLineChars="0"/>
              <w:jc w:val="left"/>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4.2.3 监测要求</w:t>
            </w:r>
          </w:p>
          <w:p w14:paraId="26C9F5F9">
            <w:pPr>
              <w:widowControl w:val="0"/>
              <w:bidi w:val="0"/>
              <w:spacing w:line="360" w:lineRule="auto"/>
              <w:ind w:firstLine="420" w:firstLineChars="20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根据《排污单位自行监测技术指南 砖瓦工业》（HJ 1254-2022）</w:t>
            </w:r>
            <w:r>
              <w:rPr>
                <w:rFonts w:hint="eastAsia"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《排污单位自行监测技术指南 陶瓷工业》（HT 1255-2022），本项目运行期废气污染物环境监测计划如下表。</w:t>
            </w:r>
          </w:p>
          <w:p w14:paraId="4F303595">
            <w:pPr>
              <w:widowControl w:val="0"/>
              <w:bidi w:val="0"/>
              <w:spacing w:line="360" w:lineRule="auto"/>
              <w:ind w:firstLine="422" w:firstLineChars="200"/>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表4-</w:t>
            </w:r>
            <w:r>
              <w:rPr>
                <w:rFonts w:hint="eastAsia" w:cs="Times New Roman"/>
                <w:b/>
                <w:bCs/>
                <w:color w:val="auto"/>
                <w:kern w:val="2"/>
                <w:sz w:val="21"/>
                <w:szCs w:val="21"/>
                <w:lang w:val="en-US" w:eastAsia="zh-CN" w:bidi="ar-SA"/>
              </w:rPr>
              <w:t>8</w:t>
            </w:r>
            <w:r>
              <w:rPr>
                <w:rFonts w:hint="eastAsia" w:ascii="Times New Roman" w:hAnsi="Times New Roman" w:eastAsia="宋体" w:cs="Times New Roman"/>
                <w:b/>
                <w:bCs/>
                <w:color w:val="auto"/>
                <w:kern w:val="2"/>
                <w:sz w:val="21"/>
                <w:szCs w:val="21"/>
                <w:lang w:val="en-US" w:eastAsia="zh-CN" w:bidi="ar-SA"/>
              </w:rPr>
              <w:t xml:space="preserve">  废气监测要求</w:t>
            </w:r>
          </w:p>
          <w:tbl>
            <w:tblPr>
              <w:tblStyle w:val="30"/>
              <w:tblW w:w="79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6"/>
              <w:gridCol w:w="1810"/>
              <w:gridCol w:w="2900"/>
              <w:gridCol w:w="1430"/>
            </w:tblGrid>
            <w:tr w14:paraId="022FF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96" w:type="dxa"/>
                  <w:vAlign w:val="center"/>
                </w:tcPr>
                <w:p w14:paraId="583D2BB1">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排放形式</w:t>
                  </w:r>
                </w:p>
              </w:tc>
              <w:tc>
                <w:tcPr>
                  <w:tcW w:w="1810" w:type="dxa"/>
                  <w:vAlign w:val="center"/>
                </w:tcPr>
                <w:p w14:paraId="53052B74">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监测点位</w:t>
                  </w:r>
                </w:p>
              </w:tc>
              <w:tc>
                <w:tcPr>
                  <w:tcW w:w="2900" w:type="dxa"/>
                  <w:vAlign w:val="center"/>
                </w:tcPr>
                <w:p w14:paraId="0D4ED3C1">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监测指标</w:t>
                  </w:r>
                </w:p>
              </w:tc>
              <w:tc>
                <w:tcPr>
                  <w:tcW w:w="1430" w:type="dxa"/>
                  <w:vAlign w:val="center"/>
                </w:tcPr>
                <w:p w14:paraId="18ED90F6">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监测频次</w:t>
                  </w:r>
                </w:p>
              </w:tc>
            </w:tr>
            <w:tr w14:paraId="55679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1796" w:type="dxa"/>
                  <w:vMerge w:val="restart"/>
                  <w:vAlign w:val="center"/>
                </w:tcPr>
                <w:p w14:paraId="071841F0">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有组织废气</w:t>
                  </w:r>
                </w:p>
              </w:tc>
              <w:tc>
                <w:tcPr>
                  <w:tcW w:w="1810" w:type="dxa"/>
                  <w:vMerge w:val="restart"/>
                  <w:vAlign w:val="center"/>
                </w:tcPr>
                <w:p w14:paraId="579C9118">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DA00</w:t>
                  </w:r>
                  <w:r>
                    <w:rPr>
                      <w:rFonts w:hint="eastAsia" w:cs="Times New Roman"/>
                      <w:color w:val="auto"/>
                      <w:kern w:val="2"/>
                      <w:sz w:val="21"/>
                      <w:szCs w:val="21"/>
                      <w:lang w:val="en-US" w:eastAsia="zh-CN" w:bidi="ar-SA"/>
                    </w:rPr>
                    <w:t>1</w:t>
                  </w:r>
                  <w:r>
                    <w:rPr>
                      <w:rFonts w:hint="eastAsia" w:ascii="Times New Roman" w:hAnsi="Times New Roman" w:eastAsia="宋体" w:cs="Times New Roman"/>
                      <w:color w:val="auto"/>
                      <w:kern w:val="2"/>
                      <w:sz w:val="21"/>
                      <w:szCs w:val="21"/>
                      <w:lang w:val="en-US" w:eastAsia="zh-CN" w:bidi="ar-SA"/>
                    </w:rPr>
                    <w:t>排气筒</w:t>
                  </w:r>
                </w:p>
              </w:tc>
              <w:tc>
                <w:tcPr>
                  <w:tcW w:w="2900" w:type="dxa"/>
                  <w:vAlign w:val="center"/>
                </w:tcPr>
                <w:p w14:paraId="13856CAC">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颗粒物、二氧化硫、氮氧化物</w:t>
                  </w:r>
                </w:p>
              </w:tc>
              <w:tc>
                <w:tcPr>
                  <w:tcW w:w="1430" w:type="dxa"/>
                  <w:vAlign w:val="center"/>
                </w:tcPr>
                <w:p w14:paraId="2971E7F1">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自动监测</w:t>
                  </w:r>
                </w:p>
              </w:tc>
            </w:tr>
            <w:tr w14:paraId="53494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796" w:type="dxa"/>
                  <w:vMerge w:val="continue"/>
                  <w:vAlign w:val="center"/>
                </w:tcPr>
                <w:p w14:paraId="3A60410E">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1810" w:type="dxa"/>
                  <w:vMerge w:val="continue"/>
                  <w:vAlign w:val="center"/>
                </w:tcPr>
                <w:p w14:paraId="55415783">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2900" w:type="dxa"/>
                  <w:vAlign w:val="center"/>
                </w:tcPr>
                <w:p w14:paraId="7C45E4A3">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氟化物</w:t>
                  </w:r>
                </w:p>
              </w:tc>
              <w:tc>
                <w:tcPr>
                  <w:tcW w:w="1430" w:type="dxa"/>
                  <w:vAlign w:val="center"/>
                </w:tcPr>
                <w:p w14:paraId="4F9CF0BD">
                  <w:pPr>
                    <w:widowControl w:val="0"/>
                    <w:bidi w:val="0"/>
                    <w:spacing w:before="25" w:beforeLines="25" w:after="25" w:afterLines="25" w:line="240" w:lineRule="auto"/>
                    <w:ind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1次/半年</w:t>
                  </w:r>
                </w:p>
              </w:tc>
            </w:tr>
            <w:tr w14:paraId="3A050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796" w:type="dxa"/>
                  <w:vAlign w:val="center"/>
                </w:tcPr>
                <w:p w14:paraId="669BAC0A">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无组织废气</w:t>
                  </w:r>
                </w:p>
              </w:tc>
              <w:tc>
                <w:tcPr>
                  <w:tcW w:w="1810" w:type="dxa"/>
                  <w:vAlign w:val="center"/>
                </w:tcPr>
                <w:p w14:paraId="79CD2317">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厂界</w:t>
                  </w:r>
                </w:p>
              </w:tc>
              <w:tc>
                <w:tcPr>
                  <w:tcW w:w="2900" w:type="dxa"/>
                  <w:vAlign w:val="center"/>
                </w:tcPr>
                <w:p w14:paraId="362AD4B6">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颗粒物、二氧化硫、氟化物</w:t>
                  </w:r>
                </w:p>
              </w:tc>
              <w:tc>
                <w:tcPr>
                  <w:tcW w:w="1430" w:type="dxa"/>
                  <w:vAlign w:val="center"/>
                </w:tcPr>
                <w:p w14:paraId="45A6A386">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1次/年</w:t>
                  </w:r>
                </w:p>
              </w:tc>
            </w:tr>
            <w:tr w14:paraId="4A47A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7936" w:type="dxa"/>
                  <w:gridSpan w:val="4"/>
                  <w:vAlign w:val="center"/>
                </w:tcPr>
                <w:p w14:paraId="0BDFCD09">
                  <w:pPr>
                    <w:widowControl w:val="0"/>
                    <w:bidi w:val="0"/>
                    <w:spacing w:before="25" w:beforeLines="25" w:after="25" w:afterLines="25" w:line="240" w:lineRule="auto"/>
                    <w:ind w:firstLine="0" w:firstLineChars="0"/>
                    <w:jc w:val="both"/>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注：自动监测待纳入《玉溪市重点管理企业名单》实行。</w:t>
                  </w:r>
                </w:p>
              </w:tc>
            </w:tr>
          </w:tbl>
          <w:p w14:paraId="63EAC906">
            <w:pPr>
              <w:widowControl w:val="0"/>
              <w:bidi w:val="0"/>
              <w:spacing w:line="360" w:lineRule="auto"/>
              <w:ind w:firstLine="0" w:firstLineChars="0"/>
              <w:jc w:val="left"/>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4.2.4 非正常工况</w:t>
            </w:r>
          </w:p>
          <w:p w14:paraId="52071D1D">
            <w:pPr>
              <w:widowControl w:val="0"/>
              <w:bidi w:val="0"/>
              <w:spacing w:line="360" w:lineRule="auto"/>
              <w:ind w:firstLine="420" w:firstLineChars="200"/>
              <w:jc w:val="both"/>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非正常排放主要考虑生产设施开停炉（机）等非正常情况下，污染物的排放。根据项目生产工艺及产污环节、污染治理措施及污染物排放情况。因此本次环评主要考虑废气治理设施重大异常，</w:t>
            </w:r>
            <w:r>
              <w:rPr>
                <w:rFonts w:hint="eastAsia" w:cs="Times New Roman"/>
                <w:color w:val="auto"/>
                <w:kern w:val="2"/>
                <w:sz w:val="21"/>
                <w:szCs w:val="21"/>
                <w:lang w:val="en-US" w:eastAsia="zh-CN" w:bidi="ar-SA"/>
              </w:rPr>
              <w:t>布袋除尘器破损除</w:t>
            </w:r>
            <w:r>
              <w:rPr>
                <w:rFonts w:hint="eastAsia" w:ascii="Times New Roman" w:hAnsi="Times New Roman" w:eastAsia="宋体" w:cs="Times New Roman"/>
                <w:color w:val="auto"/>
                <w:kern w:val="2"/>
                <w:sz w:val="21"/>
                <w:szCs w:val="21"/>
                <w:lang w:val="en-US" w:eastAsia="zh-CN" w:bidi="ar-SA"/>
              </w:rPr>
              <w:t>效率降至</w:t>
            </w:r>
            <w:r>
              <w:rPr>
                <w:rFonts w:hint="eastAsia" w:cs="Times New Roman"/>
                <w:color w:val="auto"/>
                <w:kern w:val="2"/>
                <w:sz w:val="21"/>
                <w:szCs w:val="21"/>
                <w:lang w:val="en-US" w:eastAsia="zh-CN" w:bidi="ar-SA"/>
              </w:rPr>
              <w:t>9</w:t>
            </w:r>
            <w:r>
              <w:rPr>
                <w:rFonts w:hint="eastAsia" w:ascii="Times New Roman" w:hAnsi="Times New Roman" w:eastAsia="宋体" w:cs="Times New Roman"/>
                <w:color w:val="auto"/>
                <w:kern w:val="2"/>
                <w:sz w:val="21"/>
                <w:szCs w:val="21"/>
                <w:lang w:val="en-US" w:eastAsia="zh-CN" w:bidi="ar-SA"/>
              </w:rPr>
              <w:t>0%</w:t>
            </w:r>
            <w:r>
              <w:rPr>
                <w:rFonts w:hint="eastAsia" w:cs="Times New Roman"/>
                <w:color w:val="auto"/>
                <w:kern w:val="2"/>
                <w:sz w:val="21"/>
                <w:szCs w:val="21"/>
                <w:lang w:val="en-US" w:eastAsia="zh-CN" w:bidi="ar-SA"/>
              </w:rPr>
              <w:t>；脱硫塔喷淋液pH小于10，</w:t>
            </w:r>
            <w:r>
              <w:rPr>
                <w:rFonts w:hint="eastAsia" w:ascii="Times New Roman" w:hAnsi="Times New Roman" w:eastAsia="宋体" w:cs="Times New Roman"/>
                <w:color w:val="auto"/>
                <w:kern w:val="2"/>
                <w:sz w:val="21"/>
                <w:szCs w:val="21"/>
                <w:lang w:val="en-US" w:eastAsia="zh-CN" w:bidi="ar-SA"/>
              </w:rPr>
              <w:t>二氧化硫</w:t>
            </w:r>
            <w:r>
              <w:rPr>
                <w:rFonts w:hint="eastAsia" w:cs="Times New Roman"/>
                <w:color w:val="auto"/>
                <w:kern w:val="2"/>
                <w:sz w:val="21"/>
                <w:szCs w:val="21"/>
                <w:lang w:val="en-US" w:eastAsia="zh-CN" w:bidi="ar-SA"/>
              </w:rPr>
              <w:t>和氟化物</w:t>
            </w:r>
            <w:r>
              <w:rPr>
                <w:rFonts w:hint="eastAsia" w:ascii="Times New Roman" w:hAnsi="Times New Roman" w:eastAsia="宋体" w:cs="Times New Roman"/>
                <w:color w:val="auto"/>
                <w:kern w:val="2"/>
                <w:sz w:val="21"/>
                <w:szCs w:val="21"/>
                <w:lang w:val="en-US" w:eastAsia="zh-CN" w:bidi="ar-SA"/>
              </w:rPr>
              <w:t>去除效率降至</w:t>
            </w:r>
            <w:r>
              <w:rPr>
                <w:rFonts w:hint="eastAsia" w:cs="Times New Roman"/>
                <w:color w:val="auto"/>
                <w:kern w:val="2"/>
                <w:sz w:val="21"/>
                <w:szCs w:val="21"/>
                <w:lang w:val="en-US" w:eastAsia="zh-CN" w:bidi="ar-SA"/>
              </w:rPr>
              <w:t>50</w:t>
            </w:r>
            <w:r>
              <w:rPr>
                <w:rFonts w:hint="eastAsia" w:ascii="Times New Roman" w:hAnsi="Times New Roman" w:eastAsia="宋体" w:cs="Times New Roman"/>
                <w:color w:val="auto"/>
                <w:kern w:val="2"/>
                <w:sz w:val="21"/>
                <w:szCs w:val="21"/>
                <w:lang w:val="en-US" w:eastAsia="zh-CN" w:bidi="ar-SA"/>
              </w:rPr>
              <w:t>%。非正常排放情况见下表：</w:t>
            </w:r>
          </w:p>
          <w:p w14:paraId="204739E4">
            <w:pPr>
              <w:widowControl w:val="0"/>
              <w:bidi w:val="0"/>
              <w:spacing w:line="360" w:lineRule="auto"/>
              <w:ind w:firstLine="422" w:firstLineChars="200"/>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表4-</w:t>
            </w:r>
            <w:r>
              <w:rPr>
                <w:rFonts w:hint="eastAsia" w:cs="Times New Roman"/>
                <w:b/>
                <w:bCs/>
                <w:color w:val="auto"/>
                <w:kern w:val="2"/>
                <w:sz w:val="21"/>
                <w:szCs w:val="21"/>
                <w:lang w:val="en-US" w:eastAsia="zh-CN" w:bidi="ar-SA"/>
              </w:rPr>
              <w:t>9</w:t>
            </w:r>
            <w:r>
              <w:rPr>
                <w:rFonts w:hint="eastAsia" w:ascii="Times New Roman" w:hAnsi="Times New Roman" w:eastAsia="宋体" w:cs="Times New Roman"/>
                <w:b/>
                <w:bCs/>
                <w:color w:val="auto"/>
                <w:kern w:val="2"/>
                <w:sz w:val="21"/>
                <w:szCs w:val="21"/>
                <w:lang w:val="en-US" w:eastAsia="zh-CN" w:bidi="ar-SA"/>
              </w:rPr>
              <w:t xml:space="preserve">  污染源非正常排放量核算表</w:t>
            </w:r>
          </w:p>
          <w:tbl>
            <w:tblPr>
              <w:tblStyle w:val="30"/>
              <w:tblW w:w="49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085"/>
              <w:gridCol w:w="1163"/>
              <w:gridCol w:w="794"/>
              <w:gridCol w:w="970"/>
              <w:gridCol w:w="1080"/>
              <w:gridCol w:w="743"/>
              <w:gridCol w:w="1250"/>
            </w:tblGrid>
            <w:tr w14:paraId="486EF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478" w:type="pct"/>
                  <w:noWrap w:val="0"/>
                  <w:vAlign w:val="center"/>
                </w:tcPr>
                <w:p w14:paraId="53B59B6B">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污染物</w:t>
                  </w:r>
                </w:p>
              </w:tc>
              <w:tc>
                <w:tcPr>
                  <w:tcW w:w="692" w:type="pct"/>
                  <w:noWrap w:val="0"/>
                  <w:vAlign w:val="center"/>
                </w:tcPr>
                <w:p w14:paraId="326B8E27">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小时最大产生量（t/h）</w:t>
                  </w:r>
                </w:p>
              </w:tc>
              <w:tc>
                <w:tcPr>
                  <w:tcW w:w="742" w:type="pct"/>
                  <w:noWrap w:val="0"/>
                  <w:vAlign w:val="center"/>
                </w:tcPr>
                <w:p w14:paraId="06D4C48C">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处理设施</w:t>
                  </w:r>
                </w:p>
              </w:tc>
              <w:tc>
                <w:tcPr>
                  <w:tcW w:w="506" w:type="pct"/>
                  <w:noWrap w:val="0"/>
                  <w:vAlign w:val="center"/>
                </w:tcPr>
                <w:p w14:paraId="2CA769A9">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处理效率</w:t>
                  </w:r>
                </w:p>
              </w:tc>
              <w:tc>
                <w:tcPr>
                  <w:tcW w:w="619" w:type="pct"/>
                  <w:shd w:val="clear" w:color="auto" w:fill="auto"/>
                  <w:noWrap w:val="0"/>
                  <w:vAlign w:val="center"/>
                </w:tcPr>
                <w:p w14:paraId="12084464">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排放</w:t>
                  </w:r>
                  <w:r>
                    <w:rPr>
                      <w:rFonts w:hint="eastAsia" w:cs="Times New Roman"/>
                      <w:color w:val="auto"/>
                      <w:kern w:val="2"/>
                      <w:sz w:val="21"/>
                      <w:szCs w:val="21"/>
                      <w:lang w:val="en-US" w:eastAsia="zh-CN" w:bidi="ar-SA"/>
                    </w:rPr>
                    <w:t>量</w:t>
                  </w:r>
                  <w:r>
                    <w:rPr>
                      <w:rFonts w:hint="eastAsia" w:ascii="Times New Roman" w:hAnsi="Times New Roman" w:eastAsia="宋体" w:cs="Times New Roman"/>
                      <w:color w:val="auto"/>
                      <w:kern w:val="2"/>
                      <w:sz w:val="21"/>
                      <w:szCs w:val="21"/>
                      <w:lang w:val="en-US" w:eastAsia="zh-CN" w:bidi="ar-SA"/>
                    </w:rPr>
                    <w:t>（t/</w:t>
                  </w:r>
                  <w:r>
                    <w:rPr>
                      <w:rFonts w:hint="eastAsia" w:cs="Times New Roman"/>
                      <w:color w:val="auto"/>
                      <w:kern w:val="2"/>
                      <w:sz w:val="21"/>
                      <w:szCs w:val="21"/>
                      <w:lang w:val="en-US" w:eastAsia="zh-CN" w:bidi="ar-SA"/>
                    </w:rPr>
                    <w:t>h</w:t>
                  </w:r>
                  <w:r>
                    <w:rPr>
                      <w:rFonts w:hint="eastAsia" w:ascii="Times New Roman" w:hAnsi="Times New Roman" w:eastAsia="宋体" w:cs="Times New Roman"/>
                      <w:color w:val="auto"/>
                      <w:kern w:val="2"/>
                      <w:sz w:val="21"/>
                      <w:szCs w:val="21"/>
                      <w:lang w:val="en-US" w:eastAsia="zh-CN" w:bidi="ar-SA"/>
                    </w:rPr>
                    <w:t>）</w:t>
                  </w:r>
                </w:p>
              </w:tc>
              <w:tc>
                <w:tcPr>
                  <w:tcW w:w="689" w:type="pct"/>
                  <w:noWrap w:val="0"/>
                  <w:vAlign w:val="center"/>
                </w:tcPr>
                <w:p w14:paraId="3F1E811D">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排放浓度(mg/m</w:t>
                  </w:r>
                  <w:r>
                    <w:rPr>
                      <w:rFonts w:hint="eastAsia" w:ascii="Times New Roman" w:hAnsi="Times New Roman" w:eastAsia="宋体" w:cs="Times New Roman"/>
                      <w:color w:val="auto"/>
                      <w:kern w:val="2"/>
                      <w:sz w:val="21"/>
                      <w:szCs w:val="21"/>
                      <w:vertAlign w:val="superscript"/>
                      <w:lang w:val="en-US" w:eastAsia="zh-CN" w:bidi="ar-SA"/>
                    </w:rPr>
                    <w:t>3</w:t>
                  </w:r>
                  <w:r>
                    <w:rPr>
                      <w:rFonts w:hint="eastAsia" w:ascii="Times New Roman" w:hAnsi="Times New Roman" w:eastAsia="宋体" w:cs="Times New Roman"/>
                      <w:color w:val="auto"/>
                      <w:kern w:val="2"/>
                      <w:sz w:val="21"/>
                      <w:szCs w:val="21"/>
                      <w:lang w:val="en-US" w:eastAsia="zh-CN" w:bidi="ar-SA"/>
                    </w:rPr>
                    <w:t>)</w:t>
                  </w:r>
                </w:p>
              </w:tc>
              <w:tc>
                <w:tcPr>
                  <w:tcW w:w="474" w:type="pct"/>
                  <w:noWrap w:val="0"/>
                  <w:vAlign w:val="center"/>
                </w:tcPr>
                <w:p w14:paraId="4A900815">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达标判定</w:t>
                  </w:r>
                </w:p>
              </w:tc>
              <w:tc>
                <w:tcPr>
                  <w:tcW w:w="797" w:type="pct"/>
                  <w:noWrap w:val="0"/>
                  <w:vAlign w:val="center"/>
                </w:tcPr>
                <w:p w14:paraId="3C941979">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措施</w:t>
                  </w:r>
                </w:p>
              </w:tc>
            </w:tr>
            <w:tr w14:paraId="4B5F4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78" w:type="pct"/>
                  <w:noWrap w:val="0"/>
                  <w:vAlign w:val="center"/>
                </w:tcPr>
                <w:p w14:paraId="3F3D7C84">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颗粒物</w:t>
                  </w:r>
                </w:p>
              </w:tc>
              <w:tc>
                <w:tcPr>
                  <w:tcW w:w="692" w:type="pct"/>
                  <w:noWrap w:val="0"/>
                  <w:vAlign w:val="center"/>
                </w:tcPr>
                <w:p w14:paraId="4B1518AD">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黑体"/>
                      <w:b w:val="0"/>
                      <w:bCs/>
                      <w:color w:val="auto"/>
                      <w:kern w:val="2"/>
                      <w:sz w:val="21"/>
                      <w:szCs w:val="21"/>
                      <w:lang w:val="en-US" w:eastAsia="zh-CN" w:bidi="ar-SA"/>
                    </w:rPr>
                    <w:t>7.54</w:t>
                  </w:r>
                  <w:r>
                    <w:rPr>
                      <w:rFonts w:hint="default" w:ascii="Times New Roman" w:hAnsi="Times New Roman" w:cs="Times New Roman"/>
                      <w:b w:val="0"/>
                      <w:bCs/>
                      <w:color w:val="auto"/>
                      <w:kern w:val="2"/>
                      <w:sz w:val="21"/>
                      <w:szCs w:val="21"/>
                      <w:lang w:val="en-US" w:eastAsia="zh-CN" w:bidi="ar-SA"/>
                    </w:rPr>
                    <w:t>×</w:t>
                  </w:r>
                  <w:r>
                    <w:rPr>
                      <w:rFonts w:hint="eastAsia" w:cs="黑体"/>
                      <w:b w:val="0"/>
                      <w:bCs/>
                      <w:color w:val="auto"/>
                      <w:kern w:val="2"/>
                      <w:sz w:val="21"/>
                      <w:szCs w:val="21"/>
                      <w:lang w:val="en-US" w:eastAsia="zh-CN" w:bidi="ar-SA"/>
                    </w:rPr>
                    <w:t>10</w:t>
                  </w:r>
                  <w:r>
                    <w:rPr>
                      <w:rFonts w:hint="eastAsia" w:cs="黑体"/>
                      <w:b w:val="0"/>
                      <w:bCs/>
                      <w:color w:val="auto"/>
                      <w:kern w:val="2"/>
                      <w:sz w:val="21"/>
                      <w:szCs w:val="21"/>
                      <w:vertAlign w:val="superscript"/>
                      <w:lang w:val="en-US" w:eastAsia="zh-CN" w:bidi="ar-SA"/>
                    </w:rPr>
                    <w:t>-3</w:t>
                  </w:r>
                </w:p>
              </w:tc>
              <w:tc>
                <w:tcPr>
                  <w:tcW w:w="742" w:type="pct"/>
                  <w:vMerge w:val="restart"/>
                  <w:noWrap w:val="0"/>
                  <w:vAlign w:val="center"/>
                </w:tcPr>
                <w:p w14:paraId="016EB7EC">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布袋除尘器+脱硫塔</w:t>
                  </w:r>
                </w:p>
              </w:tc>
              <w:tc>
                <w:tcPr>
                  <w:tcW w:w="506" w:type="pct"/>
                  <w:noWrap w:val="0"/>
                  <w:vAlign w:val="center"/>
                </w:tcPr>
                <w:p w14:paraId="6E33C93F">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9</w:t>
                  </w:r>
                  <w:r>
                    <w:rPr>
                      <w:rFonts w:hint="eastAsia" w:ascii="Times New Roman" w:hAnsi="Times New Roman" w:eastAsia="宋体" w:cs="Times New Roman"/>
                      <w:color w:val="auto"/>
                      <w:kern w:val="2"/>
                      <w:sz w:val="21"/>
                      <w:szCs w:val="21"/>
                      <w:lang w:val="en-US" w:eastAsia="zh-CN" w:bidi="ar-SA"/>
                    </w:rPr>
                    <w:t>0%</w:t>
                  </w:r>
                </w:p>
              </w:tc>
              <w:tc>
                <w:tcPr>
                  <w:tcW w:w="619" w:type="pct"/>
                  <w:noWrap w:val="0"/>
                  <w:vAlign w:val="center"/>
                </w:tcPr>
                <w:p w14:paraId="7FCB5728">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黑体"/>
                      <w:b w:val="0"/>
                      <w:bCs/>
                      <w:color w:val="auto"/>
                      <w:kern w:val="2"/>
                      <w:sz w:val="21"/>
                      <w:szCs w:val="21"/>
                      <w:lang w:val="en-US" w:eastAsia="zh-CN" w:bidi="ar-SA"/>
                    </w:rPr>
                    <w:t>7.54</w:t>
                  </w:r>
                  <w:r>
                    <w:rPr>
                      <w:rFonts w:hint="default" w:ascii="Times New Roman" w:hAnsi="Times New Roman" w:cs="Times New Roman"/>
                      <w:b w:val="0"/>
                      <w:bCs/>
                      <w:color w:val="auto"/>
                      <w:kern w:val="2"/>
                      <w:sz w:val="21"/>
                      <w:szCs w:val="21"/>
                      <w:lang w:val="en-US" w:eastAsia="zh-CN" w:bidi="ar-SA"/>
                    </w:rPr>
                    <w:t>×</w:t>
                  </w:r>
                  <w:r>
                    <w:rPr>
                      <w:rFonts w:hint="eastAsia" w:cs="黑体"/>
                      <w:b w:val="0"/>
                      <w:bCs/>
                      <w:color w:val="auto"/>
                      <w:kern w:val="2"/>
                      <w:sz w:val="21"/>
                      <w:szCs w:val="21"/>
                      <w:lang w:val="en-US" w:eastAsia="zh-CN" w:bidi="ar-SA"/>
                    </w:rPr>
                    <w:t>10</w:t>
                  </w:r>
                  <w:r>
                    <w:rPr>
                      <w:rFonts w:hint="eastAsia" w:cs="黑体"/>
                      <w:b w:val="0"/>
                      <w:bCs/>
                      <w:color w:val="auto"/>
                      <w:kern w:val="2"/>
                      <w:sz w:val="21"/>
                      <w:szCs w:val="21"/>
                      <w:vertAlign w:val="superscript"/>
                      <w:lang w:val="en-US" w:eastAsia="zh-CN" w:bidi="ar-SA"/>
                    </w:rPr>
                    <w:t>-4</w:t>
                  </w:r>
                </w:p>
              </w:tc>
              <w:tc>
                <w:tcPr>
                  <w:tcW w:w="689" w:type="pct"/>
                  <w:noWrap w:val="0"/>
                  <w:vAlign w:val="center"/>
                </w:tcPr>
                <w:p w14:paraId="63F1F06B">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75.4</w:t>
                  </w:r>
                </w:p>
              </w:tc>
              <w:tc>
                <w:tcPr>
                  <w:tcW w:w="474" w:type="pct"/>
                  <w:noWrap w:val="0"/>
                  <w:vAlign w:val="center"/>
                </w:tcPr>
                <w:p w14:paraId="6FEB48C9">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超标</w:t>
                  </w:r>
                </w:p>
              </w:tc>
              <w:tc>
                <w:tcPr>
                  <w:tcW w:w="797" w:type="pct"/>
                  <w:vMerge w:val="restart"/>
                  <w:noWrap w:val="0"/>
                  <w:vAlign w:val="center"/>
                </w:tcPr>
                <w:p w14:paraId="66F95A2B">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关闭生产设备，尽快安排人员维修废气处理设施</w:t>
                  </w:r>
                </w:p>
              </w:tc>
            </w:tr>
            <w:tr w14:paraId="49483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478" w:type="pct"/>
                  <w:noWrap w:val="0"/>
                  <w:vAlign w:val="center"/>
                </w:tcPr>
                <w:p w14:paraId="6D89ED06">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SO</w:t>
                  </w:r>
                  <w:r>
                    <w:rPr>
                      <w:rFonts w:hint="eastAsia" w:cs="Times New Roman"/>
                      <w:color w:val="auto"/>
                      <w:kern w:val="2"/>
                      <w:sz w:val="21"/>
                      <w:szCs w:val="21"/>
                      <w:vertAlign w:val="subscript"/>
                      <w:lang w:val="en-US" w:eastAsia="zh-CN" w:bidi="ar-SA"/>
                    </w:rPr>
                    <w:t>2</w:t>
                  </w:r>
                </w:p>
              </w:tc>
              <w:tc>
                <w:tcPr>
                  <w:tcW w:w="692" w:type="pct"/>
                  <w:noWrap w:val="0"/>
                  <w:vAlign w:val="center"/>
                </w:tcPr>
                <w:p w14:paraId="10E84DBE">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b w:val="0"/>
                      <w:bCs/>
                      <w:color w:val="auto"/>
                      <w:kern w:val="2"/>
                      <w:sz w:val="21"/>
                      <w:szCs w:val="21"/>
                      <w:lang w:val="en-US" w:eastAsia="zh-CN" w:bidi="ar-SA"/>
                    </w:rPr>
                    <w:t>3.9</w:t>
                  </w:r>
                  <w:r>
                    <w:rPr>
                      <w:rFonts w:hint="default" w:ascii="Times New Roman" w:hAnsi="Times New Roman" w:cs="Times New Roman"/>
                      <w:b w:val="0"/>
                      <w:bCs/>
                      <w:color w:val="auto"/>
                      <w:kern w:val="2"/>
                      <w:sz w:val="21"/>
                      <w:szCs w:val="21"/>
                      <w:lang w:val="en-US" w:eastAsia="zh-CN" w:bidi="ar-SA"/>
                    </w:rPr>
                    <w:t>×</w:t>
                  </w:r>
                  <w:r>
                    <w:rPr>
                      <w:rFonts w:hint="eastAsia" w:cs="黑体"/>
                      <w:b w:val="0"/>
                      <w:bCs/>
                      <w:color w:val="auto"/>
                      <w:kern w:val="2"/>
                      <w:sz w:val="21"/>
                      <w:szCs w:val="21"/>
                      <w:lang w:val="en-US" w:eastAsia="zh-CN" w:bidi="ar-SA"/>
                    </w:rPr>
                    <w:t>10</w:t>
                  </w:r>
                  <w:r>
                    <w:rPr>
                      <w:rFonts w:hint="eastAsia" w:cs="黑体"/>
                      <w:b w:val="0"/>
                      <w:bCs/>
                      <w:color w:val="auto"/>
                      <w:kern w:val="2"/>
                      <w:sz w:val="21"/>
                      <w:szCs w:val="21"/>
                      <w:vertAlign w:val="superscript"/>
                      <w:lang w:val="en-US" w:eastAsia="zh-CN" w:bidi="ar-SA"/>
                    </w:rPr>
                    <w:t>-3</w:t>
                  </w:r>
                </w:p>
              </w:tc>
              <w:tc>
                <w:tcPr>
                  <w:tcW w:w="742" w:type="pct"/>
                  <w:vMerge w:val="continue"/>
                  <w:noWrap w:val="0"/>
                  <w:vAlign w:val="center"/>
                </w:tcPr>
                <w:p w14:paraId="23458BBA">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506" w:type="pct"/>
                  <w:noWrap w:val="0"/>
                  <w:vAlign w:val="center"/>
                </w:tcPr>
                <w:p w14:paraId="027BEB09">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50</w:t>
                  </w:r>
                  <w:r>
                    <w:rPr>
                      <w:rFonts w:hint="eastAsia" w:ascii="Times New Roman" w:hAnsi="Times New Roman" w:eastAsia="宋体" w:cs="Times New Roman"/>
                      <w:color w:val="auto"/>
                      <w:kern w:val="2"/>
                      <w:sz w:val="21"/>
                      <w:szCs w:val="21"/>
                      <w:lang w:val="en-US" w:eastAsia="zh-CN" w:bidi="ar-SA"/>
                    </w:rPr>
                    <w:t>%</w:t>
                  </w:r>
                </w:p>
              </w:tc>
              <w:tc>
                <w:tcPr>
                  <w:tcW w:w="619" w:type="pct"/>
                  <w:noWrap w:val="0"/>
                  <w:vAlign w:val="center"/>
                </w:tcPr>
                <w:p w14:paraId="54D7F389">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b w:val="0"/>
                      <w:bCs/>
                      <w:color w:val="auto"/>
                      <w:kern w:val="2"/>
                      <w:sz w:val="21"/>
                      <w:szCs w:val="21"/>
                      <w:lang w:val="en-US" w:eastAsia="zh-CN" w:bidi="ar-SA"/>
                    </w:rPr>
                    <w:t>1.95</w:t>
                  </w:r>
                  <w:r>
                    <w:rPr>
                      <w:rFonts w:hint="default" w:ascii="Times New Roman" w:hAnsi="Times New Roman" w:cs="Times New Roman"/>
                      <w:b w:val="0"/>
                      <w:bCs/>
                      <w:color w:val="auto"/>
                      <w:kern w:val="2"/>
                      <w:sz w:val="21"/>
                      <w:szCs w:val="21"/>
                      <w:lang w:val="en-US" w:eastAsia="zh-CN" w:bidi="ar-SA"/>
                    </w:rPr>
                    <w:t>×</w:t>
                  </w:r>
                  <w:r>
                    <w:rPr>
                      <w:rFonts w:hint="eastAsia" w:cs="黑体"/>
                      <w:b w:val="0"/>
                      <w:bCs/>
                      <w:color w:val="auto"/>
                      <w:kern w:val="2"/>
                      <w:sz w:val="21"/>
                      <w:szCs w:val="21"/>
                      <w:lang w:val="en-US" w:eastAsia="zh-CN" w:bidi="ar-SA"/>
                    </w:rPr>
                    <w:t>10</w:t>
                  </w:r>
                  <w:r>
                    <w:rPr>
                      <w:rFonts w:hint="eastAsia" w:cs="黑体"/>
                      <w:b w:val="0"/>
                      <w:bCs/>
                      <w:color w:val="auto"/>
                      <w:kern w:val="2"/>
                      <w:sz w:val="21"/>
                      <w:szCs w:val="21"/>
                      <w:vertAlign w:val="superscript"/>
                      <w:lang w:val="en-US" w:eastAsia="zh-CN" w:bidi="ar-SA"/>
                    </w:rPr>
                    <w:t>-3</w:t>
                  </w:r>
                </w:p>
              </w:tc>
              <w:tc>
                <w:tcPr>
                  <w:tcW w:w="689" w:type="pct"/>
                  <w:noWrap w:val="0"/>
                  <w:vAlign w:val="center"/>
                </w:tcPr>
                <w:p w14:paraId="55158990">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195</w:t>
                  </w:r>
                </w:p>
              </w:tc>
              <w:tc>
                <w:tcPr>
                  <w:tcW w:w="474" w:type="pct"/>
                  <w:noWrap w:val="0"/>
                  <w:vAlign w:val="center"/>
                </w:tcPr>
                <w:p w14:paraId="77BAB3C0">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超标</w:t>
                  </w:r>
                </w:p>
              </w:tc>
              <w:tc>
                <w:tcPr>
                  <w:tcW w:w="797" w:type="pct"/>
                  <w:vMerge w:val="continue"/>
                  <w:noWrap w:val="0"/>
                  <w:vAlign w:val="center"/>
                </w:tcPr>
                <w:p w14:paraId="68DE23A7">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r>
            <w:tr w14:paraId="51630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478" w:type="pct"/>
                  <w:noWrap w:val="0"/>
                  <w:vAlign w:val="center"/>
                </w:tcPr>
                <w:p w14:paraId="625AB4AD">
                  <w:pPr>
                    <w:widowControl w:val="0"/>
                    <w:bidi w:val="0"/>
                    <w:spacing w:before="25" w:beforeLines="25" w:after="25" w:afterLines="25" w:line="240" w:lineRule="auto"/>
                    <w:ind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氟化物</w:t>
                  </w:r>
                </w:p>
              </w:tc>
              <w:tc>
                <w:tcPr>
                  <w:tcW w:w="692" w:type="pct"/>
                  <w:noWrap w:val="0"/>
                  <w:vAlign w:val="center"/>
                </w:tcPr>
                <w:p w14:paraId="37B66AEF">
                  <w:pPr>
                    <w:widowControl w:val="0"/>
                    <w:bidi w:val="0"/>
                    <w:spacing w:before="25" w:beforeLines="25" w:after="25" w:afterLines="25" w:line="240" w:lineRule="auto"/>
                    <w:ind w:firstLine="0" w:firstLineChars="0"/>
                    <w:jc w:val="center"/>
                    <w:rPr>
                      <w:rFonts w:hint="eastAsia" w:cs="Times New Roman"/>
                      <w:color w:val="auto"/>
                      <w:kern w:val="2"/>
                      <w:sz w:val="21"/>
                      <w:szCs w:val="21"/>
                      <w:lang w:val="en-US" w:eastAsia="zh-CN" w:bidi="ar-SA"/>
                    </w:rPr>
                  </w:pPr>
                  <w:r>
                    <w:rPr>
                      <w:rFonts w:hint="eastAsia" w:cs="黑体"/>
                      <w:b w:val="0"/>
                      <w:bCs/>
                      <w:color w:val="auto"/>
                      <w:kern w:val="2"/>
                      <w:sz w:val="21"/>
                      <w:szCs w:val="21"/>
                      <w:lang w:val="en-US" w:eastAsia="zh-CN" w:bidi="ar-SA"/>
                    </w:rPr>
                    <w:t>2.56</w:t>
                  </w:r>
                  <w:r>
                    <w:rPr>
                      <w:rFonts w:hint="default" w:ascii="Times New Roman" w:hAnsi="Times New Roman" w:cs="Times New Roman"/>
                      <w:b w:val="0"/>
                      <w:bCs/>
                      <w:color w:val="auto"/>
                      <w:kern w:val="2"/>
                      <w:sz w:val="21"/>
                      <w:szCs w:val="21"/>
                      <w:lang w:val="en-US" w:eastAsia="zh-CN" w:bidi="ar-SA"/>
                    </w:rPr>
                    <w:t>×</w:t>
                  </w:r>
                  <w:r>
                    <w:rPr>
                      <w:rFonts w:hint="eastAsia" w:cs="黑体"/>
                      <w:b w:val="0"/>
                      <w:bCs/>
                      <w:color w:val="auto"/>
                      <w:kern w:val="2"/>
                      <w:sz w:val="21"/>
                      <w:szCs w:val="21"/>
                      <w:lang w:val="en-US" w:eastAsia="zh-CN" w:bidi="ar-SA"/>
                    </w:rPr>
                    <w:t>10</w:t>
                  </w:r>
                  <w:r>
                    <w:rPr>
                      <w:rFonts w:hint="eastAsia" w:cs="黑体"/>
                      <w:b w:val="0"/>
                      <w:bCs/>
                      <w:color w:val="auto"/>
                      <w:kern w:val="2"/>
                      <w:sz w:val="21"/>
                      <w:szCs w:val="21"/>
                      <w:vertAlign w:val="superscript"/>
                      <w:lang w:val="en-US" w:eastAsia="zh-CN" w:bidi="ar-SA"/>
                    </w:rPr>
                    <w:t>-4</w:t>
                  </w:r>
                </w:p>
              </w:tc>
              <w:tc>
                <w:tcPr>
                  <w:tcW w:w="742" w:type="pct"/>
                  <w:noWrap w:val="0"/>
                  <w:vAlign w:val="center"/>
                </w:tcPr>
                <w:p w14:paraId="3F693CFA">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506" w:type="pct"/>
                  <w:noWrap w:val="0"/>
                  <w:vAlign w:val="center"/>
                </w:tcPr>
                <w:p w14:paraId="5041AC9C">
                  <w:pPr>
                    <w:widowControl w:val="0"/>
                    <w:bidi w:val="0"/>
                    <w:spacing w:before="25" w:beforeLines="25" w:after="25" w:afterLines="25" w:line="240" w:lineRule="auto"/>
                    <w:ind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50%</w:t>
                  </w:r>
                </w:p>
              </w:tc>
              <w:tc>
                <w:tcPr>
                  <w:tcW w:w="619" w:type="pct"/>
                  <w:noWrap w:val="0"/>
                  <w:vAlign w:val="center"/>
                </w:tcPr>
                <w:p w14:paraId="662DE184">
                  <w:pPr>
                    <w:widowControl w:val="0"/>
                    <w:bidi w:val="0"/>
                    <w:spacing w:before="25" w:beforeLines="25" w:after="25" w:afterLines="25" w:line="240" w:lineRule="auto"/>
                    <w:ind w:firstLine="0" w:firstLineChars="0"/>
                    <w:jc w:val="center"/>
                    <w:rPr>
                      <w:rFonts w:hint="eastAsia" w:cs="Times New Roman"/>
                      <w:color w:val="auto"/>
                      <w:kern w:val="2"/>
                      <w:sz w:val="21"/>
                      <w:szCs w:val="21"/>
                      <w:lang w:val="en-US" w:eastAsia="zh-CN" w:bidi="ar-SA"/>
                    </w:rPr>
                  </w:pPr>
                  <w:r>
                    <w:rPr>
                      <w:rFonts w:hint="eastAsia" w:cs="黑体"/>
                      <w:b w:val="0"/>
                      <w:bCs/>
                      <w:color w:val="auto"/>
                      <w:kern w:val="2"/>
                      <w:sz w:val="21"/>
                      <w:szCs w:val="21"/>
                      <w:lang w:val="en-US" w:eastAsia="zh-CN" w:bidi="ar-SA"/>
                    </w:rPr>
                    <w:t>1.28</w:t>
                  </w:r>
                  <w:r>
                    <w:rPr>
                      <w:rFonts w:hint="default" w:ascii="Times New Roman" w:hAnsi="Times New Roman" w:cs="Times New Roman"/>
                      <w:b w:val="0"/>
                      <w:bCs/>
                      <w:color w:val="auto"/>
                      <w:kern w:val="2"/>
                      <w:sz w:val="21"/>
                      <w:szCs w:val="21"/>
                      <w:lang w:val="en-US" w:eastAsia="zh-CN" w:bidi="ar-SA"/>
                    </w:rPr>
                    <w:t>×</w:t>
                  </w:r>
                  <w:r>
                    <w:rPr>
                      <w:rFonts w:hint="eastAsia" w:cs="黑体"/>
                      <w:b w:val="0"/>
                      <w:bCs/>
                      <w:color w:val="auto"/>
                      <w:kern w:val="2"/>
                      <w:sz w:val="21"/>
                      <w:szCs w:val="21"/>
                      <w:lang w:val="en-US" w:eastAsia="zh-CN" w:bidi="ar-SA"/>
                    </w:rPr>
                    <w:t>10</w:t>
                  </w:r>
                  <w:r>
                    <w:rPr>
                      <w:rFonts w:hint="eastAsia" w:cs="黑体"/>
                      <w:b w:val="0"/>
                      <w:bCs/>
                      <w:color w:val="auto"/>
                      <w:kern w:val="2"/>
                      <w:sz w:val="21"/>
                      <w:szCs w:val="21"/>
                      <w:vertAlign w:val="superscript"/>
                      <w:lang w:val="en-US" w:eastAsia="zh-CN" w:bidi="ar-SA"/>
                    </w:rPr>
                    <w:t>-4</w:t>
                  </w:r>
                </w:p>
              </w:tc>
              <w:tc>
                <w:tcPr>
                  <w:tcW w:w="689" w:type="pct"/>
                  <w:noWrap w:val="0"/>
                  <w:vAlign w:val="center"/>
                </w:tcPr>
                <w:p w14:paraId="0309B37E">
                  <w:pPr>
                    <w:widowControl w:val="0"/>
                    <w:bidi w:val="0"/>
                    <w:spacing w:before="25" w:beforeLines="25" w:after="25" w:afterLines="25" w:line="240" w:lineRule="auto"/>
                    <w:ind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12.8</w:t>
                  </w:r>
                </w:p>
              </w:tc>
              <w:tc>
                <w:tcPr>
                  <w:tcW w:w="474" w:type="pct"/>
                  <w:noWrap w:val="0"/>
                  <w:vAlign w:val="center"/>
                </w:tcPr>
                <w:p w14:paraId="29DC9940">
                  <w:pPr>
                    <w:widowControl w:val="0"/>
                    <w:bidi w:val="0"/>
                    <w:spacing w:before="25" w:beforeLines="25" w:after="25" w:afterLines="25" w:line="240" w:lineRule="auto"/>
                    <w:ind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超标</w:t>
                  </w:r>
                </w:p>
              </w:tc>
              <w:tc>
                <w:tcPr>
                  <w:tcW w:w="797" w:type="pct"/>
                  <w:vMerge w:val="continue"/>
                  <w:noWrap w:val="0"/>
                  <w:vAlign w:val="center"/>
                </w:tcPr>
                <w:p w14:paraId="0A871E8A">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r>
          </w:tbl>
          <w:p w14:paraId="2F90BA3F">
            <w:pPr>
              <w:widowControl w:val="0"/>
              <w:bidi w:val="0"/>
              <w:spacing w:line="360" w:lineRule="auto"/>
              <w:ind w:firstLine="420" w:firstLineChars="20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根据上表，</w:t>
            </w:r>
            <w:r>
              <w:rPr>
                <w:rFonts w:hint="eastAsia" w:ascii="Times New Roman" w:hAnsi="Times New Roman" w:eastAsia="宋体" w:cs="Times New Roman"/>
                <w:color w:val="auto"/>
                <w:kern w:val="2"/>
                <w:sz w:val="21"/>
                <w:szCs w:val="21"/>
                <w:lang w:val="en-US" w:eastAsia="zh-CN" w:bidi="ar-SA"/>
              </w:rPr>
              <w:t>DA00</w:t>
            </w:r>
            <w:r>
              <w:rPr>
                <w:rFonts w:hint="eastAsia" w:cs="Times New Roman"/>
                <w:color w:val="auto"/>
                <w:kern w:val="2"/>
                <w:sz w:val="21"/>
                <w:szCs w:val="21"/>
                <w:lang w:val="en-US" w:eastAsia="zh-CN" w:bidi="ar-SA"/>
              </w:rPr>
              <w:t>1</w:t>
            </w:r>
            <w:r>
              <w:rPr>
                <w:rFonts w:hint="default" w:ascii="Times New Roman" w:hAnsi="Times New Roman" w:eastAsia="宋体" w:cs="Times New Roman"/>
                <w:color w:val="auto"/>
                <w:kern w:val="2"/>
                <w:sz w:val="21"/>
                <w:szCs w:val="21"/>
                <w:lang w:val="en-US" w:eastAsia="zh-CN" w:bidi="ar-SA"/>
              </w:rPr>
              <w:t>废气在燃煤时期环保设施运行不正常的情况下，</w:t>
            </w:r>
            <w:r>
              <w:rPr>
                <w:rFonts w:hint="eastAsia" w:ascii="Times New Roman" w:hAnsi="Times New Roman" w:eastAsia="宋体" w:cs="Times New Roman"/>
                <w:color w:val="auto"/>
                <w:kern w:val="2"/>
                <w:sz w:val="21"/>
                <w:szCs w:val="21"/>
                <w:lang w:val="en-US" w:eastAsia="zh-CN" w:bidi="ar-SA"/>
              </w:rPr>
              <w:t>颗粒物</w:t>
            </w:r>
            <w:r>
              <w:rPr>
                <w:rFonts w:hint="eastAsia" w:cs="Times New Roman"/>
                <w:color w:val="auto"/>
                <w:kern w:val="2"/>
                <w:sz w:val="21"/>
                <w:szCs w:val="21"/>
                <w:lang w:val="en-US" w:eastAsia="zh-CN" w:bidi="ar-SA"/>
              </w:rPr>
              <w:t>、二氧化硫</w:t>
            </w:r>
            <w:r>
              <w:rPr>
                <w:rFonts w:hint="default" w:ascii="Times New Roman" w:hAnsi="Times New Roman" w:eastAsia="宋体" w:cs="Times New Roman"/>
                <w:color w:val="auto"/>
                <w:kern w:val="2"/>
                <w:sz w:val="21"/>
                <w:szCs w:val="21"/>
                <w:lang w:val="en-US" w:eastAsia="zh-CN" w:bidi="ar-SA"/>
              </w:rPr>
              <w:t>会超标排放</w:t>
            </w:r>
            <w:r>
              <w:rPr>
                <w:rFonts w:hint="eastAsia" w:cs="Times New Roman"/>
                <w:color w:val="auto"/>
                <w:kern w:val="2"/>
                <w:sz w:val="21"/>
                <w:szCs w:val="21"/>
                <w:lang w:val="en-US" w:eastAsia="zh-CN" w:bidi="ar-SA"/>
              </w:rPr>
              <w:t>。废气超标</w:t>
            </w:r>
            <w:r>
              <w:rPr>
                <w:rFonts w:hint="default" w:ascii="Times New Roman" w:hAnsi="Times New Roman" w:eastAsia="宋体" w:cs="Times New Roman"/>
                <w:color w:val="auto"/>
                <w:kern w:val="2"/>
                <w:sz w:val="21"/>
                <w:szCs w:val="21"/>
                <w:lang w:val="en-US" w:eastAsia="zh-CN" w:bidi="ar-SA"/>
              </w:rPr>
              <w:t>危害大气环境</w:t>
            </w:r>
            <w:r>
              <w:rPr>
                <w:rFonts w:hint="eastAsia"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建设单位应严格控制废气非正常排放，并采取以下措施：</w:t>
            </w:r>
          </w:p>
          <w:p w14:paraId="74088C45">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cs="Times New Roman"/>
                <w:color w:val="auto"/>
                <w:sz w:val="21"/>
                <w:szCs w:val="21"/>
              </w:rPr>
            </w:pPr>
            <w:r>
              <w:rPr>
                <w:rFonts w:hint="eastAsia" w:cs="Times New Roman"/>
                <w:color w:val="auto"/>
                <w:sz w:val="21"/>
                <w:szCs w:val="21"/>
                <w:lang w:val="en-US" w:eastAsia="zh-CN"/>
              </w:rPr>
              <w:t>①</w:t>
            </w:r>
            <w:r>
              <w:rPr>
                <w:rFonts w:hint="eastAsia" w:cs="Times New Roman"/>
                <w:color w:val="auto"/>
                <w:sz w:val="21"/>
                <w:szCs w:val="21"/>
              </w:rPr>
              <w:t>做好</w:t>
            </w:r>
            <w:r>
              <w:rPr>
                <w:rFonts w:hint="eastAsia" w:cs="Times New Roman"/>
                <w:color w:val="auto"/>
                <w:sz w:val="21"/>
                <w:szCs w:val="21"/>
                <w:lang w:val="en-US" w:eastAsia="zh-CN"/>
              </w:rPr>
              <w:t>脱硫塔</w:t>
            </w:r>
            <w:r>
              <w:rPr>
                <w:rFonts w:hint="eastAsia" w:cs="Times New Roman"/>
                <w:color w:val="auto"/>
                <w:sz w:val="21"/>
                <w:szCs w:val="21"/>
              </w:rPr>
              <w:t>的日常运行管理，控制除雾器水质、水压。</w:t>
            </w:r>
          </w:p>
          <w:p w14:paraId="0332343C">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cs="Times New Roman"/>
                <w:color w:val="auto"/>
                <w:sz w:val="21"/>
                <w:szCs w:val="21"/>
              </w:rPr>
            </w:pPr>
            <w:r>
              <w:rPr>
                <w:rFonts w:hint="eastAsia" w:cs="Times New Roman"/>
                <w:color w:val="auto"/>
                <w:sz w:val="21"/>
                <w:szCs w:val="21"/>
                <w:lang w:val="en-US" w:eastAsia="zh-CN"/>
              </w:rPr>
              <w:t>②</w:t>
            </w:r>
            <w:r>
              <w:rPr>
                <w:rFonts w:hint="eastAsia" w:cs="Times New Roman"/>
                <w:color w:val="auto"/>
                <w:sz w:val="21"/>
                <w:szCs w:val="21"/>
              </w:rPr>
              <w:t>维持吸收塔正常液位，控制好浆液密度。</w:t>
            </w:r>
          </w:p>
          <w:p w14:paraId="0CD1AF90">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cs="Times New Roman"/>
                <w:color w:val="auto"/>
                <w:sz w:val="21"/>
                <w:szCs w:val="21"/>
              </w:rPr>
            </w:pPr>
            <w:r>
              <w:rPr>
                <w:rFonts w:hint="eastAsia" w:cs="Times New Roman"/>
                <w:color w:val="auto"/>
                <w:sz w:val="21"/>
                <w:szCs w:val="21"/>
                <w:lang w:val="en-US" w:eastAsia="zh-CN"/>
              </w:rPr>
              <w:t>③</w:t>
            </w:r>
            <w:r>
              <w:rPr>
                <w:rFonts w:hint="eastAsia" w:cs="Times New Roman"/>
                <w:color w:val="auto"/>
                <w:sz w:val="21"/>
                <w:szCs w:val="21"/>
              </w:rPr>
              <w:t>控制浆液p</w:t>
            </w:r>
            <w:r>
              <w:rPr>
                <w:rFonts w:cs="Times New Roman"/>
                <w:color w:val="auto"/>
                <w:sz w:val="21"/>
                <w:szCs w:val="21"/>
              </w:rPr>
              <w:t>H</w:t>
            </w:r>
            <w:r>
              <w:rPr>
                <w:rFonts w:hint="eastAsia" w:cs="Times New Roman"/>
                <w:color w:val="auto"/>
                <w:sz w:val="21"/>
                <w:szCs w:val="21"/>
                <w:lang w:val="en-US" w:eastAsia="zh-CN"/>
              </w:rPr>
              <w:t>大于10</w:t>
            </w:r>
            <w:r>
              <w:rPr>
                <w:rFonts w:hint="eastAsia" w:cs="Times New Roman"/>
                <w:color w:val="auto"/>
                <w:sz w:val="21"/>
                <w:szCs w:val="21"/>
              </w:rPr>
              <w:t>，保障搅拌器正常运行，减少塔内结垢。</w:t>
            </w:r>
          </w:p>
          <w:p w14:paraId="76366F64">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cs="Times New Roman"/>
                <w:color w:val="auto"/>
                <w:sz w:val="21"/>
                <w:szCs w:val="21"/>
              </w:rPr>
            </w:pPr>
            <w:r>
              <w:rPr>
                <w:rFonts w:hint="eastAsia" w:cs="Times New Roman"/>
                <w:color w:val="auto"/>
                <w:sz w:val="21"/>
                <w:szCs w:val="21"/>
                <w:lang w:val="en-US" w:eastAsia="zh-CN"/>
              </w:rPr>
              <w:t>④</w:t>
            </w:r>
            <w:r>
              <w:rPr>
                <w:rFonts w:hint="eastAsia" w:cs="Times New Roman"/>
                <w:color w:val="auto"/>
                <w:sz w:val="21"/>
                <w:szCs w:val="21"/>
              </w:rPr>
              <w:t>加强吸收塔浆液、废水、石灰石浆液、石灰石粉和石膏的化学分析工作，定期检测浆液中的氟离子，加强对除尘器出口烟尘浓度的控制，监控脱硫系统运行状况。</w:t>
            </w:r>
          </w:p>
          <w:p w14:paraId="69204537">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cs="Times New Roman"/>
                <w:color w:val="auto"/>
                <w:sz w:val="21"/>
                <w:szCs w:val="21"/>
              </w:rPr>
            </w:pPr>
            <w:r>
              <w:rPr>
                <w:rFonts w:hint="eastAsia" w:cs="Times New Roman"/>
                <w:color w:val="auto"/>
                <w:sz w:val="21"/>
                <w:szCs w:val="21"/>
                <w:lang w:val="en-US" w:eastAsia="zh-CN"/>
              </w:rPr>
              <w:t>⑤</w:t>
            </w:r>
            <w:r>
              <w:rPr>
                <w:rFonts w:hint="eastAsia" w:cs="Times New Roman"/>
                <w:color w:val="auto"/>
                <w:sz w:val="21"/>
                <w:szCs w:val="21"/>
              </w:rPr>
              <w:t>加强对浆液循环泵及吸收塔内喷淋层的点检定修管理，结合停机检修对浆液循环泵本体、入口门、喷嘴等进行检查更换。</w:t>
            </w:r>
          </w:p>
          <w:p w14:paraId="4440F725">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cs="Times New Roman"/>
                <w:color w:val="auto"/>
                <w:sz w:val="21"/>
                <w:szCs w:val="21"/>
              </w:rPr>
            </w:pPr>
            <w:r>
              <w:rPr>
                <w:rFonts w:hint="eastAsia" w:cs="Times New Roman"/>
                <w:color w:val="auto"/>
                <w:sz w:val="21"/>
                <w:szCs w:val="21"/>
                <w:lang w:val="en-US" w:eastAsia="zh-CN"/>
              </w:rPr>
              <w:t>⑥</w:t>
            </w:r>
            <w:r>
              <w:rPr>
                <w:rFonts w:hint="eastAsia" w:cs="Times New Roman"/>
                <w:color w:val="auto"/>
                <w:sz w:val="21"/>
                <w:szCs w:val="21"/>
              </w:rPr>
              <w:t>对吸收塔出口烟道、塔壁的垢样及时进行清理；对吸收塔内沉积物和浆液循环泵入口滤网表面进行彻底清理；对堵塞滤网、喷嘴的垢样、破碎的橡胶、树脂要及时清出塔外。</w:t>
            </w:r>
          </w:p>
          <w:p w14:paraId="40EEEC4D">
            <w:pPr>
              <w:widowControl w:val="0"/>
              <w:bidi w:val="0"/>
              <w:spacing w:line="360" w:lineRule="auto"/>
              <w:ind w:firstLine="420" w:firstLineChars="200"/>
              <w:jc w:val="both"/>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⑦</w:t>
            </w:r>
            <w:r>
              <w:rPr>
                <w:rFonts w:hint="eastAsia" w:cs="Times New Roman"/>
                <w:color w:val="auto"/>
                <w:sz w:val="21"/>
                <w:szCs w:val="21"/>
              </w:rPr>
              <w:t>做好风机、水泵等重要设备的点检定修工作。</w:t>
            </w:r>
          </w:p>
          <w:p w14:paraId="3B9C4555">
            <w:pPr>
              <w:widowControl w:val="0"/>
              <w:bidi w:val="0"/>
              <w:spacing w:line="360" w:lineRule="auto"/>
              <w:ind w:firstLine="0" w:firstLineChars="0"/>
              <w:jc w:val="left"/>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4.2.5 大气环境防护距离要求</w:t>
            </w:r>
          </w:p>
          <w:p w14:paraId="2E8DD00E">
            <w:pPr>
              <w:widowControl w:val="0"/>
              <w:bidi w:val="0"/>
              <w:spacing w:line="360" w:lineRule="auto"/>
              <w:ind w:firstLine="420" w:firstLineChars="20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根据《环境影响评价技术导则大气环境》（HJ2.2-2018）规定：“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根据《排放源统计调查产排污核算方法和系数手册》和《排污许可证申请与核发技术规范-陶瓷砖瓦工业》（HJ954-2018）本项目采用的废气治理措施属于可行性措施，因此本项目厂界浓度满足大气污染物厂界浓度限值，同时采用可行性技术措施，厂界外大气污染物短期贡献浓度小于环境质量浓度限值。因此，本项目不需要设置大气环境防护距离。</w:t>
            </w:r>
          </w:p>
          <w:p w14:paraId="28FFC09E">
            <w:pPr>
              <w:widowControl w:val="0"/>
              <w:bidi w:val="0"/>
              <w:spacing w:line="360" w:lineRule="auto"/>
              <w:ind w:firstLine="0" w:firstLineChars="0"/>
              <w:jc w:val="left"/>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4.2.</w:t>
            </w:r>
            <w:r>
              <w:rPr>
                <w:rFonts w:hint="eastAsia" w:cs="Times New Roman"/>
                <w:b/>
                <w:bCs/>
                <w:color w:val="auto"/>
                <w:kern w:val="2"/>
                <w:sz w:val="21"/>
                <w:szCs w:val="21"/>
                <w:lang w:val="en-US" w:eastAsia="zh-CN" w:bidi="ar-SA"/>
              </w:rPr>
              <w:t>6</w:t>
            </w:r>
            <w:r>
              <w:rPr>
                <w:rFonts w:hint="eastAsia" w:ascii="Times New Roman" w:hAnsi="Times New Roman" w:eastAsia="宋体" w:cs="Times New Roman"/>
                <w:b/>
                <w:bCs/>
                <w:color w:val="auto"/>
                <w:kern w:val="2"/>
                <w:sz w:val="21"/>
                <w:szCs w:val="21"/>
                <w:lang w:val="en-US" w:eastAsia="zh-CN" w:bidi="ar-SA"/>
              </w:rPr>
              <w:t xml:space="preserve"> 环境影响分析</w:t>
            </w:r>
          </w:p>
          <w:p w14:paraId="3A62D12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both"/>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项目区域属于环境空气二类功能区，为达标区，环境空气质量满足《环境空气质量标准》（GB3095-2012）中二级标准，环境空气质量现状良好。</w:t>
            </w:r>
            <w:r>
              <w:rPr>
                <w:rFonts w:hint="eastAsia" w:ascii="Times New Roman" w:hAnsi="Times New Roman" w:cs="Times New Roman"/>
                <w:color w:val="auto"/>
                <w:sz w:val="21"/>
                <w:szCs w:val="21"/>
                <w:lang w:eastAsia="zh-CN"/>
              </w:rPr>
              <w:t>根据</w:t>
            </w:r>
            <w:r>
              <w:rPr>
                <w:rFonts w:hint="default" w:ascii="Times New Roman" w:hAnsi="Times New Roman" w:cs="Times New Roman"/>
                <w:color w:val="auto"/>
                <w:sz w:val="21"/>
                <w:szCs w:val="21"/>
                <w:lang w:eastAsia="zh-CN"/>
              </w:rPr>
              <w:t>《关于建设项目环境影响报告表编制技术指南（污染影响类）》（试行）要求，</w:t>
            </w:r>
            <w:r>
              <w:rPr>
                <w:rFonts w:hint="eastAsia" w:ascii="Times New Roman" w:hAnsi="Times New Roman" w:eastAsia="宋体" w:cs="Times New Roman"/>
                <w:color w:val="auto"/>
                <w:kern w:val="2"/>
                <w:sz w:val="21"/>
                <w:szCs w:val="21"/>
                <w:lang w:val="en-US" w:eastAsia="zh-CN" w:bidi="ar-SA"/>
              </w:rPr>
              <w:t>本项目周边500m范围内</w:t>
            </w:r>
            <w:r>
              <w:rPr>
                <w:rFonts w:hint="eastAsia" w:cs="Times New Roman"/>
                <w:color w:val="auto"/>
                <w:kern w:val="2"/>
                <w:sz w:val="21"/>
                <w:szCs w:val="21"/>
                <w:lang w:val="en-US" w:eastAsia="zh-CN" w:bidi="ar-SA"/>
              </w:rPr>
              <w:t>无</w:t>
            </w:r>
            <w:r>
              <w:rPr>
                <w:rFonts w:hint="eastAsia" w:ascii="Times New Roman" w:hAnsi="Times New Roman" w:eastAsia="宋体" w:cs="Times New Roman"/>
                <w:color w:val="auto"/>
                <w:kern w:val="2"/>
                <w:sz w:val="21"/>
                <w:szCs w:val="21"/>
                <w:lang w:val="en-US" w:eastAsia="zh-CN" w:bidi="ar-SA"/>
              </w:rPr>
              <w:t>大气环境保护目标</w:t>
            </w:r>
            <w:r>
              <w:rPr>
                <w:rFonts w:hint="eastAsia"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项目</w:t>
            </w:r>
            <w:r>
              <w:rPr>
                <w:rFonts w:hint="eastAsia" w:cs="Times New Roman"/>
                <w:color w:val="auto"/>
                <w:kern w:val="2"/>
                <w:sz w:val="21"/>
                <w:szCs w:val="21"/>
                <w:lang w:val="en-US" w:eastAsia="zh-CN" w:bidi="ar-SA"/>
              </w:rPr>
              <w:t>采取的</w:t>
            </w:r>
            <w:r>
              <w:rPr>
                <w:rFonts w:hint="eastAsia" w:ascii="Times New Roman" w:hAnsi="Times New Roman" w:eastAsia="宋体" w:cs="Times New Roman"/>
                <w:color w:val="auto"/>
                <w:kern w:val="2"/>
                <w:sz w:val="21"/>
                <w:szCs w:val="21"/>
                <w:lang w:val="en-US" w:eastAsia="zh-CN" w:bidi="ar-SA"/>
              </w:rPr>
              <w:t>废气污染治理措施</w:t>
            </w:r>
            <w:r>
              <w:rPr>
                <w:rFonts w:hint="eastAsia" w:cs="Times New Roman"/>
                <w:color w:val="auto"/>
                <w:kern w:val="2"/>
                <w:sz w:val="21"/>
                <w:szCs w:val="21"/>
                <w:lang w:val="en-US" w:eastAsia="zh-CN" w:bidi="ar-SA"/>
              </w:rPr>
              <w:t>对照</w:t>
            </w:r>
            <w:r>
              <w:rPr>
                <w:rFonts w:hint="eastAsia"/>
                <w:color w:val="auto"/>
                <w:lang w:val="en-US" w:eastAsia="zh-CN"/>
              </w:rPr>
              <w:t>《排污许可证申请与核发技术规范-陶瓷砖瓦工业》（HJ954-2018）属于</w:t>
            </w:r>
            <w:r>
              <w:rPr>
                <w:rFonts w:hint="eastAsia" w:ascii="Times New Roman" w:hAnsi="Times New Roman" w:eastAsia="宋体" w:cs="Times New Roman"/>
                <w:color w:val="auto"/>
                <w:kern w:val="2"/>
                <w:sz w:val="21"/>
                <w:szCs w:val="21"/>
                <w:lang w:val="en-US" w:eastAsia="zh-CN" w:bidi="ar-SA"/>
              </w:rPr>
              <w:t>可行</w:t>
            </w:r>
            <w:r>
              <w:rPr>
                <w:rFonts w:hint="eastAsia" w:cs="Times New Roman"/>
                <w:color w:val="auto"/>
                <w:kern w:val="2"/>
                <w:sz w:val="21"/>
                <w:szCs w:val="21"/>
                <w:lang w:val="en-US" w:eastAsia="zh-CN" w:bidi="ar-SA"/>
              </w:rPr>
              <w:t>性治理措施</w:t>
            </w:r>
            <w:r>
              <w:rPr>
                <w:rFonts w:hint="eastAsia" w:ascii="Times New Roman" w:hAnsi="Times New Roman" w:eastAsia="宋体" w:cs="Times New Roman"/>
                <w:color w:val="auto"/>
                <w:kern w:val="2"/>
                <w:sz w:val="21"/>
                <w:szCs w:val="21"/>
                <w:lang w:val="en-US" w:eastAsia="zh-CN" w:bidi="ar-SA"/>
              </w:rPr>
              <w:t>，废气处理效率高，有组织排放废气各因子能够做到稳定达标排放，建设单位在严格执行本环评提出的各项污染防治措施后，在开展自行监测和日常环境监理的前提下，不会明显降低项目区域大气环境质量。其中</w:t>
            </w:r>
            <w:r>
              <w:rPr>
                <w:rFonts w:hint="eastAsia" w:cs="Times New Roman"/>
                <w:color w:val="auto"/>
                <w:kern w:val="2"/>
                <w:sz w:val="21"/>
                <w:szCs w:val="21"/>
                <w:lang w:val="en-US" w:eastAsia="zh-CN" w:bidi="ar-SA"/>
              </w:rPr>
              <w:t>烟尘、二氧化硫、氮氧化物、氟化物经废气处理设施处理后排放量不大，不会突破区域环境容量，</w:t>
            </w:r>
            <w:r>
              <w:rPr>
                <w:rFonts w:hint="eastAsia" w:ascii="Times New Roman" w:hAnsi="Times New Roman" w:eastAsia="宋体" w:cs="Times New Roman"/>
                <w:color w:val="auto"/>
                <w:kern w:val="2"/>
                <w:sz w:val="21"/>
                <w:szCs w:val="21"/>
                <w:lang w:val="en-US" w:eastAsia="zh-CN" w:bidi="ar-SA"/>
              </w:rPr>
              <w:t>对项目区大气环境的影响较小。</w:t>
            </w:r>
          </w:p>
          <w:p w14:paraId="49D9F8C4">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left"/>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4.</w:t>
            </w:r>
            <w:r>
              <w:rPr>
                <w:rFonts w:hint="eastAsia" w:ascii="Times New Roman" w:hAnsi="Times New Roman" w:eastAsia="宋体" w:cs="Times New Roman"/>
                <w:b/>
                <w:bCs/>
                <w:color w:val="auto"/>
                <w:kern w:val="2"/>
                <w:sz w:val="21"/>
                <w:szCs w:val="21"/>
                <w:lang w:val="en-US" w:eastAsia="zh-CN" w:bidi="ar-SA"/>
              </w:rPr>
              <w:t>3</w:t>
            </w:r>
            <w:r>
              <w:rPr>
                <w:rFonts w:hint="default" w:ascii="Times New Roman" w:hAnsi="Times New Roman" w:eastAsia="宋体" w:cs="Times New Roman"/>
                <w:b/>
                <w:bCs/>
                <w:color w:val="auto"/>
                <w:kern w:val="2"/>
                <w:sz w:val="21"/>
                <w:szCs w:val="21"/>
                <w:lang w:val="en-US" w:eastAsia="zh-CN" w:bidi="ar-SA"/>
              </w:rPr>
              <w:t xml:space="preserve"> 废</w:t>
            </w:r>
            <w:r>
              <w:rPr>
                <w:rFonts w:hint="eastAsia" w:ascii="Times New Roman" w:hAnsi="Times New Roman" w:eastAsia="宋体" w:cs="Times New Roman"/>
                <w:b/>
                <w:bCs/>
                <w:color w:val="auto"/>
                <w:kern w:val="2"/>
                <w:sz w:val="21"/>
                <w:szCs w:val="21"/>
                <w:lang w:val="en-US" w:eastAsia="zh-CN" w:bidi="ar-SA"/>
              </w:rPr>
              <w:t>水</w:t>
            </w:r>
            <w:r>
              <w:rPr>
                <w:rFonts w:hint="default" w:ascii="Times New Roman" w:hAnsi="Times New Roman" w:eastAsia="宋体" w:cs="Times New Roman"/>
                <w:b/>
                <w:bCs/>
                <w:color w:val="auto"/>
                <w:kern w:val="2"/>
                <w:sz w:val="21"/>
                <w:szCs w:val="21"/>
                <w:lang w:val="en-US" w:eastAsia="zh-CN" w:bidi="ar-SA"/>
              </w:rPr>
              <w:t>环境影响和治理措施</w:t>
            </w:r>
          </w:p>
          <w:p w14:paraId="6C0E38B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0" w:firstLineChars="0"/>
              <w:jc w:val="left"/>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4.3.1运营期废水产生情况</w:t>
            </w:r>
          </w:p>
          <w:p w14:paraId="4AB44777">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 w:val="21"/>
                <w:szCs w:val="21"/>
                <w:lang w:val="en-US" w:eastAsia="zh-CN"/>
              </w:rPr>
            </w:pPr>
            <w:r>
              <w:rPr>
                <w:rFonts w:hint="eastAsia"/>
                <w:color w:val="auto"/>
                <w:sz w:val="21"/>
                <w:szCs w:val="21"/>
              </w:rPr>
              <w:t>根据水平衡分析，本项目</w:t>
            </w:r>
            <w:r>
              <w:rPr>
                <w:rFonts w:hint="eastAsia"/>
                <w:color w:val="auto"/>
                <w:sz w:val="21"/>
                <w:szCs w:val="21"/>
                <w:lang w:eastAsia="zh-CN"/>
              </w:rPr>
              <w:t>生产用水主要是陈化用水、搅拌用水、</w:t>
            </w:r>
            <w:r>
              <w:rPr>
                <w:rFonts w:hint="eastAsia"/>
                <w:color w:val="auto"/>
                <w:sz w:val="21"/>
                <w:szCs w:val="21"/>
                <w:highlight w:val="none"/>
                <w:lang w:val="en-US" w:eastAsia="zh-CN"/>
              </w:rPr>
              <w:t>返青用水、湿法除尘补充用水及降尘用水</w:t>
            </w:r>
            <w:r>
              <w:rPr>
                <w:rFonts w:hint="eastAsia"/>
                <w:color w:val="auto"/>
                <w:sz w:val="21"/>
                <w:szCs w:val="21"/>
                <w:lang w:eastAsia="zh-CN"/>
              </w:rPr>
              <w:t>，</w:t>
            </w:r>
            <w:r>
              <w:rPr>
                <w:rFonts w:hint="eastAsia"/>
                <w:color w:val="auto"/>
                <w:sz w:val="21"/>
                <w:szCs w:val="21"/>
              </w:rPr>
              <w:t>无生产废水</w:t>
            </w:r>
            <w:r>
              <w:rPr>
                <w:rFonts w:hint="eastAsia"/>
                <w:color w:val="auto"/>
                <w:sz w:val="21"/>
                <w:szCs w:val="21"/>
                <w:lang w:val="en-US" w:eastAsia="zh-CN"/>
              </w:rPr>
              <w:t>排放</w:t>
            </w:r>
            <w:r>
              <w:rPr>
                <w:rFonts w:hint="eastAsia"/>
                <w:color w:val="auto"/>
                <w:sz w:val="21"/>
                <w:szCs w:val="21"/>
                <w:lang w:eastAsia="zh-CN"/>
              </w:rPr>
              <w:t>；</w:t>
            </w:r>
            <w:r>
              <w:rPr>
                <w:rFonts w:hint="eastAsia"/>
                <w:color w:val="auto"/>
                <w:sz w:val="21"/>
                <w:szCs w:val="21"/>
                <w:lang w:val="en-US" w:eastAsia="zh-CN"/>
              </w:rPr>
              <w:t>脱硫塔废水沉淀后循环使用，不外排；</w:t>
            </w:r>
            <w:r>
              <w:rPr>
                <w:rFonts w:hint="eastAsia"/>
                <w:color w:val="auto"/>
                <w:sz w:val="21"/>
                <w:szCs w:val="21"/>
              </w:rPr>
              <w:t>本项目废水主要是生活污水，产生量为</w:t>
            </w:r>
            <w:r>
              <w:rPr>
                <w:rFonts w:hint="eastAsia" w:cs="Times New Roman"/>
                <w:color w:val="auto"/>
                <w:kern w:val="0"/>
                <w:sz w:val="21"/>
                <w:szCs w:val="21"/>
                <w:highlight w:val="none"/>
                <w:lang w:val="en-US" w:eastAsia="zh-CN"/>
              </w:rPr>
              <w:t>0.8</w:t>
            </w:r>
            <w:r>
              <w:rPr>
                <w:rFonts w:hint="eastAsia"/>
                <w:color w:val="auto"/>
                <w:sz w:val="21"/>
                <w:szCs w:val="21"/>
              </w:rPr>
              <w:t>m</w:t>
            </w:r>
            <w:r>
              <w:rPr>
                <w:rFonts w:hint="eastAsia"/>
                <w:color w:val="auto"/>
                <w:sz w:val="21"/>
                <w:szCs w:val="21"/>
                <w:vertAlign w:val="superscript"/>
              </w:rPr>
              <w:t>3</w:t>
            </w:r>
            <w:r>
              <w:rPr>
                <w:rFonts w:hint="eastAsia"/>
                <w:color w:val="auto"/>
                <w:sz w:val="21"/>
                <w:szCs w:val="21"/>
              </w:rPr>
              <w:t>/d</w:t>
            </w:r>
            <w:r>
              <w:rPr>
                <w:rFonts w:hint="eastAsia"/>
                <w:color w:val="auto"/>
                <w:sz w:val="21"/>
                <w:szCs w:val="21"/>
                <w:lang w:eastAsia="zh-CN"/>
              </w:rPr>
              <w:t>，</w:t>
            </w:r>
            <w:r>
              <w:rPr>
                <w:rFonts w:hint="eastAsia" w:cs="Times New Roman"/>
                <w:color w:val="auto"/>
                <w:kern w:val="0"/>
                <w:sz w:val="21"/>
                <w:szCs w:val="21"/>
                <w:highlight w:val="none"/>
                <w:lang w:val="en-US" w:eastAsia="zh-CN"/>
              </w:rPr>
              <w:t>240</w:t>
            </w:r>
            <w:r>
              <w:rPr>
                <w:rFonts w:hint="eastAsia"/>
                <w:color w:val="auto"/>
                <w:sz w:val="21"/>
                <w:szCs w:val="21"/>
              </w:rPr>
              <w:t>m</w:t>
            </w:r>
            <w:r>
              <w:rPr>
                <w:rFonts w:hint="eastAsia"/>
                <w:color w:val="auto"/>
                <w:sz w:val="21"/>
                <w:szCs w:val="21"/>
                <w:vertAlign w:val="superscript"/>
              </w:rPr>
              <w:t>3</w:t>
            </w:r>
            <w:r>
              <w:rPr>
                <w:rFonts w:hint="eastAsia"/>
                <w:color w:val="auto"/>
                <w:sz w:val="21"/>
                <w:szCs w:val="21"/>
              </w:rPr>
              <w:t>/</w:t>
            </w:r>
            <w:r>
              <w:rPr>
                <w:rFonts w:hint="eastAsia"/>
                <w:color w:val="auto"/>
                <w:sz w:val="21"/>
                <w:szCs w:val="21"/>
                <w:lang w:val="en-US" w:eastAsia="zh-CN"/>
              </w:rPr>
              <w:t>a。</w:t>
            </w:r>
          </w:p>
          <w:p w14:paraId="26F9288B">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eastAsia="宋体"/>
                <w:color w:val="auto"/>
                <w:sz w:val="21"/>
                <w:szCs w:val="21"/>
                <w:lang w:val="en-US" w:eastAsia="zh-CN"/>
              </w:rPr>
            </w:pPr>
            <w:r>
              <w:rPr>
                <w:rFonts w:hint="eastAsia" w:cs="Times New Roman"/>
                <w:b w:val="0"/>
                <w:bCs/>
                <w:color w:val="auto"/>
                <w:sz w:val="21"/>
                <w:szCs w:val="21"/>
                <w:lang w:val="en-US" w:eastAsia="zh-CN"/>
              </w:rPr>
              <w:t>生活污水经化粪池预处理</w:t>
            </w:r>
            <w:r>
              <w:rPr>
                <w:rFonts w:hint="eastAsia"/>
                <w:b w:val="0"/>
                <w:bCs/>
                <w:color w:val="auto"/>
                <w:sz w:val="21"/>
                <w:szCs w:val="21"/>
                <w:lang w:eastAsia="zh-CN"/>
              </w:rPr>
              <w:t>后，</w:t>
            </w:r>
            <w:r>
              <w:rPr>
                <w:rFonts w:hint="eastAsia"/>
                <w:b w:val="0"/>
                <w:bCs/>
                <w:color w:val="auto"/>
                <w:sz w:val="21"/>
                <w:szCs w:val="21"/>
                <w:lang w:val="en-US" w:eastAsia="zh-CN"/>
              </w:rPr>
              <w:t>委托环卫车辆运送至华宁北控环保水务有限公司管理运营的华宁县城污水处理厂处理</w:t>
            </w:r>
            <w:r>
              <w:rPr>
                <w:rFonts w:hint="eastAsia"/>
                <w:b w:val="0"/>
                <w:bCs/>
                <w:color w:val="auto"/>
                <w:sz w:val="21"/>
                <w:szCs w:val="21"/>
                <w:lang w:eastAsia="zh-CN"/>
              </w:rPr>
              <w:t>；生活污水</w:t>
            </w:r>
            <w:r>
              <w:rPr>
                <w:rFonts w:hint="eastAsia"/>
                <w:color w:val="auto"/>
                <w:sz w:val="21"/>
                <w:szCs w:val="21"/>
                <w:lang w:eastAsia="zh-CN"/>
              </w:rPr>
              <w:t>中</w:t>
            </w:r>
            <w:r>
              <w:rPr>
                <w:rFonts w:hint="eastAsia" w:cs="Times New Roman"/>
                <w:color w:val="auto"/>
                <w:sz w:val="21"/>
                <w:szCs w:val="21"/>
                <w:lang w:eastAsia="zh-CN"/>
              </w:rPr>
              <w:t>主要污染物为</w:t>
            </w:r>
            <w:r>
              <w:rPr>
                <w:color w:val="auto"/>
                <w:sz w:val="21"/>
                <w:szCs w:val="21"/>
                <w:shd w:val="clear" w:color="auto" w:fill="FFFFFF"/>
              </w:rPr>
              <w:t>COD</w:t>
            </w:r>
            <w:r>
              <w:rPr>
                <w:color w:val="auto"/>
                <w:sz w:val="21"/>
                <w:szCs w:val="21"/>
                <w:shd w:val="clear" w:color="auto" w:fill="FFFFFF"/>
                <w:vertAlign w:val="subscript"/>
              </w:rPr>
              <w:t>Cr</w:t>
            </w:r>
            <w:r>
              <w:rPr>
                <w:rFonts w:hint="eastAsia"/>
                <w:color w:val="auto"/>
                <w:sz w:val="21"/>
                <w:szCs w:val="21"/>
                <w:shd w:val="clear" w:color="auto" w:fill="FFFFFF"/>
              </w:rPr>
              <w:t>、</w:t>
            </w:r>
            <w:r>
              <w:rPr>
                <w:rFonts w:hint="eastAsia"/>
                <w:color w:val="auto"/>
                <w:sz w:val="21"/>
                <w:szCs w:val="21"/>
                <w:lang w:val="en-US" w:eastAsia="zh-CN"/>
              </w:rPr>
              <w:t>BOD</w:t>
            </w:r>
            <w:r>
              <w:rPr>
                <w:rFonts w:hint="eastAsia"/>
                <w:color w:val="auto"/>
                <w:sz w:val="21"/>
                <w:szCs w:val="21"/>
                <w:vertAlign w:val="subscript"/>
                <w:lang w:val="en-US" w:eastAsia="zh-CN"/>
              </w:rPr>
              <w:t>5</w:t>
            </w:r>
            <w:r>
              <w:rPr>
                <w:rFonts w:hint="eastAsia"/>
                <w:color w:val="auto"/>
                <w:sz w:val="21"/>
                <w:szCs w:val="21"/>
                <w:vertAlign w:val="baseline"/>
                <w:lang w:val="en-US" w:eastAsia="zh-CN"/>
              </w:rPr>
              <w:t>、</w:t>
            </w:r>
            <w:r>
              <w:rPr>
                <w:rFonts w:hint="eastAsia"/>
                <w:color w:val="auto"/>
                <w:sz w:val="21"/>
                <w:szCs w:val="21"/>
                <w:lang w:val="en-US" w:eastAsia="zh-CN"/>
              </w:rPr>
              <w:t>SS、NH</w:t>
            </w:r>
            <w:r>
              <w:rPr>
                <w:rFonts w:hint="eastAsia"/>
                <w:color w:val="auto"/>
                <w:sz w:val="21"/>
                <w:szCs w:val="21"/>
                <w:vertAlign w:val="subscript"/>
                <w:lang w:val="en-US" w:eastAsia="zh-CN"/>
              </w:rPr>
              <w:t>3</w:t>
            </w:r>
            <w:r>
              <w:rPr>
                <w:rFonts w:hint="eastAsia"/>
                <w:color w:val="auto"/>
                <w:sz w:val="21"/>
                <w:szCs w:val="21"/>
                <w:lang w:val="en-US" w:eastAsia="zh-CN"/>
              </w:rPr>
              <w:t>-N</w:t>
            </w:r>
            <w:r>
              <w:rPr>
                <w:rFonts w:hint="eastAsia"/>
                <w:color w:val="auto"/>
                <w:sz w:val="21"/>
                <w:szCs w:val="21"/>
                <w:shd w:val="clear" w:color="auto" w:fill="FFFFFF"/>
                <w:lang w:eastAsia="zh-CN"/>
              </w:rPr>
              <w:t>，其未处理前浓度分别约为</w:t>
            </w:r>
            <w:r>
              <w:rPr>
                <w:rFonts w:hint="eastAsia"/>
                <w:color w:val="auto"/>
                <w:sz w:val="21"/>
                <w:szCs w:val="21"/>
                <w:shd w:val="clear" w:color="auto" w:fill="FFFFFF"/>
                <w:lang w:val="en-US" w:eastAsia="zh-CN"/>
              </w:rPr>
              <w:t>350mg/L、250mg/L、100mg/L、50mg/L，经</w:t>
            </w:r>
            <w:r>
              <w:rPr>
                <w:rFonts w:hint="eastAsia" w:cs="Times New Roman"/>
                <w:color w:val="auto"/>
                <w:sz w:val="21"/>
                <w:szCs w:val="21"/>
                <w:lang w:eastAsia="zh-CN"/>
              </w:rPr>
              <w:t>化粪池停留</w:t>
            </w:r>
            <w:r>
              <w:rPr>
                <w:rFonts w:hint="eastAsia" w:cs="Times New Roman"/>
                <w:color w:val="auto"/>
                <w:sz w:val="21"/>
                <w:szCs w:val="21"/>
                <w:lang w:val="en-US" w:eastAsia="zh-CN"/>
              </w:rPr>
              <w:t>24小时后各污染物去除率为</w:t>
            </w:r>
            <w:r>
              <w:rPr>
                <w:color w:val="auto"/>
                <w:sz w:val="21"/>
                <w:szCs w:val="21"/>
                <w:shd w:val="clear" w:color="auto" w:fill="FFFFFF"/>
              </w:rPr>
              <w:t>COD</w:t>
            </w:r>
            <w:r>
              <w:rPr>
                <w:color w:val="auto"/>
                <w:sz w:val="21"/>
                <w:szCs w:val="21"/>
                <w:shd w:val="clear" w:color="auto" w:fill="FFFFFF"/>
                <w:vertAlign w:val="subscript"/>
              </w:rPr>
              <w:t>Cr</w:t>
            </w:r>
            <w:r>
              <w:rPr>
                <w:rFonts w:hint="eastAsia"/>
                <w:color w:val="auto"/>
                <w:sz w:val="21"/>
                <w:szCs w:val="21"/>
                <w:shd w:val="clear" w:color="auto" w:fill="FFFFFF"/>
                <w:lang w:eastAsia="zh-CN"/>
              </w:rPr>
              <w:t>约</w:t>
            </w:r>
            <w:r>
              <w:rPr>
                <w:rFonts w:hint="eastAsia"/>
                <w:color w:val="auto"/>
                <w:sz w:val="21"/>
                <w:szCs w:val="21"/>
                <w:shd w:val="clear" w:color="auto" w:fill="FFFFFF"/>
                <w:lang w:val="en-US" w:eastAsia="zh-CN"/>
              </w:rPr>
              <w:t>15%、</w:t>
            </w:r>
            <w:r>
              <w:rPr>
                <w:rFonts w:hint="eastAsia"/>
                <w:color w:val="auto"/>
                <w:sz w:val="21"/>
                <w:szCs w:val="21"/>
                <w:lang w:val="en-US" w:eastAsia="zh-CN"/>
              </w:rPr>
              <w:t>BOD</w:t>
            </w:r>
            <w:r>
              <w:rPr>
                <w:rFonts w:hint="eastAsia"/>
                <w:color w:val="auto"/>
                <w:sz w:val="21"/>
                <w:szCs w:val="21"/>
                <w:vertAlign w:val="subscript"/>
                <w:lang w:val="en-US" w:eastAsia="zh-CN"/>
              </w:rPr>
              <w:t>5</w:t>
            </w:r>
            <w:r>
              <w:rPr>
                <w:rFonts w:hint="eastAsia"/>
                <w:color w:val="auto"/>
                <w:sz w:val="21"/>
                <w:szCs w:val="21"/>
                <w:shd w:val="clear" w:color="auto" w:fill="FFFFFF"/>
                <w:lang w:eastAsia="zh-CN"/>
              </w:rPr>
              <w:t>约</w:t>
            </w:r>
            <w:r>
              <w:rPr>
                <w:rFonts w:hint="eastAsia"/>
                <w:color w:val="auto"/>
                <w:sz w:val="21"/>
                <w:szCs w:val="21"/>
                <w:shd w:val="clear" w:color="auto" w:fill="FFFFFF"/>
                <w:lang w:val="en-US" w:eastAsia="zh-CN"/>
              </w:rPr>
              <w:t>9%、</w:t>
            </w:r>
            <w:r>
              <w:rPr>
                <w:rFonts w:hint="eastAsia"/>
                <w:color w:val="auto"/>
                <w:sz w:val="21"/>
                <w:szCs w:val="21"/>
                <w:lang w:val="en-US" w:eastAsia="zh-CN"/>
              </w:rPr>
              <w:t>SS约30</w:t>
            </w:r>
            <w:r>
              <w:rPr>
                <w:rFonts w:hint="eastAsia"/>
                <w:color w:val="auto"/>
                <w:sz w:val="21"/>
                <w:szCs w:val="21"/>
                <w:shd w:val="clear" w:color="auto" w:fill="FFFFFF"/>
                <w:lang w:val="en-US" w:eastAsia="zh-CN"/>
              </w:rPr>
              <w:t>%</w:t>
            </w:r>
            <w:r>
              <w:rPr>
                <w:rFonts w:hint="eastAsia"/>
                <w:color w:val="auto"/>
                <w:sz w:val="21"/>
                <w:szCs w:val="21"/>
                <w:lang w:val="en-US" w:eastAsia="zh-CN"/>
              </w:rPr>
              <w:t>、NH</w:t>
            </w:r>
            <w:r>
              <w:rPr>
                <w:rFonts w:hint="eastAsia"/>
                <w:color w:val="auto"/>
                <w:sz w:val="21"/>
                <w:szCs w:val="21"/>
                <w:vertAlign w:val="subscript"/>
                <w:lang w:val="en-US" w:eastAsia="zh-CN"/>
              </w:rPr>
              <w:t>3</w:t>
            </w:r>
            <w:r>
              <w:rPr>
                <w:rFonts w:hint="eastAsia"/>
                <w:color w:val="auto"/>
                <w:sz w:val="21"/>
                <w:szCs w:val="21"/>
                <w:lang w:val="en-US" w:eastAsia="zh-CN"/>
              </w:rPr>
              <w:t>-N约3%</w:t>
            </w:r>
            <w:r>
              <w:rPr>
                <w:rFonts w:hint="eastAsia"/>
                <w:color w:val="auto"/>
                <w:sz w:val="21"/>
                <w:szCs w:val="21"/>
                <w:shd w:val="clear" w:color="auto" w:fill="FFFFFF"/>
                <w:lang w:eastAsia="zh-CN"/>
              </w:rPr>
              <w:t>，各污染物产排情况见下表</w:t>
            </w:r>
            <w:r>
              <w:rPr>
                <w:rFonts w:hint="eastAsia"/>
                <w:color w:val="auto"/>
                <w:sz w:val="21"/>
                <w:szCs w:val="21"/>
                <w:shd w:val="clear" w:color="auto" w:fill="FFFFFF"/>
                <w:lang w:val="en-US" w:eastAsia="zh-CN"/>
              </w:rPr>
              <w:t>4-11</w:t>
            </w:r>
            <w:r>
              <w:rPr>
                <w:rFonts w:hint="eastAsia"/>
                <w:color w:val="auto"/>
                <w:sz w:val="21"/>
                <w:szCs w:val="21"/>
              </w:rPr>
              <w:t>。</w:t>
            </w:r>
          </w:p>
          <w:p w14:paraId="7BE8E854">
            <w:pPr>
              <w:pStyle w:val="41"/>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eastAsia="宋体"/>
                <w:color w:val="auto"/>
                <w:sz w:val="21"/>
                <w:szCs w:val="21"/>
                <w:lang w:eastAsia="zh-CN"/>
              </w:rPr>
            </w:pPr>
            <w:r>
              <w:rPr>
                <w:rFonts w:hint="default"/>
                <w:color w:val="auto"/>
                <w:sz w:val="21"/>
                <w:szCs w:val="21"/>
              </w:rPr>
              <w:t>表4-</w:t>
            </w:r>
            <w:r>
              <w:rPr>
                <w:rFonts w:hint="eastAsia"/>
                <w:color w:val="auto"/>
                <w:sz w:val="21"/>
                <w:szCs w:val="21"/>
                <w:lang w:val="en-US" w:eastAsia="zh-CN"/>
              </w:rPr>
              <w:t>11</w:t>
            </w:r>
            <w:r>
              <w:rPr>
                <w:rFonts w:hint="default"/>
                <w:color w:val="auto"/>
                <w:sz w:val="21"/>
                <w:szCs w:val="21"/>
              </w:rPr>
              <w:t xml:space="preserve">  </w:t>
            </w:r>
            <w:r>
              <w:rPr>
                <w:rFonts w:hint="eastAsia"/>
                <w:color w:val="auto"/>
                <w:sz w:val="21"/>
                <w:szCs w:val="21"/>
              </w:rPr>
              <w:t>项目</w:t>
            </w:r>
            <w:r>
              <w:rPr>
                <w:rFonts w:hint="eastAsia"/>
                <w:color w:val="auto"/>
                <w:sz w:val="21"/>
                <w:szCs w:val="21"/>
                <w:lang w:eastAsia="zh-CN"/>
              </w:rPr>
              <w:t>废水</w:t>
            </w:r>
            <w:r>
              <w:rPr>
                <w:rFonts w:hint="eastAsia"/>
                <w:color w:val="auto"/>
                <w:sz w:val="21"/>
                <w:szCs w:val="21"/>
              </w:rPr>
              <w:t>污染物产、排情况一览表</w:t>
            </w:r>
          </w:p>
          <w:tbl>
            <w:tblPr>
              <w:tblStyle w:val="30"/>
              <w:tblW w:w="79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1800"/>
              <w:gridCol w:w="1638"/>
              <w:gridCol w:w="1200"/>
              <w:gridCol w:w="1125"/>
              <w:gridCol w:w="1150"/>
            </w:tblGrid>
            <w:tr w14:paraId="65499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25" w:type="dxa"/>
                  <w:vAlign w:val="center"/>
                </w:tcPr>
                <w:p w14:paraId="22A858A2">
                  <w:pPr>
                    <w:pStyle w:val="8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rPr>
                      <w:rFonts w:hint="eastAsia"/>
                      <w:b w:val="0"/>
                      <w:bCs/>
                      <w:color w:val="auto"/>
                      <w:sz w:val="21"/>
                      <w:szCs w:val="21"/>
                      <w:lang w:eastAsia="zh-CN"/>
                    </w:rPr>
                  </w:pPr>
                  <w:r>
                    <w:rPr>
                      <w:rFonts w:hint="eastAsia"/>
                      <w:b w:val="0"/>
                      <w:bCs/>
                      <w:color w:val="auto"/>
                      <w:sz w:val="21"/>
                      <w:szCs w:val="21"/>
                      <w:lang w:eastAsia="zh-CN"/>
                    </w:rPr>
                    <w:t>废水量</w:t>
                  </w:r>
                </w:p>
              </w:tc>
              <w:tc>
                <w:tcPr>
                  <w:tcW w:w="1800" w:type="dxa"/>
                  <w:vAlign w:val="center"/>
                </w:tcPr>
                <w:p w14:paraId="4131BF8B">
                  <w:pPr>
                    <w:pStyle w:val="8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rPr>
                      <w:rFonts w:hint="eastAsia"/>
                      <w:b w:val="0"/>
                      <w:bCs/>
                      <w:color w:val="auto"/>
                      <w:sz w:val="21"/>
                      <w:szCs w:val="21"/>
                      <w:lang w:eastAsia="zh-CN"/>
                    </w:rPr>
                  </w:pPr>
                  <w:r>
                    <w:rPr>
                      <w:rFonts w:hint="eastAsia"/>
                      <w:b w:val="0"/>
                      <w:bCs/>
                      <w:color w:val="auto"/>
                      <w:sz w:val="21"/>
                      <w:szCs w:val="21"/>
                      <w:lang w:eastAsia="zh-CN"/>
                    </w:rPr>
                    <w:t>污染物</w:t>
                  </w:r>
                </w:p>
              </w:tc>
              <w:tc>
                <w:tcPr>
                  <w:tcW w:w="1638" w:type="dxa"/>
                  <w:vAlign w:val="center"/>
                </w:tcPr>
                <w:p w14:paraId="3AB4392E">
                  <w:pPr>
                    <w:pStyle w:val="8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rPr>
                      <w:rFonts w:hint="eastAsia"/>
                      <w:b w:val="0"/>
                      <w:bCs/>
                      <w:color w:val="auto"/>
                      <w:sz w:val="21"/>
                      <w:szCs w:val="21"/>
                      <w:lang w:eastAsia="zh-CN"/>
                    </w:rPr>
                  </w:pPr>
                  <w:r>
                    <w:rPr>
                      <w:b w:val="0"/>
                      <w:bCs/>
                      <w:color w:val="auto"/>
                      <w:sz w:val="21"/>
                      <w:szCs w:val="21"/>
                      <w:shd w:val="clear" w:color="auto" w:fill="FFFFFF"/>
                    </w:rPr>
                    <w:t>COD</w:t>
                  </w:r>
                  <w:r>
                    <w:rPr>
                      <w:b w:val="0"/>
                      <w:bCs/>
                      <w:color w:val="auto"/>
                      <w:sz w:val="21"/>
                      <w:szCs w:val="21"/>
                      <w:shd w:val="clear" w:color="auto" w:fill="FFFFFF"/>
                      <w:vertAlign w:val="subscript"/>
                    </w:rPr>
                    <w:t>Cr</w:t>
                  </w:r>
                </w:p>
              </w:tc>
              <w:tc>
                <w:tcPr>
                  <w:tcW w:w="1200" w:type="dxa"/>
                  <w:vAlign w:val="center"/>
                </w:tcPr>
                <w:p w14:paraId="12FC6C8A">
                  <w:pPr>
                    <w:pStyle w:val="8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rPr>
                      <w:rFonts w:hint="eastAsia"/>
                      <w:b w:val="0"/>
                      <w:bCs/>
                      <w:color w:val="auto"/>
                      <w:sz w:val="21"/>
                      <w:szCs w:val="21"/>
                      <w:lang w:eastAsia="zh-CN"/>
                    </w:rPr>
                  </w:pPr>
                  <w:r>
                    <w:rPr>
                      <w:rFonts w:hint="eastAsia"/>
                      <w:b w:val="0"/>
                      <w:bCs/>
                      <w:color w:val="auto"/>
                      <w:sz w:val="21"/>
                      <w:szCs w:val="21"/>
                      <w:lang w:val="en-US" w:eastAsia="zh-CN"/>
                    </w:rPr>
                    <w:t>BOD</w:t>
                  </w:r>
                  <w:r>
                    <w:rPr>
                      <w:rFonts w:hint="eastAsia"/>
                      <w:b w:val="0"/>
                      <w:bCs/>
                      <w:color w:val="auto"/>
                      <w:sz w:val="21"/>
                      <w:szCs w:val="21"/>
                      <w:vertAlign w:val="subscript"/>
                      <w:lang w:val="en-US" w:eastAsia="zh-CN"/>
                    </w:rPr>
                    <w:t>5</w:t>
                  </w:r>
                </w:p>
              </w:tc>
              <w:tc>
                <w:tcPr>
                  <w:tcW w:w="1125" w:type="dxa"/>
                  <w:vAlign w:val="center"/>
                </w:tcPr>
                <w:p w14:paraId="104B5B1D">
                  <w:pPr>
                    <w:pStyle w:val="8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rPr>
                      <w:rFonts w:hint="eastAsia"/>
                      <w:b w:val="0"/>
                      <w:bCs/>
                      <w:color w:val="auto"/>
                      <w:sz w:val="21"/>
                      <w:szCs w:val="21"/>
                      <w:lang w:eastAsia="zh-CN"/>
                    </w:rPr>
                  </w:pPr>
                  <w:r>
                    <w:rPr>
                      <w:rFonts w:hint="eastAsia"/>
                      <w:b w:val="0"/>
                      <w:bCs/>
                      <w:color w:val="auto"/>
                      <w:sz w:val="21"/>
                      <w:szCs w:val="21"/>
                      <w:lang w:val="en-US" w:eastAsia="zh-CN"/>
                    </w:rPr>
                    <w:t>SS</w:t>
                  </w:r>
                </w:p>
              </w:tc>
              <w:tc>
                <w:tcPr>
                  <w:tcW w:w="1150" w:type="dxa"/>
                  <w:vAlign w:val="center"/>
                </w:tcPr>
                <w:p w14:paraId="15F10BED">
                  <w:pPr>
                    <w:pStyle w:val="8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rPr>
                      <w:rFonts w:hint="eastAsia"/>
                      <w:b w:val="0"/>
                      <w:bCs/>
                      <w:color w:val="auto"/>
                      <w:sz w:val="21"/>
                      <w:szCs w:val="21"/>
                      <w:lang w:eastAsia="zh-CN"/>
                    </w:rPr>
                  </w:pPr>
                  <w:r>
                    <w:rPr>
                      <w:rFonts w:hint="eastAsia"/>
                      <w:b w:val="0"/>
                      <w:bCs/>
                      <w:color w:val="auto"/>
                      <w:sz w:val="21"/>
                      <w:szCs w:val="21"/>
                      <w:lang w:val="en-US" w:eastAsia="zh-CN"/>
                    </w:rPr>
                    <w:t>NH</w:t>
                  </w:r>
                  <w:r>
                    <w:rPr>
                      <w:rFonts w:hint="eastAsia"/>
                      <w:b w:val="0"/>
                      <w:bCs/>
                      <w:color w:val="auto"/>
                      <w:sz w:val="21"/>
                      <w:szCs w:val="21"/>
                      <w:vertAlign w:val="subscript"/>
                      <w:lang w:val="en-US" w:eastAsia="zh-CN"/>
                    </w:rPr>
                    <w:t>3</w:t>
                  </w:r>
                  <w:r>
                    <w:rPr>
                      <w:rFonts w:hint="eastAsia"/>
                      <w:b w:val="0"/>
                      <w:bCs/>
                      <w:color w:val="auto"/>
                      <w:sz w:val="21"/>
                      <w:szCs w:val="21"/>
                      <w:lang w:val="en-US" w:eastAsia="zh-CN"/>
                    </w:rPr>
                    <w:t>-N</w:t>
                  </w:r>
                </w:p>
              </w:tc>
            </w:tr>
            <w:tr w14:paraId="6735B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vMerge w:val="restart"/>
                  <w:vAlign w:val="center"/>
                </w:tcPr>
                <w:p w14:paraId="5A9BC819">
                  <w:pPr>
                    <w:pStyle w:val="8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rPr>
                      <w:rFonts w:hint="eastAsia" w:eastAsia="宋体"/>
                      <w:b w:val="0"/>
                      <w:bCs/>
                      <w:color w:val="auto"/>
                      <w:sz w:val="21"/>
                      <w:szCs w:val="21"/>
                      <w:lang w:eastAsia="zh-CN"/>
                    </w:rPr>
                  </w:pPr>
                  <w:r>
                    <w:rPr>
                      <w:rFonts w:hint="eastAsia" w:cs="Times New Roman"/>
                      <w:b w:val="0"/>
                      <w:bCs/>
                      <w:color w:val="auto"/>
                      <w:kern w:val="0"/>
                      <w:sz w:val="21"/>
                      <w:szCs w:val="21"/>
                      <w:highlight w:val="none"/>
                      <w:lang w:val="en-US" w:eastAsia="zh-CN"/>
                    </w:rPr>
                    <w:t>0.8</w:t>
                  </w:r>
                  <w:r>
                    <w:rPr>
                      <w:rFonts w:hint="eastAsia"/>
                      <w:b w:val="0"/>
                      <w:bCs/>
                      <w:color w:val="auto"/>
                      <w:sz w:val="21"/>
                      <w:szCs w:val="21"/>
                    </w:rPr>
                    <w:t>m</w:t>
                  </w:r>
                  <w:r>
                    <w:rPr>
                      <w:rFonts w:hint="eastAsia"/>
                      <w:b w:val="0"/>
                      <w:bCs/>
                      <w:color w:val="auto"/>
                      <w:sz w:val="21"/>
                      <w:szCs w:val="21"/>
                      <w:vertAlign w:val="superscript"/>
                    </w:rPr>
                    <w:t>3</w:t>
                  </w:r>
                  <w:r>
                    <w:rPr>
                      <w:rFonts w:hint="eastAsia"/>
                      <w:b w:val="0"/>
                      <w:bCs/>
                      <w:color w:val="auto"/>
                      <w:sz w:val="21"/>
                      <w:szCs w:val="21"/>
                    </w:rPr>
                    <w:t>/d</w:t>
                  </w:r>
                  <w:r>
                    <w:rPr>
                      <w:rFonts w:hint="eastAsia"/>
                      <w:b w:val="0"/>
                      <w:bCs/>
                      <w:color w:val="auto"/>
                      <w:sz w:val="21"/>
                      <w:szCs w:val="21"/>
                      <w:lang w:eastAsia="zh-CN"/>
                    </w:rPr>
                    <w:t>，</w:t>
                  </w:r>
                  <w:r>
                    <w:rPr>
                      <w:rFonts w:hint="eastAsia" w:cs="Times New Roman"/>
                      <w:b w:val="0"/>
                      <w:bCs/>
                      <w:color w:val="auto"/>
                      <w:kern w:val="0"/>
                      <w:sz w:val="21"/>
                      <w:szCs w:val="21"/>
                      <w:highlight w:val="none"/>
                      <w:lang w:val="en-US" w:eastAsia="zh-CN"/>
                    </w:rPr>
                    <w:t>240</w:t>
                  </w:r>
                  <w:r>
                    <w:rPr>
                      <w:rFonts w:hint="eastAsia"/>
                      <w:b w:val="0"/>
                      <w:bCs/>
                      <w:color w:val="auto"/>
                      <w:sz w:val="21"/>
                      <w:szCs w:val="21"/>
                    </w:rPr>
                    <w:t>m</w:t>
                  </w:r>
                  <w:r>
                    <w:rPr>
                      <w:rFonts w:hint="eastAsia"/>
                      <w:b w:val="0"/>
                      <w:bCs/>
                      <w:color w:val="auto"/>
                      <w:sz w:val="21"/>
                      <w:szCs w:val="21"/>
                      <w:vertAlign w:val="superscript"/>
                    </w:rPr>
                    <w:t>3</w:t>
                  </w:r>
                  <w:r>
                    <w:rPr>
                      <w:rFonts w:hint="eastAsia"/>
                      <w:b w:val="0"/>
                      <w:bCs/>
                      <w:color w:val="auto"/>
                      <w:sz w:val="21"/>
                      <w:szCs w:val="21"/>
                    </w:rPr>
                    <w:t>/</w:t>
                  </w:r>
                  <w:r>
                    <w:rPr>
                      <w:rFonts w:hint="eastAsia"/>
                      <w:b w:val="0"/>
                      <w:bCs/>
                      <w:color w:val="auto"/>
                      <w:sz w:val="21"/>
                      <w:szCs w:val="21"/>
                      <w:lang w:val="en-US" w:eastAsia="zh-CN"/>
                    </w:rPr>
                    <w:t>a</w:t>
                  </w:r>
                </w:p>
              </w:tc>
              <w:tc>
                <w:tcPr>
                  <w:tcW w:w="1800" w:type="dxa"/>
                  <w:vAlign w:val="center"/>
                </w:tcPr>
                <w:p w14:paraId="264FA6BA">
                  <w:pPr>
                    <w:pStyle w:val="8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rPr>
                      <w:rFonts w:hint="eastAsia"/>
                      <w:b w:val="0"/>
                      <w:bCs/>
                      <w:color w:val="auto"/>
                      <w:sz w:val="21"/>
                      <w:szCs w:val="21"/>
                      <w:lang w:eastAsia="zh-CN"/>
                    </w:rPr>
                  </w:pPr>
                  <w:r>
                    <w:rPr>
                      <w:rFonts w:hint="eastAsia"/>
                      <w:b w:val="0"/>
                      <w:bCs/>
                      <w:color w:val="auto"/>
                      <w:sz w:val="21"/>
                      <w:szCs w:val="21"/>
                      <w:lang w:val="en-US" w:eastAsia="zh-CN"/>
                    </w:rPr>
                    <w:t>产生浓度（mg/L）</w:t>
                  </w:r>
                </w:p>
              </w:tc>
              <w:tc>
                <w:tcPr>
                  <w:tcW w:w="1638" w:type="dxa"/>
                  <w:vAlign w:val="center"/>
                </w:tcPr>
                <w:p w14:paraId="2268B12F">
                  <w:pPr>
                    <w:pStyle w:val="8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rPr>
                      <w:rFonts w:hint="default"/>
                      <w:b w:val="0"/>
                      <w:bCs/>
                      <w:color w:val="auto"/>
                      <w:sz w:val="21"/>
                      <w:szCs w:val="21"/>
                      <w:lang w:val="en-US" w:eastAsia="zh-CN"/>
                    </w:rPr>
                  </w:pPr>
                  <w:r>
                    <w:rPr>
                      <w:rFonts w:hint="eastAsia"/>
                      <w:b w:val="0"/>
                      <w:bCs/>
                      <w:color w:val="auto"/>
                      <w:sz w:val="21"/>
                      <w:szCs w:val="21"/>
                      <w:lang w:val="en-US" w:eastAsia="zh-CN"/>
                    </w:rPr>
                    <w:t>350</w:t>
                  </w:r>
                </w:p>
              </w:tc>
              <w:tc>
                <w:tcPr>
                  <w:tcW w:w="1200" w:type="dxa"/>
                  <w:vAlign w:val="center"/>
                </w:tcPr>
                <w:p w14:paraId="6D9BFF58">
                  <w:pPr>
                    <w:pStyle w:val="8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rPr>
                      <w:rFonts w:hint="default"/>
                      <w:b w:val="0"/>
                      <w:bCs/>
                      <w:color w:val="auto"/>
                      <w:sz w:val="21"/>
                      <w:szCs w:val="21"/>
                      <w:lang w:val="en-US" w:eastAsia="zh-CN"/>
                    </w:rPr>
                  </w:pPr>
                  <w:r>
                    <w:rPr>
                      <w:rFonts w:hint="eastAsia"/>
                      <w:b w:val="0"/>
                      <w:bCs/>
                      <w:color w:val="auto"/>
                      <w:sz w:val="21"/>
                      <w:szCs w:val="21"/>
                      <w:lang w:val="en-US" w:eastAsia="zh-CN"/>
                    </w:rPr>
                    <w:t>250</w:t>
                  </w:r>
                </w:p>
              </w:tc>
              <w:tc>
                <w:tcPr>
                  <w:tcW w:w="1125" w:type="dxa"/>
                  <w:vAlign w:val="center"/>
                </w:tcPr>
                <w:p w14:paraId="0BAB7A58">
                  <w:pPr>
                    <w:pStyle w:val="8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rPr>
                      <w:rFonts w:hint="default"/>
                      <w:b w:val="0"/>
                      <w:bCs/>
                      <w:color w:val="auto"/>
                      <w:sz w:val="21"/>
                      <w:szCs w:val="21"/>
                      <w:lang w:val="en-US" w:eastAsia="zh-CN"/>
                    </w:rPr>
                  </w:pPr>
                  <w:r>
                    <w:rPr>
                      <w:rFonts w:hint="eastAsia"/>
                      <w:b w:val="0"/>
                      <w:bCs/>
                      <w:color w:val="auto"/>
                      <w:sz w:val="21"/>
                      <w:szCs w:val="21"/>
                      <w:lang w:val="en-US" w:eastAsia="zh-CN"/>
                    </w:rPr>
                    <w:t>100</w:t>
                  </w:r>
                </w:p>
              </w:tc>
              <w:tc>
                <w:tcPr>
                  <w:tcW w:w="1150" w:type="dxa"/>
                  <w:vAlign w:val="center"/>
                </w:tcPr>
                <w:p w14:paraId="72CD1328">
                  <w:pPr>
                    <w:pStyle w:val="8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rPr>
                      <w:rFonts w:hint="default"/>
                      <w:b w:val="0"/>
                      <w:bCs/>
                      <w:color w:val="auto"/>
                      <w:sz w:val="21"/>
                      <w:szCs w:val="21"/>
                      <w:lang w:val="en-US" w:eastAsia="zh-CN"/>
                    </w:rPr>
                  </w:pPr>
                  <w:r>
                    <w:rPr>
                      <w:rFonts w:hint="eastAsia"/>
                      <w:b w:val="0"/>
                      <w:bCs/>
                      <w:color w:val="auto"/>
                      <w:sz w:val="21"/>
                      <w:szCs w:val="21"/>
                      <w:lang w:val="en-US" w:eastAsia="zh-CN"/>
                    </w:rPr>
                    <w:t>40</w:t>
                  </w:r>
                </w:p>
              </w:tc>
            </w:tr>
            <w:tr w14:paraId="57431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vMerge w:val="continue"/>
                  <w:vAlign w:val="center"/>
                </w:tcPr>
                <w:p w14:paraId="2D13BC8D">
                  <w:pPr>
                    <w:pStyle w:val="8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rPr>
                      <w:rFonts w:hint="eastAsia"/>
                      <w:b w:val="0"/>
                      <w:bCs/>
                      <w:color w:val="auto"/>
                      <w:sz w:val="21"/>
                      <w:szCs w:val="21"/>
                      <w:lang w:eastAsia="zh-CN"/>
                    </w:rPr>
                  </w:pPr>
                </w:p>
              </w:tc>
              <w:tc>
                <w:tcPr>
                  <w:tcW w:w="1800" w:type="dxa"/>
                  <w:vAlign w:val="center"/>
                </w:tcPr>
                <w:p w14:paraId="165CB620">
                  <w:pPr>
                    <w:pStyle w:val="8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rPr>
                      <w:rFonts w:hint="eastAsia"/>
                      <w:b w:val="0"/>
                      <w:bCs/>
                      <w:color w:val="auto"/>
                      <w:sz w:val="21"/>
                      <w:szCs w:val="21"/>
                      <w:lang w:eastAsia="zh-CN"/>
                    </w:rPr>
                  </w:pPr>
                  <w:r>
                    <w:rPr>
                      <w:rFonts w:hint="eastAsia"/>
                      <w:b w:val="0"/>
                      <w:bCs/>
                      <w:color w:val="auto"/>
                      <w:sz w:val="21"/>
                      <w:szCs w:val="21"/>
                      <w:lang w:val="en-US" w:eastAsia="zh-CN"/>
                    </w:rPr>
                    <w:t>产生量（t/a）</w:t>
                  </w:r>
                </w:p>
              </w:tc>
              <w:tc>
                <w:tcPr>
                  <w:tcW w:w="1638" w:type="dxa"/>
                  <w:vAlign w:val="center"/>
                </w:tcPr>
                <w:p w14:paraId="546CF6A6">
                  <w:pPr>
                    <w:keepNext w:val="0"/>
                    <w:keepLines w:val="0"/>
                    <w:pageBreakBefore w:val="0"/>
                    <w:widowControl/>
                    <w:suppressLineNumbers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hint="default" w:ascii="Times New Roman" w:hAnsi="Times New Roman" w:cs="Times New Roman"/>
                      <w:b w:val="0"/>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eastAsia="宋体" w:cs="Times New Roman"/>
                      <w:i w:val="0"/>
                      <w:iCs w:val="0"/>
                      <w:color w:val="auto"/>
                      <w:kern w:val="0"/>
                      <w:sz w:val="21"/>
                      <w:szCs w:val="21"/>
                      <w:u w:val="none"/>
                      <w:lang w:val="en-US" w:eastAsia="zh-CN" w:bidi="ar"/>
                    </w:rPr>
                    <w:t>084</w:t>
                  </w:r>
                </w:p>
              </w:tc>
              <w:tc>
                <w:tcPr>
                  <w:tcW w:w="1200" w:type="dxa"/>
                  <w:vAlign w:val="center"/>
                </w:tcPr>
                <w:p w14:paraId="5EA0E5DD">
                  <w:pPr>
                    <w:keepNext w:val="0"/>
                    <w:keepLines w:val="0"/>
                    <w:pageBreakBefore w:val="0"/>
                    <w:widowControl/>
                    <w:suppressLineNumbers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hint="default" w:ascii="Times New Roman" w:hAnsi="Times New Roman" w:cs="Times New Roman"/>
                      <w:b w:val="0"/>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eastAsia="宋体" w:cs="Times New Roman"/>
                      <w:i w:val="0"/>
                      <w:iCs w:val="0"/>
                      <w:color w:val="auto"/>
                      <w:kern w:val="0"/>
                      <w:sz w:val="21"/>
                      <w:szCs w:val="21"/>
                      <w:u w:val="none"/>
                      <w:lang w:val="en-US" w:eastAsia="zh-CN" w:bidi="ar"/>
                    </w:rPr>
                    <w:t>06</w:t>
                  </w:r>
                </w:p>
              </w:tc>
              <w:tc>
                <w:tcPr>
                  <w:tcW w:w="1125" w:type="dxa"/>
                  <w:vAlign w:val="center"/>
                </w:tcPr>
                <w:p w14:paraId="58ACD814">
                  <w:pPr>
                    <w:keepNext w:val="0"/>
                    <w:keepLines w:val="0"/>
                    <w:pageBreakBefore w:val="0"/>
                    <w:widowControl/>
                    <w:suppressLineNumbers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hint="default" w:ascii="Times New Roman" w:hAnsi="Times New Roman" w:cs="Times New Roman"/>
                      <w:b w:val="0"/>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ascii="Times New Roman" w:hAnsi="Times New Roman" w:eastAsia="宋体" w:cs="Times New Roman"/>
                      <w:i w:val="0"/>
                      <w:iCs w:val="0"/>
                      <w:color w:val="auto"/>
                      <w:kern w:val="0"/>
                      <w:sz w:val="21"/>
                      <w:szCs w:val="21"/>
                      <w:u w:val="none"/>
                      <w:lang w:val="en-US" w:eastAsia="zh-CN" w:bidi="ar"/>
                    </w:rPr>
                    <w:t>024</w:t>
                  </w:r>
                </w:p>
              </w:tc>
              <w:tc>
                <w:tcPr>
                  <w:tcW w:w="1150" w:type="dxa"/>
                  <w:vAlign w:val="center"/>
                </w:tcPr>
                <w:p w14:paraId="2DEB3EBD">
                  <w:pPr>
                    <w:keepNext w:val="0"/>
                    <w:keepLines w:val="0"/>
                    <w:pageBreakBefore w:val="0"/>
                    <w:widowControl/>
                    <w:suppressLineNumbers w:val="0"/>
                    <w:kinsoku/>
                    <w:wordWrap/>
                    <w:overflowPunct/>
                    <w:topLinePunct w:val="0"/>
                    <w:autoSpaceDE/>
                    <w:autoSpaceDN/>
                    <w:bidi w:val="0"/>
                    <w:adjustRightInd/>
                    <w:snapToGrid w:val="0"/>
                    <w:spacing w:before="95" w:beforeLines="30" w:after="95" w:afterLines="30" w:line="240" w:lineRule="auto"/>
                    <w:ind w:firstLine="0" w:firstLineChars="0"/>
                    <w:jc w:val="center"/>
                    <w:textAlignment w:val="center"/>
                    <w:rPr>
                      <w:rFonts w:hint="default" w:ascii="Times New Roman" w:hAnsi="Times New Roman" w:cs="Times New Roman"/>
                      <w:b w:val="0"/>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ascii="Times New Roman" w:hAnsi="Times New Roman" w:eastAsia="宋体" w:cs="Times New Roman"/>
                      <w:i w:val="0"/>
                      <w:iCs w:val="0"/>
                      <w:color w:val="auto"/>
                      <w:kern w:val="0"/>
                      <w:sz w:val="21"/>
                      <w:szCs w:val="21"/>
                      <w:u w:val="none"/>
                      <w:lang w:val="en-US" w:eastAsia="zh-CN" w:bidi="ar"/>
                    </w:rPr>
                    <w:t>096</w:t>
                  </w:r>
                </w:p>
              </w:tc>
            </w:tr>
            <w:tr w14:paraId="1D2BE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vMerge w:val="continue"/>
                  <w:vAlign w:val="center"/>
                </w:tcPr>
                <w:p w14:paraId="53A4D5E5">
                  <w:pPr>
                    <w:pStyle w:val="8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rPr>
                      <w:rFonts w:hint="eastAsia"/>
                      <w:b w:val="0"/>
                      <w:bCs/>
                      <w:color w:val="auto"/>
                      <w:sz w:val="21"/>
                      <w:szCs w:val="21"/>
                      <w:lang w:eastAsia="zh-CN"/>
                    </w:rPr>
                  </w:pPr>
                </w:p>
              </w:tc>
              <w:tc>
                <w:tcPr>
                  <w:tcW w:w="1800" w:type="dxa"/>
                  <w:vAlign w:val="center"/>
                </w:tcPr>
                <w:p w14:paraId="2327E20F">
                  <w:pPr>
                    <w:pStyle w:val="8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rPr>
                      <w:rFonts w:hint="eastAsia"/>
                      <w:b w:val="0"/>
                      <w:bCs/>
                      <w:color w:val="auto"/>
                      <w:sz w:val="21"/>
                      <w:szCs w:val="21"/>
                      <w:lang w:eastAsia="zh-CN"/>
                    </w:rPr>
                  </w:pPr>
                  <w:r>
                    <w:rPr>
                      <w:rFonts w:hint="eastAsia"/>
                      <w:b w:val="0"/>
                      <w:bCs/>
                      <w:color w:val="auto"/>
                      <w:sz w:val="21"/>
                      <w:szCs w:val="21"/>
                      <w:lang w:eastAsia="zh-CN"/>
                    </w:rPr>
                    <w:t>处理措施</w:t>
                  </w:r>
                </w:p>
              </w:tc>
              <w:tc>
                <w:tcPr>
                  <w:tcW w:w="5113" w:type="dxa"/>
                  <w:gridSpan w:val="4"/>
                  <w:vAlign w:val="center"/>
                </w:tcPr>
                <w:p w14:paraId="6882566E">
                  <w:pPr>
                    <w:pStyle w:val="8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rPr>
                      <w:rFonts w:hint="default"/>
                      <w:b w:val="0"/>
                      <w:bCs/>
                      <w:color w:val="auto"/>
                      <w:sz w:val="21"/>
                      <w:szCs w:val="21"/>
                      <w:lang w:val="en-US" w:eastAsia="zh-CN"/>
                    </w:rPr>
                  </w:pPr>
                  <w:r>
                    <w:rPr>
                      <w:rFonts w:hint="eastAsia" w:cs="Times New Roman"/>
                      <w:b w:val="0"/>
                      <w:bCs/>
                      <w:color w:val="auto"/>
                      <w:kern w:val="0"/>
                      <w:sz w:val="21"/>
                      <w:szCs w:val="21"/>
                      <w:highlight w:val="none"/>
                      <w:lang w:eastAsia="zh-CN"/>
                    </w:rPr>
                    <w:t>经化粪池处理后</w:t>
                  </w:r>
                  <w:r>
                    <w:rPr>
                      <w:rFonts w:hint="eastAsia"/>
                      <w:b w:val="0"/>
                      <w:bCs/>
                      <w:color w:val="auto"/>
                      <w:sz w:val="21"/>
                      <w:szCs w:val="21"/>
                      <w:lang w:val="en-US" w:eastAsia="zh-CN"/>
                    </w:rPr>
                    <w:t>委托环卫车辆运送至华宁北控环保水务有限公司管理运营的华宁县城污水处理厂处理。</w:t>
                  </w:r>
                </w:p>
              </w:tc>
            </w:tr>
            <w:tr w14:paraId="5CCD0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5" w:type="dxa"/>
                  <w:vMerge w:val="continue"/>
                  <w:vAlign w:val="center"/>
                </w:tcPr>
                <w:p w14:paraId="450AE636">
                  <w:pPr>
                    <w:pStyle w:val="8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rPr>
                      <w:rFonts w:hint="eastAsia"/>
                      <w:b w:val="0"/>
                      <w:bCs/>
                      <w:color w:val="auto"/>
                      <w:sz w:val="21"/>
                      <w:szCs w:val="21"/>
                      <w:lang w:eastAsia="zh-CN"/>
                    </w:rPr>
                  </w:pPr>
                </w:p>
              </w:tc>
              <w:tc>
                <w:tcPr>
                  <w:tcW w:w="1800" w:type="dxa"/>
                  <w:vAlign w:val="center"/>
                </w:tcPr>
                <w:p w14:paraId="260FDEF9">
                  <w:pPr>
                    <w:pStyle w:val="8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rPr>
                      <w:rFonts w:hint="eastAsia"/>
                      <w:b w:val="0"/>
                      <w:bCs/>
                      <w:color w:val="auto"/>
                      <w:sz w:val="21"/>
                      <w:szCs w:val="21"/>
                      <w:lang w:eastAsia="zh-CN"/>
                    </w:rPr>
                  </w:pPr>
                  <w:r>
                    <w:rPr>
                      <w:rFonts w:hint="eastAsia"/>
                      <w:b w:val="0"/>
                      <w:bCs/>
                      <w:color w:val="auto"/>
                      <w:sz w:val="21"/>
                      <w:szCs w:val="21"/>
                      <w:lang w:val="en-US" w:eastAsia="zh-CN"/>
                    </w:rPr>
                    <w:t>排放量（t/a）</w:t>
                  </w:r>
                </w:p>
              </w:tc>
              <w:tc>
                <w:tcPr>
                  <w:tcW w:w="1638" w:type="dxa"/>
                  <w:vAlign w:val="center"/>
                </w:tcPr>
                <w:p w14:paraId="0C26FD85">
                  <w:pPr>
                    <w:pStyle w:val="8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rPr>
                      <w:rFonts w:hint="default"/>
                      <w:b w:val="0"/>
                      <w:bCs/>
                      <w:color w:val="auto"/>
                      <w:sz w:val="21"/>
                      <w:szCs w:val="21"/>
                      <w:lang w:val="en-US" w:eastAsia="zh-CN"/>
                    </w:rPr>
                  </w:pPr>
                  <w:r>
                    <w:rPr>
                      <w:rFonts w:hint="eastAsia"/>
                      <w:b w:val="0"/>
                      <w:bCs/>
                      <w:color w:val="auto"/>
                      <w:sz w:val="21"/>
                      <w:szCs w:val="21"/>
                      <w:lang w:val="en-US" w:eastAsia="zh-CN"/>
                    </w:rPr>
                    <w:t>0</w:t>
                  </w:r>
                </w:p>
              </w:tc>
              <w:tc>
                <w:tcPr>
                  <w:tcW w:w="1200" w:type="dxa"/>
                  <w:vAlign w:val="center"/>
                </w:tcPr>
                <w:p w14:paraId="0403C844">
                  <w:pPr>
                    <w:pStyle w:val="8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rPr>
                      <w:rFonts w:hint="default"/>
                      <w:b w:val="0"/>
                      <w:bCs/>
                      <w:color w:val="auto"/>
                      <w:sz w:val="21"/>
                      <w:szCs w:val="21"/>
                      <w:lang w:val="en-US" w:eastAsia="zh-CN"/>
                    </w:rPr>
                  </w:pPr>
                  <w:r>
                    <w:rPr>
                      <w:rFonts w:hint="eastAsia"/>
                      <w:b w:val="0"/>
                      <w:bCs/>
                      <w:color w:val="auto"/>
                      <w:sz w:val="21"/>
                      <w:szCs w:val="21"/>
                      <w:lang w:val="en-US" w:eastAsia="zh-CN"/>
                    </w:rPr>
                    <w:t>0</w:t>
                  </w:r>
                </w:p>
              </w:tc>
              <w:tc>
                <w:tcPr>
                  <w:tcW w:w="1125" w:type="dxa"/>
                  <w:vAlign w:val="center"/>
                </w:tcPr>
                <w:p w14:paraId="4A2A5D94">
                  <w:pPr>
                    <w:pStyle w:val="8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rPr>
                      <w:rFonts w:hint="default"/>
                      <w:b w:val="0"/>
                      <w:bCs/>
                      <w:color w:val="auto"/>
                      <w:sz w:val="21"/>
                      <w:szCs w:val="21"/>
                      <w:lang w:val="en-US" w:eastAsia="zh-CN"/>
                    </w:rPr>
                  </w:pPr>
                  <w:r>
                    <w:rPr>
                      <w:rFonts w:hint="eastAsia"/>
                      <w:b w:val="0"/>
                      <w:bCs/>
                      <w:color w:val="auto"/>
                      <w:sz w:val="21"/>
                      <w:szCs w:val="21"/>
                      <w:lang w:val="en-US" w:eastAsia="zh-CN"/>
                    </w:rPr>
                    <w:t>0</w:t>
                  </w:r>
                </w:p>
              </w:tc>
              <w:tc>
                <w:tcPr>
                  <w:tcW w:w="1150" w:type="dxa"/>
                  <w:vAlign w:val="center"/>
                </w:tcPr>
                <w:p w14:paraId="5209427B">
                  <w:pPr>
                    <w:pStyle w:val="85"/>
                    <w:keepNext w:val="0"/>
                    <w:keepLines w:val="0"/>
                    <w:pageBreakBefore w:val="0"/>
                    <w:kinsoku/>
                    <w:wordWrap/>
                    <w:overflowPunct/>
                    <w:topLinePunct w:val="0"/>
                    <w:autoSpaceDE/>
                    <w:autoSpaceDN/>
                    <w:bidi w:val="0"/>
                    <w:adjustRightInd/>
                    <w:snapToGrid w:val="0"/>
                    <w:spacing w:before="95" w:beforeLines="30" w:after="95" w:afterLines="30" w:line="240" w:lineRule="auto"/>
                    <w:ind w:firstLine="0" w:firstLineChars="0"/>
                    <w:rPr>
                      <w:rFonts w:hint="default"/>
                      <w:b w:val="0"/>
                      <w:bCs/>
                      <w:color w:val="auto"/>
                      <w:sz w:val="21"/>
                      <w:szCs w:val="21"/>
                      <w:lang w:val="en-US" w:eastAsia="zh-CN"/>
                    </w:rPr>
                  </w:pPr>
                  <w:r>
                    <w:rPr>
                      <w:rFonts w:hint="eastAsia"/>
                      <w:b w:val="0"/>
                      <w:bCs/>
                      <w:color w:val="auto"/>
                      <w:sz w:val="21"/>
                      <w:szCs w:val="21"/>
                      <w:lang w:val="en-US" w:eastAsia="zh-CN"/>
                    </w:rPr>
                    <w:t>0</w:t>
                  </w:r>
                </w:p>
              </w:tc>
            </w:tr>
          </w:tbl>
          <w:p w14:paraId="29FC85BD">
            <w:pPr>
              <w:keepNext w:val="0"/>
              <w:keepLines w:val="0"/>
              <w:pageBreakBefore w:val="0"/>
              <w:widowControl w:val="0"/>
              <w:numPr>
                <w:ilvl w:val="0"/>
                <w:numId w:val="0"/>
              </w:numPr>
              <w:kinsoku/>
              <w:wordWrap/>
              <w:overflowPunct/>
              <w:topLinePunct w:val="0"/>
              <w:autoSpaceDE/>
              <w:autoSpaceDN/>
              <w:bidi w:val="0"/>
              <w:snapToGrid w:val="0"/>
              <w:spacing w:line="360" w:lineRule="auto"/>
              <w:ind w:firstLine="422" w:firstLineChars="200"/>
              <w:textAlignment w:val="auto"/>
              <w:rPr>
                <w:rFonts w:hint="eastAsia"/>
                <w:b/>
                <w:bCs/>
                <w:color w:val="auto"/>
                <w:sz w:val="21"/>
                <w:szCs w:val="21"/>
                <w:lang w:eastAsia="zh-CN"/>
              </w:rPr>
            </w:pPr>
            <w:r>
              <w:rPr>
                <w:rFonts w:hint="eastAsia"/>
                <w:b/>
                <w:bCs/>
                <w:color w:val="auto"/>
                <w:sz w:val="21"/>
                <w:szCs w:val="21"/>
                <w:lang w:eastAsia="zh-CN"/>
              </w:rPr>
              <w:t>（二）废水污染防治措施</w:t>
            </w:r>
          </w:p>
          <w:p w14:paraId="09EBF121">
            <w:pPr>
              <w:keepNext w:val="0"/>
              <w:keepLines w:val="0"/>
              <w:pageBreakBefore w:val="0"/>
              <w:widowControl w:val="0"/>
              <w:numPr>
                <w:ilvl w:val="0"/>
                <w:numId w:val="0"/>
              </w:numPr>
              <w:kinsoku/>
              <w:wordWrap/>
              <w:overflowPunct/>
              <w:topLinePunct w:val="0"/>
              <w:autoSpaceDE/>
              <w:autoSpaceDN/>
              <w:bidi w:val="0"/>
              <w:snapToGrid w:val="0"/>
              <w:spacing w:line="360" w:lineRule="auto"/>
              <w:ind w:firstLine="420" w:firstLineChars="200"/>
              <w:textAlignment w:val="auto"/>
              <w:rPr>
                <w:rFonts w:hint="eastAsia" w:ascii="Times New Roman" w:hAnsi="Times New Roman"/>
                <w:color w:val="auto"/>
                <w:sz w:val="21"/>
                <w:szCs w:val="21"/>
              </w:rPr>
            </w:pPr>
            <w:r>
              <w:rPr>
                <w:rFonts w:hint="eastAsia" w:ascii="Times New Roman" w:hAnsi="Times New Roman" w:cs="黑体"/>
                <w:color w:val="auto"/>
                <w:kern w:val="2"/>
                <w:sz w:val="21"/>
                <w:szCs w:val="21"/>
                <w:lang w:val="en-US" w:eastAsia="zh-CN" w:bidi="ar-SA"/>
              </w:rPr>
              <w:t>①</w:t>
            </w:r>
            <w:r>
              <w:rPr>
                <w:rFonts w:hint="eastAsia" w:ascii="Times New Roman" w:hAnsi="Times New Roman"/>
                <w:color w:val="auto"/>
                <w:sz w:val="21"/>
                <w:szCs w:val="21"/>
                <w:lang w:eastAsia="zh-CN"/>
              </w:rPr>
              <w:t>场区</w:t>
            </w:r>
            <w:r>
              <w:rPr>
                <w:rFonts w:hint="eastAsia" w:ascii="Times New Roman" w:hAnsi="Times New Roman"/>
                <w:color w:val="auto"/>
                <w:sz w:val="21"/>
                <w:szCs w:val="21"/>
              </w:rPr>
              <w:t>设置完善的雨水沟，并</w:t>
            </w:r>
            <w:r>
              <w:rPr>
                <w:rFonts w:hint="eastAsia"/>
                <w:color w:val="auto"/>
                <w:sz w:val="21"/>
                <w:szCs w:val="21"/>
                <w:lang w:eastAsia="zh-CN"/>
              </w:rPr>
              <w:t>于厂区</w:t>
            </w:r>
            <w:r>
              <w:rPr>
                <w:rFonts w:hint="eastAsia"/>
                <w:color w:val="auto"/>
                <w:sz w:val="21"/>
                <w:szCs w:val="21"/>
                <w:lang w:val="en-US" w:eastAsia="zh-CN"/>
              </w:rPr>
              <w:t>地势最低处</w:t>
            </w:r>
            <w:r>
              <w:rPr>
                <w:rFonts w:hint="eastAsia"/>
                <w:color w:val="auto"/>
                <w:sz w:val="21"/>
                <w:szCs w:val="21"/>
                <w:lang w:eastAsia="zh-CN"/>
              </w:rPr>
              <w:t>西</w:t>
            </w:r>
            <w:r>
              <w:rPr>
                <w:rFonts w:hint="eastAsia"/>
                <w:color w:val="auto"/>
                <w:sz w:val="21"/>
                <w:szCs w:val="21"/>
                <w:lang w:val="en-US" w:eastAsia="zh-CN"/>
              </w:rPr>
              <w:t>北角</w:t>
            </w:r>
            <w:r>
              <w:rPr>
                <w:rFonts w:hint="eastAsia" w:ascii="Times New Roman" w:hAnsi="Times New Roman"/>
                <w:color w:val="auto"/>
                <w:sz w:val="21"/>
                <w:szCs w:val="21"/>
              </w:rPr>
              <w:t>设置</w:t>
            </w:r>
            <w:r>
              <w:rPr>
                <w:rFonts w:hint="eastAsia"/>
                <w:color w:val="auto"/>
                <w:sz w:val="21"/>
                <w:szCs w:val="21"/>
                <w:lang w:val="en-US" w:eastAsia="zh-CN"/>
              </w:rPr>
              <w:t>1个300m³的</w:t>
            </w:r>
            <w:r>
              <w:rPr>
                <w:rFonts w:hint="eastAsia" w:ascii="Times New Roman" w:hAnsi="Times New Roman"/>
                <w:color w:val="auto"/>
                <w:sz w:val="21"/>
                <w:szCs w:val="21"/>
              </w:rPr>
              <w:t>初期雨水收集池</w:t>
            </w:r>
            <w:r>
              <w:rPr>
                <w:rFonts w:hint="eastAsia" w:ascii="Times New Roman" w:hAnsi="Times New Roman"/>
                <w:color w:val="auto"/>
                <w:sz w:val="21"/>
                <w:szCs w:val="21"/>
                <w:lang w:val="en-US" w:eastAsia="zh-CN"/>
              </w:rPr>
              <w:t>，</w:t>
            </w:r>
            <w:r>
              <w:rPr>
                <w:rFonts w:hint="eastAsia"/>
                <w:color w:val="auto"/>
                <w:sz w:val="21"/>
                <w:szCs w:val="21"/>
              </w:rPr>
              <w:t>项目屋面雨水经收集后并入地面初期雨水通过雨水沟收集至初期雨水收集池内，</w:t>
            </w:r>
            <w:r>
              <w:rPr>
                <w:color w:val="auto"/>
                <w:sz w:val="21"/>
                <w:szCs w:val="21"/>
              </w:rPr>
              <w:t>后期</w:t>
            </w:r>
            <w:r>
              <w:rPr>
                <w:rFonts w:hint="eastAsia"/>
                <w:color w:val="auto"/>
                <w:sz w:val="21"/>
                <w:szCs w:val="21"/>
              </w:rPr>
              <w:t>回用于生产</w:t>
            </w:r>
            <w:r>
              <w:rPr>
                <w:rFonts w:hint="eastAsia" w:ascii="Times New Roman" w:hAnsi="Times New Roman"/>
                <w:color w:val="auto"/>
                <w:sz w:val="21"/>
                <w:szCs w:val="21"/>
              </w:rPr>
              <w:t>。</w:t>
            </w:r>
          </w:p>
          <w:p w14:paraId="1B19AF87">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eastAsia"/>
                <w:color w:val="auto"/>
                <w:sz w:val="21"/>
                <w:szCs w:val="21"/>
                <w:lang w:val="en-US" w:eastAsia="zh-CN"/>
              </w:rPr>
            </w:pPr>
            <w:r>
              <w:rPr>
                <w:rFonts w:hint="eastAsia"/>
                <w:color w:val="auto"/>
                <w:sz w:val="21"/>
                <w:szCs w:val="21"/>
                <w:lang w:val="en-US" w:eastAsia="zh-CN"/>
              </w:rPr>
              <w:t>②设置1个容积约10m</w:t>
            </w:r>
            <w:r>
              <w:rPr>
                <w:rFonts w:hint="eastAsia"/>
                <w:color w:val="auto"/>
                <w:sz w:val="21"/>
                <w:szCs w:val="21"/>
                <w:vertAlign w:val="superscript"/>
                <w:lang w:val="en-US" w:eastAsia="zh-CN"/>
              </w:rPr>
              <w:t>3</w:t>
            </w:r>
            <w:r>
              <w:rPr>
                <w:rFonts w:hint="eastAsia"/>
                <w:color w:val="auto"/>
                <w:sz w:val="21"/>
                <w:szCs w:val="21"/>
                <w:lang w:val="en-US" w:eastAsia="zh-CN"/>
              </w:rPr>
              <w:t>的化粪池，</w:t>
            </w:r>
            <w:r>
              <w:rPr>
                <w:rFonts w:hint="eastAsia" w:cs="Times New Roman"/>
                <w:b w:val="0"/>
                <w:bCs/>
                <w:color w:val="auto"/>
                <w:sz w:val="21"/>
                <w:szCs w:val="21"/>
                <w:lang w:val="en-US" w:eastAsia="zh-CN"/>
              </w:rPr>
              <w:t>生活污水经化粪池预处理</w:t>
            </w:r>
            <w:r>
              <w:rPr>
                <w:rFonts w:hint="eastAsia"/>
                <w:b w:val="0"/>
                <w:bCs/>
                <w:color w:val="auto"/>
                <w:sz w:val="21"/>
                <w:szCs w:val="21"/>
                <w:lang w:eastAsia="zh-CN"/>
              </w:rPr>
              <w:t>后，</w:t>
            </w:r>
            <w:r>
              <w:rPr>
                <w:rFonts w:hint="eastAsia"/>
                <w:b w:val="0"/>
                <w:bCs/>
                <w:color w:val="auto"/>
                <w:sz w:val="21"/>
                <w:szCs w:val="21"/>
                <w:lang w:val="en-US" w:eastAsia="zh-CN"/>
              </w:rPr>
              <w:t>达到</w:t>
            </w:r>
            <w:r>
              <w:rPr>
                <w:rFonts w:hint="default" w:ascii="Times New Roman" w:hAnsi="Times New Roman" w:eastAsia="宋体" w:cs="Times New Roman"/>
                <w:bCs/>
                <w:color w:val="auto"/>
                <w:kern w:val="2"/>
                <w:sz w:val="21"/>
                <w:szCs w:val="21"/>
              </w:rPr>
              <w:t>《污水综合排放标准》</w:t>
            </w:r>
            <w:r>
              <w:rPr>
                <w:rFonts w:hint="default" w:ascii="Times New Roman" w:hAnsi="Times New Roman" w:eastAsia="宋体" w:cs="Times New Roman"/>
                <w:bCs/>
                <w:color w:val="auto"/>
                <w:kern w:val="2"/>
                <w:sz w:val="21"/>
                <w:szCs w:val="21"/>
                <w:lang w:eastAsia="zh-CN"/>
              </w:rPr>
              <w:t>（</w:t>
            </w:r>
            <w:r>
              <w:rPr>
                <w:rFonts w:hint="default" w:ascii="Times New Roman" w:hAnsi="Times New Roman" w:eastAsia="宋体" w:cs="Times New Roman"/>
                <w:bCs/>
                <w:color w:val="auto"/>
                <w:kern w:val="2"/>
                <w:sz w:val="21"/>
                <w:szCs w:val="21"/>
              </w:rPr>
              <w:t>GB8978-1996</w:t>
            </w:r>
            <w:r>
              <w:rPr>
                <w:rFonts w:hint="default" w:ascii="Times New Roman" w:hAnsi="Times New Roman" w:eastAsia="宋体" w:cs="Times New Roman"/>
                <w:bCs/>
                <w:color w:val="auto"/>
                <w:kern w:val="2"/>
                <w:sz w:val="21"/>
                <w:szCs w:val="21"/>
                <w:lang w:eastAsia="zh-CN"/>
              </w:rPr>
              <w:t>）</w:t>
            </w:r>
            <w:r>
              <w:rPr>
                <w:rFonts w:hint="default" w:ascii="Times New Roman" w:hAnsi="Times New Roman" w:eastAsia="宋体" w:cs="Times New Roman"/>
                <w:bCs/>
                <w:color w:val="auto"/>
                <w:kern w:val="2"/>
                <w:sz w:val="21"/>
                <w:szCs w:val="21"/>
                <w:lang w:val="en-US" w:eastAsia="zh-CN"/>
              </w:rPr>
              <w:t>表4</w:t>
            </w:r>
            <w:r>
              <w:rPr>
                <w:rFonts w:hint="default" w:ascii="Times New Roman" w:hAnsi="Times New Roman" w:eastAsia="宋体" w:cs="Times New Roman"/>
                <w:bCs/>
                <w:color w:val="auto"/>
                <w:kern w:val="2"/>
                <w:sz w:val="21"/>
                <w:szCs w:val="21"/>
              </w:rPr>
              <w:t>三级标准和《污水排入城镇下水道水质标准》（GB/T31962-2015）表1B等级标准</w:t>
            </w:r>
            <w:r>
              <w:rPr>
                <w:rFonts w:hint="eastAsia" w:eastAsia="宋体" w:cs="Times New Roman"/>
                <w:bCs/>
                <w:color w:val="auto"/>
                <w:kern w:val="2"/>
                <w:sz w:val="21"/>
                <w:szCs w:val="21"/>
                <w:lang w:eastAsia="zh-CN"/>
              </w:rPr>
              <w:t>（</w:t>
            </w:r>
            <w:r>
              <w:rPr>
                <w:rFonts w:hint="eastAsia" w:eastAsia="宋体" w:cs="Times New Roman"/>
                <w:bCs/>
                <w:color w:val="auto"/>
                <w:kern w:val="2"/>
                <w:sz w:val="21"/>
                <w:szCs w:val="21"/>
                <w:lang w:val="en-US" w:eastAsia="zh-CN"/>
              </w:rPr>
              <w:t>两者取严</w:t>
            </w:r>
            <w:r>
              <w:rPr>
                <w:rFonts w:hint="eastAsia" w:eastAsia="宋体" w:cs="Times New Roman"/>
                <w:bCs/>
                <w:color w:val="auto"/>
                <w:kern w:val="2"/>
                <w:sz w:val="21"/>
                <w:szCs w:val="21"/>
                <w:lang w:eastAsia="zh-CN"/>
              </w:rPr>
              <w:t>）</w:t>
            </w:r>
            <w:r>
              <w:rPr>
                <w:rFonts w:hint="eastAsia" w:eastAsia="宋体" w:cs="Times New Roman"/>
                <w:bCs/>
                <w:color w:val="auto"/>
                <w:kern w:val="2"/>
                <w:sz w:val="21"/>
                <w:szCs w:val="21"/>
                <w:lang w:val="en-US" w:eastAsia="zh-CN"/>
              </w:rPr>
              <w:t>后，</w:t>
            </w:r>
            <w:r>
              <w:rPr>
                <w:rFonts w:hint="eastAsia"/>
                <w:b w:val="0"/>
                <w:bCs/>
                <w:color w:val="auto"/>
                <w:sz w:val="21"/>
                <w:szCs w:val="21"/>
                <w:lang w:val="en-US" w:eastAsia="zh-CN"/>
              </w:rPr>
              <w:t>委托环卫车辆运送至华宁北控环保水务有限公司管理运营的华宁县城污水处理厂处理</w:t>
            </w:r>
            <w:r>
              <w:rPr>
                <w:rFonts w:hint="eastAsia"/>
                <w:color w:val="auto"/>
                <w:sz w:val="21"/>
                <w:szCs w:val="21"/>
              </w:rPr>
              <w:t>。</w:t>
            </w:r>
          </w:p>
          <w:p w14:paraId="2BBDCDED">
            <w:pPr>
              <w:keepNext w:val="0"/>
              <w:keepLines w:val="0"/>
              <w:pageBreakBefore w:val="0"/>
              <w:widowControl w:val="0"/>
              <w:numPr>
                <w:ilvl w:val="0"/>
                <w:numId w:val="0"/>
              </w:numPr>
              <w:kinsoku/>
              <w:wordWrap/>
              <w:overflowPunct/>
              <w:topLinePunct w:val="0"/>
              <w:autoSpaceDE/>
              <w:autoSpaceDN/>
              <w:bidi w:val="0"/>
              <w:snapToGrid w:val="0"/>
              <w:spacing w:line="360" w:lineRule="auto"/>
              <w:ind w:firstLine="420" w:firstLineChars="200"/>
              <w:textAlignment w:val="auto"/>
              <w:rPr>
                <w:rFonts w:hint="default"/>
                <w:b w:val="0"/>
                <w:bCs w:val="0"/>
                <w:color w:val="auto"/>
                <w:sz w:val="21"/>
                <w:szCs w:val="21"/>
                <w:lang w:val="en-US" w:eastAsia="zh-CN"/>
              </w:rPr>
            </w:pPr>
            <w:r>
              <w:rPr>
                <w:rFonts w:hint="eastAsia"/>
                <w:b w:val="0"/>
                <w:bCs w:val="0"/>
                <w:color w:val="auto"/>
                <w:sz w:val="21"/>
                <w:szCs w:val="21"/>
                <w:lang w:val="en-US" w:eastAsia="zh-CN"/>
              </w:rPr>
              <w:t>③禁止设置污水排放口。</w:t>
            </w:r>
          </w:p>
          <w:p w14:paraId="275CD7BF">
            <w:pPr>
              <w:keepNext w:val="0"/>
              <w:keepLines w:val="0"/>
              <w:pageBreakBefore w:val="0"/>
              <w:widowControl w:val="0"/>
              <w:numPr>
                <w:ilvl w:val="0"/>
                <w:numId w:val="0"/>
              </w:numPr>
              <w:kinsoku/>
              <w:wordWrap/>
              <w:overflowPunct/>
              <w:topLinePunct w:val="0"/>
              <w:autoSpaceDE/>
              <w:autoSpaceDN/>
              <w:bidi w:val="0"/>
              <w:snapToGrid w:val="0"/>
              <w:spacing w:line="360" w:lineRule="auto"/>
              <w:ind w:firstLine="422" w:firstLineChars="200"/>
              <w:textAlignment w:val="auto"/>
              <w:rPr>
                <w:rFonts w:hint="eastAsia"/>
                <w:color w:val="auto"/>
                <w:sz w:val="21"/>
                <w:szCs w:val="21"/>
                <w:lang w:eastAsia="zh-CN"/>
              </w:rPr>
            </w:pPr>
            <w:r>
              <w:rPr>
                <w:rFonts w:hint="eastAsia"/>
                <w:b/>
                <w:bCs/>
                <w:color w:val="auto"/>
                <w:sz w:val="21"/>
                <w:szCs w:val="21"/>
                <w:lang w:eastAsia="zh-CN"/>
              </w:rPr>
              <w:t>（三）废</w:t>
            </w:r>
            <w:r>
              <w:rPr>
                <w:rFonts w:hint="eastAsia"/>
                <w:b/>
                <w:bCs/>
                <w:color w:val="auto"/>
                <w:sz w:val="21"/>
                <w:szCs w:val="21"/>
              </w:rPr>
              <w:t>水处理设施可行性分析</w:t>
            </w:r>
          </w:p>
          <w:p w14:paraId="25C8F775">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eastAsia="宋体"/>
                <w:b/>
                <w:bCs/>
                <w:color w:val="auto"/>
                <w:sz w:val="21"/>
                <w:szCs w:val="21"/>
                <w:lang w:val="en-US" w:eastAsia="zh-CN"/>
              </w:rPr>
            </w:pPr>
            <w:r>
              <w:rPr>
                <w:rFonts w:hint="eastAsia"/>
                <w:b/>
                <w:bCs/>
                <w:color w:val="auto"/>
                <w:sz w:val="21"/>
                <w:szCs w:val="21"/>
                <w:lang w:val="en-US" w:eastAsia="zh-CN"/>
              </w:rPr>
              <w:t>1、初期雨水收集池设置合理性分析</w:t>
            </w:r>
          </w:p>
          <w:p w14:paraId="15DFA399">
            <w:pPr>
              <w:pStyle w:val="38"/>
              <w:keepNext w:val="0"/>
              <w:keepLines w:val="0"/>
              <w:pageBreakBefore w:val="0"/>
              <w:widowControl w:val="0"/>
              <w:kinsoku/>
              <w:wordWrap/>
              <w:overflowPunct/>
              <w:topLinePunct w:val="0"/>
              <w:autoSpaceDE/>
              <w:autoSpaceDN/>
              <w:bidi w:val="0"/>
              <w:snapToGrid w:val="0"/>
              <w:spacing w:line="360" w:lineRule="auto"/>
              <w:ind w:firstLine="420"/>
              <w:textAlignment w:val="auto"/>
              <w:rPr>
                <w:rFonts w:hint="default" w:ascii="Times New Roman" w:hAnsi="Times New Roman" w:cs="Times New Roman"/>
                <w:b w:val="0"/>
                <w:bCs w:val="0"/>
                <w:color w:val="auto"/>
                <w:sz w:val="21"/>
                <w:szCs w:val="21"/>
              </w:rPr>
            </w:pPr>
            <w:r>
              <w:rPr>
                <w:rFonts w:hint="eastAsia" w:cs="Times New Roman"/>
                <w:color w:val="auto"/>
                <w:sz w:val="21"/>
                <w:szCs w:val="21"/>
                <w:lang w:val="en-US" w:eastAsia="zh-CN"/>
              </w:rPr>
              <w:t>根据“表二建设项目工程分析”中的“2.7水平衡”可知</w:t>
            </w:r>
            <w:r>
              <w:rPr>
                <w:rFonts w:hint="eastAsia" w:ascii="Times New Roman" w:hAnsi="Times New Roman" w:eastAsia="宋体" w:cs="Times New Roman"/>
                <w:color w:val="auto"/>
                <w:lang w:val="en-US" w:eastAsia="zh-CN"/>
              </w:rPr>
              <w:t>项目区暴雨强度为178.96L/s·hm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val="en-US" w:eastAsia="zh-CN"/>
              </w:rPr>
              <w:t>，本项目用地范围雨水流量为</w:t>
            </w:r>
            <w:r>
              <w:rPr>
                <w:rFonts w:hint="eastAsia" w:cs="Times New Roman"/>
                <w:color w:val="auto"/>
                <w:lang w:val="en-US" w:eastAsia="zh-CN"/>
              </w:rPr>
              <w:t>143.168</w:t>
            </w:r>
            <w:r>
              <w:rPr>
                <w:rFonts w:hint="eastAsia" w:ascii="Times New Roman" w:hAnsi="Times New Roman" w:eastAsia="宋体" w:cs="Times New Roman"/>
                <w:color w:val="auto"/>
                <w:lang w:val="en-US" w:eastAsia="zh-CN"/>
              </w:rPr>
              <w:t>L/s。降雨前15min初期雨水产生量为</w:t>
            </w:r>
            <w:r>
              <w:rPr>
                <w:rFonts w:hint="eastAsia" w:cs="Times New Roman"/>
                <w:color w:val="auto"/>
                <w:lang w:val="en-US" w:eastAsia="zh-CN"/>
              </w:rPr>
              <w:t>279.93</w:t>
            </w:r>
            <w:r>
              <w:rPr>
                <w:rFonts w:hint="eastAsia" w:ascii="Times New Roman" w:hAnsi="Times New Roman" w:eastAsia="宋体" w:cs="Times New Roman"/>
                <w:color w:val="auto"/>
                <w:lang w:val="en-US" w:eastAsia="zh-CN"/>
              </w:rPr>
              <w:t>m³/次，初期雨水收集池容积合计</w:t>
            </w:r>
            <w:r>
              <w:rPr>
                <w:rFonts w:hint="eastAsia" w:cs="Times New Roman"/>
                <w:color w:val="auto"/>
                <w:lang w:val="en-US" w:eastAsia="zh-CN"/>
              </w:rPr>
              <w:t>30</w:t>
            </w:r>
            <w:r>
              <w:rPr>
                <w:rFonts w:hint="eastAsia" w:ascii="Times New Roman" w:hAnsi="Times New Roman" w:eastAsia="宋体" w:cs="Times New Roman"/>
                <w:color w:val="auto"/>
                <w:lang w:val="en-US" w:eastAsia="zh-CN"/>
              </w:rPr>
              <w:t>0m³，</w:t>
            </w:r>
            <w:r>
              <w:rPr>
                <w:rFonts w:hint="eastAsia" w:cs="Times New Roman"/>
                <w:color w:val="auto"/>
                <w:lang w:val="en-US" w:eastAsia="zh-CN"/>
              </w:rPr>
              <w:t>可完全接纳初期雨水</w:t>
            </w:r>
            <w:r>
              <w:rPr>
                <w:rFonts w:hint="eastAsia" w:ascii="Times New Roman" w:hAnsi="Times New Roman" w:eastAsia="宋体" w:cs="Times New Roman"/>
                <w:color w:val="auto"/>
                <w:lang w:val="en-US" w:eastAsia="zh-CN"/>
              </w:rPr>
              <w:t>，</w:t>
            </w:r>
            <w:r>
              <w:rPr>
                <w:rFonts w:hint="eastAsia" w:cs="Times New Roman"/>
                <w:color w:val="auto"/>
                <w:lang w:val="en-US" w:eastAsia="zh-CN"/>
              </w:rPr>
              <w:t>初期雨水经</w:t>
            </w:r>
            <w:r>
              <w:rPr>
                <w:rFonts w:hint="eastAsia" w:ascii="Times New Roman" w:hAnsi="Times New Roman" w:eastAsia="宋体" w:cs="Times New Roman"/>
                <w:color w:val="auto"/>
                <w:lang w:val="en-US" w:eastAsia="zh-CN"/>
              </w:rPr>
              <w:t>沉淀后，</w:t>
            </w:r>
            <w:r>
              <w:rPr>
                <w:rFonts w:hint="default" w:ascii="Times New Roman" w:hAnsi="Times New Roman" w:cs="Times New Roman"/>
                <w:b w:val="0"/>
                <w:bCs w:val="0"/>
                <w:color w:val="auto"/>
                <w:sz w:val="21"/>
                <w:szCs w:val="21"/>
                <w:lang w:val="en-US" w:eastAsia="zh-CN"/>
              </w:rPr>
              <w:t>通过潜水泵+软管系统，将初期雨水</w:t>
            </w:r>
            <w:r>
              <w:rPr>
                <w:rFonts w:hint="default" w:ascii="Times New Roman" w:hAnsi="Times New Roman" w:cs="Times New Roman"/>
                <w:b w:val="0"/>
                <w:bCs w:val="0"/>
                <w:color w:val="auto"/>
                <w:sz w:val="21"/>
                <w:szCs w:val="21"/>
              </w:rPr>
              <w:t>回用于厂区</w:t>
            </w:r>
            <w:r>
              <w:rPr>
                <w:rFonts w:hint="default" w:ascii="Times New Roman" w:hAnsi="Times New Roman" w:cs="Times New Roman"/>
                <w:b w:val="0"/>
                <w:bCs w:val="0"/>
                <w:color w:val="auto"/>
                <w:sz w:val="21"/>
                <w:szCs w:val="21"/>
                <w:lang w:val="en-US" w:eastAsia="zh-CN"/>
              </w:rPr>
              <w:t>洒水</w:t>
            </w:r>
            <w:r>
              <w:rPr>
                <w:rFonts w:hint="default" w:ascii="Times New Roman" w:hAnsi="Times New Roman" w:cs="Times New Roman"/>
                <w:b w:val="0"/>
                <w:bCs w:val="0"/>
                <w:color w:val="auto"/>
                <w:sz w:val="21"/>
                <w:szCs w:val="21"/>
              </w:rPr>
              <w:t>降尘</w:t>
            </w:r>
            <w:r>
              <w:rPr>
                <w:rFonts w:hint="eastAsia" w:ascii="Times New Roman" w:hAnsi="Times New Roman" w:cs="Times New Roman"/>
                <w:b w:val="0"/>
                <w:bCs w:val="0"/>
                <w:color w:val="auto"/>
                <w:sz w:val="21"/>
                <w:szCs w:val="21"/>
                <w:lang w:val="en-US" w:eastAsia="zh-CN"/>
              </w:rPr>
              <w:t>或生产</w:t>
            </w:r>
            <w:r>
              <w:rPr>
                <w:rFonts w:hint="eastAsia" w:ascii="Times New Roman" w:hAnsi="Times New Roman" w:eastAsia="宋体" w:cs="Times New Roman"/>
                <w:color w:val="auto"/>
                <w:lang w:val="en-US" w:eastAsia="zh-CN"/>
              </w:rPr>
              <w:t>。</w:t>
            </w:r>
          </w:p>
          <w:p w14:paraId="7F7884BB">
            <w:pPr>
              <w:pStyle w:val="38"/>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hint="eastAsia"/>
                <w:color w:val="auto"/>
                <w:sz w:val="21"/>
                <w:szCs w:val="21"/>
              </w:rPr>
            </w:pPr>
            <w:r>
              <w:rPr>
                <w:rFonts w:hint="default" w:ascii="Times New Roman" w:hAnsi="Times New Roman" w:cs="Times New Roman"/>
                <w:b w:val="0"/>
                <w:bCs w:val="0"/>
                <w:color w:val="auto"/>
                <w:sz w:val="21"/>
                <w:szCs w:val="21"/>
                <w:lang w:val="en-US" w:eastAsia="zh-CN"/>
              </w:rPr>
              <w:t>本项目</w:t>
            </w:r>
            <w:r>
              <w:rPr>
                <w:rFonts w:hint="eastAsia" w:cs="Times New Roman"/>
                <w:b w:val="0"/>
                <w:bCs w:val="0"/>
                <w:color w:val="auto"/>
                <w:sz w:val="21"/>
                <w:szCs w:val="21"/>
                <w:lang w:val="en-US" w:eastAsia="zh-CN"/>
              </w:rPr>
              <w:t>生产厂房为封闭式，设有雨水导流系统</w:t>
            </w:r>
            <w:r>
              <w:rPr>
                <w:rFonts w:hint="default" w:ascii="Times New Roman" w:hAnsi="Times New Roman" w:cs="Times New Roman"/>
                <w:b w:val="0"/>
                <w:bCs w:val="0"/>
                <w:color w:val="auto"/>
                <w:sz w:val="21"/>
                <w:szCs w:val="21"/>
                <w:lang w:val="en-US" w:eastAsia="zh-CN"/>
              </w:rPr>
              <w:t>，雨季雨水不会冲刷物料，初期雨水冲刷厂区地面后，携带大量的SS进行初期雨水池收集沉淀后，可大幅减弱初期雨水对周围地表水的影响</w:t>
            </w:r>
            <w:r>
              <w:rPr>
                <w:rFonts w:hint="eastAsia"/>
                <w:color w:val="auto"/>
                <w:sz w:val="21"/>
                <w:szCs w:val="21"/>
              </w:rPr>
              <w:t>。</w:t>
            </w:r>
          </w:p>
          <w:p w14:paraId="7D7DE409">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ascii="Times New Roman" w:hAnsi="Times New Roman" w:cs="Times New Roman"/>
                <w:color w:val="auto"/>
                <w:sz w:val="21"/>
                <w:szCs w:val="21"/>
                <w:lang w:val="en-US" w:eastAsia="zh-CN"/>
              </w:rPr>
            </w:pPr>
            <w:r>
              <w:rPr>
                <w:rFonts w:hint="eastAsia" w:cs="Times New Roman"/>
                <w:b/>
                <w:bCs/>
                <w:color w:val="auto"/>
                <w:sz w:val="21"/>
                <w:szCs w:val="21"/>
                <w:lang w:val="en-US" w:eastAsia="zh-CN"/>
              </w:rPr>
              <w:t>2</w:t>
            </w:r>
            <w:r>
              <w:rPr>
                <w:rFonts w:hint="default" w:ascii="Times New Roman" w:hAnsi="Times New Roman" w:cs="Times New Roman"/>
                <w:b/>
                <w:bCs/>
                <w:color w:val="auto"/>
                <w:sz w:val="21"/>
                <w:szCs w:val="21"/>
                <w:lang w:val="en-US" w:eastAsia="zh-CN"/>
              </w:rPr>
              <w:t>、化粪池</w:t>
            </w:r>
            <w:r>
              <w:rPr>
                <w:rFonts w:hint="eastAsia" w:cs="Times New Roman"/>
                <w:b/>
                <w:bCs/>
                <w:color w:val="auto"/>
                <w:sz w:val="21"/>
                <w:szCs w:val="21"/>
                <w:lang w:val="en-US" w:eastAsia="zh-CN"/>
              </w:rPr>
              <w:t>设置合理性分析</w:t>
            </w:r>
          </w:p>
          <w:p w14:paraId="2BA92BBF">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eastAsia="宋体"/>
                <w:color w:val="auto"/>
                <w:sz w:val="21"/>
                <w:szCs w:val="21"/>
                <w:lang w:val="en-US" w:eastAsia="zh-CN"/>
              </w:rPr>
            </w:pPr>
            <w:r>
              <w:rPr>
                <w:rFonts w:hint="default" w:ascii="Times New Roman" w:hAnsi="Times New Roman" w:cs="Times New Roman"/>
                <w:color w:val="auto"/>
                <w:sz w:val="21"/>
                <w:szCs w:val="21"/>
                <w:lang w:val="en-US" w:eastAsia="zh-CN"/>
              </w:rPr>
              <w:t>本项目</w:t>
            </w:r>
            <w:r>
              <w:rPr>
                <w:rFonts w:hint="eastAsia" w:ascii="Times New Roman" w:hAnsi="Times New Roman" w:cs="Times New Roman"/>
                <w:color w:val="auto"/>
                <w:sz w:val="21"/>
                <w:szCs w:val="21"/>
                <w:lang w:eastAsia="zh-CN"/>
              </w:rPr>
              <w:t>生活污水</w:t>
            </w:r>
            <w:r>
              <w:rPr>
                <w:rFonts w:hint="default" w:ascii="Times New Roman" w:hAnsi="Times New Roman" w:cs="Times New Roman"/>
                <w:color w:val="auto"/>
                <w:sz w:val="21"/>
                <w:szCs w:val="21"/>
                <w:lang w:eastAsia="zh-CN"/>
              </w:rPr>
              <w:t>产生</w:t>
            </w:r>
            <w:r>
              <w:rPr>
                <w:rFonts w:hint="default" w:ascii="Times New Roman" w:hAnsi="Times New Roman" w:cs="Times New Roman"/>
                <w:color w:val="auto"/>
                <w:sz w:val="21"/>
                <w:szCs w:val="21"/>
              </w:rPr>
              <w:t>量</w:t>
            </w:r>
            <w:r>
              <w:rPr>
                <w:rFonts w:hint="default" w:ascii="Times New Roman" w:hAnsi="Times New Roman" w:cs="Times New Roman"/>
                <w:color w:val="auto"/>
                <w:sz w:val="21"/>
                <w:szCs w:val="21"/>
                <w:lang w:eastAsia="zh-CN"/>
              </w:rPr>
              <w:t>为</w:t>
            </w:r>
            <w:r>
              <w:rPr>
                <w:rFonts w:hint="eastAsia" w:cs="Times New Roman"/>
                <w:color w:val="auto"/>
                <w:sz w:val="21"/>
                <w:szCs w:val="21"/>
                <w:lang w:val="en-US" w:eastAsia="zh-CN"/>
              </w:rPr>
              <w:t>0.8</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/d</w:t>
            </w:r>
            <w:r>
              <w:rPr>
                <w:rFonts w:hint="default" w:ascii="Times New Roman" w:hAnsi="Times New Roman" w:cs="Times New Roman"/>
                <w:color w:val="auto"/>
                <w:sz w:val="21"/>
                <w:szCs w:val="21"/>
                <w:lang w:eastAsia="zh-CN"/>
              </w:rPr>
              <w:t>，</w:t>
            </w:r>
            <w:r>
              <w:rPr>
                <w:rFonts w:hint="eastAsia" w:cs="Times New Roman"/>
                <w:color w:val="auto"/>
                <w:sz w:val="21"/>
                <w:szCs w:val="21"/>
                <w:lang w:eastAsia="zh-CN"/>
              </w:rPr>
              <w:t>化粪池对污染物处理效率与废水停留时间有关，一般</w:t>
            </w:r>
            <w:r>
              <w:rPr>
                <w:rFonts w:hint="eastAsia" w:cs="Times New Roman"/>
                <w:color w:val="auto"/>
                <w:sz w:val="21"/>
                <w:szCs w:val="21"/>
                <w:lang w:val="en-US" w:eastAsia="zh-CN"/>
              </w:rPr>
              <w:t>12~24小时，</w:t>
            </w:r>
            <w:r>
              <w:rPr>
                <w:rFonts w:hint="eastAsia" w:cs="Times New Roman"/>
                <w:color w:val="auto"/>
                <w:sz w:val="21"/>
                <w:szCs w:val="21"/>
                <w:lang w:eastAsia="zh-CN"/>
              </w:rPr>
              <w:t>本项目按废水停留时间</w:t>
            </w:r>
            <w:r>
              <w:rPr>
                <w:rFonts w:hint="eastAsia" w:cs="Times New Roman"/>
                <w:color w:val="auto"/>
                <w:sz w:val="21"/>
                <w:szCs w:val="21"/>
                <w:lang w:val="en-US" w:eastAsia="zh-CN"/>
              </w:rPr>
              <w:t>24小时算，安全系数考虑1.2，化粪池容积应不低于0.96m³</w:t>
            </w:r>
            <w:r>
              <w:rPr>
                <w:rFonts w:hint="eastAsia" w:cs="Times New Roman"/>
                <w:color w:val="auto"/>
                <w:sz w:val="21"/>
                <w:szCs w:val="21"/>
                <w:lang w:eastAsia="zh-CN"/>
              </w:rPr>
              <w:t>。</w:t>
            </w:r>
            <w:r>
              <w:rPr>
                <w:rFonts w:hint="default" w:ascii="Times New Roman" w:hAnsi="Times New Roman" w:cs="Times New Roman"/>
                <w:color w:val="auto"/>
                <w:sz w:val="21"/>
                <w:szCs w:val="21"/>
                <w:lang w:val="en-US" w:eastAsia="zh-CN"/>
              </w:rPr>
              <w:t>本项目设置1个</w:t>
            </w:r>
            <w:r>
              <w:rPr>
                <w:rFonts w:hint="eastAsia" w:cs="Times New Roman"/>
                <w:color w:val="auto"/>
                <w:sz w:val="21"/>
                <w:szCs w:val="21"/>
                <w:lang w:val="en-US" w:eastAsia="zh-CN"/>
              </w:rPr>
              <w:t>10</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vertAlign w:val="baseline"/>
                <w:lang w:val="en-US" w:eastAsia="zh-CN"/>
              </w:rPr>
              <w:t>的</w:t>
            </w:r>
            <w:r>
              <w:rPr>
                <w:rFonts w:hint="eastAsia" w:ascii="Times New Roman" w:hAnsi="Times New Roman" w:cs="Times New Roman"/>
                <w:color w:val="auto"/>
                <w:sz w:val="21"/>
                <w:szCs w:val="21"/>
                <w:lang w:eastAsia="zh-CN"/>
              </w:rPr>
              <w:t>化粪</w:t>
            </w:r>
            <w:r>
              <w:rPr>
                <w:rFonts w:hint="default" w:ascii="Times New Roman" w:hAnsi="Times New Roman" w:cs="Times New Roman"/>
                <w:color w:val="auto"/>
                <w:sz w:val="21"/>
                <w:szCs w:val="21"/>
                <w:lang w:eastAsia="zh-CN"/>
              </w:rPr>
              <w:t>池</w:t>
            </w:r>
            <w:r>
              <w:rPr>
                <w:rFonts w:hint="default" w:ascii="Times New Roman" w:hAnsi="Times New Roman" w:cs="Times New Roman"/>
                <w:color w:val="auto"/>
                <w:sz w:val="21"/>
                <w:szCs w:val="21"/>
                <w:lang w:val="en-US" w:eastAsia="zh-CN"/>
              </w:rPr>
              <w:t>，</w:t>
            </w:r>
            <w:r>
              <w:rPr>
                <w:rFonts w:hint="eastAsia"/>
                <w:color w:val="auto"/>
                <w:sz w:val="21"/>
                <w:szCs w:val="21"/>
                <w:lang w:eastAsia="zh-CN"/>
              </w:rPr>
              <w:t>可容纳约</w:t>
            </w:r>
            <w:r>
              <w:rPr>
                <w:rFonts w:hint="eastAsia"/>
                <w:color w:val="auto"/>
                <w:sz w:val="21"/>
                <w:szCs w:val="21"/>
                <w:lang w:val="en-US" w:eastAsia="zh-CN"/>
              </w:rPr>
              <w:t>10天的生活污水</w:t>
            </w:r>
            <w:r>
              <w:rPr>
                <w:rFonts w:hint="eastAsia"/>
                <w:color w:val="auto"/>
                <w:sz w:val="21"/>
                <w:szCs w:val="21"/>
                <w:lang w:eastAsia="zh-CN"/>
              </w:rPr>
              <w:t>，化粪池设计合理</w:t>
            </w:r>
            <w:r>
              <w:rPr>
                <w:rFonts w:hint="eastAsia"/>
                <w:color w:val="auto"/>
                <w:sz w:val="21"/>
                <w:szCs w:val="21"/>
              </w:rPr>
              <w:t>。</w:t>
            </w:r>
          </w:p>
          <w:p w14:paraId="51DB3F79">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2" w:firstLineChars="200"/>
              <w:textAlignment w:val="auto"/>
              <w:rPr>
                <w:rFonts w:hint="eastAsia"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3、生活污水排入华宁县城污水处理厂</w:t>
            </w:r>
            <w:r>
              <w:rPr>
                <w:rFonts w:hint="eastAsia" w:ascii="Times New Roman" w:hAnsi="Times New Roman" w:cs="Times New Roman"/>
                <w:b/>
                <w:bCs/>
                <w:color w:val="auto"/>
                <w:sz w:val="21"/>
                <w:szCs w:val="21"/>
                <w:lang w:val="en-US" w:eastAsia="zh-CN"/>
              </w:rPr>
              <w:t>的可行性分析</w:t>
            </w:r>
          </w:p>
          <w:p w14:paraId="31C60500">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color w:val="auto"/>
                <w:sz w:val="21"/>
                <w:szCs w:val="21"/>
                <w:shd w:val="clear" w:color="auto" w:fill="FFFFFF"/>
              </w:rPr>
            </w:pPr>
            <w:r>
              <w:rPr>
                <w:rFonts w:hint="eastAsia" w:cs="Times New Roman"/>
                <w:b w:val="0"/>
                <w:bCs/>
                <w:color w:val="auto"/>
                <w:sz w:val="21"/>
                <w:szCs w:val="21"/>
                <w:lang w:val="en-US" w:eastAsia="zh-CN"/>
              </w:rPr>
              <w:t>华宁污水处理站处理能力为20000m³/d，目前符合大约为80%左右，剩余处理能力为4000m³/d，本项目生活污水产生量为0.8m³/d,可完全容纳本项目产生的生活污水</w:t>
            </w:r>
            <w:r>
              <w:rPr>
                <w:rFonts w:hint="eastAsia"/>
                <w:color w:val="auto"/>
                <w:sz w:val="21"/>
                <w:szCs w:val="21"/>
                <w:shd w:val="clear" w:color="auto" w:fill="FFFFFF"/>
              </w:rPr>
              <w:t>。</w:t>
            </w:r>
          </w:p>
          <w:p w14:paraId="43C5DD80">
            <w:pPr>
              <w:pStyle w:val="56"/>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ascii="宋体" w:hAnsi="宋体" w:eastAsia="宋体" w:cs="宋体"/>
                <w:b/>
                <w:bCs/>
                <w:sz w:val="21"/>
                <w:szCs w:val="21"/>
              </w:rPr>
            </w:pPr>
            <w:r>
              <w:rPr>
                <w:rFonts w:hint="eastAsia" w:ascii="宋体" w:hAnsi="宋体" w:eastAsia="宋体" w:cs="宋体"/>
                <w:b/>
                <w:bCs/>
                <w:sz w:val="21"/>
                <w:szCs w:val="21"/>
                <w:lang w:val="en-US" w:eastAsia="zh-CN"/>
              </w:rPr>
              <w:t>4、</w:t>
            </w:r>
            <w:r>
              <w:rPr>
                <w:rFonts w:ascii="宋体" w:hAnsi="宋体" w:eastAsia="宋体" w:cs="宋体"/>
                <w:b/>
                <w:bCs/>
                <w:sz w:val="21"/>
                <w:szCs w:val="21"/>
              </w:rPr>
              <w:t>废水清运管理要求</w:t>
            </w:r>
          </w:p>
          <w:p w14:paraId="6AC00D5A">
            <w:pPr>
              <w:pStyle w:val="56"/>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eastAsia"/>
                <w:b/>
                <w:bCs/>
                <w:color w:val="auto"/>
                <w:sz w:val="21"/>
                <w:szCs w:val="21"/>
                <w:lang w:val="en-US" w:eastAsia="zh-CN"/>
              </w:rPr>
            </w:pPr>
            <w:r>
              <w:rPr>
                <w:rFonts w:ascii="宋体" w:hAnsi="宋体" w:eastAsia="宋体" w:cs="宋体"/>
                <w:sz w:val="21"/>
                <w:szCs w:val="21"/>
              </w:rPr>
              <w:t xml:space="preserve"> 本项目化粪池废水定期委托</w:t>
            </w:r>
            <w:r>
              <w:rPr>
                <w:rFonts w:hint="eastAsia"/>
                <w:color w:val="auto"/>
                <w:szCs w:val="21"/>
                <w:lang w:val="en-US" w:eastAsia="zh-CN"/>
              </w:rPr>
              <w:t>环卫部门清运</w:t>
            </w:r>
            <w:r>
              <w:rPr>
                <w:rFonts w:ascii="宋体" w:hAnsi="宋体" w:eastAsia="宋体" w:cs="宋体"/>
                <w:sz w:val="21"/>
                <w:szCs w:val="21"/>
              </w:rPr>
              <w:t>，本次环评提出以下废水清运管理要求：</w:t>
            </w:r>
            <w:r>
              <w:rPr>
                <w:rFonts w:hint="eastAsia" w:ascii="宋体" w:hAnsi="宋体" w:eastAsia="宋体" w:cs="宋体"/>
                <w:sz w:val="21"/>
                <w:szCs w:val="21"/>
                <w:lang w:val="en-US" w:eastAsia="zh-CN"/>
              </w:rPr>
              <w:t>①</w:t>
            </w:r>
            <w:r>
              <w:rPr>
                <w:rFonts w:ascii="宋体" w:hAnsi="宋体" w:eastAsia="宋体" w:cs="宋体"/>
                <w:sz w:val="21"/>
                <w:szCs w:val="21"/>
              </w:rPr>
              <w:t>与有资质的环卫公司签订废水清运处置协议，运营期定期通知该公司对化粪池废水进行抽吸；</w:t>
            </w:r>
            <w:r>
              <w:rPr>
                <w:rFonts w:hint="eastAsia" w:ascii="宋体" w:hAnsi="宋体" w:eastAsia="宋体" w:cs="宋体"/>
                <w:sz w:val="21"/>
                <w:szCs w:val="21"/>
                <w:lang w:val="en-US" w:eastAsia="zh-CN"/>
              </w:rPr>
              <w:t>②</w:t>
            </w:r>
            <w:r>
              <w:rPr>
                <w:rFonts w:ascii="宋体" w:hAnsi="宋体" w:eastAsia="宋体" w:cs="宋体"/>
                <w:sz w:val="21"/>
                <w:szCs w:val="21"/>
              </w:rPr>
              <w:t>建立废水清运台账，如实记录化粪池废水清运次数、清运日期、废水清运量等清 运管理信息，包括正常工况下的运行状态、生产负荷、使用情况，及非正常工况下的起止 时间、事件原因、应对措施、是否报告等。</w:t>
            </w:r>
            <w:r>
              <w:rPr>
                <w:rFonts w:hint="eastAsia" w:ascii="宋体" w:hAnsi="宋体" w:eastAsia="宋体" w:cs="宋体"/>
                <w:sz w:val="21"/>
                <w:szCs w:val="21"/>
                <w:lang w:val="en-US" w:eastAsia="zh-CN"/>
              </w:rPr>
              <w:t>③</w:t>
            </w:r>
            <w:r>
              <w:rPr>
                <w:rFonts w:ascii="宋体" w:hAnsi="宋体" w:eastAsia="宋体" w:cs="宋体"/>
                <w:sz w:val="21"/>
                <w:szCs w:val="21"/>
              </w:rPr>
              <w:t>正常情况按清运次数记录，非正常工况情况按异常情况期记录；</w:t>
            </w:r>
            <w:r>
              <w:rPr>
                <w:rFonts w:hint="eastAsia" w:ascii="宋体" w:hAnsi="宋体" w:eastAsia="宋体" w:cs="宋体"/>
                <w:sz w:val="21"/>
                <w:szCs w:val="21"/>
                <w:lang w:val="en-US" w:eastAsia="zh-CN"/>
              </w:rPr>
              <w:t>④</w:t>
            </w:r>
            <w:r>
              <w:rPr>
                <w:rFonts w:ascii="宋体" w:hAnsi="宋体" w:eastAsia="宋体" w:cs="宋体"/>
                <w:sz w:val="21"/>
                <w:szCs w:val="21"/>
              </w:rPr>
              <w:t>废水清运台账采用电子台账+纸质台账形式进行记录，台账保存期限不得少于3年。</w:t>
            </w:r>
          </w:p>
          <w:p w14:paraId="266D66F0">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default" w:eastAsia="宋体"/>
                <w:b/>
                <w:bCs/>
                <w:color w:val="auto"/>
                <w:sz w:val="21"/>
                <w:szCs w:val="21"/>
                <w:lang w:val="en-US" w:eastAsia="zh-CN"/>
              </w:rPr>
            </w:pPr>
            <w:r>
              <w:rPr>
                <w:rFonts w:hint="eastAsia"/>
                <w:b/>
                <w:bCs/>
                <w:color w:val="auto"/>
                <w:sz w:val="21"/>
                <w:szCs w:val="21"/>
                <w:lang w:val="en-US" w:eastAsia="zh-CN"/>
              </w:rPr>
              <w:t>5、脱硫废水循环使用的可行性分析</w:t>
            </w:r>
          </w:p>
          <w:p w14:paraId="39EA05E0">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eastAsia"/>
                <w:b/>
                <w:bCs/>
                <w:color w:val="auto"/>
                <w:sz w:val="21"/>
                <w:szCs w:val="21"/>
              </w:rPr>
            </w:pPr>
            <w:r>
              <w:rPr>
                <w:rFonts w:hint="eastAsia"/>
                <w:b w:val="0"/>
                <w:bCs w:val="0"/>
                <w:color w:val="auto"/>
                <w:sz w:val="21"/>
                <w:szCs w:val="21"/>
                <w:lang w:val="en-US" w:eastAsia="zh-CN"/>
              </w:rPr>
              <w:t>项目脱硫塔采用双碱法进行脱硫，同时协同脱氟，</w:t>
            </w:r>
            <w:r>
              <w:rPr>
                <w:rFonts w:hint="eastAsia"/>
                <w:color w:val="auto"/>
                <w:kern w:val="0"/>
                <w:szCs w:val="21"/>
                <w:lang w:val="en-US" w:eastAsia="zh-CN" w:bidi="ar"/>
              </w:rPr>
              <w:t>脱硫塔配套三级沉淀+1级循环水池，共计4个池，各池容积为5m³，总容积为20m³；由于脱硫塔喷淋液水质要求不高，通过简单的短时沉淀即可达到循环喷淋的使用要求；循环水仅要求pH大于10，确保良好的脱硫、脱氟效果；因此脱硫塔废水可循环使用，不外排。</w:t>
            </w:r>
          </w:p>
          <w:p w14:paraId="535D5822">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b/>
                <w:bCs/>
                <w:color w:val="auto"/>
                <w:sz w:val="21"/>
                <w:szCs w:val="21"/>
              </w:rPr>
            </w:pPr>
            <w:r>
              <w:rPr>
                <w:rFonts w:hint="eastAsia"/>
                <w:b/>
                <w:bCs/>
                <w:color w:val="auto"/>
                <w:sz w:val="21"/>
                <w:szCs w:val="21"/>
              </w:rPr>
              <w:t>（</w:t>
            </w:r>
            <w:r>
              <w:rPr>
                <w:rFonts w:hint="eastAsia"/>
                <w:b/>
                <w:bCs/>
                <w:color w:val="auto"/>
                <w:sz w:val="21"/>
                <w:szCs w:val="21"/>
                <w:lang w:eastAsia="zh-CN"/>
              </w:rPr>
              <w:t>四</w:t>
            </w:r>
            <w:r>
              <w:rPr>
                <w:rFonts w:hint="eastAsia"/>
                <w:b/>
                <w:bCs/>
                <w:color w:val="auto"/>
                <w:sz w:val="21"/>
                <w:szCs w:val="21"/>
              </w:rPr>
              <w:t>）监测计划</w:t>
            </w:r>
          </w:p>
          <w:p w14:paraId="5984EF2D">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color w:val="auto"/>
                <w:sz w:val="21"/>
                <w:szCs w:val="21"/>
                <w:highlight w:val="none"/>
                <w:lang w:val="en-US" w:eastAsia="zh-CN"/>
              </w:rPr>
            </w:pPr>
            <w:r>
              <w:rPr>
                <w:rFonts w:hint="eastAsia"/>
                <w:color w:val="auto"/>
                <w:sz w:val="21"/>
                <w:szCs w:val="21"/>
              </w:rPr>
              <w:t>本项目</w:t>
            </w:r>
            <w:r>
              <w:rPr>
                <w:rFonts w:hint="eastAsia"/>
                <w:color w:val="auto"/>
                <w:sz w:val="21"/>
                <w:szCs w:val="21"/>
                <w:lang w:eastAsia="zh-CN"/>
              </w:rPr>
              <w:t>建成后无废水外排，</w:t>
            </w:r>
            <w:r>
              <w:rPr>
                <w:rFonts w:hint="eastAsia"/>
                <w:color w:val="auto"/>
                <w:sz w:val="21"/>
                <w:szCs w:val="21"/>
              </w:rPr>
              <w:t>不设废水排放口</w:t>
            </w:r>
            <w:r>
              <w:rPr>
                <w:rFonts w:hint="eastAsia"/>
                <w:color w:val="auto"/>
                <w:sz w:val="21"/>
                <w:szCs w:val="21"/>
                <w:lang w:eastAsia="zh-CN"/>
              </w:rPr>
              <w:t>，</w:t>
            </w:r>
            <w:r>
              <w:rPr>
                <w:rFonts w:hint="eastAsia"/>
                <w:color w:val="auto"/>
                <w:sz w:val="21"/>
                <w:szCs w:val="21"/>
              </w:rPr>
              <w:t>根据《</w:t>
            </w:r>
            <w:r>
              <w:rPr>
                <w:rFonts w:hint="eastAsia" w:ascii="宋体" w:hAnsi="宋体" w:cs="宋体"/>
                <w:color w:val="auto"/>
                <w:sz w:val="21"/>
                <w:szCs w:val="21"/>
              </w:rPr>
              <w:t xml:space="preserve">排污单位自行监测技术指南 </w:t>
            </w:r>
            <w:r>
              <w:rPr>
                <w:rFonts w:hint="eastAsia" w:ascii="宋体" w:hAnsi="宋体" w:cs="宋体"/>
                <w:color w:val="auto"/>
                <w:sz w:val="21"/>
                <w:szCs w:val="21"/>
                <w:lang w:eastAsia="zh-CN"/>
              </w:rPr>
              <w:t>砖瓦</w:t>
            </w:r>
            <w:r>
              <w:rPr>
                <w:rFonts w:hint="eastAsia" w:ascii="宋体" w:hAnsi="宋体" w:cs="宋体"/>
                <w:color w:val="auto"/>
                <w:sz w:val="21"/>
                <w:szCs w:val="21"/>
              </w:rPr>
              <w:t>工业</w:t>
            </w:r>
            <w:r>
              <w:rPr>
                <w:rFonts w:hint="eastAsia"/>
                <w:color w:val="auto"/>
                <w:sz w:val="21"/>
                <w:szCs w:val="21"/>
              </w:rPr>
              <w:t>》</w:t>
            </w:r>
            <w:r>
              <w:rPr>
                <w:rFonts w:hint="eastAsia"/>
                <w:color w:val="auto"/>
                <w:sz w:val="21"/>
                <w:szCs w:val="21"/>
                <w:highlight w:val="none"/>
              </w:rPr>
              <w:t xml:space="preserve">（HJ </w:t>
            </w:r>
            <w:r>
              <w:rPr>
                <w:rFonts w:hint="eastAsia"/>
                <w:color w:val="auto"/>
                <w:sz w:val="21"/>
                <w:szCs w:val="21"/>
                <w:highlight w:val="none"/>
                <w:lang w:val="en-US" w:eastAsia="zh-CN"/>
              </w:rPr>
              <w:t>1254</w:t>
            </w:r>
            <w:r>
              <w:rPr>
                <w:rFonts w:hint="eastAsia"/>
                <w:color w:val="auto"/>
                <w:sz w:val="21"/>
                <w:szCs w:val="21"/>
                <w:highlight w:val="none"/>
              </w:rPr>
              <w:t>-20</w:t>
            </w:r>
            <w:r>
              <w:rPr>
                <w:rFonts w:hint="eastAsia"/>
                <w:color w:val="auto"/>
                <w:sz w:val="21"/>
                <w:szCs w:val="21"/>
                <w:highlight w:val="none"/>
                <w:lang w:val="en-US" w:eastAsia="zh-CN"/>
              </w:rPr>
              <w:t>22</w:t>
            </w:r>
            <w:r>
              <w:rPr>
                <w:rFonts w:hint="eastAsia"/>
                <w:color w:val="auto"/>
                <w:sz w:val="21"/>
                <w:szCs w:val="21"/>
                <w:highlight w:val="none"/>
              </w:rPr>
              <w:t>）</w:t>
            </w:r>
            <w:r>
              <w:rPr>
                <w:rFonts w:hint="eastAsia"/>
                <w:color w:val="auto"/>
                <w:sz w:val="21"/>
                <w:szCs w:val="21"/>
              </w:rPr>
              <w:t>要求，无须</w:t>
            </w:r>
            <w:r>
              <w:rPr>
                <w:rFonts w:hint="eastAsia"/>
                <w:color w:val="auto"/>
                <w:sz w:val="21"/>
                <w:szCs w:val="21"/>
                <w:highlight w:val="none"/>
              </w:rPr>
              <w:t>开展</w:t>
            </w:r>
            <w:r>
              <w:rPr>
                <w:rFonts w:hint="eastAsia"/>
                <w:color w:val="auto"/>
                <w:sz w:val="21"/>
                <w:szCs w:val="21"/>
                <w:highlight w:val="none"/>
                <w:lang w:eastAsia="zh-CN"/>
              </w:rPr>
              <w:t>废水</w:t>
            </w:r>
            <w:r>
              <w:rPr>
                <w:rFonts w:hint="eastAsia"/>
                <w:color w:val="auto"/>
                <w:sz w:val="21"/>
                <w:szCs w:val="21"/>
                <w:highlight w:val="none"/>
                <w:lang w:val="en-US" w:eastAsia="zh-CN"/>
              </w:rPr>
              <w:t>自行监测。</w:t>
            </w:r>
          </w:p>
          <w:p w14:paraId="5E3685E5">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b/>
                <w:bCs/>
                <w:color w:val="auto"/>
                <w:sz w:val="21"/>
                <w:szCs w:val="21"/>
                <w:lang w:eastAsia="zh-CN"/>
              </w:rPr>
            </w:pPr>
            <w:r>
              <w:rPr>
                <w:rFonts w:hint="eastAsia"/>
                <w:b/>
                <w:bCs/>
                <w:color w:val="auto"/>
                <w:sz w:val="21"/>
                <w:szCs w:val="21"/>
                <w:lang w:eastAsia="zh-CN"/>
              </w:rPr>
              <w:t>（五）结论</w:t>
            </w:r>
          </w:p>
          <w:p w14:paraId="614183F4">
            <w:pPr>
              <w:pStyle w:val="38"/>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color w:val="auto"/>
                <w:lang w:val="en-US" w:eastAsia="zh-CN"/>
              </w:rPr>
            </w:pPr>
            <w:r>
              <w:rPr>
                <w:rFonts w:hint="eastAsia"/>
                <w:color w:val="auto"/>
                <w:sz w:val="21"/>
                <w:szCs w:val="21"/>
              </w:rPr>
              <w:t>本项目</w:t>
            </w:r>
            <w:r>
              <w:rPr>
                <w:rFonts w:hint="eastAsia"/>
                <w:color w:val="auto"/>
                <w:sz w:val="21"/>
                <w:szCs w:val="21"/>
                <w:lang w:eastAsia="zh-CN"/>
              </w:rPr>
              <w:t>生产用水主要是陈化用水、搅拌用水、</w:t>
            </w:r>
            <w:r>
              <w:rPr>
                <w:rFonts w:hint="eastAsia"/>
                <w:color w:val="auto"/>
                <w:sz w:val="21"/>
                <w:szCs w:val="21"/>
                <w:highlight w:val="none"/>
                <w:lang w:val="en-US" w:eastAsia="zh-CN"/>
              </w:rPr>
              <w:t>返青用水、湿法除尘补充用水及降尘用水</w:t>
            </w:r>
            <w:r>
              <w:rPr>
                <w:rFonts w:hint="eastAsia"/>
                <w:color w:val="auto"/>
                <w:sz w:val="21"/>
                <w:szCs w:val="21"/>
                <w:lang w:eastAsia="zh-CN"/>
              </w:rPr>
              <w:t>，</w:t>
            </w:r>
            <w:r>
              <w:rPr>
                <w:rFonts w:hint="eastAsia"/>
                <w:color w:val="auto"/>
                <w:sz w:val="21"/>
                <w:szCs w:val="21"/>
                <w:lang w:val="en-US" w:eastAsia="zh-CN"/>
              </w:rPr>
              <w:t>自然蒸发</w:t>
            </w:r>
            <w:r>
              <w:rPr>
                <w:rFonts w:hint="eastAsia"/>
                <w:color w:val="auto"/>
                <w:sz w:val="21"/>
                <w:szCs w:val="21"/>
              </w:rPr>
              <w:t>无生产废水</w:t>
            </w:r>
            <w:r>
              <w:rPr>
                <w:rFonts w:hint="eastAsia"/>
                <w:color w:val="auto"/>
                <w:sz w:val="21"/>
                <w:szCs w:val="21"/>
                <w:lang w:val="en-US" w:eastAsia="zh-CN"/>
              </w:rPr>
              <w:t>排放</w:t>
            </w:r>
            <w:r>
              <w:rPr>
                <w:rFonts w:hint="eastAsia"/>
                <w:color w:val="auto"/>
                <w:sz w:val="21"/>
                <w:szCs w:val="21"/>
                <w:lang w:eastAsia="zh-CN"/>
              </w:rPr>
              <w:t>；</w:t>
            </w:r>
            <w:r>
              <w:rPr>
                <w:rFonts w:hint="eastAsia"/>
                <w:color w:val="auto"/>
                <w:sz w:val="21"/>
                <w:szCs w:val="21"/>
                <w:lang w:val="en-US" w:eastAsia="zh-CN"/>
              </w:rPr>
              <w:t>脱硫塔废水沉淀后循环使用，不外排</w:t>
            </w:r>
            <w:r>
              <w:rPr>
                <w:rFonts w:hint="eastAsia"/>
                <w:color w:val="auto"/>
                <w:sz w:val="21"/>
                <w:szCs w:val="21"/>
                <w:lang w:eastAsia="zh-CN"/>
              </w:rPr>
              <w:t>。</w:t>
            </w:r>
            <w:r>
              <w:rPr>
                <w:rFonts w:hint="eastAsia" w:cs="Times New Roman"/>
                <w:b w:val="0"/>
                <w:bCs/>
                <w:color w:val="auto"/>
                <w:sz w:val="21"/>
                <w:szCs w:val="21"/>
                <w:lang w:val="en-US" w:eastAsia="zh-CN"/>
              </w:rPr>
              <w:t>生活污水经化粪池预处理</w:t>
            </w:r>
            <w:r>
              <w:rPr>
                <w:rFonts w:hint="eastAsia"/>
                <w:b w:val="0"/>
                <w:bCs/>
                <w:color w:val="auto"/>
                <w:sz w:val="21"/>
                <w:szCs w:val="21"/>
                <w:lang w:eastAsia="zh-CN"/>
              </w:rPr>
              <w:t>后，</w:t>
            </w:r>
            <w:r>
              <w:rPr>
                <w:rFonts w:hint="eastAsia"/>
                <w:b w:val="0"/>
                <w:bCs/>
                <w:color w:val="auto"/>
                <w:sz w:val="21"/>
                <w:szCs w:val="21"/>
                <w:lang w:val="en-US" w:eastAsia="zh-CN"/>
              </w:rPr>
              <w:t>委托环卫车辆运送至华宁北控环保水务有限公司管理运营的华宁县城污水处理厂处理</w:t>
            </w:r>
            <w:r>
              <w:rPr>
                <w:rFonts w:hint="eastAsia"/>
                <w:color w:val="auto"/>
                <w:sz w:val="21"/>
                <w:szCs w:val="21"/>
                <w:lang w:eastAsia="zh-CN"/>
              </w:rPr>
              <w:t>。本项目运行期废水对周围地表水影响较小。</w:t>
            </w:r>
          </w:p>
          <w:p w14:paraId="2E4FF46F">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4.4运营期噪声污染源强</w:t>
            </w:r>
          </w:p>
          <w:p w14:paraId="4E8C605F">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20" w:firstLineChars="200"/>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本项目噪声污染源来自于生产设备的运转，主要</w:t>
            </w:r>
            <w:r>
              <w:rPr>
                <w:rFonts w:hint="eastAsia" w:cs="Times New Roman"/>
                <w:color w:val="auto"/>
                <w:sz w:val="21"/>
                <w:szCs w:val="21"/>
                <w:lang w:val="en-US" w:eastAsia="zh-CN" w:bidi="ar-SA"/>
              </w:rPr>
              <w:t>生产</w:t>
            </w:r>
            <w:r>
              <w:rPr>
                <w:rFonts w:hint="default" w:ascii="Times New Roman" w:hAnsi="Times New Roman" w:eastAsia="宋体" w:cs="Times New Roman"/>
                <w:color w:val="auto"/>
                <w:sz w:val="21"/>
                <w:szCs w:val="21"/>
                <w:lang w:val="en-US" w:eastAsia="zh-CN" w:bidi="ar-SA"/>
              </w:rPr>
              <w:t>设备噪声源强在</w:t>
            </w:r>
            <w:r>
              <w:rPr>
                <w:rFonts w:hint="eastAsia" w:cs="Times New Roman"/>
                <w:color w:val="auto"/>
                <w:sz w:val="21"/>
                <w:szCs w:val="21"/>
                <w:lang w:val="en-US" w:eastAsia="zh-CN" w:bidi="ar-SA"/>
              </w:rPr>
              <w:t>80</w:t>
            </w:r>
            <w:r>
              <w:rPr>
                <w:rFonts w:hint="default" w:ascii="Times New Roman" w:hAnsi="Times New Roman" w:eastAsia="宋体" w:cs="Times New Roman"/>
                <w:color w:val="auto"/>
                <w:sz w:val="21"/>
                <w:szCs w:val="21"/>
                <w:lang w:val="en-US" w:eastAsia="zh-CN" w:bidi="ar-SA"/>
              </w:rPr>
              <w:t>~9</w:t>
            </w:r>
            <w:r>
              <w:rPr>
                <w:rFonts w:hint="eastAsia" w:cs="Times New Roman"/>
                <w:color w:val="auto"/>
                <w:sz w:val="21"/>
                <w:szCs w:val="21"/>
                <w:lang w:val="en-US" w:eastAsia="zh-CN" w:bidi="ar-SA"/>
              </w:rPr>
              <w:t>5</w:t>
            </w:r>
            <w:r>
              <w:rPr>
                <w:rFonts w:hint="default" w:ascii="Times New Roman" w:hAnsi="Times New Roman" w:eastAsia="宋体" w:cs="Times New Roman"/>
                <w:color w:val="auto"/>
                <w:sz w:val="21"/>
                <w:szCs w:val="21"/>
                <w:lang w:val="en-US" w:eastAsia="zh-CN" w:bidi="ar-SA"/>
              </w:rPr>
              <w:t>dB（A）之间。</w:t>
            </w:r>
          </w:p>
          <w:p w14:paraId="38454273">
            <w:pPr>
              <w:keepNext w:val="0"/>
              <w:keepLines w:val="0"/>
              <w:pageBreakBefore w:val="0"/>
              <w:kinsoku/>
              <w:wordWrap/>
              <w:overflowPunct/>
              <w:topLinePunct w:val="0"/>
              <w:bidi w:val="0"/>
              <w:adjustRightInd w:val="0"/>
              <w:snapToGrid w:val="0"/>
              <w:spacing w:line="360" w:lineRule="auto"/>
              <w:ind w:left="0" w:leftChars="0" w:right="0" w:firstLine="422"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（1）厂界噪声影响预测及达标分析</w:t>
            </w:r>
          </w:p>
          <w:p w14:paraId="520A550F">
            <w:pPr>
              <w:keepNext w:val="0"/>
              <w:keepLines w:val="0"/>
              <w:pageBreakBefore w:val="0"/>
              <w:widowControl w:val="0"/>
              <w:kinsoku/>
              <w:wordWrap/>
              <w:overflowPunct/>
              <w:topLinePunct w:val="0"/>
              <w:bidi w:val="0"/>
              <w:adjustRightInd w:val="0"/>
              <w:snapToGrid w:val="0"/>
              <w:spacing w:after="0" w:line="360" w:lineRule="auto"/>
              <w:ind w:left="0" w:leftChars="0" w:right="0" w:firstLine="422" w:firstLineChars="200"/>
              <w:jc w:val="both"/>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预测模式</w:t>
            </w:r>
          </w:p>
          <w:p w14:paraId="41CAB7A8">
            <w:pPr>
              <w:keepNext w:val="0"/>
              <w:keepLines w:val="0"/>
              <w:pageBreakBefore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本次环评的噪声预测根据项目特点，按《环境影响评价技术导则声环境》(HJ2.4-2021)中的工业噪声预测计算模式。</w:t>
            </w:r>
          </w:p>
          <w:p w14:paraId="4629BC3F">
            <w:pPr>
              <w:keepNext w:val="0"/>
              <w:keepLines w:val="0"/>
              <w:pageBreakBefore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①首先计算出某个声源室内靠近围护结构处的等效声压级</w:t>
            </w:r>
          </w:p>
          <w:p w14:paraId="59CE853D">
            <w:pPr>
              <w:keepNext w:val="0"/>
              <w:keepLines w:val="0"/>
              <w:pageBreakBefore w:val="0"/>
              <w:kinsoku/>
              <w:wordWrap/>
              <w:overflowPunct/>
              <w:topLinePunct w:val="0"/>
              <w:bidi w:val="0"/>
              <w:adjustRightInd w:val="0"/>
              <w:snapToGrid w:val="0"/>
              <w:spacing w:line="360" w:lineRule="auto"/>
              <w:ind w:left="0" w:leftChars="0" w:right="0" w:firstLine="482"/>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2738755" cy="460375"/>
                  <wp:effectExtent l="0" t="0" r="4445" b="1206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6"/>
                          <a:stretch>
                            <a:fillRect/>
                          </a:stretch>
                        </pic:blipFill>
                        <pic:spPr>
                          <a:xfrm>
                            <a:off x="0" y="0"/>
                            <a:ext cx="2738755" cy="460375"/>
                          </a:xfrm>
                          <a:prstGeom prst="rect">
                            <a:avLst/>
                          </a:prstGeom>
                          <a:noFill/>
                          <a:ln>
                            <a:noFill/>
                          </a:ln>
                        </pic:spPr>
                      </pic:pic>
                    </a:graphicData>
                  </a:graphic>
                </wp:inline>
              </w:drawing>
            </w:r>
          </w:p>
          <w:p w14:paraId="30BD29BB">
            <w:pPr>
              <w:keepNext w:val="0"/>
              <w:keepLines w:val="0"/>
              <w:pageBreakBefore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式中：</w:t>
            </w:r>
          </w:p>
          <w:p w14:paraId="6353AB63">
            <w:pPr>
              <w:keepNext w:val="0"/>
              <w:keepLines w:val="0"/>
              <w:pageBreakBefore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w:t>
            </w:r>
            <w:r>
              <w:rPr>
                <w:rFonts w:hint="default" w:ascii="Times New Roman" w:hAnsi="Times New Roman" w:eastAsia="宋体" w:cs="Times New Roman"/>
                <w:color w:val="auto"/>
                <w:sz w:val="21"/>
                <w:szCs w:val="21"/>
                <w:vertAlign w:val="subscript"/>
              </w:rPr>
              <w:t>p1</w:t>
            </w:r>
            <w:r>
              <w:rPr>
                <w:rFonts w:hint="default" w:ascii="Times New Roman" w:hAnsi="Times New Roman" w:eastAsia="宋体" w:cs="Times New Roman"/>
                <w:color w:val="auto"/>
                <w:sz w:val="21"/>
                <w:szCs w:val="21"/>
              </w:rPr>
              <w:t>—靠近开口处（或窗户）室内某倍频带的声压级或A声级，dB；</w:t>
            </w:r>
          </w:p>
          <w:p w14:paraId="4DE303CF">
            <w:pPr>
              <w:keepNext w:val="0"/>
              <w:keepLines w:val="0"/>
              <w:pageBreakBefore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w:t>
            </w:r>
            <w:r>
              <w:rPr>
                <w:rFonts w:hint="default" w:ascii="Times New Roman" w:hAnsi="Times New Roman" w:eastAsia="宋体" w:cs="Times New Roman"/>
                <w:color w:val="auto"/>
                <w:sz w:val="21"/>
                <w:szCs w:val="21"/>
                <w:vertAlign w:val="subscript"/>
              </w:rPr>
              <w:t>w</w:t>
            </w:r>
            <w:r>
              <w:rPr>
                <w:rFonts w:hint="default" w:ascii="Times New Roman" w:hAnsi="Times New Roman" w:eastAsia="宋体" w:cs="Times New Roman"/>
                <w:color w:val="auto"/>
                <w:sz w:val="21"/>
                <w:szCs w:val="21"/>
              </w:rPr>
              <w:t>—点声源声功率级（A计权或倍频带），dB；</w:t>
            </w:r>
          </w:p>
          <w:p w14:paraId="6724121E">
            <w:pPr>
              <w:keepNext w:val="0"/>
              <w:keepLines w:val="0"/>
              <w:pageBreakBefore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Q—指向性因数；通常对无指向性声源，当声源放在房间中心时，Q=1；当放在一面墙的中心时，Q=2；当放在两面墙夹角处时，Q=4；当放在三面墙夹角处时，Q=8；本次Q取2。</w:t>
            </w:r>
          </w:p>
          <w:p w14:paraId="64897503">
            <w:pPr>
              <w:keepNext w:val="0"/>
              <w:keepLines w:val="0"/>
              <w:pageBreakBefore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R—房间常数；R</w:t>
            </w:r>
            <w:r>
              <w:rPr>
                <w:rFonts w:hint="default" w:ascii="Times New Roman" w:hAnsi="Times New Roman" w:eastAsia="宋体" w:cs="Times New Roman"/>
                <w:color w:val="auto"/>
                <w:sz w:val="21"/>
                <w:szCs w:val="21"/>
              </w:rPr>
              <w:sym w:font="Symbol" w:char="F03D"/>
            </w:r>
            <w:r>
              <w:rPr>
                <w:rFonts w:hint="default" w:ascii="Times New Roman" w:hAnsi="Times New Roman" w:eastAsia="宋体" w:cs="Times New Roman"/>
                <w:color w:val="auto"/>
                <w:sz w:val="21"/>
                <w:szCs w:val="21"/>
              </w:rPr>
              <w:t>S</w:t>
            </w:r>
            <w:r>
              <w:rPr>
                <w:rFonts w:hint="default" w:ascii="Times New Roman" w:hAnsi="Times New Roman" w:eastAsia="宋体" w:cs="Times New Roman"/>
                <w:color w:val="auto"/>
                <w:sz w:val="21"/>
                <w:szCs w:val="21"/>
              </w:rPr>
              <w:sym w:font="Symbol" w:char="F061"/>
            </w: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rPr>
              <w:sym w:font="Symbol" w:char="F061"/>
            </w:r>
            <w:r>
              <w:rPr>
                <w:rFonts w:hint="default" w:ascii="Times New Roman" w:hAnsi="Times New Roman" w:eastAsia="宋体" w:cs="Times New Roman"/>
                <w:color w:val="auto"/>
                <w:sz w:val="21"/>
                <w:szCs w:val="21"/>
              </w:rPr>
              <w:t>），S为房间内表面面积，m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；α为平均吸声系数取0.06；</w:t>
            </w:r>
          </w:p>
          <w:p w14:paraId="5CBDEA39">
            <w:pPr>
              <w:keepNext w:val="0"/>
              <w:keepLines w:val="0"/>
              <w:pageBreakBefore w:val="0"/>
              <w:kinsoku/>
              <w:wordWrap/>
              <w:overflowPunct/>
              <w:topLinePunct w:val="0"/>
              <w:bidi w:val="0"/>
              <w:adjustRightInd w:val="0"/>
              <w:snapToGrid w:val="0"/>
              <w:spacing w:line="360" w:lineRule="auto"/>
              <w:ind w:left="0" w:leftChars="0" w:right="0" w:firstLine="482"/>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r—声源到靠近围护结构某点处的距离，m</w:t>
            </w:r>
            <w:r>
              <w:rPr>
                <w:rFonts w:hint="eastAsia" w:eastAsia="宋体" w:cs="Times New Roman"/>
                <w:color w:val="auto"/>
                <w:sz w:val="21"/>
                <w:szCs w:val="21"/>
                <w:lang w:eastAsia="zh-CN"/>
              </w:rPr>
              <w:t>。</w:t>
            </w:r>
          </w:p>
          <w:p w14:paraId="20CA999A">
            <w:pPr>
              <w:keepNext w:val="0"/>
              <w:keepLines w:val="0"/>
              <w:pageBreakBefore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②计算出所有室内声源在靠近围护结构处产生的总声压级</w:t>
            </w:r>
          </w:p>
          <w:p w14:paraId="680763D1">
            <w:pPr>
              <w:keepNext w:val="0"/>
              <w:keepLines w:val="0"/>
              <w:pageBreakBefore w:val="0"/>
              <w:kinsoku/>
              <w:wordWrap/>
              <w:overflowPunct/>
              <w:topLinePunct w:val="0"/>
              <w:bidi w:val="0"/>
              <w:adjustRightInd w:val="0"/>
              <w:snapToGrid w:val="0"/>
              <w:spacing w:line="360" w:lineRule="auto"/>
              <w:ind w:left="0" w:leftChars="0" w:right="0" w:firstLine="482"/>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2800350" cy="504825"/>
                  <wp:effectExtent l="0" t="0" r="3810" b="1333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7"/>
                          <a:stretch>
                            <a:fillRect/>
                          </a:stretch>
                        </pic:blipFill>
                        <pic:spPr>
                          <a:xfrm>
                            <a:off x="0" y="0"/>
                            <a:ext cx="2800350" cy="504825"/>
                          </a:xfrm>
                          <a:prstGeom prst="rect">
                            <a:avLst/>
                          </a:prstGeom>
                          <a:noFill/>
                          <a:ln>
                            <a:noFill/>
                          </a:ln>
                        </pic:spPr>
                      </pic:pic>
                    </a:graphicData>
                  </a:graphic>
                </wp:inline>
              </w:drawing>
            </w:r>
          </w:p>
          <w:p w14:paraId="735B74BF">
            <w:pPr>
              <w:keepNext w:val="0"/>
              <w:keepLines w:val="0"/>
              <w:pageBreakBefore w:val="0"/>
              <w:widowControl/>
              <w:kinsoku/>
              <w:wordWrap/>
              <w:overflowPunct/>
              <w:topLinePunct w:val="0"/>
              <w:bidi w:val="0"/>
              <w:adjustRightInd w:val="0"/>
              <w:snapToGrid w:val="0"/>
              <w:spacing w:before="0" w:after="0" w:line="360" w:lineRule="auto"/>
              <w:ind w:left="0" w:leftChars="0" w:right="0" w:firstLine="420" w:firstLineChars="20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L</w:t>
            </w:r>
            <w:r>
              <w:rPr>
                <w:rFonts w:hint="default" w:ascii="Times New Roman" w:hAnsi="Times New Roman" w:eastAsia="宋体" w:cs="Times New Roman"/>
                <w:color w:val="auto"/>
                <w:kern w:val="0"/>
                <w:sz w:val="21"/>
                <w:szCs w:val="21"/>
                <w:vertAlign w:val="subscript"/>
                <w:lang w:val="en-US" w:eastAsia="zh-CN" w:bidi="ar-SA"/>
              </w:rPr>
              <w:t>p1i</w:t>
            </w:r>
            <w:r>
              <w:rPr>
                <w:rFonts w:hint="default" w:ascii="Times New Roman" w:hAnsi="Times New Roman" w:eastAsia="宋体" w:cs="Times New Roman"/>
                <w:color w:val="auto"/>
                <w:kern w:val="0"/>
                <w:sz w:val="21"/>
                <w:szCs w:val="21"/>
                <w:lang w:val="en-US" w:eastAsia="zh-CN" w:bidi="ar-SA"/>
              </w:rPr>
              <w:t>（T）——靠近围护结构处室内N个声源i倍频带的叠加声压级，dB；</w:t>
            </w:r>
          </w:p>
          <w:p w14:paraId="3F2AA8D2">
            <w:pPr>
              <w:keepNext w:val="0"/>
              <w:keepLines w:val="0"/>
              <w:pageBreakBefore w:val="0"/>
              <w:widowControl/>
              <w:kinsoku/>
              <w:wordWrap/>
              <w:overflowPunct/>
              <w:topLinePunct w:val="0"/>
              <w:bidi w:val="0"/>
              <w:adjustRightInd w:val="0"/>
              <w:snapToGrid w:val="0"/>
              <w:spacing w:before="0" w:after="0" w:line="360" w:lineRule="auto"/>
              <w:ind w:left="0" w:leftChars="0" w:right="0" w:firstLine="420" w:firstLineChars="20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L</w:t>
            </w:r>
            <w:r>
              <w:rPr>
                <w:rFonts w:hint="default" w:ascii="Times New Roman" w:hAnsi="Times New Roman" w:eastAsia="宋体" w:cs="Times New Roman"/>
                <w:color w:val="auto"/>
                <w:kern w:val="0"/>
                <w:sz w:val="21"/>
                <w:szCs w:val="21"/>
                <w:vertAlign w:val="subscript"/>
                <w:lang w:val="en-US" w:eastAsia="zh-CN" w:bidi="ar-SA"/>
              </w:rPr>
              <w:t>p1ij</w:t>
            </w:r>
            <w:r>
              <w:rPr>
                <w:rFonts w:hint="default" w:ascii="Times New Roman" w:hAnsi="Times New Roman" w:eastAsia="宋体" w:cs="Times New Roman"/>
                <w:color w:val="auto"/>
                <w:kern w:val="0"/>
                <w:sz w:val="21"/>
                <w:szCs w:val="21"/>
                <w:lang w:val="en-US" w:eastAsia="zh-CN" w:bidi="ar-SA"/>
              </w:rPr>
              <w:t>——室内j声源i倍频带的声压级，dB；</w:t>
            </w:r>
          </w:p>
          <w:p w14:paraId="6DD0D1C7">
            <w:pPr>
              <w:keepNext w:val="0"/>
              <w:keepLines w:val="0"/>
              <w:pageBreakBefore w:val="0"/>
              <w:widowControl/>
              <w:kinsoku/>
              <w:wordWrap/>
              <w:overflowPunct/>
              <w:topLinePunct w:val="0"/>
              <w:bidi w:val="0"/>
              <w:adjustRightInd w:val="0"/>
              <w:snapToGrid w:val="0"/>
              <w:spacing w:before="0" w:after="0" w:line="360" w:lineRule="auto"/>
              <w:ind w:left="0" w:leftChars="0" w:right="0" w:firstLine="420" w:firstLineChars="200"/>
              <w:jc w:val="both"/>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N——室内声源总数。</w:t>
            </w:r>
          </w:p>
          <w:p w14:paraId="67AFFD33">
            <w:pPr>
              <w:keepNext w:val="0"/>
              <w:keepLines w:val="0"/>
              <w:pageBreakBefore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③计算出室外靠近围护结构处的声压级</w:t>
            </w:r>
          </w:p>
          <w:p w14:paraId="62C996E6">
            <w:pPr>
              <w:keepNext w:val="0"/>
              <w:keepLines w:val="0"/>
              <w:pageBreakBefore w:val="0"/>
              <w:widowControl/>
              <w:kinsoku/>
              <w:wordWrap/>
              <w:overflowPunct/>
              <w:topLinePunct w:val="0"/>
              <w:bidi w:val="0"/>
              <w:adjustRightInd w:val="0"/>
              <w:snapToGrid w:val="0"/>
              <w:spacing w:before="0" w:after="0" w:line="259" w:lineRule="auto"/>
              <w:ind w:left="0" w:leftChars="0" w:right="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L</w:t>
            </w:r>
            <w:r>
              <w:rPr>
                <w:rFonts w:hint="default" w:ascii="Times New Roman" w:hAnsi="Times New Roman" w:eastAsia="宋体" w:cs="Times New Roman"/>
                <w:color w:val="auto"/>
                <w:kern w:val="0"/>
                <w:sz w:val="21"/>
                <w:szCs w:val="21"/>
                <w:vertAlign w:val="subscript"/>
                <w:lang w:val="en-US" w:eastAsia="zh-CN" w:bidi="ar-SA"/>
              </w:rPr>
              <w:t>p2i</w:t>
            </w:r>
            <w:r>
              <w:rPr>
                <w:rFonts w:hint="default" w:ascii="Times New Roman" w:hAnsi="Times New Roman" w:eastAsia="宋体" w:cs="Times New Roman"/>
                <w:color w:val="auto"/>
                <w:kern w:val="0"/>
                <w:sz w:val="21"/>
                <w:szCs w:val="21"/>
                <w:lang w:val="en-US" w:eastAsia="zh-CN" w:bidi="ar-SA"/>
              </w:rPr>
              <w:t>（T）=L</w:t>
            </w:r>
            <w:r>
              <w:rPr>
                <w:rFonts w:hint="default" w:ascii="Times New Roman" w:hAnsi="Times New Roman" w:eastAsia="宋体" w:cs="Times New Roman"/>
                <w:color w:val="auto"/>
                <w:kern w:val="0"/>
                <w:sz w:val="21"/>
                <w:szCs w:val="21"/>
                <w:vertAlign w:val="subscript"/>
                <w:lang w:val="en-US" w:eastAsia="zh-CN" w:bidi="ar-SA"/>
              </w:rPr>
              <w:t>p1i</w:t>
            </w:r>
            <w:r>
              <w:rPr>
                <w:rFonts w:hint="default" w:ascii="Times New Roman" w:hAnsi="Times New Roman" w:eastAsia="宋体" w:cs="Times New Roman"/>
                <w:color w:val="auto"/>
                <w:kern w:val="0"/>
                <w:sz w:val="21"/>
                <w:szCs w:val="21"/>
                <w:lang w:val="en-US" w:eastAsia="zh-CN" w:bidi="ar-SA"/>
              </w:rPr>
              <w:t>（T）-(TL</w:t>
            </w:r>
            <w:r>
              <w:rPr>
                <w:rFonts w:hint="default" w:ascii="Times New Roman" w:hAnsi="Times New Roman" w:eastAsia="宋体" w:cs="Times New Roman"/>
                <w:color w:val="auto"/>
                <w:kern w:val="0"/>
                <w:sz w:val="21"/>
                <w:szCs w:val="21"/>
                <w:vertAlign w:val="subscript"/>
                <w:lang w:val="en-US" w:eastAsia="zh-CN" w:bidi="ar-SA"/>
              </w:rPr>
              <w:t>i</w:t>
            </w:r>
            <w:r>
              <w:rPr>
                <w:rFonts w:hint="default" w:ascii="Times New Roman" w:hAnsi="Times New Roman" w:eastAsia="宋体" w:cs="Times New Roman"/>
                <w:color w:val="auto"/>
                <w:kern w:val="0"/>
                <w:sz w:val="21"/>
                <w:szCs w:val="21"/>
                <w:lang w:val="en-US" w:eastAsia="zh-CN" w:bidi="ar-SA"/>
              </w:rPr>
              <w:t>+6)</w:t>
            </w:r>
          </w:p>
          <w:p w14:paraId="1DA74A40">
            <w:pPr>
              <w:keepNext w:val="0"/>
              <w:keepLines w:val="0"/>
              <w:pageBreakBefore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式中：</w:t>
            </w:r>
          </w:p>
          <w:p w14:paraId="56D235E9">
            <w:pPr>
              <w:keepNext w:val="0"/>
              <w:keepLines w:val="0"/>
              <w:pageBreakBefore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w:t>
            </w:r>
            <w:r>
              <w:rPr>
                <w:rFonts w:hint="default" w:ascii="Times New Roman" w:hAnsi="Times New Roman" w:eastAsia="宋体" w:cs="Times New Roman"/>
                <w:color w:val="auto"/>
                <w:sz w:val="21"/>
                <w:szCs w:val="21"/>
                <w:vertAlign w:val="subscript"/>
              </w:rPr>
              <w:t>p2i</w:t>
            </w:r>
            <w:r>
              <w:rPr>
                <w:rFonts w:hint="default" w:ascii="Times New Roman" w:hAnsi="Times New Roman" w:eastAsia="宋体" w:cs="Times New Roman"/>
                <w:color w:val="auto"/>
                <w:sz w:val="21"/>
                <w:szCs w:val="21"/>
              </w:rPr>
              <w:t>（T）—靠近围护结构处室外N个声源i倍频带的叠加声压级，dB；</w:t>
            </w:r>
          </w:p>
          <w:p w14:paraId="10579D85">
            <w:pPr>
              <w:keepNext w:val="0"/>
              <w:keepLines w:val="0"/>
              <w:pageBreakBefore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w:t>
            </w:r>
            <w:r>
              <w:rPr>
                <w:rFonts w:hint="default" w:ascii="Times New Roman" w:hAnsi="Times New Roman" w:eastAsia="宋体" w:cs="Times New Roman"/>
                <w:color w:val="auto"/>
                <w:sz w:val="21"/>
                <w:szCs w:val="21"/>
                <w:vertAlign w:val="subscript"/>
              </w:rPr>
              <w:t>p1i</w:t>
            </w:r>
            <w:r>
              <w:rPr>
                <w:rFonts w:hint="default" w:ascii="Times New Roman" w:hAnsi="Times New Roman" w:eastAsia="宋体" w:cs="Times New Roman"/>
                <w:color w:val="auto"/>
                <w:sz w:val="21"/>
                <w:szCs w:val="21"/>
              </w:rPr>
              <w:t>（T）—靠近围护结构处室内N个声源i倍频带的叠加声压级，dB；</w:t>
            </w:r>
          </w:p>
          <w:p w14:paraId="05608180">
            <w:pPr>
              <w:keepNext w:val="0"/>
              <w:keepLines w:val="0"/>
              <w:pageBreakBefore w:val="0"/>
              <w:widowControl/>
              <w:kinsoku/>
              <w:wordWrap/>
              <w:overflowPunct/>
              <w:topLinePunct w:val="0"/>
              <w:bidi w:val="0"/>
              <w:adjustRightInd w:val="0"/>
              <w:snapToGrid w:val="0"/>
              <w:spacing w:before="0" w:after="0" w:line="360" w:lineRule="auto"/>
              <w:ind w:left="0" w:leftChars="0" w:right="0" w:firstLine="420" w:firstLineChars="200"/>
              <w:jc w:val="left"/>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TL</w:t>
            </w:r>
            <w:r>
              <w:rPr>
                <w:rFonts w:hint="default" w:ascii="Times New Roman" w:hAnsi="Times New Roman" w:eastAsia="宋体" w:cs="Times New Roman"/>
                <w:color w:val="auto"/>
                <w:kern w:val="0"/>
                <w:sz w:val="21"/>
                <w:szCs w:val="21"/>
                <w:vertAlign w:val="subscript"/>
                <w:lang w:val="en-US" w:eastAsia="zh-CN" w:bidi="ar-SA"/>
              </w:rPr>
              <w:t>i</w:t>
            </w:r>
            <w:r>
              <w:rPr>
                <w:rFonts w:hint="default" w:ascii="Times New Roman" w:hAnsi="Times New Roman" w:eastAsia="宋体" w:cs="Times New Roman"/>
                <w:color w:val="auto"/>
                <w:kern w:val="0"/>
                <w:sz w:val="21"/>
                <w:szCs w:val="21"/>
                <w:lang w:val="en-US" w:eastAsia="zh-CN" w:bidi="ar-SA"/>
              </w:rPr>
              <w:t>——围护结构i倍频带的隔声量，dB。</w:t>
            </w:r>
          </w:p>
          <w:p w14:paraId="6457F1CD">
            <w:pPr>
              <w:keepNext w:val="0"/>
              <w:keepLines w:val="0"/>
              <w:pageBreakBefore w:val="0"/>
              <w:widowControl/>
              <w:kinsoku/>
              <w:wordWrap/>
              <w:overflowPunct/>
              <w:topLinePunct w:val="0"/>
              <w:bidi w:val="0"/>
              <w:adjustRightInd w:val="0"/>
              <w:snapToGrid w:val="0"/>
              <w:spacing w:before="0" w:after="0" w:line="360" w:lineRule="auto"/>
              <w:ind w:left="0" w:leftChars="0" w:right="0" w:firstLine="420" w:firstLineChars="200"/>
              <w:jc w:val="left"/>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根据《噪声污染控制工程》（高等教育出版社，洪宗辉）中资料，本项目砖墙为双面粉刷的墙体，实测的隔声量为49dB（A），考虑到门窗面积和开门开窗对隔声的负面影响，实际隔声量（TL+6）为</w:t>
            </w:r>
            <w:r>
              <w:rPr>
                <w:rFonts w:hint="eastAsia" w:ascii="Times New Roman" w:hAnsi="Times New Roman" w:eastAsia="宋体" w:cs="Times New Roman"/>
                <w:color w:val="auto"/>
                <w:kern w:val="0"/>
                <w:sz w:val="21"/>
                <w:szCs w:val="21"/>
                <w:lang w:val="en-US" w:eastAsia="zh-CN" w:bidi="ar-SA"/>
              </w:rPr>
              <w:t>15</w:t>
            </w:r>
            <w:r>
              <w:rPr>
                <w:rFonts w:hint="default" w:ascii="Times New Roman" w:hAnsi="Times New Roman" w:eastAsia="宋体" w:cs="Times New Roman"/>
                <w:color w:val="auto"/>
                <w:kern w:val="0"/>
                <w:sz w:val="21"/>
                <w:szCs w:val="21"/>
                <w:lang w:val="en-US" w:eastAsia="zh-CN" w:bidi="ar-SA"/>
              </w:rPr>
              <w:t>dB（A）左右。</w:t>
            </w:r>
          </w:p>
          <w:p w14:paraId="4A9BC255">
            <w:pPr>
              <w:keepNext w:val="0"/>
              <w:keepLines w:val="0"/>
              <w:pageBreakBefore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④将室外声级和透声面积换算成等效室外声源</w:t>
            </w:r>
          </w:p>
          <w:p w14:paraId="5C4C0D1D">
            <w:pPr>
              <w:keepNext w:val="0"/>
              <w:keepLines w:val="0"/>
              <w:pageBreakBefore w:val="0"/>
              <w:kinsoku/>
              <w:wordWrap/>
              <w:overflowPunct/>
              <w:topLinePunct w:val="0"/>
              <w:bidi w:val="0"/>
              <w:adjustRightInd w:val="0"/>
              <w:snapToGrid w:val="0"/>
              <w:spacing w:line="360" w:lineRule="auto"/>
              <w:ind w:left="0" w:leftChars="0" w:right="0" w:firstLine="482"/>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w:t>
            </w:r>
            <w:r>
              <w:rPr>
                <w:rFonts w:hint="default" w:ascii="Times New Roman" w:hAnsi="Times New Roman" w:eastAsia="宋体" w:cs="Times New Roman"/>
                <w:color w:val="auto"/>
                <w:sz w:val="21"/>
                <w:szCs w:val="21"/>
                <w:vertAlign w:val="subscript"/>
              </w:rPr>
              <w:t>W</w:t>
            </w:r>
            <w:r>
              <w:rPr>
                <w:rFonts w:hint="default" w:ascii="Times New Roman" w:hAnsi="Times New Roman" w:eastAsia="宋体" w:cs="Times New Roman"/>
                <w:color w:val="auto"/>
                <w:sz w:val="21"/>
                <w:szCs w:val="21"/>
              </w:rPr>
              <w:t>=L</w:t>
            </w:r>
            <w:r>
              <w:rPr>
                <w:rFonts w:hint="default" w:ascii="Times New Roman" w:hAnsi="Times New Roman" w:eastAsia="宋体" w:cs="Times New Roman"/>
                <w:color w:val="auto"/>
                <w:sz w:val="21"/>
                <w:szCs w:val="21"/>
                <w:vertAlign w:val="subscript"/>
              </w:rPr>
              <w:t>p2</w:t>
            </w:r>
            <w:r>
              <w:rPr>
                <w:rFonts w:hint="default" w:ascii="Times New Roman" w:hAnsi="Times New Roman" w:eastAsia="宋体" w:cs="Times New Roman"/>
                <w:color w:val="auto"/>
                <w:sz w:val="21"/>
                <w:szCs w:val="21"/>
              </w:rPr>
              <w:t>(T)+10lgS</w:t>
            </w:r>
          </w:p>
          <w:p w14:paraId="56032361">
            <w:pPr>
              <w:keepNext w:val="0"/>
              <w:keepLines w:val="0"/>
              <w:pageBreakBefore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式中：</w:t>
            </w:r>
          </w:p>
          <w:p w14:paraId="6E64216F">
            <w:pPr>
              <w:keepNext w:val="0"/>
              <w:keepLines w:val="0"/>
              <w:pageBreakBefore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S—透声面积，m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p>
          <w:p w14:paraId="7A1D7C4A">
            <w:pPr>
              <w:keepNext w:val="0"/>
              <w:keepLines w:val="0"/>
              <w:pageBreakBefore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Lw——中心位置位于透声面积（S）处的等效声源的倍频带声功率级，dB；</w:t>
            </w:r>
          </w:p>
          <w:p w14:paraId="48002254">
            <w:pPr>
              <w:keepNext w:val="0"/>
              <w:keepLines w:val="0"/>
              <w:pageBreakBefore w:val="0"/>
              <w:kinsoku/>
              <w:wordWrap/>
              <w:overflowPunct/>
              <w:topLinePunct w:val="0"/>
              <w:bidi w:val="0"/>
              <w:adjustRightInd w:val="0"/>
              <w:snapToGrid w:val="0"/>
              <w:spacing w:line="360" w:lineRule="auto"/>
              <w:ind w:left="0" w:leftChars="0" w:right="0" w:firstLine="482"/>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L</w:t>
            </w:r>
            <w:r>
              <w:rPr>
                <w:rFonts w:hint="default" w:ascii="Times New Roman" w:hAnsi="Times New Roman" w:eastAsia="宋体" w:cs="Times New Roman"/>
                <w:color w:val="auto"/>
                <w:sz w:val="21"/>
                <w:szCs w:val="21"/>
                <w:vertAlign w:val="subscript"/>
              </w:rPr>
              <w:t>p2</w:t>
            </w:r>
            <w:r>
              <w:rPr>
                <w:rFonts w:hint="default" w:ascii="Times New Roman" w:hAnsi="Times New Roman" w:eastAsia="宋体" w:cs="Times New Roman"/>
                <w:color w:val="auto"/>
                <w:sz w:val="21"/>
                <w:szCs w:val="21"/>
              </w:rPr>
              <w:t>(T)——靠近围护结构处室外声源的声压级，dB</w:t>
            </w:r>
            <w:r>
              <w:rPr>
                <w:rFonts w:hint="eastAsia" w:eastAsia="宋体" w:cs="Times New Roman"/>
                <w:color w:val="auto"/>
                <w:sz w:val="21"/>
                <w:szCs w:val="21"/>
                <w:lang w:eastAsia="zh-CN"/>
              </w:rPr>
              <w:t>。</w:t>
            </w:r>
          </w:p>
          <w:p w14:paraId="2C8F7AB7">
            <w:pPr>
              <w:keepNext w:val="0"/>
              <w:keepLines w:val="0"/>
              <w:pageBreakBefore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⑤预测点的声压级</w:t>
            </w:r>
          </w:p>
          <w:p w14:paraId="2DE16A23">
            <w:pPr>
              <w:keepNext w:val="0"/>
              <w:keepLines w:val="0"/>
              <w:pageBreakBefore w:val="0"/>
              <w:widowControl/>
              <w:kinsoku/>
              <w:wordWrap/>
              <w:overflowPunct/>
              <w:topLinePunct w:val="0"/>
              <w:bidi w:val="0"/>
              <w:adjustRightInd w:val="0"/>
              <w:snapToGrid w:val="0"/>
              <w:spacing w:before="0" w:after="0" w:line="259" w:lineRule="auto"/>
              <w:ind w:left="0" w:leftChars="0" w:right="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drawing>
                <wp:inline distT="0" distB="0" distL="114300" distR="114300">
                  <wp:extent cx="3667125" cy="285750"/>
                  <wp:effectExtent l="0" t="0" r="5715" b="381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8"/>
                          <a:stretch>
                            <a:fillRect/>
                          </a:stretch>
                        </pic:blipFill>
                        <pic:spPr>
                          <a:xfrm>
                            <a:off x="0" y="0"/>
                            <a:ext cx="3667125" cy="285750"/>
                          </a:xfrm>
                          <a:prstGeom prst="rect">
                            <a:avLst/>
                          </a:prstGeom>
                          <a:noFill/>
                          <a:ln>
                            <a:noFill/>
                          </a:ln>
                        </pic:spPr>
                      </pic:pic>
                    </a:graphicData>
                  </a:graphic>
                </wp:inline>
              </w:drawing>
            </w:r>
          </w:p>
          <w:p w14:paraId="3CEE3E2E">
            <w:pPr>
              <w:keepNext w:val="0"/>
              <w:keepLines w:val="0"/>
              <w:pageBreakBefore w:val="0"/>
              <w:widowControl/>
              <w:kinsoku/>
              <w:wordWrap/>
              <w:overflowPunct/>
              <w:topLinePunct w:val="0"/>
              <w:bidi w:val="0"/>
              <w:adjustRightInd w:val="0"/>
              <w:snapToGrid w:val="0"/>
              <w:spacing w:before="0" w:after="0" w:line="259" w:lineRule="auto"/>
              <w:ind w:left="0" w:leftChars="0" w:right="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式中：</w:t>
            </w:r>
          </w:p>
          <w:p w14:paraId="03FBD05C">
            <w:pPr>
              <w:keepNext w:val="0"/>
              <w:keepLines w:val="0"/>
              <w:pageBreakBefore w:val="0"/>
              <w:widowControl/>
              <w:kinsoku/>
              <w:wordWrap/>
              <w:overflowPunct/>
              <w:topLinePunct w:val="0"/>
              <w:bidi w:val="0"/>
              <w:adjustRightInd w:val="0"/>
              <w:snapToGrid w:val="0"/>
              <w:spacing w:before="0" w:after="0" w:line="259" w:lineRule="auto"/>
              <w:ind w:left="0" w:leftChars="0" w:right="0" w:firstLine="420" w:firstLineChars="20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Lp(r)——预测点处声压级，dB；</w:t>
            </w:r>
          </w:p>
          <w:p w14:paraId="25EF1FFC">
            <w:pPr>
              <w:keepNext w:val="0"/>
              <w:keepLines w:val="0"/>
              <w:pageBreakBefore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Lw——由点声源产生的声功率级（A计权或倍频带），dB；</w:t>
            </w:r>
          </w:p>
          <w:p w14:paraId="4E818A37">
            <w:pPr>
              <w:keepNext w:val="0"/>
              <w:keepLines w:val="0"/>
              <w:pageBreakBefore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w:t>
            </w:r>
            <w:r>
              <w:rPr>
                <w:rFonts w:hint="default" w:ascii="Times New Roman" w:hAnsi="Times New Roman" w:eastAsia="宋体" w:cs="Times New Roman"/>
                <w:color w:val="auto"/>
                <w:sz w:val="21"/>
                <w:szCs w:val="21"/>
                <w:vertAlign w:val="subscript"/>
              </w:rPr>
              <w:t>C</w:t>
            </w:r>
            <w:r>
              <w:rPr>
                <w:rFonts w:hint="default" w:ascii="Times New Roman" w:hAnsi="Times New Roman" w:eastAsia="宋体" w:cs="Times New Roman"/>
                <w:color w:val="auto"/>
                <w:sz w:val="21"/>
                <w:szCs w:val="21"/>
              </w:rPr>
              <w:t>——指向性校正，它描述点声源的等效连续声压级与产生声功率级Lw的全向点声源在规定方向的声级的偏差程度，dB；</w:t>
            </w:r>
          </w:p>
          <w:p w14:paraId="6B37B1E6">
            <w:pPr>
              <w:keepNext w:val="0"/>
              <w:keepLines w:val="0"/>
              <w:pageBreakBefore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w:t>
            </w:r>
            <w:r>
              <w:rPr>
                <w:rFonts w:hint="default" w:ascii="Times New Roman" w:hAnsi="Times New Roman" w:eastAsia="宋体" w:cs="Times New Roman"/>
                <w:color w:val="auto"/>
                <w:sz w:val="21"/>
                <w:szCs w:val="21"/>
                <w:vertAlign w:val="subscript"/>
              </w:rPr>
              <w:t>div</w:t>
            </w:r>
            <w:r>
              <w:rPr>
                <w:rFonts w:hint="default" w:ascii="Times New Roman" w:hAnsi="Times New Roman" w:eastAsia="宋体" w:cs="Times New Roman"/>
                <w:color w:val="auto"/>
                <w:sz w:val="21"/>
                <w:szCs w:val="21"/>
              </w:rPr>
              <w:t>——几何发散引起的衰减，dB；</w:t>
            </w:r>
          </w:p>
          <w:p w14:paraId="3C5DEED7">
            <w:pPr>
              <w:keepNext w:val="0"/>
              <w:keepLines w:val="0"/>
              <w:pageBreakBefore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w:t>
            </w:r>
            <w:r>
              <w:rPr>
                <w:rFonts w:hint="default" w:ascii="Times New Roman" w:hAnsi="Times New Roman" w:eastAsia="宋体" w:cs="Times New Roman"/>
                <w:color w:val="auto"/>
                <w:sz w:val="21"/>
                <w:szCs w:val="21"/>
                <w:vertAlign w:val="subscript"/>
              </w:rPr>
              <w:t>atm</w:t>
            </w:r>
            <w:r>
              <w:rPr>
                <w:rFonts w:hint="default" w:ascii="Times New Roman" w:hAnsi="Times New Roman" w:eastAsia="宋体" w:cs="Times New Roman"/>
                <w:color w:val="auto"/>
                <w:sz w:val="21"/>
                <w:szCs w:val="21"/>
              </w:rPr>
              <w:t>——大气吸收引起的衰减，dB；</w:t>
            </w:r>
          </w:p>
          <w:p w14:paraId="1DF27496">
            <w:pPr>
              <w:keepNext w:val="0"/>
              <w:keepLines w:val="0"/>
              <w:pageBreakBefore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w:t>
            </w:r>
            <w:r>
              <w:rPr>
                <w:rFonts w:hint="default" w:ascii="Times New Roman" w:hAnsi="Times New Roman" w:eastAsia="宋体" w:cs="Times New Roman"/>
                <w:color w:val="auto"/>
                <w:sz w:val="21"/>
                <w:szCs w:val="21"/>
                <w:vertAlign w:val="subscript"/>
              </w:rPr>
              <w:t>gr</w:t>
            </w:r>
            <w:r>
              <w:rPr>
                <w:rFonts w:hint="default" w:ascii="Times New Roman" w:hAnsi="Times New Roman" w:eastAsia="宋体" w:cs="Times New Roman"/>
                <w:color w:val="auto"/>
                <w:sz w:val="21"/>
                <w:szCs w:val="21"/>
              </w:rPr>
              <w:t>——地面效应引起的衰减，dB；本次不考虑。</w:t>
            </w:r>
          </w:p>
          <w:p w14:paraId="007A4D35">
            <w:pPr>
              <w:keepNext w:val="0"/>
              <w:keepLines w:val="0"/>
              <w:pageBreakBefore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w:t>
            </w:r>
            <w:r>
              <w:rPr>
                <w:rFonts w:hint="default" w:ascii="Times New Roman" w:hAnsi="Times New Roman" w:eastAsia="宋体" w:cs="Times New Roman"/>
                <w:color w:val="auto"/>
                <w:sz w:val="21"/>
                <w:szCs w:val="21"/>
                <w:vertAlign w:val="subscript"/>
              </w:rPr>
              <w:t>bar</w:t>
            </w:r>
            <w:r>
              <w:rPr>
                <w:rFonts w:hint="default" w:ascii="Times New Roman" w:hAnsi="Times New Roman" w:eastAsia="宋体" w:cs="Times New Roman"/>
                <w:color w:val="auto"/>
                <w:sz w:val="21"/>
                <w:szCs w:val="21"/>
              </w:rPr>
              <w:t>——障碍物屏蔽引起的衰减，dB；本次不考虑。</w:t>
            </w:r>
          </w:p>
          <w:p w14:paraId="26B7B648">
            <w:pPr>
              <w:keepNext w:val="0"/>
              <w:keepLines w:val="0"/>
              <w:pageBreakBefore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w:t>
            </w:r>
            <w:r>
              <w:rPr>
                <w:rFonts w:hint="default" w:ascii="Times New Roman" w:hAnsi="Times New Roman" w:eastAsia="宋体" w:cs="Times New Roman"/>
                <w:color w:val="auto"/>
                <w:sz w:val="21"/>
                <w:szCs w:val="21"/>
                <w:vertAlign w:val="subscript"/>
              </w:rPr>
              <w:t>misc</w:t>
            </w:r>
            <w:r>
              <w:rPr>
                <w:rFonts w:hint="default" w:ascii="Times New Roman" w:hAnsi="Times New Roman" w:eastAsia="宋体" w:cs="Times New Roman"/>
                <w:color w:val="auto"/>
                <w:sz w:val="21"/>
                <w:szCs w:val="21"/>
              </w:rPr>
              <w:t>——其他多方面效应引起的衰减，dB；本次不考虑。</w:t>
            </w:r>
          </w:p>
          <w:p w14:paraId="776A72EB">
            <w:pPr>
              <w:keepNext w:val="0"/>
              <w:keepLines w:val="0"/>
              <w:pageBreakBefore w:val="0"/>
              <w:widowControl/>
              <w:kinsoku/>
              <w:wordWrap/>
              <w:overflowPunct/>
              <w:topLinePunct w:val="0"/>
              <w:bidi w:val="0"/>
              <w:adjustRightInd w:val="0"/>
              <w:snapToGrid w:val="0"/>
              <w:spacing w:before="0" w:after="0" w:line="259" w:lineRule="auto"/>
              <w:ind w:left="0" w:leftChars="0" w:right="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drawing>
                <wp:inline distT="0" distB="0" distL="114300" distR="114300">
                  <wp:extent cx="1743075" cy="504825"/>
                  <wp:effectExtent l="0" t="0" r="9525" b="1333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9"/>
                          <a:stretch>
                            <a:fillRect/>
                          </a:stretch>
                        </pic:blipFill>
                        <pic:spPr>
                          <a:xfrm>
                            <a:off x="0" y="0"/>
                            <a:ext cx="1743075" cy="504825"/>
                          </a:xfrm>
                          <a:prstGeom prst="rect">
                            <a:avLst/>
                          </a:prstGeom>
                          <a:noFill/>
                          <a:ln>
                            <a:noFill/>
                          </a:ln>
                        </pic:spPr>
                      </pic:pic>
                    </a:graphicData>
                  </a:graphic>
                </wp:inline>
              </w:drawing>
            </w:r>
          </w:p>
          <w:p w14:paraId="2D992634">
            <w:pPr>
              <w:keepNext w:val="0"/>
              <w:keepLines w:val="0"/>
              <w:pageBreakBefore w:val="0"/>
              <w:widowControl/>
              <w:kinsoku/>
              <w:wordWrap/>
              <w:overflowPunct/>
              <w:topLinePunct w:val="0"/>
              <w:bidi w:val="0"/>
              <w:adjustRightInd w:val="0"/>
              <w:snapToGrid w:val="0"/>
              <w:spacing w:before="0" w:after="0" w:line="259" w:lineRule="auto"/>
              <w:ind w:left="0" w:leftChars="0" w:right="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A</w:t>
            </w:r>
            <w:r>
              <w:rPr>
                <w:rFonts w:hint="default" w:ascii="Times New Roman" w:hAnsi="Times New Roman" w:eastAsia="宋体" w:cs="Times New Roman"/>
                <w:color w:val="auto"/>
                <w:kern w:val="0"/>
                <w:sz w:val="21"/>
                <w:szCs w:val="21"/>
                <w:vertAlign w:val="subscript"/>
                <w:lang w:val="en-US" w:eastAsia="zh-CN" w:bidi="ar-SA"/>
              </w:rPr>
              <w:t>atm</w:t>
            </w:r>
            <w:r>
              <w:rPr>
                <w:rFonts w:hint="default" w:ascii="Times New Roman" w:hAnsi="Times New Roman" w:eastAsia="宋体" w:cs="Times New Roman"/>
                <w:color w:val="auto"/>
                <w:kern w:val="0"/>
                <w:sz w:val="21"/>
                <w:szCs w:val="21"/>
                <w:lang w:val="en-US" w:eastAsia="zh-CN" w:bidi="ar-SA"/>
              </w:rPr>
              <w:t>=α×（r-ro）×10</w:t>
            </w:r>
            <w:r>
              <w:rPr>
                <w:rFonts w:hint="default" w:ascii="Times New Roman" w:hAnsi="Times New Roman" w:eastAsia="宋体" w:cs="Times New Roman"/>
                <w:color w:val="auto"/>
                <w:kern w:val="0"/>
                <w:sz w:val="21"/>
                <w:szCs w:val="21"/>
                <w:vertAlign w:val="superscript"/>
                <w:lang w:val="en-US" w:eastAsia="zh-CN" w:bidi="ar-SA"/>
              </w:rPr>
              <w:t>-3</w:t>
            </w:r>
          </w:p>
          <w:p w14:paraId="284F87E3">
            <w:pPr>
              <w:keepNext w:val="0"/>
              <w:keepLines w:val="0"/>
              <w:pageBreakBefore w:val="0"/>
              <w:kinsoku/>
              <w:wordWrap/>
              <w:overflowPunct/>
              <w:topLinePunct w:val="0"/>
              <w:bidi w:val="0"/>
              <w:adjustRightInd w:val="0"/>
              <w:snapToGrid w:val="0"/>
              <w:spacing w:line="360" w:lineRule="auto"/>
              <w:ind w:left="0" w:leftChars="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式中：</w:t>
            </w:r>
          </w:p>
          <w:p w14:paraId="72D76016">
            <w:pPr>
              <w:keepNext w:val="0"/>
              <w:keepLines w:val="0"/>
              <w:pageBreakBefore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w:t>
            </w:r>
            <w:r>
              <w:rPr>
                <w:rFonts w:hint="default" w:ascii="Times New Roman" w:hAnsi="Times New Roman" w:eastAsia="宋体" w:cs="Times New Roman"/>
                <w:color w:val="auto"/>
                <w:sz w:val="21"/>
                <w:szCs w:val="21"/>
                <w:vertAlign w:val="subscript"/>
              </w:rPr>
              <w:t>atm</w:t>
            </w:r>
            <w:r>
              <w:rPr>
                <w:rFonts w:hint="default" w:ascii="Times New Roman" w:hAnsi="Times New Roman" w:eastAsia="宋体" w:cs="Times New Roman"/>
                <w:color w:val="auto"/>
                <w:sz w:val="21"/>
                <w:szCs w:val="21"/>
              </w:rPr>
              <w:t>—大气吸收引起的衰减，dB；</w:t>
            </w:r>
          </w:p>
          <w:p w14:paraId="7CD51A4C">
            <w:pPr>
              <w:keepNext w:val="0"/>
              <w:keepLines w:val="0"/>
              <w:pageBreakBefore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α—与温度、湿度和声波频率有关的大气吸收衰减系数，预测计算中一般根据建设项目所处区域常年平均气温和湿度选择相应的大气吸收衰减系数，本次取2.8；</w:t>
            </w:r>
          </w:p>
          <w:p w14:paraId="369A4F6D">
            <w:pPr>
              <w:keepNext w:val="0"/>
              <w:keepLines w:val="0"/>
              <w:pageBreakBefore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r——预测点距声源的距离；</w:t>
            </w:r>
          </w:p>
          <w:p w14:paraId="455E1715">
            <w:pPr>
              <w:keepNext w:val="0"/>
              <w:keepLines w:val="0"/>
              <w:pageBreakBefore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r</w:t>
            </w:r>
            <w:r>
              <w:rPr>
                <w:rFonts w:hint="default" w:ascii="Times New Roman" w:hAnsi="Times New Roman" w:eastAsia="宋体" w:cs="Times New Roman"/>
                <w:color w:val="auto"/>
                <w:sz w:val="21"/>
                <w:szCs w:val="21"/>
                <w:vertAlign w:val="subscript"/>
              </w:rPr>
              <w:t>0</w:t>
            </w:r>
            <w:r>
              <w:rPr>
                <w:rFonts w:hint="default" w:ascii="Times New Roman" w:hAnsi="Times New Roman" w:eastAsia="宋体" w:cs="Times New Roman"/>
                <w:color w:val="auto"/>
                <w:sz w:val="21"/>
                <w:szCs w:val="21"/>
              </w:rPr>
              <w:t>——参考位置距声源的距离。</w:t>
            </w:r>
          </w:p>
          <w:p w14:paraId="4B1BA37E">
            <w:pPr>
              <w:keepNext w:val="0"/>
              <w:keepLines w:val="0"/>
              <w:pageBreakBefore w:val="0"/>
              <w:kinsoku/>
              <w:wordWrap/>
              <w:overflowPunct/>
              <w:topLinePunct w:val="0"/>
              <w:bidi w:val="0"/>
              <w:adjustRightInd w:val="0"/>
              <w:snapToGrid w:val="0"/>
              <w:spacing w:line="360" w:lineRule="auto"/>
              <w:ind w:left="0" w:leftChars="0" w:right="0" w:firstLine="482"/>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2333625" cy="314325"/>
                  <wp:effectExtent l="0" t="0" r="13335" b="571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30"/>
                          <a:stretch>
                            <a:fillRect/>
                          </a:stretch>
                        </pic:blipFill>
                        <pic:spPr>
                          <a:xfrm>
                            <a:off x="0" y="0"/>
                            <a:ext cx="2333625" cy="314325"/>
                          </a:xfrm>
                          <a:prstGeom prst="rect">
                            <a:avLst/>
                          </a:prstGeom>
                          <a:noFill/>
                          <a:ln>
                            <a:noFill/>
                          </a:ln>
                        </pic:spPr>
                      </pic:pic>
                    </a:graphicData>
                  </a:graphic>
                </wp:inline>
              </w:drawing>
            </w:r>
          </w:p>
          <w:p w14:paraId="5CF9D138">
            <w:pPr>
              <w:keepNext w:val="0"/>
              <w:keepLines w:val="0"/>
              <w:pageBreakBefore w:val="0"/>
              <w:kinsoku/>
              <w:wordWrap/>
              <w:overflowPunct/>
              <w:topLinePunct w:val="0"/>
              <w:bidi w:val="0"/>
              <w:adjustRightInd w:val="0"/>
              <w:snapToGrid w:val="0"/>
              <w:spacing w:line="360" w:lineRule="auto"/>
              <w:ind w:left="0" w:leftChars="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式中：</w:t>
            </w:r>
          </w:p>
          <w:p w14:paraId="454CA69D">
            <w:pPr>
              <w:keepNext w:val="0"/>
              <w:keepLines w:val="0"/>
              <w:pageBreakBefore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Lp(r)——预测点处声压级，dB；</w:t>
            </w:r>
          </w:p>
          <w:p w14:paraId="79C211F0">
            <w:pPr>
              <w:keepNext w:val="0"/>
              <w:keepLines w:val="0"/>
              <w:pageBreakBefore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Lp(r</w:t>
            </w:r>
            <w:r>
              <w:rPr>
                <w:rFonts w:hint="default" w:ascii="Times New Roman" w:hAnsi="Times New Roman" w:eastAsia="宋体" w:cs="Times New Roman"/>
                <w:color w:val="auto"/>
                <w:sz w:val="21"/>
                <w:szCs w:val="21"/>
                <w:vertAlign w:val="subscript"/>
              </w:rPr>
              <w:t>0</w:t>
            </w:r>
            <w:r>
              <w:rPr>
                <w:rFonts w:hint="default" w:ascii="Times New Roman" w:hAnsi="Times New Roman" w:eastAsia="宋体" w:cs="Times New Roman"/>
                <w:color w:val="auto"/>
                <w:sz w:val="21"/>
                <w:szCs w:val="21"/>
              </w:rPr>
              <w:t>)——参考位置r0处的声压级，dB；</w:t>
            </w:r>
          </w:p>
          <w:p w14:paraId="4181329A">
            <w:pPr>
              <w:keepNext w:val="0"/>
              <w:keepLines w:val="0"/>
              <w:pageBreakBefore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r——预测点距声源的距离；</w:t>
            </w:r>
          </w:p>
          <w:p w14:paraId="742F44CD">
            <w:pPr>
              <w:keepNext w:val="0"/>
              <w:keepLines w:val="0"/>
              <w:pageBreakBefore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r</w:t>
            </w:r>
            <w:r>
              <w:rPr>
                <w:rFonts w:hint="default" w:ascii="Times New Roman" w:hAnsi="Times New Roman" w:eastAsia="宋体" w:cs="Times New Roman"/>
                <w:color w:val="auto"/>
                <w:sz w:val="21"/>
                <w:szCs w:val="21"/>
                <w:vertAlign w:val="subscript"/>
              </w:rPr>
              <w:t>0</w:t>
            </w:r>
            <w:r>
              <w:rPr>
                <w:rFonts w:hint="default" w:ascii="Times New Roman" w:hAnsi="Times New Roman" w:eastAsia="宋体" w:cs="Times New Roman"/>
                <w:color w:val="auto"/>
                <w:sz w:val="21"/>
                <w:szCs w:val="21"/>
              </w:rPr>
              <w:t>——参考位置距声源的距离。</w:t>
            </w:r>
          </w:p>
          <w:p w14:paraId="2E016C17">
            <w:pPr>
              <w:keepNext w:val="0"/>
              <w:keepLines w:val="0"/>
              <w:pageBreakBefore w:val="0"/>
              <w:widowControl/>
              <w:kinsoku/>
              <w:wordWrap/>
              <w:overflowPunct/>
              <w:topLinePunct w:val="0"/>
              <w:bidi w:val="0"/>
              <w:adjustRightInd w:val="0"/>
              <w:snapToGrid w:val="0"/>
              <w:spacing w:before="0" w:after="0" w:line="259" w:lineRule="auto"/>
              <w:ind w:left="0" w:leftChars="0" w:right="0" w:firstLine="422" w:firstLineChars="200"/>
              <w:jc w:val="left"/>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⑥预测点的等效声级贡献值</w:t>
            </w:r>
          </w:p>
          <w:p w14:paraId="50C8456B">
            <w:pPr>
              <w:keepNext w:val="0"/>
              <w:keepLines w:val="0"/>
              <w:pageBreakBefore w:val="0"/>
              <w:kinsoku/>
              <w:wordWrap/>
              <w:overflowPunct/>
              <w:topLinePunct w:val="0"/>
              <w:bidi w:val="0"/>
              <w:adjustRightInd w:val="0"/>
              <w:snapToGrid w:val="0"/>
              <w:spacing w:line="360" w:lineRule="auto"/>
              <w:ind w:left="0" w:leftChars="0"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anchor distT="0" distB="0" distL="114300" distR="114300" simplePos="0" relativeHeight="251659264" behindDoc="0" locked="0" layoutInCell="1" allowOverlap="1">
                  <wp:simplePos x="0" y="0"/>
                  <wp:positionH relativeFrom="column">
                    <wp:posOffset>797560</wp:posOffset>
                  </wp:positionH>
                  <wp:positionV relativeFrom="paragraph">
                    <wp:posOffset>635</wp:posOffset>
                  </wp:positionV>
                  <wp:extent cx="3475990" cy="838200"/>
                  <wp:effectExtent l="0" t="0" r="13970" b="0"/>
                  <wp:wrapTopAndBottom/>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31"/>
                          <a:stretch>
                            <a:fillRect/>
                          </a:stretch>
                        </pic:blipFill>
                        <pic:spPr>
                          <a:xfrm>
                            <a:off x="0" y="0"/>
                            <a:ext cx="3475990" cy="838200"/>
                          </a:xfrm>
                          <a:prstGeom prst="rect">
                            <a:avLst/>
                          </a:prstGeom>
                          <a:noFill/>
                          <a:ln>
                            <a:noFill/>
                          </a:ln>
                        </pic:spPr>
                      </pic:pic>
                    </a:graphicData>
                  </a:graphic>
                </wp:anchor>
              </w:drawing>
            </w:r>
            <w:r>
              <w:rPr>
                <w:rFonts w:hint="default" w:ascii="Times New Roman" w:hAnsi="Times New Roman" w:eastAsia="宋体" w:cs="Times New Roman"/>
                <w:color w:val="auto"/>
                <w:sz w:val="21"/>
                <w:szCs w:val="21"/>
              </w:rPr>
              <w:t>式中：</w:t>
            </w:r>
          </w:p>
          <w:p w14:paraId="6BD5BCF2">
            <w:pPr>
              <w:keepNext w:val="0"/>
              <w:keepLines w:val="0"/>
              <w:pageBreakBefore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w:t>
            </w:r>
            <w:r>
              <w:rPr>
                <w:rFonts w:hint="default" w:ascii="Times New Roman" w:hAnsi="Times New Roman" w:eastAsia="宋体" w:cs="Times New Roman"/>
                <w:color w:val="auto"/>
                <w:sz w:val="21"/>
                <w:szCs w:val="21"/>
                <w:vertAlign w:val="subscript"/>
              </w:rPr>
              <w:t>eqg</w:t>
            </w:r>
            <w:r>
              <w:rPr>
                <w:rFonts w:hint="default" w:ascii="Times New Roman" w:hAnsi="Times New Roman" w:eastAsia="宋体" w:cs="Times New Roman"/>
                <w:color w:val="auto"/>
                <w:sz w:val="21"/>
                <w:szCs w:val="21"/>
              </w:rPr>
              <w:t>—建设项目声源在预测点的等效声级贡献值，dB(A)；</w:t>
            </w:r>
          </w:p>
          <w:p w14:paraId="1A6FD6B4">
            <w:pPr>
              <w:keepNext w:val="0"/>
              <w:keepLines w:val="0"/>
              <w:pageBreakBefore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w:t>
            </w:r>
            <w:r>
              <w:rPr>
                <w:rFonts w:hint="default" w:ascii="Times New Roman" w:hAnsi="Times New Roman" w:eastAsia="宋体" w:cs="Times New Roman"/>
                <w:color w:val="auto"/>
                <w:sz w:val="21"/>
                <w:szCs w:val="21"/>
                <w:vertAlign w:val="subscript"/>
              </w:rPr>
              <w:t>Ai</w:t>
            </w:r>
            <w:r>
              <w:rPr>
                <w:rFonts w:hint="default" w:ascii="Times New Roman" w:hAnsi="Times New Roman" w:eastAsia="宋体" w:cs="Times New Roman"/>
                <w:color w:val="auto"/>
                <w:sz w:val="21"/>
                <w:szCs w:val="21"/>
              </w:rPr>
              <w:t>—i声源在预测点产生的A声级，dB(A)；</w:t>
            </w:r>
          </w:p>
          <w:p w14:paraId="4DAADA04">
            <w:pPr>
              <w:keepNext w:val="0"/>
              <w:keepLines w:val="0"/>
              <w:pageBreakBefore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it—i声源在T时间段内的运行时间，S；</w:t>
            </w:r>
          </w:p>
          <w:p w14:paraId="24E78FAE">
            <w:pPr>
              <w:keepNext w:val="0"/>
              <w:keepLines w:val="0"/>
              <w:pageBreakBefore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w:t>
            </w:r>
            <w:r>
              <w:rPr>
                <w:rFonts w:hint="default" w:ascii="Times New Roman" w:hAnsi="Times New Roman" w:eastAsia="宋体" w:cs="Times New Roman"/>
                <w:color w:val="auto"/>
                <w:sz w:val="21"/>
                <w:szCs w:val="21"/>
                <w:vertAlign w:val="subscript"/>
              </w:rPr>
              <w:t>j</w:t>
            </w:r>
            <w:r>
              <w:rPr>
                <w:rFonts w:hint="default" w:ascii="Times New Roman" w:hAnsi="Times New Roman" w:eastAsia="宋体" w:cs="Times New Roman"/>
                <w:color w:val="auto"/>
                <w:sz w:val="21"/>
                <w:szCs w:val="21"/>
              </w:rPr>
              <w:t>—在T时间内j声源工作时间，s；</w:t>
            </w:r>
          </w:p>
          <w:p w14:paraId="38B248E7">
            <w:pPr>
              <w:keepNext w:val="0"/>
              <w:keepLines w:val="0"/>
              <w:pageBreakBefore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w:t>
            </w:r>
            <w:r>
              <w:rPr>
                <w:rFonts w:hint="default" w:ascii="Times New Roman" w:hAnsi="Times New Roman" w:eastAsia="宋体" w:cs="Times New Roman"/>
                <w:color w:val="auto"/>
                <w:sz w:val="21"/>
                <w:szCs w:val="21"/>
                <w:vertAlign w:val="subscript"/>
              </w:rPr>
              <w:t>i</w:t>
            </w:r>
            <w:r>
              <w:rPr>
                <w:rFonts w:hint="default" w:ascii="Times New Roman" w:hAnsi="Times New Roman" w:eastAsia="宋体" w:cs="Times New Roman"/>
                <w:color w:val="auto"/>
                <w:sz w:val="21"/>
                <w:szCs w:val="21"/>
              </w:rPr>
              <w:t>—在T时间内i声源工作时间，s；</w:t>
            </w:r>
          </w:p>
          <w:p w14:paraId="5ECEAE3F">
            <w:pPr>
              <w:keepNext w:val="0"/>
              <w:keepLines w:val="0"/>
              <w:pageBreakBefore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T—用于计算等效声级的时间，s；</w:t>
            </w:r>
          </w:p>
          <w:p w14:paraId="192B5FA4">
            <w:pPr>
              <w:keepNext w:val="0"/>
              <w:keepLines w:val="0"/>
              <w:pageBreakBefore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N—室外声源个数；</w:t>
            </w:r>
          </w:p>
          <w:p w14:paraId="57149964">
            <w:pPr>
              <w:keepNext w:val="0"/>
              <w:keepLines w:val="0"/>
              <w:pageBreakBefore w:val="0"/>
              <w:kinsoku/>
              <w:wordWrap/>
              <w:overflowPunct/>
              <w:topLinePunct w:val="0"/>
              <w:bidi w:val="0"/>
              <w:adjustRightInd w:val="0"/>
              <w:snapToGrid w:val="0"/>
              <w:spacing w:line="360" w:lineRule="auto"/>
              <w:ind w:left="0" w:leftChars="0" w:right="0" w:firstLine="482"/>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M—等效室外声源个</w:t>
            </w:r>
            <w:r>
              <w:rPr>
                <w:rFonts w:hint="eastAsia" w:eastAsia="宋体" w:cs="Times New Roman"/>
                <w:color w:val="auto"/>
                <w:sz w:val="21"/>
                <w:szCs w:val="21"/>
                <w:lang w:eastAsia="zh-CN"/>
              </w:rPr>
              <w:t>。</w:t>
            </w:r>
          </w:p>
          <w:p w14:paraId="0BE29157">
            <w:pPr>
              <w:keepNext w:val="0"/>
              <w:keepLines w:val="0"/>
              <w:pageBreakBefore w:val="0"/>
              <w:widowControl/>
              <w:kinsoku/>
              <w:wordWrap/>
              <w:overflowPunct/>
              <w:topLinePunct w:val="0"/>
              <w:bidi w:val="0"/>
              <w:adjustRightInd w:val="0"/>
              <w:snapToGrid w:val="0"/>
              <w:spacing w:before="0" w:after="0" w:line="360" w:lineRule="auto"/>
              <w:ind w:left="0" w:leftChars="0" w:right="0" w:firstLine="422" w:firstLineChars="200"/>
              <w:jc w:val="both"/>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⑦噪声预测值</w:t>
            </w:r>
          </w:p>
          <w:p w14:paraId="0C853414">
            <w:pPr>
              <w:keepNext w:val="0"/>
              <w:keepLines w:val="0"/>
              <w:pageBreakBefore w:val="0"/>
              <w:widowControl/>
              <w:kinsoku/>
              <w:wordWrap/>
              <w:overflowPunct/>
              <w:topLinePunct w:val="0"/>
              <w:bidi w:val="0"/>
              <w:adjustRightInd w:val="0"/>
              <w:snapToGrid w:val="0"/>
              <w:spacing w:before="0" w:after="0" w:line="259" w:lineRule="auto"/>
              <w:ind w:left="0" w:leftChars="0" w:right="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drawing>
                <wp:inline distT="0" distB="0" distL="114300" distR="114300">
                  <wp:extent cx="2505075" cy="419100"/>
                  <wp:effectExtent l="0" t="0" r="9525" b="762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32"/>
                          <a:stretch>
                            <a:fillRect/>
                          </a:stretch>
                        </pic:blipFill>
                        <pic:spPr>
                          <a:xfrm>
                            <a:off x="0" y="0"/>
                            <a:ext cx="2505075" cy="419100"/>
                          </a:xfrm>
                          <a:prstGeom prst="rect">
                            <a:avLst/>
                          </a:prstGeom>
                          <a:noFill/>
                          <a:ln>
                            <a:noFill/>
                          </a:ln>
                        </pic:spPr>
                      </pic:pic>
                    </a:graphicData>
                  </a:graphic>
                </wp:inline>
              </w:drawing>
            </w:r>
          </w:p>
          <w:p w14:paraId="11DBE589">
            <w:pPr>
              <w:keepNext w:val="0"/>
              <w:keepLines w:val="0"/>
              <w:pageBreakBefore w:val="0"/>
              <w:kinsoku/>
              <w:wordWrap/>
              <w:overflowPunct/>
              <w:topLinePunct w:val="0"/>
              <w:bidi w:val="0"/>
              <w:adjustRightInd w:val="0"/>
              <w:snapToGrid w:val="0"/>
              <w:spacing w:line="360" w:lineRule="auto"/>
              <w:ind w:left="0" w:leftChars="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式中：</w:t>
            </w:r>
          </w:p>
          <w:p w14:paraId="2537278D">
            <w:pPr>
              <w:keepNext w:val="0"/>
              <w:keepLines w:val="0"/>
              <w:pageBreakBefore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w:t>
            </w:r>
            <w:r>
              <w:rPr>
                <w:rFonts w:hint="default" w:ascii="Times New Roman" w:hAnsi="Times New Roman" w:eastAsia="宋体" w:cs="Times New Roman"/>
                <w:color w:val="auto"/>
                <w:sz w:val="21"/>
                <w:szCs w:val="21"/>
                <w:vertAlign w:val="subscript"/>
              </w:rPr>
              <w:t>eq</w:t>
            </w:r>
            <w:r>
              <w:rPr>
                <w:rFonts w:hint="default" w:ascii="Times New Roman" w:hAnsi="Times New Roman" w:eastAsia="宋体" w:cs="Times New Roman"/>
                <w:color w:val="auto"/>
                <w:sz w:val="21"/>
                <w:szCs w:val="21"/>
              </w:rPr>
              <w:t>—预测点的噪声预测值，dB；</w:t>
            </w:r>
          </w:p>
          <w:p w14:paraId="3E0CB105">
            <w:pPr>
              <w:keepNext w:val="0"/>
              <w:keepLines w:val="0"/>
              <w:pageBreakBefore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w:t>
            </w:r>
            <w:r>
              <w:rPr>
                <w:rFonts w:hint="default" w:ascii="Times New Roman" w:hAnsi="Times New Roman" w:eastAsia="宋体" w:cs="Times New Roman"/>
                <w:color w:val="auto"/>
                <w:sz w:val="21"/>
                <w:szCs w:val="21"/>
                <w:vertAlign w:val="subscript"/>
              </w:rPr>
              <w:t>eqg</w:t>
            </w:r>
            <w:r>
              <w:rPr>
                <w:rFonts w:hint="default" w:ascii="Times New Roman" w:hAnsi="Times New Roman" w:eastAsia="宋体" w:cs="Times New Roman"/>
                <w:color w:val="auto"/>
                <w:sz w:val="21"/>
                <w:szCs w:val="21"/>
              </w:rPr>
              <w:t>—建设项目声源在预测点产生的噪声贡献值，dB；</w:t>
            </w:r>
          </w:p>
          <w:p w14:paraId="4E27DFFF">
            <w:pPr>
              <w:keepNext w:val="0"/>
              <w:keepLines w:val="0"/>
              <w:pageBreakBefore w:val="0"/>
              <w:kinsoku/>
              <w:wordWrap/>
              <w:overflowPunct/>
              <w:topLinePunct w:val="0"/>
              <w:bidi w:val="0"/>
              <w:adjustRightInd w:val="0"/>
              <w:snapToGrid w:val="0"/>
              <w:spacing w:line="360" w:lineRule="auto"/>
              <w:ind w:left="0" w:leftChars="0" w:right="0" w:firstLine="482"/>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L</w:t>
            </w:r>
            <w:r>
              <w:rPr>
                <w:rFonts w:hint="default" w:ascii="Times New Roman" w:hAnsi="Times New Roman" w:eastAsia="宋体" w:cs="Times New Roman"/>
                <w:color w:val="auto"/>
                <w:sz w:val="21"/>
                <w:szCs w:val="21"/>
                <w:vertAlign w:val="subscript"/>
              </w:rPr>
              <w:t>eqb</w:t>
            </w:r>
            <w:r>
              <w:rPr>
                <w:rFonts w:hint="default" w:ascii="Times New Roman" w:hAnsi="Times New Roman" w:eastAsia="宋体" w:cs="Times New Roman"/>
                <w:color w:val="auto"/>
                <w:sz w:val="21"/>
                <w:szCs w:val="21"/>
              </w:rPr>
              <w:t>—预测点的背景噪声值，dB。</w:t>
            </w:r>
          </w:p>
          <w:p w14:paraId="008D44D0">
            <w:pPr>
              <w:keepNext w:val="0"/>
              <w:keepLines w:val="0"/>
              <w:pageBreakBefore w:val="0"/>
              <w:kinsoku/>
              <w:wordWrap/>
              <w:overflowPunct/>
              <w:topLinePunct w:val="0"/>
              <w:bidi w:val="0"/>
              <w:adjustRightInd w:val="0"/>
              <w:snapToGrid w:val="0"/>
              <w:spacing w:line="360" w:lineRule="auto"/>
              <w:ind w:left="0" w:leftChars="0" w:right="0" w:firstLine="422"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预测结果分析</w:t>
            </w:r>
          </w:p>
          <w:p w14:paraId="3F5625A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22"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①</w:t>
            </w:r>
            <w:r>
              <w:rPr>
                <w:rFonts w:hint="default" w:ascii="Times New Roman" w:hAnsi="Times New Roman" w:eastAsia="宋体" w:cs="Times New Roman"/>
                <w:b/>
                <w:bCs/>
                <w:color w:val="auto"/>
                <w:sz w:val="21"/>
                <w:szCs w:val="21"/>
              </w:rPr>
              <w:t>噪声源强</w:t>
            </w:r>
          </w:p>
          <w:p w14:paraId="0D8DA03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20" w:firstLineChars="200"/>
              <w:textAlignment w:val="auto"/>
            </w:pPr>
            <w:r>
              <w:rPr>
                <w:rFonts w:hint="default" w:ascii="Times New Roman" w:hAnsi="Times New Roman" w:eastAsia="宋体" w:cs="Times New Roman"/>
                <w:color w:val="auto"/>
                <w:sz w:val="21"/>
                <w:szCs w:val="21"/>
              </w:rPr>
              <w:t>见表4-</w:t>
            </w:r>
            <w:r>
              <w:rPr>
                <w:rFonts w:hint="eastAsia" w:cs="Times New Roman"/>
                <w:color w:val="auto"/>
                <w:sz w:val="21"/>
                <w:szCs w:val="21"/>
                <w:lang w:val="en-US" w:eastAsia="zh-CN"/>
              </w:rPr>
              <w:t>8</w:t>
            </w:r>
            <w:r>
              <w:rPr>
                <w:rFonts w:hint="default" w:ascii="Times New Roman" w:hAnsi="Times New Roman" w:eastAsia="宋体" w:cs="Times New Roman"/>
                <w:color w:val="auto"/>
                <w:sz w:val="21"/>
                <w:szCs w:val="21"/>
              </w:rPr>
              <w:t>。</w:t>
            </w:r>
          </w:p>
        </w:tc>
      </w:tr>
    </w:tbl>
    <w:p w14:paraId="4935CC1F">
      <w:pPr>
        <w:rPr>
          <w:color w:val="auto"/>
        </w:rPr>
        <w:sectPr>
          <w:pgSz w:w="11907" w:h="16840"/>
          <w:pgMar w:top="1701" w:right="1531" w:bottom="2127" w:left="1531" w:header="851" w:footer="851" w:gutter="0"/>
          <w:cols w:space="720" w:num="1"/>
          <w:docGrid w:linePitch="312" w:charSpace="0"/>
        </w:sectPr>
      </w:pPr>
    </w:p>
    <w:p w14:paraId="0528AFC8">
      <w:pPr>
        <w:rPr>
          <w:color w:val="auto"/>
        </w:rPr>
      </w:pPr>
    </w:p>
    <w:tbl>
      <w:tblPr>
        <w:tblStyle w:val="29"/>
        <w:tblW w:w="1411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3417"/>
      </w:tblGrid>
      <w:tr w14:paraId="384F38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15" w:hRule="atLeast"/>
          <w:jc w:val="center"/>
        </w:trPr>
        <w:tc>
          <w:tcPr>
            <w:tcW w:w="702" w:type="dxa"/>
            <w:noWrap w:val="0"/>
            <w:tcMar>
              <w:left w:w="28" w:type="dxa"/>
              <w:right w:w="28" w:type="dxa"/>
            </w:tcMar>
            <w:vAlign w:val="center"/>
          </w:tcPr>
          <w:p w14:paraId="1EA151AC">
            <w:pPr>
              <w:adjustRightInd w:val="0"/>
              <w:snapToGrid w:val="0"/>
              <w:jc w:val="center"/>
              <w:rPr>
                <w:rFonts w:hint="eastAsia" w:ascii="宋体" w:hAnsi="宋体" w:cs="宋体"/>
                <w:bCs/>
                <w:color w:val="auto"/>
                <w:szCs w:val="21"/>
              </w:rPr>
            </w:pPr>
            <w:r>
              <w:rPr>
                <w:rFonts w:hint="eastAsia" w:ascii="宋体" w:hAnsi="宋体" w:cs="宋体"/>
                <w:bCs/>
                <w:color w:val="auto"/>
                <w:szCs w:val="21"/>
              </w:rPr>
              <w:t>运营</w:t>
            </w:r>
          </w:p>
          <w:p w14:paraId="42DC8065">
            <w:pPr>
              <w:adjustRightInd w:val="0"/>
              <w:snapToGrid w:val="0"/>
              <w:jc w:val="center"/>
              <w:rPr>
                <w:rFonts w:hint="eastAsia" w:ascii="宋体" w:hAnsi="宋体" w:cs="宋体"/>
                <w:bCs/>
                <w:color w:val="auto"/>
                <w:szCs w:val="21"/>
              </w:rPr>
            </w:pPr>
            <w:r>
              <w:rPr>
                <w:rFonts w:hint="eastAsia" w:ascii="宋体" w:hAnsi="宋体" w:cs="宋体"/>
                <w:bCs/>
                <w:color w:val="auto"/>
                <w:szCs w:val="21"/>
              </w:rPr>
              <w:t>期环</w:t>
            </w:r>
          </w:p>
          <w:p w14:paraId="762EC593">
            <w:pPr>
              <w:adjustRightInd w:val="0"/>
              <w:snapToGrid w:val="0"/>
              <w:jc w:val="center"/>
              <w:rPr>
                <w:rFonts w:hint="eastAsia" w:ascii="宋体" w:hAnsi="宋体" w:cs="宋体"/>
                <w:bCs/>
                <w:color w:val="auto"/>
                <w:szCs w:val="21"/>
              </w:rPr>
            </w:pPr>
            <w:r>
              <w:rPr>
                <w:rFonts w:hint="eastAsia" w:ascii="宋体" w:hAnsi="宋体" w:cs="宋体"/>
                <w:bCs/>
                <w:color w:val="auto"/>
                <w:szCs w:val="21"/>
              </w:rPr>
              <w:t>境影</w:t>
            </w:r>
          </w:p>
          <w:p w14:paraId="711D39B5">
            <w:pPr>
              <w:adjustRightInd w:val="0"/>
              <w:snapToGrid w:val="0"/>
              <w:jc w:val="center"/>
              <w:rPr>
                <w:rFonts w:hint="eastAsia" w:ascii="宋体" w:hAnsi="宋体" w:cs="宋体"/>
                <w:bCs/>
                <w:color w:val="auto"/>
                <w:szCs w:val="21"/>
              </w:rPr>
            </w:pPr>
            <w:r>
              <w:rPr>
                <w:rFonts w:hint="eastAsia" w:ascii="宋体" w:hAnsi="宋体" w:cs="宋体"/>
                <w:bCs/>
                <w:color w:val="auto"/>
                <w:szCs w:val="21"/>
              </w:rPr>
              <w:t>响和</w:t>
            </w:r>
          </w:p>
          <w:p w14:paraId="512FA833">
            <w:pPr>
              <w:adjustRightInd w:val="0"/>
              <w:snapToGrid w:val="0"/>
              <w:jc w:val="center"/>
              <w:rPr>
                <w:rFonts w:hint="eastAsia" w:ascii="宋体" w:hAnsi="宋体" w:cs="宋体"/>
                <w:bCs/>
                <w:color w:val="auto"/>
                <w:szCs w:val="21"/>
              </w:rPr>
            </w:pPr>
            <w:r>
              <w:rPr>
                <w:rFonts w:hint="eastAsia" w:ascii="宋体" w:hAnsi="宋体" w:cs="宋体"/>
                <w:bCs/>
                <w:color w:val="auto"/>
                <w:szCs w:val="21"/>
              </w:rPr>
              <w:t>保护</w:t>
            </w:r>
          </w:p>
          <w:p w14:paraId="29BC9ABF">
            <w:pPr>
              <w:adjustRightInd w:val="0"/>
              <w:snapToGrid w:val="0"/>
              <w:jc w:val="center"/>
              <w:rPr>
                <w:rFonts w:hint="eastAsia" w:ascii="宋体" w:hAnsi="宋体" w:cs="宋体"/>
                <w:bCs/>
                <w:color w:val="auto"/>
                <w:szCs w:val="21"/>
              </w:rPr>
            </w:pPr>
            <w:r>
              <w:rPr>
                <w:rFonts w:hint="eastAsia" w:ascii="宋体" w:hAnsi="宋体" w:cs="宋体"/>
                <w:bCs/>
                <w:color w:val="auto"/>
                <w:szCs w:val="21"/>
              </w:rPr>
              <w:t>措施</w:t>
            </w:r>
          </w:p>
        </w:tc>
        <w:tc>
          <w:tcPr>
            <w:tcW w:w="13417" w:type="dxa"/>
            <w:noWrap w:val="0"/>
            <w:vAlign w:val="top"/>
          </w:tcPr>
          <w:p w14:paraId="2659A5E0">
            <w:pPr>
              <w:widowControl w:val="0"/>
              <w:spacing w:line="360" w:lineRule="auto"/>
              <w:ind w:firstLine="422" w:firstLineChars="200"/>
              <w:jc w:val="center"/>
              <w:rPr>
                <w:rFonts w:ascii="Times New Roman" w:hAnsi="Times New Roman" w:eastAsia="宋体" w:cs="Times New Roman"/>
                <w:b/>
                <w:bCs/>
                <w:color w:val="auto"/>
                <w:kern w:val="2"/>
                <w:sz w:val="21"/>
                <w:szCs w:val="21"/>
                <w:lang w:val="en-US" w:eastAsia="zh-CN" w:bidi="ar-SA"/>
              </w:rPr>
            </w:pPr>
            <w:r>
              <w:rPr>
                <w:rFonts w:ascii="Times New Roman" w:hAnsi="Times New Roman" w:eastAsia="宋体" w:cs="Times New Roman"/>
                <w:b/>
                <w:bCs/>
                <w:color w:val="auto"/>
                <w:kern w:val="2"/>
                <w:sz w:val="21"/>
                <w:szCs w:val="21"/>
                <w:lang w:val="en-US" w:eastAsia="zh-CN" w:bidi="ar-SA"/>
              </w:rPr>
              <w:t>表4-</w:t>
            </w:r>
            <w:r>
              <w:rPr>
                <w:rFonts w:hint="eastAsia" w:cs="Times New Roman"/>
                <w:b/>
                <w:bCs/>
                <w:color w:val="auto"/>
                <w:kern w:val="2"/>
                <w:sz w:val="21"/>
                <w:szCs w:val="21"/>
                <w:lang w:val="en-US" w:eastAsia="zh-CN" w:bidi="ar-SA"/>
              </w:rPr>
              <w:t>10</w:t>
            </w:r>
            <w:r>
              <w:rPr>
                <w:rFonts w:ascii="Times New Roman" w:hAnsi="Times New Roman" w:eastAsia="宋体" w:cs="Times New Roman"/>
                <w:b/>
                <w:bCs/>
                <w:color w:val="auto"/>
                <w:kern w:val="2"/>
                <w:sz w:val="21"/>
                <w:szCs w:val="21"/>
                <w:lang w:val="en-US" w:eastAsia="zh-CN" w:bidi="ar-SA"/>
              </w:rPr>
              <w:t xml:space="preserve">  工业企业噪声源强调查清单（室内声源）</w:t>
            </w:r>
          </w:p>
          <w:tbl>
            <w:tblPr>
              <w:tblStyle w:val="29"/>
              <w:tblW w:w="499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20"/>
              <w:gridCol w:w="873"/>
              <w:gridCol w:w="1924"/>
              <w:gridCol w:w="1191"/>
              <w:gridCol w:w="1125"/>
              <w:gridCol w:w="640"/>
              <w:gridCol w:w="793"/>
              <w:gridCol w:w="838"/>
              <w:gridCol w:w="482"/>
              <w:gridCol w:w="943"/>
              <w:gridCol w:w="859"/>
              <w:gridCol w:w="603"/>
              <w:gridCol w:w="885"/>
              <w:gridCol w:w="867"/>
              <w:gridCol w:w="619"/>
            </w:tblGrid>
            <w:tr w14:paraId="078472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197" w:type="pct"/>
                  <w:vMerge w:val="restart"/>
                  <w:noWrap w:val="0"/>
                  <w:vAlign w:val="center"/>
                </w:tcPr>
                <w:p w14:paraId="1F39475D">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331" w:type="pct"/>
                  <w:vMerge w:val="restart"/>
                  <w:noWrap w:val="0"/>
                  <w:vAlign w:val="center"/>
                </w:tcPr>
                <w:p w14:paraId="6524C482">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建筑物名称</w:t>
                  </w:r>
                </w:p>
              </w:tc>
              <w:tc>
                <w:tcPr>
                  <w:tcW w:w="730" w:type="pct"/>
                  <w:vMerge w:val="restart"/>
                  <w:noWrap w:val="0"/>
                  <w:vAlign w:val="center"/>
                </w:tcPr>
                <w:p w14:paraId="420F3399">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声源名称</w:t>
                  </w:r>
                </w:p>
              </w:tc>
              <w:tc>
                <w:tcPr>
                  <w:tcW w:w="452" w:type="pct"/>
                  <w:vMerge w:val="restart"/>
                  <w:noWrap w:val="0"/>
                  <w:vAlign w:val="center"/>
                </w:tcPr>
                <w:p w14:paraId="4B51D726">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型号</w:t>
                  </w:r>
                </w:p>
              </w:tc>
              <w:tc>
                <w:tcPr>
                  <w:tcW w:w="427" w:type="pct"/>
                  <w:noWrap w:val="0"/>
                  <w:vAlign w:val="center"/>
                </w:tcPr>
                <w:p w14:paraId="1448455F">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声源源强</w:t>
                  </w:r>
                </w:p>
              </w:tc>
              <w:tc>
                <w:tcPr>
                  <w:tcW w:w="243" w:type="pct"/>
                  <w:vMerge w:val="restart"/>
                  <w:noWrap w:val="0"/>
                  <w:vAlign w:val="center"/>
                </w:tcPr>
                <w:p w14:paraId="135A03CD">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eastAsia="en-US"/>
                    </w:rPr>
                  </w:pPr>
                  <w:r>
                    <w:rPr>
                      <w:rFonts w:hint="default" w:ascii="Times New Roman" w:hAnsi="Times New Roman" w:eastAsia="宋体" w:cs="Times New Roman"/>
                      <w:color w:val="auto"/>
                      <w:sz w:val="21"/>
                      <w:szCs w:val="21"/>
                    </w:rPr>
                    <w:t>声源控制措施</w:t>
                  </w:r>
                </w:p>
              </w:tc>
              <w:tc>
                <w:tcPr>
                  <w:tcW w:w="802" w:type="pct"/>
                  <w:gridSpan w:val="3"/>
                  <w:noWrap w:val="0"/>
                  <w:vAlign w:val="center"/>
                </w:tcPr>
                <w:p w14:paraId="1860354C">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空间相对位置/m</w:t>
                  </w:r>
                </w:p>
              </w:tc>
              <w:tc>
                <w:tcPr>
                  <w:tcW w:w="358" w:type="pct"/>
                  <w:vMerge w:val="restart"/>
                  <w:noWrap w:val="0"/>
                  <w:vAlign w:val="center"/>
                </w:tcPr>
                <w:p w14:paraId="23460FBB">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kern w:val="0"/>
                      <w:sz w:val="21"/>
                      <w:szCs w:val="21"/>
                      <w:lang w:eastAsia="en-US"/>
                    </w:rPr>
                    <w:t>距室内边界距离/m</w:t>
                  </w:r>
                </w:p>
              </w:tc>
              <w:tc>
                <w:tcPr>
                  <w:tcW w:w="326" w:type="pct"/>
                  <w:vMerge w:val="restart"/>
                  <w:noWrap w:val="0"/>
                  <w:vAlign w:val="center"/>
                </w:tcPr>
                <w:p w14:paraId="25B7B12A">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kern w:val="0"/>
                      <w:sz w:val="21"/>
                      <w:szCs w:val="21"/>
                      <w:lang w:eastAsia="en-US"/>
                    </w:rPr>
                    <w:t>室内边界声级/dB(A)</w:t>
                  </w:r>
                </w:p>
              </w:tc>
              <w:tc>
                <w:tcPr>
                  <w:tcW w:w="229" w:type="pct"/>
                  <w:vMerge w:val="restart"/>
                  <w:noWrap w:val="0"/>
                  <w:vAlign w:val="center"/>
                </w:tcPr>
                <w:p w14:paraId="2633B7A0">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运行时段h/a</w:t>
                  </w:r>
                </w:p>
              </w:tc>
              <w:tc>
                <w:tcPr>
                  <w:tcW w:w="336" w:type="pct"/>
                  <w:vMerge w:val="restart"/>
                  <w:noWrap w:val="0"/>
                  <w:vAlign w:val="center"/>
                </w:tcPr>
                <w:p w14:paraId="739904C1">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kern w:val="0"/>
                      <w:sz w:val="21"/>
                      <w:szCs w:val="21"/>
                      <w:lang w:eastAsia="en-US"/>
                    </w:rPr>
                    <w:t>建筑物插入损失/dB(A)</w:t>
                  </w:r>
                </w:p>
              </w:tc>
              <w:tc>
                <w:tcPr>
                  <w:tcW w:w="564" w:type="pct"/>
                  <w:gridSpan w:val="2"/>
                  <w:noWrap w:val="0"/>
                  <w:vAlign w:val="center"/>
                </w:tcPr>
                <w:p w14:paraId="46A9579C">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bCs/>
                      <w:color w:val="auto"/>
                      <w:kern w:val="0"/>
                      <w:sz w:val="21"/>
                      <w:szCs w:val="21"/>
                      <w:lang w:eastAsia="en-US"/>
                    </w:rPr>
                  </w:pPr>
                  <w:r>
                    <w:rPr>
                      <w:rFonts w:hint="default" w:ascii="Times New Roman" w:hAnsi="Times New Roman" w:eastAsia="宋体" w:cs="Times New Roman"/>
                      <w:bCs/>
                      <w:color w:val="auto"/>
                      <w:kern w:val="0"/>
                      <w:sz w:val="21"/>
                      <w:szCs w:val="21"/>
                      <w:lang w:eastAsia="en-US"/>
                    </w:rPr>
                    <w:t>建筑物外噪声</w:t>
                  </w:r>
                </w:p>
              </w:tc>
            </w:tr>
            <w:tr w14:paraId="7FA849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97" w:type="pct"/>
                  <w:vMerge w:val="continue"/>
                  <w:noWrap w:val="0"/>
                  <w:vAlign w:val="center"/>
                </w:tcPr>
                <w:p w14:paraId="4A380C81">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331" w:type="pct"/>
                  <w:vMerge w:val="continue"/>
                  <w:noWrap w:val="0"/>
                  <w:vAlign w:val="center"/>
                </w:tcPr>
                <w:p w14:paraId="71B54BFE">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730" w:type="pct"/>
                  <w:vMerge w:val="continue"/>
                  <w:noWrap w:val="0"/>
                  <w:vAlign w:val="center"/>
                </w:tcPr>
                <w:p w14:paraId="3BBCA195">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452" w:type="pct"/>
                  <w:vMerge w:val="continue"/>
                  <w:noWrap w:val="0"/>
                  <w:vAlign w:val="center"/>
                </w:tcPr>
                <w:p w14:paraId="3609C0CB">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427" w:type="pct"/>
                  <w:noWrap w:val="0"/>
                  <w:vAlign w:val="center"/>
                </w:tcPr>
                <w:p w14:paraId="4F8B8A9F">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eastAsia="en-US"/>
                    </w:rPr>
                    <w:t>声功率级/dB(A)</w:t>
                  </w:r>
                </w:p>
              </w:tc>
              <w:tc>
                <w:tcPr>
                  <w:tcW w:w="243" w:type="pct"/>
                  <w:vMerge w:val="continue"/>
                  <w:noWrap w:val="0"/>
                  <w:vAlign w:val="center"/>
                </w:tcPr>
                <w:p w14:paraId="70A1B397">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eastAsia="en-US"/>
                    </w:rPr>
                  </w:pPr>
                </w:p>
              </w:tc>
              <w:tc>
                <w:tcPr>
                  <w:tcW w:w="301" w:type="pct"/>
                  <w:noWrap w:val="0"/>
                  <w:vAlign w:val="center"/>
                </w:tcPr>
                <w:p w14:paraId="469E8352">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X</w:t>
                  </w:r>
                </w:p>
              </w:tc>
              <w:tc>
                <w:tcPr>
                  <w:tcW w:w="318" w:type="pct"/>
                  <w:noWrap w:val="0"/>
                  <w:vAlign w:val="center"/>
                </w:tcPr>
                <w:p w14:paraId="18190E7B">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w:t>
                  </w:r>
                </w:p>
              </w:tc>
              <w:tc>
                <w:tcPr>
                  <w:tcW w:w="183" w:type="pct"/>
                  <w:noWrap w:val="0"/>
                  <w:vAlign w:val="center"/>
                </w:tcPr>
                <w:p w14:paraId="73A678FA">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Z</w:t>
                  </w:r>
                </w:p>
              </w:tc>
              <w:tc>
                <w:tcPr>
                  <w:tcW w:w="358" w:type="pct"/>
                  <w:vMerge w:val="continue"/>
                  <w:noWrap w:val="0"/>
                  <w:vAlign w:val="center"/>
                </w:tcPr>
                <w:p w14:paraId="2801C72C">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326" w:type="pct"/>
                  <w:vMerge w:val="continue"/>
                  <w:noWrap w:val="0"/>
                  <w:vAlign w:val="center"/>
                </w:tcPr>
                <w:p w14:paraId="002D873C">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229" w:type="pct"/>
                  <w:vMerge w:val="continue"/>
                  <w:noWrap w:val="0"/>
                  <w:vAlign w:val="center"/>
                </w:tcPr>
                <w:p w14:paraId="56D0884A">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336" w:type="pct"/>
                  <w:vMerge w:val="continue"/>
                  <w:noWrap w:val="0"/>
                  <w:vAlign w:val="center"/>
                </w:tcPr>
                <w:p w14:paraId="4C9F5E15">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329" w:type="pct"/>
                  <w:noWrap w:val="0"/>
                  <w:vAlign w:val="center"/>
                </w:tcPr>
                <w:p w14:paraId="5546C2E6">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eastAsia="en-US"/>
                    </w:rPr>
                    <w:t>声压级/dB(A)</w:t>
                  </w:r>
                </w:p>
              </w:tc>
              <w:tc>
                <w:tcPr>
                  <w:tcW w:w="235" w:type="pct"/>
                  <w:noWrap w:val="0"/>
                  <w:vAlign w:val="center"/>
                </w:tcPr>
                <w:p w14:paraId="2B4F3D47">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bCs/>
                      <w:color w:val="auto"/>
                      <w:kern w:val="0"/>
                      <w:sz w:val="21"/>
                      <w:szCs w:val="21"/>
                      <w:lang w:eastAsia="en-US"/>
                    </w:rPr>
                    <w:t>建筑物外</w:t>
                  </w:r>
                  <w:r>
                    <w:rPr>
                      <w:rFonts w:hint="default" w:ascii="Times New Roman" w:hAnsi="Times New Roman" w:eastAsia="宋体" w:cs="Times New Roman"/>
                      <w:bCs/>
                      <w:color w:val="auto"/>
                      <w:kern w:val="0"/>
                      <w:sz w:val="21"/>
                      <w:szCs w:val="21"/>
                    </w:rPr>
                    <w:t>距离</w:t>
                  </w:r>
                </w:p>
              </w:tc>
            </w:tr>
            <w:tr w14:paraId="43E343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97" w:type="pct"/>
                  <w:noWrap w:val="0"/>
                  <w:vAlign w:val="center"/>
                </w:tcPr>
                <w:p w14:paraId="056844FD">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31" w:type="pct"/>
                  <w:vMerge w:val="restart"/>
                  <w:noWrap w:val="0"/>
                  <w:vAlign w:val="center"/>
                </w:tcPr>
                <w:p w14:paraId="453DC941">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生产</w:t>
                  </w:r>
                  <w:r>
                    <w:rPr>
                      <w:rFonts w:hint="default" w:ascii="Times New Roman" w:hAnsi="Times New Roman" w:eastAsia="宋体" w:cs="Times New Roman"/>
                      <w:color w:val="auto"/>
                      <w:kern w:val="2"/>
                      <w:sz w:val="21"/>
                      <w:szCs w:val="21"/>
                      <w:lang w:val="en-US" w:eastAsia="zh-CN" w:bidi="ar-SA"/>
                    </w:rPr>
                    <w:t>车间</w:t>
                  </w:r>
                </w:p>
              </w:tc>
              <w:tc>
                <w:tcPr>
                  <w:tcW w:w="730" w:type="pct"/>
                  <w:noWrap w:val="0"/>
                  <w:vAlign w:val="center"/>
                </w:tcPr>
                <w:p w14:paraId="05E2E459">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kern w:val="2"/>
                      <w:sz w:val="21"/>
                      <w:szCs w:val="21"/>
                      <w:lang w:val="en-US" w:eastAsia="zh-CN" w:bidi="ar-SA"/>
                    </w:rPr>
                    <w:t>搅拌机</w:t>
                  </w:r>
                </w:p>
              </w:tc>
              <w:tc>
                <w:tcPr>
                  <w:tcW w:w="452" w:type="pct"/>
                  <w:noWrap w:val="0"/>
                  <w:vAlign w:val="center"/>
                </w:tcPr>
                <w:p w14:paraId="1E159463">
                  <w:pPr>
                    <w:pStyle w:val="39"/>
                    <w:bidi w:val="0"/>
                    <w:ind w:firstLine="0" w:firstLineChars="0"/>
                    <w:jc w:val="center"/>
                    <w:rPr>
                      <w:rFonts w:hint="default" w:ascii="Times New Roman" w:hAnsi="Times New Roman" w:eastAsia="宋体" w:cs="Times New Roman"/>
                      <w:color w:val="auto"/>
                      <w:sz w:val="21"/>
                      <w:szCs w:val="21"/>
                      <w:lang w:eastAsia="zh-CN"/>
                    </w:rPr>
                  </w:pPr>
                  <w:r>
                    <w:rPr>
                      <w:rFonts w:hint="eastAsia"/>
                      <w:color w:val="auto"/>
                      <w:lang w:val="en-US" w:eastAsia="zh-CN"/>
                    </w:rPr>
                    <w:t>10KW</w:t>
                  </w:r>
                </w:p>
              </w:tc>
              <w:tc>
                <w:tcPr>
                  <w:tcW w:w="427" w:type="pct"/>
                  <w:noWrap w:val="0"/>
                  <w:vAlign w:val="center"/>
                </w:tcPr>
                <w:p w14:paraId="47A001EC">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SA"/>
                    </w:rPr>
                    <w:t>80</w:t>
                  </w:r>
                </w:p>
              </w:tc>
              <w:tc>
                <w:tcPr>
                  <w:tcW w:w="243" w:type="pct"/>
                  <w:vMerge w:val="restart"/>
                  <w:noWrap w:val="0"/>
                  <w:vAlign w:val="center"/>
                </w:tcPr>
                <w:p w14:paraId="1650991A">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val="zh-CN"/>
                    </w:rPr>
                    <w:t>厂房隔声、</w:t>
                  </w:r>
                  <w:r>
                    <w:rPr>
                      <w:rFonts w:hint="default" w:ascii="Times New Roman" w:hAnsi="Times New Roman" w:eastAsia="宋体" w:cs="Times New Roman"/>
                      <w:color w:val="auto"/>
                      <w:sz w:val="21"/>
                      <w:szCs w:val="21"/>
                      <w:lang w:val="en-US" w:eastAsia="zh-CN"/>
                    </w:rPr>
                    <w:t>基础</w:t>
                  </w:r>
                  <w:r>
                    <w:rPr>
                      <w:rFonts w:hint="default" w:ascii="Times New Roman" w:hAnsi="Times New Roman" w:eastAsia="宋体" w:cs="Times New Roman"/>
                      <w:color w:val="auto"/>
                      <w:sz w:val="21"/>
                      <w:szCs w:val="21"/>
                      <w:lang w:val="zh-CN"/>
                    </w:rPr>
                    <w:t>减震</w:t>
                  </w:r>
                </w:p>
              </w:tc>
              <w:tc>
                <w:tcPr>
                  <w:tcW w:w="802" w:type="pct"/>
                  <w:gridSpan w:val="3"/>
                  <w:noWrap w:val="0"/>
                  <w:vAlign w:val="center"/>
                </w:tcPr>
                <w:p w14:paraId="5E0CDC32">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{58.81,9.22,1}</w:t>
                  </w:r>
                </w:p>
              </w:tc>
              <w:tc>
                <w:tcPr>
                  <w:tcW w:w="358" w:type="pct"/>
                  <w:noWrap w:val="0"/>
                  <w:vAlign w:val="center"/>
                </w:tcPr>
                <w:p w14:paraId="30DE0F62">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6.12</w:t>
                  </w:r>
                </w:p>
              </w:tc>
              <w:tc>
                <w:tcPr>
                  <w:tcW w:w="326" w:type="pct"/>
                  <w:noWrap w:val="0"/>
                  <w:vAlign w:val="center"/>
                </w:tcPr>
                <w:p w14:paraId="6B626496">
                  <w:pPr>
                    <w:keepNext w:val="0"/>
                    <w:keepLines w:val="0"/>
                    <w:widowControl/>
                    <w:suppressLineNumbers w:val="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 xml:space="preserve">64.26 </w:t>
                  </w:r>
                </w:p>
              </w:tc>
              <w:tc>
                <w:tcPr>
                  <w:tcW w:w="229" w:type="pct"/>
                  <w:vMerge w:val="restart"/>
                  <w:noWrap w:val="0"/>
                  <w:vAlign w:val="center"/>
                </w:tcPr>
                <w:p w14:paraId="371F5D90">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24</w:t>
                  </w:r>
                  <w:r>
                    <w:rPr>
                      <w:rFonts w:hint="default" w:ascii="Times New Roman" w:hAnsi="Times New Roman" w:eastAsia="宋体" w:cs="Times New Roman"/>
                      <w:color w:val="auto"/>
                      <w:sz w:val="21"/>
                      <w:szCs w:val="21"/>
                    </w:rPr>
                    <w:t>00</w:t>
                  </w:r>
                </w:p>
              </w:tc>
              <w:tc>
                <w:tcPr>
                  <w:tcW w:w="336" w:type="pct"/>
                  <w:noWrap w:val="0"/>
                  <w:vAlign w:val="center"/>
                </w:tcPr>
                <w:p w14:paraId="292D07D2">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329" w:type="pct"/>
                  <w:noWrap w:val="0"/>
                  <w:vAlign w:val="center"/>
                </w:tcPr>
                <w:p w14:paraId="1E25FA78">
                  <w:pPr>
                    <w:keepNext w:val="0"/>
                    <w:keepLines w:val="0"/>
                    <w:widowControl/>
                    <w:suppressLineNumbers w:val="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 xml:space="preserve">49.26 </w:t>
                  </w:r>
                </w:p>
              </w:tc>
              <w:tc>
                <w:tcPr>
                  <w:tcW w:w="235" w:type="pct"/>
                  <w:noWrap w:val="0"/>
                  <w:vAlign w:val="center"/>
                </w:tcPr>
                <w:p w14:paraId="1B36027A">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2DD369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97" w:type="pct"/>
                  <w:noWrap w:val="0"/>
                  <w:vAlign w:val="center"/>
                </w:tcPr>
                <w:p w14:paraId="2F388440">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331" w:type="pct"/>
                  <w:vMerge w:val="continue"/>
                  <w:noWrap w:val="0"/>
                  <w:vAlign w:val="center"/>
                </w:tcPr>
                <w:p w14:paraId="6EDBA503">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p>
              </w:tc>
              <w:tc>
                <w:tcPr>
                  <w:tcW w:w="730" w:type="pct"/>
                  <w:noWrap w:val="0"/>
                  <w:vAlign w:val="center"/>
                </w:tcPr>
                <w:p w14:paraId="02969BB0">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搅拌机</w:t>
                  </w:r>
                </w:p>
              </w:tc>
              <w:tc>
                <w:tcPr>
                  <w:tcW w:w="452" w:type="pct"/>
                  <w:noWrap w:val="0"/>
                  <w:vAlign w:val="center"/>
                </w:tcPr>
                <w:p w14:paraId="5444A9B3">
                  <w:pPr>
                    <w:pStyle w:val="39"/>
                    <w:bidi w:val="0"/>
                    <w:ind w:firstLine="0" w:firstLineChars="0"/>
                    <w:jc w:val="center"/>
                    <w:rPr>
                      <w:rFonts w:hint="default" w:ascii="Times New Roman" w:hAnsi="Times New Roman" w:eastAsia="宋体" w:cs="Times New Roman"/>
                      <w:bCs/>
                      <w:color w:val="auto"/>
                      <w:sz w:val="21"/>
                      <w:szCs w:val="21"/>
                      <w:lang w:val="en-US" w:eastAsia="zh-CN"/>
                    </w:rPr>
                  </w:pPr>
                  <w:r>
                    <w:rPr>
                      <w:rFonts w:hint="eastAsia"/>
                      <w:color w:val="auto"/>
                      <w:lang w:val="en-US" w:eastAsia="zh-CN"/>
                    </w:rPr>
                    <w:t>10KW</w:t>
                  </w:r>
                </w:p>
              </w:tc>
              <w:tc>
                <w:tcPr>
                  <w:tcW w:w="427" w:type="pct"/>
                  <w:noWrap w:val="0"/>
                  <w:vAlign w:val="center"/>
                </w:tcPr>
                <w:p w14:paraId="5DAAC49C">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SA"/>
                    </w:rPr>
                    <w:t>80</w:t>
                  </w:r>
                </w:p>
              </w:tc>
              <w:tc>
                <w:tcPr>
                  <w:tcW w:w="243" w:type="pct"/>
                  <w:vMerge w:val="continue"/>
                  <w:noWrap w:val="0"/>
                  <w:vAlign w:val="center"/>
                </w:tcPr>
                <w:p w14:paraId="4D320F5E">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lang w:val="zh-CN"/>
                    </w:rPr>
                  </w:pPr>
                </w:p>
              </w:tc>
              <w:tc>
                <w:tcPr>
                  <w:tcW w:w="802" w:type="pct"/>
                  <w:gridSpan w:val="3"/>
                  <w:noWrap w:val="0"/>
                  <w:vAlign w:val="center"/>
                </w:tcPr>
                <w:p w14:paraId="7ACE0CF3">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{59.55,2.39,1}</w:t>
                  </w:r>
                </w:p>
              </w:tc>
              <w:tc>
                <w:tcPr>
                  <w:tcW w:w="358" w:type="pct"/>
                  <w:noWrap w:val="0"/>
                  <w:vAlign w:val="center"/>
                </w:tcPr>
                <w:p w14:paraId="32EDA1C7">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6.12</w:t>
                  </w:r>
                </w:p>
              </w:tc>
              <w:tc>
                <w:tcPr>
                  <w:tcW w:w="326" w:type="pct"/>
                  <w:noWrap w:val="0"/>
                  <w:vAlign w:val="center"/>
                </w:tcPr>
                <w:p w14:paraId="03F01C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64.26 </w:t>
                  </w:r>
                </w:p>
              </w:tc>
              <w:tc>
                <w:tcPr>
                  <w:tcW w:w="229" w:type="pct"/>
                  <w:vMerge w:val="continue"/>
                  <w:noWrap w:val="0"/>
                  <w:vAlign w:val="center"/>
                </w:tcPr>
                <w:p w14:paraId="3F5977D8">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p>
              </w:tc>
              <w:tc>
                <w:tcPr>
                  <w:tcW w:w="336" w:type="pct"/>
                  <w:noWrap w:val="0"/>
                  <w:vAlign w:val="center"/>
                </w:tcPr>
                <w:p w14:paraId="2EF6386A">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329" w:type="pct"/>
                  <w:noWrap w:val="0"/>
                  <w:vAlign w:val="center"/>
                </w:tcPr>
                <w:p w14:paraId="520D4A5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49.26 </w:t>
                  </w:r>
                </w:p>
              </w:tc>
              <w:tc>
                <w:tcPr>
                  <w:tcW w:w="235" w:type="pct"/>
                  <w:noWrap w:val="0"/>
                  <w:vAlign w:val="center"/>
                </w:tcPr>
                <w:p w14:paraId="234A98E7">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6A97A0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97" w:type="pct"/>
                  <w:noWrap w:val="0"/>
                  <w:vAlign w:val="center"/>
                </w:tcPr>
                <w:p w14:paraId="5FA8CF49">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331" w:type="pct"/>
                  <w:vMerge w:val="continue"/>
                  <w:noWrap w:val="0"/>
                  <w:vAlign w:val="center"/>
                </w:tcPr>
                <w:p w14:paraId="43655849">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p>
              </w:tc>
              <w:tc>
                <w:tcPr>
                  <w:tcW w:w="730" w:type="pct"/>
                  <w:noWrap w:val="0"/>
                  <w:vAlign w:val="center"/>
                </w:tcPr>
                <w:p w14:paraId="576EF5F9">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对辊机</w:t>
                  </w:r>
                </w:p>
              </w:tc>
              <w:tc>
                <w:tcPr>
                  <w:tcW w:w="452" w:type="pct"/>
                  <w:noWrap w:val="0"/>
                  <w:vAlign w:val="center"/>
                </w:tcPr>
                <w:p w14:paraId="070E2E9A">
                  <w:pPr>
                    <w:bidi w:val="0"/>
                    <w:ind w:firstLine="0" w:firstLineChars="0"/>
                    <w:jc w:val="center"/>
                    <w:rPr>
                      <w:rFonts w:hint="default" w:ascii="Times New Roman" w:hAnsi="Times New Roman" w:eastAsia="宋体" w:cs="Times New Roman"/>
                      <w:bCs/>
                      <w:color w:val="auto"/>
                      <w:sz w:val="21"/>
                      <w:szCs w:val="21"/>
                      <w:lang w:val="en-US" w:eastAsia="zh-CN"/>
                    </w:rPr>
                  </w:pPr>
                  <w:r>
                    <w:rPr>
                      <w:rFonts w:hint="eastAsia"/>
                      <w:color w:val="auto"/>
                      <w:lang w:val="en-US" w:eastAsia="zh-CN"/>
                    </w:rPr>
                    <w:t>45KW</w:t>
                  </w:r>
                </w:p>
              </w:tc>
              <w:tc>
                <w:tcPr>
                  <w:tcW w:w="427" w:type="pct"/>
                  <w:noWrap w:val="0"/>
                  <w:vAlign w:val="center"/>
                </w:tcPr>
                <w:p w14:paraId="6C1901C8">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SA"/>
                    </w:rPr>
                    <w:t>90</w:t>
                  </w:r>
                </w:p>
              </w:tc>
              <w:tc>
                <w:tcPr>
                  <w:tcW w:w="243" w:type="pct"/>
                  <w:vMerge w:val="continue"/>
                  <w:noWrap w:val="0"/>
                  <w:vAlign w:val="center"/>
                </w:tcPr>
                <w:p w14:paraId="015ACC22">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lang w:val="zh-CN"/>
                    </w:rPr>
                  </w:pPr>
                </w:p>
              </w:tc>
              <w:tc>
                <w:tcPr>
                  <w:tcW w:w="802" w:type="pct"/>
                  <w:gridSpan w:val="3"/>
                  <w:noWrap w:val="0"/>
                  <w:vAlign w:val="center"/>
                </w:tcPr>
                <w:p w14:paraId="6DF4CB3F">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{58.81,-4.07,1}</w:t>
                  </w:r>
                </w:p>
              </w:tc>
              <w:tc>
                <w:tcPr>
                  <w:tcW w:w="358" w:type="pct"/>
                  <w:noWrap w:val="0"/>
                  <w:vAlign w:val="center"/>
                </w:tcPr>
                <w:p w14:paraId="4C9B30B7">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6.12</w:t>
                  </w:r>
                </w:p>
              </w:tc>
              <w:tc>
                <w:tcPr>
                  <w:tcW w:w="326" w:type="pct"/>
                  <w:noWrap w:val="0"/>
                  <w:vAlign w:val="center"/>
                </w:tcPr>
                <w:p w14:paraId="2DE363B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64.26 </w:t>
                  </w:r>
                </w:p>
              </w:tc>
              <w:tc>
                <w:tcPr>
                  <w:tcW w:w="229" w:type="pct"/>
                  <w:vMerge w:val="continue"/>
                  <w:noWrap w:val="0"/>
                  <w:vAlign w:val="center"/>
                </w:tcPr>
                <w:p w14:paraId="375FFEF1">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p>
              </w:tc>
              <w:tc>
                <w:tcPr>
                  <w:tcW w:w="336" w:type="pct"/>
                  <w:noWrap w:val="0"/>
                  <w:vAlign w:val="center"/>
                </w:tcPr>
                <w:p w14:paraId="755ACBBE">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329" w:type="pct"/>
                  <w:noWrap w:val="0"/>
                  <w:vAlign w:val="center"/>
                </w:tcPr>
                <w:p w14:paraId="16085D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49.26 </w:t>
                  </w:r>
                </w:p>
              </w:tc>
              <w:tc>
                <w:tcPr>
                  <w:tcW w:w="235" w:type="pct"/>
                  <w:noWrap w:val="0"/>
                  <w:vAlign w:val="center"/>
                </w:tcPr>
                <w:p w14:paraId="0194FACD">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493368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97" w:type="pct"/>
                  <w:noWrap w:val="0"/>
                  <w:vAlign w:val="center"/>
                </w:tcPr>
                <w:p w14:paraId="1CBDA109">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331" w:type="pct"/>
                  <w:vMerge w:val="continue"/>
                  <w:noWrap w:val="0"/>
                  <w:vAlign w:val="center"/>
                </w:tcPr>
                <w:p w14:paraId="2E1A64D9">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p>
              </w:tc>
              <w:tc>
                <w:tcPr>
                  <w:tcW w:w="730" w:type="pct"/>
                  <w:noWrap w:val="0"/>
                  <w:vAlign w:val="center"/>
                </w:tcPr>
                <w:p w14:paraId="4C912DC9">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对辊机</w:t>
                  </w:r>
                </w:p>
              </w:tc>
              <w:tc>
                <w:tcPr>
                  <w:tcW w:w="452" w:type="pct"/>
                  <w:noWrap w:val="0"/>
                  <w:vAlign w:val="center"/>
                </w:tcPr>
                <w:p w14:paraId="20374E6C">
                  <w:pPr>
                    <w:bidi w:val="0"/>
                    <w:ind w:firstLine="0" w:firstLineChars="0"/>
                    <w:jc w:val="center"/>
                    <w:rPr>
                      <w:rFonts w:hint="default" w:ascii="Times New Roman" w:hAnsi="Times New Roman" w:eastAsia="宋体" w:cs="Times New Roman"/>
                      <w:bCs/>
                      <w:color w:val="auto"/>
                      <w:sz w:val="21"/>
                      <w:szCs w:val="21"/>
                      <w:lang w:val="en-US" w:eastAsia="zh-CN"/>
                    </w:rPr>
                  </w:pPr>
                  <w:r>
                    <w:rPr>
                      <w:rFonts w:hint="eastAsia"/>
                      <w:color w:val="auto"/>
                      <w:lang w:val="en-US" w:eastAsia="zh-CN"/>
                    </w:rPr>
                    <w:t>45KW</w:t>
                  </w:r>
                </w:p>
              </w:tc>
              <w:tc>
                <w:tcPr>
                  <w:tcW w:w="427" w:type="pct"/>
                  <w:noWrap w:val="0"/>
                  <w:vAlign w:val="center"/>
                </w:tcPr>
                <w:p w14:paraId="15EE81B1">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SA"/>
                    </w:rPr>
                    <w:t>90</w:t>
                  </w:r>
                </w:p>
              </w:tc>
              <w:tc>
                <w:tcPr>
                  <w:tcW w:w="243" w:type="pct"/>
                  <w:vMerge w:val="continue"/>
                  <w:noWrap w:val="0"/>
                  <w:vAlign w:val="center"/>
                </w:tcPr>
                <w:p w14:paraId="15B46F4C">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lang w:val="zh-CN"/>
                    </w:rPr>
                  </w:pPr>
                </w:p>
              </w:tc>
              <w:tc>
                <w:tcPr>
                  <w:tcW w:w="802" w:type="pct"/>
                  <w:gridSpan w:val="3"/>
                  <w:noWrap w:val="0"/>
                  <w:vAlign w:val="center"/>
                </w:tcPr>
                <w:p w14:paraId="052B922A">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{53.27,13.83,1}</w:t>
                  </w:r>
                </w:p>
              </w:tc>
              <w:tc>
                <w:tcPr>
                  <w:tcW w:w="358" w:type="pct"/>
                  <w:noWrap w:val="0"/>
                  <w:vAlign w:val="center"/>
                </w:tcPr>
                <w:p w14:paraId="579D2A07">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w:t>
                  </w:r>
                </w:p>
              </w:tc>
              <w:tc>
                <w:tcPr>
                  <w:tcW w:w="326" w:type="pct"/>
                  <w:noWrap w:val="0"/>
                  <w:vAlign w:val="center"/>
                </w:tcPr>
                <w:p w14:paraId="35F7AC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76.38 </w:t>
                  </w:r>
                </w:p>
              </w:tc>
              <w:tc>
                <w:tcPr>
                  <w:tcW w:w="229" w:type="pct"/>
                  <w:vMerge w:val="continue"/>
                  <w:noWrap w:val="0"/>
                  <w:vAlign w:val="center"/>
                </w:tcPr>
                <w:p w14:paraId="588CAAEE">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p>
              </w:tc>
              <w:tc>
                <w:tcPr>
                  <w:tcW w:w="336" w:type="pct"/>
                  <w:noWrap w:val="0"/>
                  <w:vAlign w:val="center"/>
                </w:tcPr>
                <w:p w14:paraId="3AACC1B7">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329" w:type="pct"/>
                  <w:noWrap w:val="0"/>
                  <w:vAlign w:val="center"/>
                </w:tcPr>
                <w:p w14:paraId="06CA129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61.38 </w:t>
                  </w:r>
                </w:p>
              </w:tc>
              <w:tc>
                <w:tcPr>
                  <w:tcW w:w="235" w:type="pct"/>
                  <w:noWrap w:val="0"/>
                  <w:vAlign w:val="center"/>
                </w:tcPr>
                <w:p w14:paraId="443C7315">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2D2029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97" w:type="pct"/>
                  <w:noWrap w:val="0"/>
                  <w:vAlign w:val="center"/>
                </w:tcPr>
                <w:p w14:paraId="14DA446F">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5</w:t>
                  </w:r>
                </w:p>
              </w:tc>
              <w:tc>
                <w:tcPr>
                  <w:tcW w:w="331" w:type="pct"/>
                  <w:vMerge w:val="continue"/>
                  <w:noWrap w:val="0"/>
                  <w:vAlign w:val="center"/>
                </w:tcPr>
                <w:p w14:paraId="18989008">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730" w:type="pct"/>
                  <w:noWrap w:val="0"/>
                  <w:vAlign w:val="center"/>
                </w:tcPr>
                <w:p w14:paraId="18541D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真空成型机</w:t>
                  </w:r>
                </w:p>
              </w:tc>
              <w:tc>
                <w:tcPr>
                  <w:tcW w:w="452" w:type="pct"/>
                  <w:noWrap w:val="0"/>
                  <w:vAlign w:val="center"/>
                </w:tcPr>
                <w:p w14:paraId="7846130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eastAsia"/>
                      <w:color w:val="auto"/>
                      <w:lang w:val="en-US" w:eastAsia="zh-CN"/>
                    </w:rPr>
                    <w:t>250型</w:t>
                  </w:r>
                </w:p>
              </w:tc>
              <w:tc>
                <w:tcPr>
                  <w:tcW w:w="427" w:type="pct"/>
                  <w:noWrap w:val="0"/>
                  <w:vAlign w:val="center"/>
                </w:tcPr>
                <w:p w14:paraId="202FEA78">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jc w:val="center"/>
                    <w:textAlignment w:val="auto"/>
                    <w:rPr>
                      <w:rFonts w:hint="default" w:ascii="Times New Roman" w:hAnsi="Times New Roman" w:eastAsia="宋体" w:cs="Times New Roman"/>
                      <w:color w:val="auto"/>
                      <w:kern w:val="0"/>
                      <w:sz w:val="21"/>
                      <w:szCs w:val="21"/>
                      <w:lang w:eastAsia="zh-CN"/>
                    </w:rPr>
                  </w:pPr>
                  <w:r>
                    <w:rPr>
                      <w:rFonts w:hint="eastAsia" w:cs="Times New Roman"/>
                      <w:color w:val="auto"/>
                      <w:kern w:val="0"/>
                      <w:sz w:val="21"/>
                      <w:szCs w:val="21"/>
                      <w:lang w:val="en-US" w:eastAsia="zh-CN" w:bidi="ar-SA"/>
                    </w:rPr>
                    <w:t>90</w:t>
                  </w:r>
                </w:p>
              </w:tc>
              <w:tc>
                <w:tcPr>
                  <w:tcW w:w="243" w:type="pct"/>
                  <w:vMerge w:val="continue"/>
                  <w:noWrap w:val="0"/>
                  <w:vAlign w:val="center"/>
                </w:tcPr>
                <w:p w14:paraId="4E450420">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802" w:type="pct"/>
                  <w:gridSpan w:val="3"/>
                  <w:noWrap w:val="0"/>
                  <w:vAlign w:val="center"/>
                </w:tcPr>
                <w:p w14:paraId="556EC529">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{54.38,-7.21,1}</w:t>
                  </w:r>
                </w:p>
              </w:tc>
              <w:tc>
                <w:tcPr>
                  <w:tcW w:w="358" w:type="pct"/>
                  <w:noWrap w:val="0"/>
                  <w:vAlign w:val="center"/>
                </w:tcPr>
                <w:p w14:paraId="40DE5977">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w:t>
                  </w:r>
                </w:p>
              </w:tc>
              <w:tc>
                <w:tcPr>
                  <w:tcW w:w="326" w:type="pct"/>
                  <w:noWrap w:val="0"/>
                  <w:vAlign w:val="center"/>
                </w:tcPr>
                <w:p w14:paraId="0FA88B83">
                  <w:pPr>
                    <w:keepNext w:val="0"/>
                    <w:keepLines w:val="0"/>
                    <w:widowControl/>
                    <w:suppressLineNumbers w:val="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 xml:space="preserve">76.38 </w:t>
                  </w:r>
                </w:p>
              </w:tc>
              <w:tc>
                <w:tcPr>
                  <w:tcW w:w="229" w:type="pct"/>
                  <w:vMerge w:val="continue"/>
                  <w:noWrap w:val="0"/>
                  <w:vAlign w:val="center"/>
                </w:tcPr>
                <w:p w14:paraId="09E0DBCF">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336" w:type="pct"/>
                  <w:noWrap w:val="0"/>
                  <w:vAlign w:val="center"/>
                </w:tcPr>
                <w:p w14:paraId="7FBDCF26">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15</w:t>
                  </w:r>
                </w:p>
              </w:tc>
              <w:tc>
                <w:tcPr>
                  <w:tcW w:w="329" w:type="pct"/>
                  <w:noWrap w:val="0"/>
                  <w:vAlign w:val="center"/>
                </w:tcPr>
                <w:p w14:paraId="390E5EA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 xml:space="preserve">61.38 </w:t>
                  </w:r>
                </w:p>
              </w:tc>
              <w:tc>
                <w:tcPr>
                  <w:tcW w:w="235" w:type="pct"/>
                  <w:noWrap w:val="0"/>
                  <w:vAlign w:val="center"/>
                </w:tcPr>
                <w:p w14:paraId="13AA74C4">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1</w:t>
                  </w:r>
                </w:p>
              </w:tc>
            </w:tr>
            <w:tr w14:paraId="78FF39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97" w:type="pct"/>
                  <w:noWrap w:val="0"/>
                  <w:vAlign w:val="center"/>
                </w:tcPr>
                <w:p w14:paraId="56DA3135">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331" w:type="pct"/>
                  <w:vMerge w:val="continue"/>
                  <w:noWrap w:val="0"/>
                  <w:vAlign w:val="center"/>
                </w:tcPr>
                <w:p w14:paraId="28AEA6D9">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730" w:type="pct"/>
                  <w:noWrap w:val="0"/>
                  <w:vAlign w:val="center"/>
                </w:tcPr>
                <w:p w14:paraId="72AB9F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真空成型机</w:t>
                  </w:r>
                </w:p>
              </w:tc>
              <w:tc>
                <w:tcPr>
                  <w:tcW w:w="452" w:type="pct"/>
                  <w:noWrap w:val="0"/>
                  <w:vAlign w:val="center"/>
                </w:tcPr>
                <w:p w14:paraId="128B048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olor w:val="auto"/>
                      <w:lang w:val="en-US" w:eastAsia="zh-CN"/>
                    </w:rPr>
                    <w:t>250型</w:t>
                  </w:r>
                </w:p>
              </w:tc>
              <w:tc>
                <w:tcPr>
                  <w:tcW w:w="427" w:type="pct"/>
                  <w:noWrap w:val="0"/>
                  <w:vAlign w:val="center"/>
                </w:tcPr>
                <w:p w14:paraId="2D600E70">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jc w:val="center"/>
                    <w:textAlignment w:val="auto"/>
                    <w:rPr>
                      <w:rFonts w:hint="default" w:ascii="Times New Roman" w:hAnsi="Times New Roman" w:eastAsia="宋体" w:cs="Times New Roman"/>
                      <w:color w:val="auto"/>
                      <w:sz w:val="21"/>
                      <w:szCs w:val="21"/>
                    </w:rPr>
                  </w:pPr>
                  <w:r>
                    <w:rPr>
                      <w:rFonts w:hint="eastAsia" w:cs="Times New Roman"/>
                      <w:color w:val="auto"/>
                      <w:kern w:val="0"/>
                      <w:sz w:val="21"/>
                      <w:szCs w:val="21"/>
                      <w:lang w:val="en-US" w:eastAsia="zh-CN" w:bidi="ar-SA"/>
                    </w:rPr>
                    <w:t>90</w:t>
                  </w:r>
                </w:p>
              </w:tc>
              <w:tc>
                <w:tcPr>
                  <w:tcW w:w="243" w:type="pct"/>
                  <w:vMerge w:val="continue"/>
                  <w:noWrap w:val="0"/>
                  <w:vAlign w:val="center"/>
                </w:tcPr>
                <w:p w14:paraId="1DB5341A">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802" w:type="pct"/>
                  <w:gridSpan w:val="3"/>
                  <w:noWrap w:val="0"/>
                  <w:vAlign w:val="center"/>
                </w:tcPr>
                <w:p w14:paraId="7812BC82">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{49.21,13.09,1}</w:t>
                  </w:r>
                </w:p>
              </w:tc>
              <w:tc>
                <w:tcPr>
                  <w:tcW w:w="358" w:type="pct"/>
                  <w:noWrap w:val="0"/>
                  <w:vAlign w:val="center"/>
                </w:tcPr>
                <w:p w14:paraId="06ADB66B">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w:t>
                  </w:r>
                </w:p>
              </w:tc>
              <w:tc>
                <w:tcPr>
                  <w:tcW w:w="326" w:type="pct"/>
                  <w:noWrap w:val="0"/>
                  <w:vAlign w:val="center"/>
                </w:tcPr>
                <w:p w14:paraId="3C7A93E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76.38 </w:t>
                  </w:r>
                </w:p>
              </w:tc>
              <w:tc>
                <w:tcPr>
                  <w:tcW w:w="229" w:type="pct"/>
                  <w:vMerge w:val="continue"/>
                  <w:noWrap w:val="0"/>
                  <w:vAlign w:val="center"/>
                </w:tcPr>
                <w:p w14:paraId="08D3A00F">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336" w:type="pct"/>
                  <w:noWrap w:val="0"/>
                  <w:vAlign w:val="center"/>
                </w:tcPr>
                <w:p w14:paraId="5C2C422C">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329" w:type="pct"/>
                  <w:noWrap w:val="0"/>
                  <w:vAlign w:val="center"/>
                </w:tcPr>
                <w:p w14:paraId="392AC36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61.38 </w:t>
                  </w:r>
                </w:p>
              </w:tc>
              <w:tc>
                <w:tcPr>
                  <w:tcW w:w="235" w:type="pct"/>
                  <w:noWrap w:val="0"/>
                  <w:vAlign w:val="center"/>
                </w:tcPr>
                <w:p w14:paraId="50C21F7C">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2F307F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97" w:type="pct"/>
                  <w:noWrap w:val="0"/>
                  <w:vAlign w:val="center"/>
                </w:tcPr>
                <w:p w14:paraId="103B1414">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7</w:t>
                  </w:r>
                </w:p>
              </w:tc>
              <w:tc>
                <w:tcPr>
                  <w:tcW w:w="331" w:type="pct"/>
                  <w:vMerge w:val="continue"/>
                  <w:noWrap w:val="0"/>
                  <w:vAlign w:val="center"/>
                </w:tcPr>
                <w:p w14:paraId="76D6FFC2">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730" w:type="pct"/>
                  <w:noWrap w:val="0"/>
                  <w:vAlign w:val="center"/>
                </w:tcPr>
                <w:p w14:paraId="7F6B47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真空成型机</w:t>
                  </w:r>
                </w:p>
              </w:tc>
              <w:tc>
                <w:tcPr>
                  <w:tcW w:w="452" w:type="pct"/>
                  <w:noWrap w:val="0"/>
                  <w:vAlign w:val="center"/>
                </w:tcPr>
                <w:p w14:paraId="4957F0C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olor w:val="auto"/>
                      <w:lang w:val="en-US" w:eastAsia="zh-CN"/>
                    </w:rPr>
                    <w:t>250型</w:t>
                  </w:r>
                </w:p>
              </w:tc>
              <w:tc>
                <w:tcPr>
                  <w:tcW w:w="427" w:type="pct"/>
                  <w:noWrap w:val="0"/>
                  <w:vAlign w:val="center"/>
                </w:tcPr>
                <w:p w14:paraId="0CB0A644">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bidi="ar-SA"/>
                    </w:rPr>
                    <w:t>90</w:t>
                  </w:r>
                </w:p>
              </w:tc>
              <w:tc>
                <w:tcPr>
                  <w:tcW w:w="243" w:type="pct"/>
                  <w:vMerge w:val="continue"/>
                  <w:noWrap w:val="0"/>
                  <w:vAlign w:val="center"/>
                </w:tcPr>
                <w:p w14:paraId="77037411">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802" w:type="pct"/>
                  <w:gridSpan w:val="3"/>
                  <w:noWrap w:val="0"/>
                  <w:vAlign w:val="center"/>
                </w:tcPr>
                <w:p w14:paraId="0B4D7164">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{46.51,13.3,1}</w:t>
                  </w:r>
                </w:p>
              </w:tc>
              <w:tc>
                <w:tcPr>
                  <w:tcW w:w="358" w:type="pct"/>
                  <w:noWrap w:val="0"/>
                  <w:vAlign w:val="center"/>
                </w:tcPr>
                <w:p w14:paraId="4E5963CA">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4.8</w:t>
                  </w:r>
                </w:p>
              </w:tc>
              <w:tc>
                <w:tcPr>
                  <w:tcW w:w="326" w:type="pct"/>
                  <w:noWrap w:val="0"/>
                  <w:vAlign w:val="center"/>
                </w:tcPr>
                <w:p w14:paraId="11A0EBDB">
                  <w:pPr>
                    <w:keepNext w:val="0"/>
                    <w:keepLines w:val="0"/>
                    <w:widowControl/>
                    <w:suppressLineNumbers w:val="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 xml:space="preserve">76.38 </w:t>
                  </w:r>
                </w:p>
              </w:tc>
              <w:tc>
                <w:tcPr>
                  <w:tcW w:w="229" w:type="pct"/>
                  <w:vMerge w:val="continue"/>
                  <w:noWrap w:val="0"/>
                  <w:vAlign w:val="center"/>
                </w:tcPr>
                <w:p w14:paraId="214C8D02">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336" w:type="pct"/>
                  <w:noWrap w:val="0"/>
                  <w:vAlign w:val="center"/>
                </w:tcPr>
                <w:p w14:paraId="793410F9">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15</w:t>
                  </w:r>
                </w:p>
              </w:tc>
              <w:tc>
                <w:tcPr>
                  <w:tcW w:w="329" w:type="pct"/>
                  <w:noWrap w:val="0"/>
                  <w:vAlign w:val="center"/>
                </w:tcPr>
                <w:p w14:paraId="528B1E4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i w:val="0"/>
                      <w:iCs w:val="0"/>
                      <w:color w:val="auto"/>
                      <w:kern w:val="0"/>
                      <w:sz w:val="21"/>
                      <w:szCs w:val="21"/>
                      <w:u w:val="none"/>
                      <w:lang w:val="en-US" w:eastAsia="zh-CN" w:bidi="ar"/>
                    </w:rPr>
                    <w:t xml:space="preserve">61.38 </w:t>
                  </w:r>
                </w:p>
              </w:tc>
              <w:tc>
                <w:tcPr>
                  <w:tcW w:w="235" w:type="pct"/>
                  <w:noWrap w:val="0"/>
                  <w:vAlign w:val="center"/>
                </w:tcPr>
                <w:p w14:paraId="22F95CCB">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1</w:t>
                  </w:r>
                </w:p>
              </w:tc>
            </w:tr>
            <w:tr w14:paraId="06E1BB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97" w:type="pct"/>
                  <w:noWrap w:val="0"/>
                  <w:vAlign w:val="center"/>
                </w:tcPr>
                <w:p w14:paraId="7354CABE">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331" w:type="pct"/>
                  <w:vMerge w:val="continue"/>
                  <w:noWrap w:val="0"/>
                  <w:vAlign w:val="center"/>
                </w:tcPr>
                <w:p w14:paraId="70E6D0EF">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730" w:type="pct"/>
                  <w:noWrap w:val="0"/>
                  <w:vAlign w:val="center"/>
                </w:tcPr>
                <w:p w14:paraId="56A270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真空成型机</w:t>
                  </w:r>
                </w:p>
              </w:tc>
              <w:tc>
                <w:tcPr>
                  <w:tcW w:w="452" w:type="pct"/>
                  <w:noWrap w:val="0"/>
                  <w:vAlign w:val="center"/>
                </w:tcPr>
                <w:p w14:paraId="53AC2F2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olor w:val="auto"/>
                      <w:lang w:val="en-US" w:eastAsia="zh-CN"/>
                    </w:rPr>
                    <w:t>250型</w:t>
                  </w:r>
                </w:p>
              </w:tc>
              <w:tc>
                <w:tcPr>
                  <w:tcW w:w="427" w:type="pct"/>
                  <w:noWrap w:val="0"/>
                  <w:vAlign w:val="center"/>
                </w:tcPr>
                <w:p w14:paraId="1119AC78">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SA"/>
                    </w:rPr>
                    <w:t>90</w:t>
                  </w:r>
                </w:p>
              </w:tc>
              <w:tc>
                <w:tcPr>
                  <w:tcW w:w="243" w:type="pct"/>
                  <w:vMerge w:val="continue"/>
                  <w:noWrap w:val="0"/>
                  <w:vAlign w:val="center"/>
                </w:tcPr>
                <w:p w14:paraId="6471DF30">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802" w:type="pct"/>
                  <w:gridSpan w:val="3"/>
                  <w:noWrap w:val="0"/>
                  <w:vAlign w:val="center"/>
                </w:tcPr>
                <w:p w14:paraId="2310790A">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{43.98,13.15,1}</w:t>
                  </w:r>
                </w:p>
              </w:tc>
              <w:tc>
                <w:tcPr>
                  <w:tcW w:w="358" w:type="pct"/>
                  <w:noWrap w:val="0"/>
                  <w:vAlign w:val="center"/>
                </w:tcPr>
                <w:p w14:paraId="71C07D72">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w:t>
                  </w:r>
                </w:p>
              </w:tc>
              <w:tc>
                <w:tcPr>
                  <w:tcW w:w="326" w:type="pct"/>
                  <w:noWrap w:val="0"/>
                  <w:vAlign w:val="center"/>
                </w:tcPr>
                <w:p w14:paraId="5C7C51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76.38 </w:t>
                  </w:r>
                </w:p>
              </w:tc>
              <w:tc>
                <w:tcPr>
                  <w:tcW w:w="229" w:type="pct"/>
                  <w:vMerge w:val="continue"/>
                  <w:noWrap w:val="0"/>
                  <w:vAlign w:val="center"/>
                </w:tcPr>
                <w:p w14:paraId="0B465197">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336" w:type="pct"/>
                  <w:noWrap w:val="0"/>
                  <w:vAlign w:val="center"/>
                </w:tcPr>
                <w:p w14:paraId="3261D2C1">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329" w:type="pct"/>
                  <w:noWrap w:val="0"/>
                  <w:vAlign w:val="center"/>
                </w:tcPr>
                <w:p w14:paraId="601126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61.38 </w:t>
                  </w:r>
                </w:p>
              </w:tc>
              <w:tc>
                <w:tcPr>
                  <w:tcW w:w="235" w:type="pct"/>
                  <w:noWrap w:val="0"/>
                  <w:vAlign w:val="center"/>
                </w:tcPr>
                <w:p w14:paraId="037070AD">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4E3AFE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97" w:type="pct"/>
                  <w:noWrap w:val="0"/>
                  <w:vAlign w:val="center"/>
                </w:tcPr>
                <w:p w14:paraId="4E122FB5">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331" w:type="pct"/>
                  <w:vMerge w:val="continue"/>
                  <w:noWrap w:val="0"/>
                  <w:vAlign w:val="center"/>
                </w:tcPr>
                <w:p w14:paraId="471908E1">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730" w:type="pct"/>
                  <w:noWrap w:val="0"/>
                  <w:vAlign w:val="center"/>
                </w:tcPr>
                <w:p w14:paraId="7B3A78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分切机</w:t>
                  </w:r>
                </w:p>
              </w:tc>
              <w:tc>
                <w:tcPr>
                  <w:tcW w:w="452" w:type="pct"/>
                  <w:noWrap w:val="0"/>
                  <w:vAlign w:val="center"/>
                </w:tcPr>
                <w:p w14:paraId="6B8ADC1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 w:val="0"/>
                      <w:bCs w:val="0"/>
                      <w:color w:val="auto"/>
                      <w:sz w:val="21"/>
                      <w:szCs w:val="21"/>
                      <w:highlight w:val="none"/>
                      <w:lang w:val="en-US" w:eastAsia="zh-CN"/>
                    </w:rPr>
                    <w:t>/</w:t>
                  </w:r>
                </w:p>
              </w:tc>
              <w:tc>
                <w:tcPr>
                  <w:tcW w:w="427" w:type="pct"/>
                  <w:noWrap w:val="0"/>
                  <w:vAlign w:val="center"/>
                </w:tcPr>
                <w:p w14:paraId="4C3D8D15">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SA"/>
                    </w:rPr>
                    <w:t>85</w:t>
                  </w:r>
                </w:p>
              </w:tc>
              <w:tc>
                <w:tcPr>
                  <w:tcW w:w="243" w:type="pct"/>
                  <w:vMerge w:val="continue"/>
                  <w:noWrap w:val="0"/>
                  <w:vAlign w:val="center"/>
                </w:tcPr>
                <w:p w14:paraId="159484FE">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802" w:type="pct"/>
                  <w:gridSpan w:val="3"/>
                  <w:noWrap w:val="0"/>
                  <w:vAlign w:val="center"/>
                </w:tcPr>
                <w:p w14:paraId="537BE223">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{41.68,13.08,1}</w:t>
                  </w:r>
                </w:p>
              </w:tc>
              <w:tc>
                <w:tcPr>
                  <w:tcW w:w="358" w:type="pct"/>
                  <w:noWrap w:val="0"/>
                  <w:vAlign w:val="center"/>
                </w:tcPr>
                <w:p w14:paraId="52D3744E">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w:t>
                  </w:r>
                </w:p>
              </w:tc>
              <w:tc>
                <w:tcPr>
                  <w:tcW w:w="326" w:type="pct"/>
                  <w:noWrap w:val="0"/>
                  <w:vAlign w:val="center"/>
                </w:tcPr>
                <w:p w14:paraId="1911A1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76.38 </w:t>
                  </w:r>
                </w:p>
              </w:tc>
              <w:tc>
                <w:tcPr>
                  <w:tcW w:w="229" w:type="pct"/>
                  <w:vMerge w:val="continue"/>
                  <w:noWrap w:val="0"/>
                  <w:vAlign w:val="center"/>
                </w:tcPr>
                <w:p w14:paraId="4FD0BD91">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336" w:type="pct"/>
                  <w:noWrap w:val="0"/>
                  <w:vAlign w:val="center"/>
                </w:tcPr>
                <w:p w14:paraId="36AB3D05">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329" w:type="pct"/>
                  <w:noWrap w:val="0"/>
                  <w:vAlign w:val="center"/>
                </w:tcPr>
                <w:p w14:paraId="2211A0F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61.38 </w:t>
                  </w:r>
                </w:p>
              </w:tc>
              <w:tc>
                <w:tcPr>
                  <w:tcW w:w="235" w:type="pct"/>
                  <w:noWrap w:val="0"/>
                  <w:vAlign w:val="center"/>
                </w:tcPr>
                <w:p w14:paraId="340C194F">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5735C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97" w:type="pct"/>
                  <w:noWrap w:val="0"/>
                  <w:vAlign w:val="center"/>
                </w:tcPr>
                <w:p w14:paraId="626A3593">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331" w:type="pct"/>
                  <w:vMerge w:val="continue"/>
                  <w:noWrap w:val="0"/>
                  <w:vAlign w:val="center"/>
                </w:tcPr>
                <w:p w14:paraId="494A0948">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730" w:type="pct"/>
                  <w:noWrap w:val="0"/>
                  <w:vAlign w:val="center"/>
                </w:tcPr>
                <w:p w14:paraId="1FAA42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分切机</w:t>
                  </w:r>
                </w:p>
              </w:tc>
              <w:tc>
                <w:tcPr>
                  <w:tcW w:w="452" w:type="pct"/>
                  <w:noWrap w:val="0"/>
                  <w:vAlign w:val="center"/>
                </w:tcPr>
                <w:p w14:paraId="1BCF3D5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 w:val="0"/>
                      <w:bCs w:val="0"/>
                      <w:color w:val="auto"/>
                      <w:sz w:val="21"/>
                      <w:szCs w:val="21"/>
                      <w:highlight w:val="none"/>
                      <w:lang w:val="en-US" w:eastAsia="zh-CN"/>
                    </w:rPr>
                    <w:t>/</w:t>
                  </w:r>
                </w:p>
              </w:tc>
              <w:tc>
                <w:tcPr>
                  <w:tcW w:w="427" w:type="pct"/>
                  <w:noWrap w:val="0"/>
                  <w:vAlign w:val="center"/>
                </w:tcPr>
                <w:p w14:paraId="617C38ED">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SA"/>
                    </w:rPr>
                    <w:t>85</w:t>
                  </w:r>
                </w:p>
              </w:tc>
              <w:tc>
                <w:tcPr>
                  <w:tcW w:w="243" w:type="pct"/>
                  <w:vMerge w:val="continue"/>
                  <w:noWrap w:val="0"/>
                  <w:vAlign w:val="center"/>
                </w:tcPr>
                <w:p w14:paraId="14B1D532">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802" w:type="pct"/>
                  <w:gridSpan w:val="3"/>
                  <w:noWrap w:val="0"/>
                  <w:vAlign w:val="center"/>
                </w:tcPr>
                <w:p w14:paraId="22878A4F">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{52.45,-7.28,1}</w:t>
                  </w:r>
                </w:p>
              </w:tc>
              <w:tc>
                <w:tcPr>
                  <w:tcW w:w="358" w:type="pct"/>
                  <w:noWrap w:val="0"/>
                  <w:vAlign w:val="center"/>
                </w:tcPr>
                <w:p w14:paraId="49E3EA68">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w:t>
                  </w:r>
                </w:p>
              </w:tc>
              <w:tc>
                <w:tcPr>
                  <w:tcW w:w="326" w:type="pct"/>
                  <w:noWrap w:val="0"/>
                  <w:vAlign w:val="center"/>
                </w:tcPr>
                <w:p w14:paraId="28B99BD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76.38 </w:t>
                  </w:r>
                </w:p>
              </w:tc>
              <w:tc>
                <w:tcPr>
                  <w:tcW w:w="229" w:type="pct"/>
                  <w:vMerge w:val="continue"/>
                  <w:noWrap w:val="0"/>
                  <w:vAlign w:val="center"/>
                </w:tcPr>
                <w:p w14:paraId="07190278">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336" w:type="pct"/>
                  <w:noWrap w:val="0"/>
                  <w:vAlign w:val="center"/>
                </w:tcPr>
                <w:p w14:paraId="680CAF47">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329" w:type="pct"/>
                  <w:noWrap w:val="0"/>
                  <w:vAlign w:val="center"/>
                </w:tcPr>
                <w:p w14:paraId="3DE290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61.38 </w:t>
                  </w:r>
                </w:p>
              </w:tc>
              <w:tc>
                <w:tcPr>
                  <w:tcW w:w="235" w:type="pct"/>
                  <w:noWrap w:val="0"/>
                  <w:vAlign w:val="center"/>
                </w:tcPr>
                <w:p w14:paraId="1A4E1F76">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6EC6B5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97" w:type="pct"/>
                  <w:noWrap w:val="0"/>
                  <w:vAlign w:val="center"/>
                </w:tcPr>
                <w:p w14:paraId="2EFC55CD">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11</w:t>
                  </w:r>
                </w:p>
              </w:tc>
              <w:tc>
                <w:tcPr>
                  <w:tcW w:w="331" w:type="pct"/>
                  <w:vMerge w:val="continue"/>
                  <w:noWrap w:val="0"/>
                  <w:vAlign w:val="center"/>
                </w:tcPr>
                <w:p w14:paraId="1FA14A51">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730" w:type="pct"/>
                  <w:noWrap w:val="0"/>
                  <w:vAlign w:val="center"/>
                </w:tcPr>
                <w:p w14:paraId="0AE83F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分切机</w:t>
                  </w:r>
                </w:p>
              </w:tc>
              <w:tc>
                <w:tcPr>
                  <w:tcW w:w="452" w:type="pct"/>
                  <w:noWrap w:val="0"/>
                  <w:vAlign w:val="center"/>
                </w:tcPr>
                <w:p w14:paraId="15929E3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 w:val="0"/>
                      <w:bCs w:val="0"/>
                      <w:color w:val="auto"/>
                      <w:sz w:val="21"/>
                      <w:szCs w:val="21"/>
                      <w:highlight w:val="none"/>
                      <w:lang w:val="en-US" w:eastAsia="zh-CN"/>
                    </w:rPr>
                    <w:t>/</w:t>
                  </w:r>
                </w:p>
              </w:tc>
              <w:tc>
                <w:tcPr>
                  <w:tcW w:w="427" w:type="pct"/>
                  <w:noWrap w:val="0"/>
                  <w:vAlign w:val="center"/>
                </w:tcPr>
                <w:p w14:paraId="38CF4EDD">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SA"/>
                    </w:rPr>
                    <w:t>85</w:t>
                  </w:r>
                </w:p>
              </w:tc>
              <w:tc>
                <w:tcPr>
                  <w:tcW w:w="243" w:type="pct"/>
                  <w:vMerge w:val="continue"/>
                  <w:noWrap w:val="0"/>
                  <w:vAlign w:val="center"/>
                </w:tcPr>
                <w:p w14:paraId="71C22D34">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802" w:type="pct"/>
                  <w:gridSpan w:val="3"/>
                  <w:noWrap w:val="0"/>
                  <w:vAlign w:val="center"/>
                </w:tcPr>
                <w:p w14:paraId="247CAF60">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{50.57,-7.43,1}</w:t>
                  </w:r>
                </w:p>
              </w:tc>
              <w:tc>
                <w:tcPr>
                  <w:tcW w:w="358" w:type="pct"/>
                  <w:noWrap w:val="0"/>
                  <w:vAlign w:val="center"/>
                </w:tcPr>
                <w:p w14:paraId="617EBD2A">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w:t>
                  </w:r>
                </w:p>
              </w:tc>
              <w:tc>
                <w:tcPr>
                  <w:tcW w:w="326" w:type="pct"/>
                  <w:noWrap w:val="0"/>
                  <w:vAlign w:val="center"/>
                </w:tcPr>
                <w:p w14:paraId="359558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76.38 </w:t>
                  </w:r>
                </w:p>
              </w:tc>
              <w:tc>
                <w:tcPr>
                  <w:tcW w:w="229" w:type="pct"/>
                  <w:vMerge w:val="continue"/>
                  <w:noWrap w:val="0"/>
                  <w:vAlign w:val="center"/>
                </w:tcPr>
                <w:p w14:paraId="0CFEE538">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336" w:type="pct"/>
                  <w:noWrap w:val="0"/>
                  <w:vAlign w:val="center"/>
                </w:tcPr>
                <w:p w14:paraId="2DCA5A57">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329" w:type="pct"/>
                  <w:noWrap w:val="0"/>
                  <w:vAlign w:val="center"/>
                </w:tcPr>
                <w:p w14:paraId="42D9CBA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61.38 </w:t>
                  </w:r>
                </w:p>
              </w:tc>
              <w:tc>
                <w:tcPr>
                  <w:tcW w:w="235" w:type="pct"/>
                  <w:noWrap w:val="0"/>
                  <w:vAlign w:val="center"/>
                </w:tcPr>
                <w:p w14:paraId="0302718A">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213D6B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97" w:type="pct"/>
                  <w:noWrap w:val="0"/>
                  <w:vAlign w:val="center"/>
                </w:tcPr>
                <w:p w14:paraId="4F636A67">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12</w:t>
                  </w:r>
                </w:p>
              </w:tc>
              <w:tc>
                <w:tcPr>
                  <w:tcW w:w="331" w:type="pct"/>
                  <w:vMerge w:val="continue"/>
                  <w:noWrap w:val="0"/>
                  <w:vAlign w:val="center"/>
                </w:tcPr>
                <w:p w14:paraId="7B4B7766">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730" w:type="pct"/>
                  <w:noWrap w:val="0"/>
                  <w:vAlign w:val="center"/>
                </w:tcPr>
                <w:p w14:paraId="54D9C0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分切机</w:t>
                  </w:r>
                </w:p>
              </w:tc>
              <w:tc>
                <w:tcPr>
                  <w:tcW w:w="452" w:type="pct"/>
                  <w:noWrap w:val="0"/>
                  <w:vAlign w:val="center"/>
                </w:tcPr>
                <w:p w14:paraId="2A7F301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 w:val="0"/>
                      <w:bCs w:val="0"/>
                      <w:color w:val="auto"/>
                      <w:sz w:val="21"/>
                      <w:szCs w:val="21"/>
                      <w:highlight w:val="none"/>
                      <w:lang w:val="en-US" w:eastAsia="zh-CN"/>
                    </w:rPr>
                    <w:t>/</w:t>
                  </w:r>
                </w:p>
              </w:tc>
              <w:tc>
                <w:tcPr>
                  <w:tcW w:w="427" w:type="pct"/>
                  <w:noWrap w:val="0"/>
                  <w:vAlign w:val="center"/>
                </w:tcPr>
                <w:p w14:paraId="16DA7FAC">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SA"/>
                    </w:rPr>
                    <w:t>85</w:t>
                  </w:r>
                </w:p>
              </w:tc>
              <w:tc>
                <w:tcPr>
                  <w:tcW w:w="243" w:type="pct"/>
                  <w:vMerge w:val="continue"/>
                  <w:tcBorders>
                    <w:bottom w:val="single" w:color="auto" w:sz="4" w:space="0"/>
                  </w:tcBorders>
                  <w:noWrap w:val="0"/>
                  <w:vAlign w:val="center"/>
                </w:tcPr>
                <w:p w14:paraId="64F780A6">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802" w:type="pct"/>
                  <w:gridSpan w:val="3"/>
                  <w:noWrap w:val="0"/>
                  <w:vAlign w:val="center"/>
                </w:tcPr>
                <w:p w14:paraId="2ED2890E">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{48.55,-7.5,1}</w:t>
                  </w:r>
                </w:p>
              </w:tc>
              <w:tc>
                <w:tcPr>
                  <w:tcW w:w="358" w:type="pct"/>
                  <w:noWrap w:val="0"/>
                  <w:vAlign w:val="center"/>
                </w:tcPr>
                <w:p w14:paraId="0E4F826B">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w:t>
                  </w:r>
                </w:p>
              </w:tc>
              <w:tc>
                <w:tcPr>
                  <w:tcW w:w="326" w:type="pct"/>
                  <w:noWrap w:val="0"/>
                  <w:vAlign w:val="center"/>
                </w:tcPr>
                <w:p w14:paraId="5C956DC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76.38 </w:t>
                  </w:r>
                </w:p>
              </w:tc>
              <w:tc>
                <w:tcPr>
                  <w:tcW w:w="229" w:type="pct"/>
                  <w:vMerge w:val="continue"/>
                  <w:noWrap w:val="0"/>
                  <w:vAlign w:val="center"/>
                </w:tcPr>
                <w:p w14:paraId="56B312C2">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336" w:type="pct"/>
                  <w:noWrap w:val="0"/>
                  <w:vAlign w:val="center"/>
                </w:tcPr>
                <w:p w14:paraId="03BC1FA0">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329" w:type="pct"/>
                  <w:noWrap w:val="0"/>
                  <w:vAlign w:val="center"/>
                </w:tcPr>
                <w:p w14:paraId="25C1E8B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61.38 </w:t>
                  </w:r>
                </w:p>
              </w:tc>
              <w:tc>
                <w:tcPr>
                  <w:tcW w:w="235" w:type="pct"/>
                  <w:noWrap w:val="0"/>
                  <w:vAlign w:val="center"/>
                </w:tcPr>
                <w:p w14:paraId="53DF4E30">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23D5B5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20" w:type="dxa"/>
                  <w:noWrap w:val="0"/>
                  <w:vAlign w:val="center"/>
                </w:tcPr>
                <w:p w14:paraId="3F33DFAB">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13</w:t>
                  </w:r>
                </w:p>
              </w:tc>
              <w:tc>
                <w:tcPr>
                  <w:tcW w:w="331" w:type="pct"/>
                  <w:vMerge w:val="continue"/>
                  <w:noWrap w:val="0"/>
                  <w:vAlign w:val="center"/>
                </w:tcPr>
                <w:p w14:paraId="0799ACEB">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730" w:type="pct"/>
                  <w:noWrap w:val="0"/>
                  <w:vAlign w:val="center"/>
                </w:tcPr>
                <w:p w14:paraId="7AA79E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水泵</w:t>
                  </w:r>
                </w:p>
              </w:tc>
              <w:tc>
                <w:tcPr>
                  <w:tcW w:w="452" w:type="pct"/>
                  <w:noWrap w:val="0"/>
                  <w:vAlign w:val="center"/>
                </w:tcPr>
                <w:p w14:paraId="69DBCC2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20m³/h</w:t>
                  </w:r>
                </w:p>
              </w:tc>
              <w:tc>
                <w:tcPr>
                  <w:tcW w:w="427" w:type="pct"/>
                  <w:noWrap w:val="0"/>
                  <w:vAlign w:val="center"/>
                </w:tcPr>
                <w:p w14:paraId="35D8E282">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jc w:val="center"/>
                    <w:textAlignment w:val="auto"/>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80</w:t>
                  </w:r>
                </w:p>
              </w:tc>
              <w:tc>
                <w:tcPr>
                  <w:tcW w:w="243" w:type="pct"/>
                  <w:tcBorders>
                    <w:bottom w:val="single" w:color="auto" w:sz="4" w:space="0"/>
                  </w:tcBorders>
                  <w:noWrap w:val="0"/>
                  <w:vAlign w:val="center"/>
                </w:tcPr>
                <w:p w14:paraId="550454CA">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802" w:type="pct"/>
                  <w:gridSpan w:val="3"/>
                  <w:noWrap w:val="0"/>
                  <w:vAlign w:val="center"/>
                </w:tcPr>
                <w:p w14:paraId="2170557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58" w:type="pct"/>
                  <w:noWrap w:val="0"/>
                  <w:vAlign w:val="center"/>
                </w:tcPr>
                <w:p w14:paraId="0642399D">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p>
              </w:tc>
              <w:tc>
                <w:tcPr>
                  <w:tcW w:w="326" w:type="pct"/>
                  <w:noWrap w:val="0"/>
                  <w:vAlign w:val="center"/>
                </w:tcPr>
                <w:p w14:paraId="579525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29" w:type="pct"/>
                  <w:vMerge w:val="continue"/>
                  <w:noWrap w:val="0"/>
                  <w:vAlign w:val="center"/>
                </w:tcPr>
                <w:p w14:paraId="0EC23DDF">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336" w:type="pct"/>
                  <w:noWrap w:val="0"/>
                  <w:vAlign w:val="center"/>
                </w:tcPr>
                <w:p w14:paraId="48D9461A">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329" w:type="pct"/>
                  <w:noWrap w:val="0"/>
                  <w:vAlign w:val="center"/>
                </w:tcPr>
                <w:p w14:paraId="0E5758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35" w:type="pct"/>
                  <w:noWrap w:val="0"/>
                  <w:vAlign w:val="center"/>
                </w:tcPr>
                <w:p w14:paraId="0C46DDC5">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r>
            <w:tr w14:paraId="5D18AB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20" w:type="dxa"/>
                  <w:noWrap w:val="0"/>
                  <w:vAlign w:val="center"/>
                </w:tcPr>
                <w:p w14:paraId="4C8D8491">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14</w:t>
                  </w:r>
                </w:p>
              </w:tc>
              <w:tc>
                <w:tcPr>
                  <w:tcW w:w="331" w:type="pct"/>
                  <w:vMerge w:val="continue"/>
                  <w:noWrap w:val="0"/>
                  <w:vAlign w:val="center"/>
                </w:tcPr>
                <w:p w14:paraId="2CFB0837">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730" w:type="pct"/>
                  <w:noWrap w:val="0"/>
                  <w:vAlign w:val="center"/>
                </w:tcPr>
                <w:p w14:paraId="06A77F7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SA"/>
                    </w:rPr>
                    <w:t>梭子窑循环</w:t>
                  </w:r>
                  <w:r>
                    <w:rPr>
                      <w:rFonts w:hint="eastAsia" w:ascii="Times New Roman" w:hAnsi="Times New Roman" w:eastAsia="宋体" w:cs="Times New Roman"/>
                      <w:color w:val="auto"/>
                      <w:kern w:val="0"/>
                      <w:sz w:val="21"/>
                      <w:szCs w:val="21"/>
                      <w:lang w:val="en-US" w:eastAsia="zh-CN" w:bidi="ar-SA"/>
                    </w:rPr>
                    <w:t>风机</w:t>
                  </w:r>
                </w:p>
              </w:tc>
              <w:tc>
                <w:tcPr>
                  <w:tcW w:w="452" w:type="pct"/>
                  <w:noWrap w:val="0"/>
                  <w:vAlign w:val="center"/>
                </w:tcPr>
                <w:p w14:paraId="494CFF2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 w:val="0"/>
                      <w:bCs w:val="0"/>
                      <w:color w:val="auto"/>
                      <w:sz w:val="21"/>
                      <w:szCs w:val="21"/>
                      <w:highlight w:val="none"/>
                      <w:lang w:val="en-US" w:eastAsia="zh-CN"/>
                    </w:rPr>
                    <w:t>2000m³/h</w:t>
                  </w:r>
                </w:p>
              </w:tc>
              <w:tc>
                <w:tcPr>
                  <w:tcW w:w="427" w:type="pct"/>
                  <w:noWrap w:val="0"/>
                  <w:vAlign w:val="center"/>
                </w:tcPr>
                <w:p w14:paraId="397B71D3">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SA"/>
                    </w:rPr>
                    <w:t>9</w:t>
                  </w:r>
                  <w:r>
                    <w:rPr>
                      <w:rFonts w:hint="eastAsia" w:cs="Times New Roman"/>
                      <w:color w:val="auto"/>
                      <w:kern w:val="0"/>
                      <w:sz w:val="21"/>
                      <w:szCs w:val="21"/>
                      <w:lang w:val="en-US" w:eastAsia="zh-CN" w:bidi="ar-SA"/>
                    </w:rPr>
                    <w:t>5</w:t>
                  </w:r>
                </w:p>
              </w:tc>
              <w:tc>
                <w:tcPr>
                  <w:tcW w:w="243" w:type="pct"/>
                  <w:vMerge w:val="restart"/>
                  <w:tcBorders>
                    <w:top w:val="single" w:color="auto" w:sz="4" w:space="0"/>
                  </w:tcBorders>
                  <w:noWrap w:val="0"/>
                  <w:vAlign w:val="center"/>
                </w:tcPr>
                <w:p w14:paraId="5776CAED">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eastAsia" w:ascii="Times New Roman" w:hAnsi="Times New Roman" w:cs="Times New Roman"/>
                      <w:b w:val="0"/>
                      <w:bCs w:val="0"/>
                      <w:color w:val="auto"/>
                      <w:sz w:val="21"/>
                      <w:szCs w:val="21"/>
                      <w:lang w:val="en-US" w:eastAsia="zh-CN"/>
                    </w:rPr>
                    <w:t>厂房隔声</w:t>
                  </w:r>
                  <w:r>
                    <w:rPr>
                      <w:rFonts w:hint="default" w:ascii="Times New Roman" w:hAnsi="Times New Roman" w:eastAsia="宋体" w:cs="Times New Roman"/>
                      <w:b w:val="0"/>
                      <w:bCs w:val="0"/>
                      <w:color w:val="auto"/>
                      <w:sz w:val="21"/>
                      <w:szCs w:val="21"/>
                      <w:lang w:val="zh-CN"/>
                    </w:rPr>
                    <w:t>、</w:t>
                  </w:r>
                  <w:r>
                    <w:rPr>
                      <w:rFonts w:hint="eastAsia" w:ascii="Times New Roman" w:hAnsi="Times New Roman" w:eastAsia="宋体" w:cs="Times New Roman"/>
                      <w:b w:val="0"/>
                      <w:bCs w:val="0"/>
                      <w:color w:val="auto"/>
                      <w:sz w:val="21"/>
                      <w:szCs w:val="21"/>
                      <w:lang w:val="en-US" w:eastAsia="zh-CN"/>
                    </w:rPr>
                    <w:t>减振垫</w:t>
                  </w:r>
                  <w:r>
                    <w:rPr>
                      <w:rFonts w:hint="eastAsia" w:ascii="Times New Roman" w:hAnsi="Times New Roman" w:cs="Times New Roman"/>
                      <w:b w:val="0"/>
                      <w:bCs w:val="0"/>
                      <w:color w:val="auto"/>
                      <w:sz w:val="21"/>
                      <w:szCs w:val="21"/>
                      <w:lang w:val="en-US" w:eastAsia="zh-CN"/>
                    </w:rPr>
                    <w:t>、消声器</w:t>
                  </w:r>
                  <w:r>
                    <w:rPr>
                      <w:rFonts w:hint="eastAsia" w:ascii="Times New Roman" w:hAnsi="Times New Roman" w:eastAsia="宋体" w:cs="Times New Roman"/>
                      <w:b w:val="0"/>
                      <w:bCs w:val="0"/>
                      <w:color w:val="auto"/>
                      <w:sz w:val="21"/>
                      <w:szCs w:val="21"/>
                      <w:lang w:val="en-US" w:eastAsia="zh-CN"/>
                    </w:rPr>
                    <w:t>等</w:t>
                  </w:r>
                </w:p>
              </w:tc>
              <w:tc>
                <w:tcPr>
                  <w:tcW w:w="802" w:type="pct"/>
                  <w:gridSpan w:val="3"/>
                  <w:noWrap w:val="0"/>
                  <w:vAlign w:val="center"/>
                </w:tcPr>
                <w:p w14:paraId="703C9392">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{47.08,-7.56,1}</w:t>
                  </w:r>
                </w:p>
              </w:tc>
              <w:tc>
                <w:tcPr>
                  <w:tcW w:w="358" w:type="pct"/>
                  <w:noWrap w:val="0"/>
                  <w:vAlign w:val="center"/>
                </w:tcPr>
                <w:p w14:paraId="733B3C89">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w:t>
                  </w:r>
                </w:p>
              </w:tc>
              <w:tc>
                <w:tcPr>
                  <w:tcW w:w="326" w:type="pct"/>
                  <w:noWrap w:val="0"/>
                  <w:vAlign w:val="center"/>
                </w:tcPr>
                <w:p w14:paraId="10C147B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76.38 </w:t>
                  </w:r>
                </w:p>
              </w:tc>
              <w:tc>
                <w:tcPr>
                  <w:tcW w:w="229" w:type="pct"/>
                  <w:vMerge w:val="continue"/>
                  <w:noWrap w:val="0"/>
                  <w:vAlign w:val="center"/>
                </w:tcPr>
                <w:p w14:paraId="3A62AEEC">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336" w:type="pct"/>
                  <w:noWrap w:val="0"/>
                  <w:vAlign w:val="center"/>
                </w:tcPr>
                <w:p w14:paraId="2E6BC841">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329" w:type="pct"/>
                  <w:noWrap w:val="0"/>
                  <w:vAlign w:val="center"/>
                </w:tcPr>
                <w:p w14:paraId="6D42DC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61.38 </w:t>
                  </w:r>
                </w:p>
              </w:tc>
              <w:tc>
                <w:tcPr>
                  <w:tcW w:w="235" w:type="pct"/>
                  <w:noWrap w:val="0"/>
                  <w:vAlign w:val="center"/>
                </w:tcPr>
                <w:p w14:paraId="1E576D5F">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637AE0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20" w:type="dxa"/>
                  <w:noWrap w:val="0"/>
                  <w:vAlign w:val="center"/>
                </w:tcPr>
                <w:p w14:paraId="0BC49F7C">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15</w:t>
                  </w:r>
                </w:p>
              </w:tc>
              <w:tc>
                <w:tcPr>
                  <w:tcW w:w="331" w:type="pct"/>
                  <w:vMerge w:val="continue"/>
                  <w:noWrap w:val="0"/>
                  <w:vAlign w:val="center"/>
                </w:tcPr>
                <w:p w14:paraId="5C93417C">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730" w:type="pct"/>
                  <w:noWrap w:val="0"/>
                  <w:vAlign w:val="center"/>
                </w:tcPr>
                <w:p w14:paraId="7B501108">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SA"/>
                    </w:rPr>
                    <w:t>梭子窑</w:t>
                  </w:r>
                  <w:r>
                    <w:rPr>
                      <w:rFonts w:hint="eastAsia" w:ascii="Times New Roman" w:hAnsi="Times New Roman" w:eastAsia="宋体" w:cs="Times New Roman"/>
                      <w:color w:val="auto"/>
                      <w:kern w:val="0"/>
                      <w:sz w:val="21"/>
                      <w:szCs w:val="21"/>
                      <w:lang w:val="en-US" w:eastAsia="zh-CN" w:bidi="ar-SA"/>
                    </w:rPr>
                    <w:t>风机</w:t>
                  </w:r>
                </w:p>
              </w:tc>
              <w:tc>
                <w:tcPr>
                  <w:tcW w:w="452" w:type="pct"/>
                  <w:noWrap w:val="0"/>
                  <w:vAlign w:val="center"/>
                </w:tcPr>
                <w:p w14:paraId="2BFEDE3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 w:val="0"/>
                      <w:bCs w:val="0"/>
                      <w:color w:val="auto"/>
                      <w:sz w:val="21"/>
                      <w:szCs w:val="21"/>
                      <w:highlight w:val="none"/>
                      <w:lang w:val="en-US" w:eastAsia="zh-CN"/>
                    </w:rPr>
                    <w:t>2000m³/h</w:t>
                  </w:r>
                </w:p>
              </w:tc>
              <w:tc>
                <w:tcPr>
                  <w:tcW w:w="427" w:type="pct"/>
                  <w:noWrap w:val="0"/>
                  <w:vAlign w:val="center"/>
                </w:tcPr>
                <w:p w14:paraId="79317CF6">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SA"/>
                    </w:rPr>
                    <w:t>9</w:t>
                  </w:r>
                  <w:r>
                    <w:rPr>
                      <w:rFonts w:hint="eastAsia" w:cs="Times New Roman"/>
                      <w:color w:val="auto"/>
                      <w:kern w:val="0"/>
                      <w:sz w:val="21"/>
                      <w:szCs w:val="21"/>
                      <w:lang w:val="en-US" w:eastAsia="zh-CN" w:bidi="ar-SA"/>
                    </w:rPr>
                    <w:t>5</w:t>
                  </w:r>
                </w:p>
              </w:tc>
              <w:tc>
                <w:tcPr>
                  <w:tcW w:w="243" w:type="pct"/>
                  <w:vMerge w:val="continue"/>
                  <w:noWrap w:val="0"/>
                  <w:vAlign w:val="center"/>
                </w:tcPr>
                <w:p w14:paraId="3EE424CC">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802" w:type="pct"/>
                  <w:gridSpan w:val="3"/>
                  <w:noWrap w:val="0"/>
                  <w:vAlign w:val="center"/>
                </w:tcPr>
                <w:p w14:paraId="37C70BDA">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{45.57,-7.69,1}</w:t>
                  </w:r>
                </w:p>
              </w:tc>
              <w:tc>
                <w:tcPr>
                  <w:tcW w:w="358" w:type="pct"/>
                  <w:noWrap w:val="0"/>
                  <w:vAlign w:val="center"/>
                </w:tcPr>
                <w:p w14:paraId="23BDCB38">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w:t>
                  </w:r>
                </w:p>
              </w:tc>
              <w:tc>
                <w:tcPr>
                  <w:tcW w:w="326" w:type="pct"/>
                  <w:noWrap w:val="0"/>
                  <w:vAlign w:val="center"/>
                </w:tcPr>
                <w:p w14:paraId="2971D8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76.38 </w:t>
                  </w:r>
                </w:p>
              </w:tc>
              <w:tc>
                <w:tcPr>
                  <w:tcW w:w="229" w:type="pct"/>
                  <w:vMerge w:val="continue"/>
                  <w:noWrap w:val="0"/>
                  <w:vAlign w:val="center"/>
                </w:tcPr>
                <w:p w14:paraId="7ADEC0F3">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336" w:type="pct"/>
                  <w:noWrap w:val="0"/>
                  <w:vAlign w:val="center"/>
                </w:tcPr>
                <w:p w14:paraId="769562C8">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329" w:type="pct"/>
                  <w:noWrap w:val="0"/>
                  <w:vAlign w:val="center"/>
                </w:tcPr>
                <w:p w14:paraId="3C0ACBA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61.38 </w:t>
                  </w:r>
                </w:p>
              </w:tc>
              <w:tc>
                <w:tcPr>
                  <w:tcW w:w="235" w:type="pct"/>
                  <w:noWrap w:val="0"/>
                  <w:vAlign w:val="center"/>
                </w:tcPr>
                <w:p w14:paraId="411E334A">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3AA2D2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20" w:type="dxa"/>
                  <w:noWrap w:val="0"/>
                  <w:vAlign w:val="center"/>
                </w:tcPr>
                <w:p w14:paraId="43072A03">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16</w:t>
                  </w:r>
                </w:p>
              </w:tc>
              <w:tc>
                <w:tcPr>
                  <w:tcW w:w="331" w:type="pct"/>
                  <w:vMerge w:val="continue"/>
                  <w:noWrap w:val="0"/>
                  <w:vAlign w:val="center"/>
                </w:tcPr>
                <w:p w14:paraId="6D92592B">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730" w:type="pct"/>
                  <w:noWrap w:val="0"/>
                  <w:vAlign w:val="center"/>
                </w:tcPr>
                <w:p w14:paraId="2B4484C8">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SA"/>
                    </w:rPr>
                    <w:t>梭子窑</w:t>
                  </w:r>
                  <w:r>
                    <w:rPr>
                      <w:rFonts w:hint="eastAsia" w:ascii="Times New Roman" w:hAnsi="Times New Roman" w:eastAsia="宋体" w:cs="Times New Roman"/>
                      <w:color w:val="auto"/>
                      <w:kern w:val="0"/>
                      <w:sz w:val="21"/>
                      <w:szCs w:val="21"/>
                      <w:lang w:val="en-US" w:eastAsia="zh-CN" w:bidi="ar-SA"/>
                    </w:rPr>
                    <w:t>风机</w:t>
                  </w:r>
                </w:p>
              </w:tc>
              <w:tc>
                <w:tcPr>
                  <w:tcW w:w="452" w:type="pct"/>
                  <w:noWrap w:val="0"/>
                  <w:vAlign w:val="center"/>
                </w:tcPr>
                <w:p w14:paraId="6E26098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 w:val="0"/>
                      <w:bCs w:val="0"/>
                      <w:color w:val="auto"/>
                      <w:sz w:val="21"/>
                      <w:szCs w:val="21"/>
                      <w:highlight w:val="none"/>
                      <w:lang w:val="en-US" w:eastAsia="zh-CN"/>
                    </w:rPr>
                    <w:t>2000m³/h</w:t>
                  </w:r>
                </w:p>
              </w:tc>
              <w:tc>
                <w:tcPr>
                  <w:tcW w:w="427" w:type="pct"/>
                  <w:noWrap w:val="0"/>
                  <w:vAlign w:val="center"/>
                </w:tcPr>
                <w:p w14:paraId="58A5A60E">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SA"/>
                    </w:rPr>
                    <w:t>9</w:t>
                  </w:r>
                  <w:r>
                    <w:rPr>
                      <w:rFonts w:hint="eastAsia" w:cs="Times New Roman"/>
                      <w:color w:val="auto"/>
                      <w:kern w:val="0"/>
                      <w:sz w:val="21"/>
                      <w:szCs w:val="21"/>
                      <w:lang w:val="en-US" w:eastAsia="zh-CN" w:bidi="ar-SA"/>
                    </w:rPr>
                    <w:t>5</w:t>
                  </w:r>
                </w:p>
              </w:tc>
              <w:tc>
                <w:tcPr>
                  <w:tcW w:w="243" w:type="pct"/>
                  <w:vMerge w:val="continue"/>
                  <w:noWrap w:val="0"/>
                  <w:vAlign w:val="center"/>
                </w:tcPr>
                <w:p w14:paraId="0930590A">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802" w:type="pct"/>
                  <w:gridSpan w:val="3"/>
                  <w:noWrap w:val="0"/>
                  <w:vAlign w:val="center"/>
                </w:tcPr>
                <w:p w14:paraId="24B6A43C">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{43.9,-7.82,1}</w:t>
                  </w:r>
                </w:p>
              </w:tc>
              <w:tc>
                <w:tcPr>
                  <w:tcW w:w="358" w:type="pct"/>
                  <w:noWrap w:val="0"/>
                  <w:vAlign w:val="center"/>
                </w:tcPr>
                <w:p w14:paraId="1EDD86E9">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w:t>
                  </w:r>
                </w:p>
              </w:tc>
              <w:tc>
                <w:tcPr>
                  <w:tcW w:w="326" w:type="pct"/>
                  <w:noWrap w:val="0"/>
                  <w:vAlign w:val="center"/>
                </w:tcPr>
                <w:p w14:paraId="0390CA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76.38 </w:t>
                  </w:r>
                </w:p>
              </w:tc>
              <w:tc>
                <w:tcPr>
                  <w:tcW w:w="229" w:type="pct"/>
                  <w:vMerge w:val="continue"/>
                  <w:noWrap w:val="0"/>
                  <w:vAlign w:val="center"/>
                </w:tcPr>
                <w:p w14:paraId="2B9599A5">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336" w:type="pct"/>
                  <w:noWrap w:val="0"/>
                  <w:vAlign w:val="center"/>
                </w:tcPr>
                <w:p w14:paraId="7AF45B69">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329" w:type="pct"/>
                  <w:noWrap w:val="0"/>
                  <w:vAlign w:val="center"/>
                </w:tcPr>
                <w:p w14:paraId="490429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61.38 </w:t>
                  </w:r>
                </w:p>
              </w:tc>
              <w:tc>
                <w:tcPr>
                  <w:tcW w:w="235" w:type="pct"/>
                  <w:noWrap w:val="0"/>
                  <w:vAlign w:val="center"/>
                </w:tcPr>
                <w:p w14:paraId="59B04663">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51B140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20" w:type="dxa"/>
                  <w:noWrap w:val="0"/>
                  <w:vAlign w:val="center"/>
                </w:tcPr>
                <w:p w14:paraId="48D25041">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17</w:t>
                  </w:r>
                </w:p>
              </w:tc>
              <w:tc>
                <w:tcPr>
                  <w:tcW w:w="331" w:type="pct"/>
                  <w:vMerge w:val="continue"/>
                  <w:noWrap w:val="0"/>
                  <w:vAlign w:val="center"/>
                </w:tcPr>
                <w:p w14:paraId="77E4DE53">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730" w:type="pct"/>
                  <w:noWrap w:val="0"/>
                  <w:vAlign w:val="center"/>
                </w:tcPr>
                <w:p w14:paraId="533E7630">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SA"/>
                    </w:rPr>
                    <w:t>梭子窑</w:t>
                  </w:r>
                  <w:r>
                    <w:rPr>
                      <w:rFonts w:hint="eastAsia" w:ascii="Times New Roman" w:hAnsi="Times New Roman" w:eastAsia="宋体" w:cs="Times New Roman"/>
                      <w:color w:val="auto"/>
                      <w:kern w:val="0"/>
                      <w:sz w:val="21"/>
                      <w:szCs w:val="21"/>
                      <w:lang w:val="en-US" w:eastAsia="zh-CN" w:bidi="ar-SA"/>
                    </w:rPr>
                    <w:t>风机</w:t>
                  </w:r>
                </w:p>
              </w:tc>
              <w:tc>
                <w:tcPr>
                  <w:tcW w:w="452" w:type="pct"/>
                  <w:noWrap w:val="0"/>
                  <w:vAlign w:val="center"/>
                </w:tcPr>
                <w:p w14:paraId="539EC67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 w:val="0"/>
                      <w:bCs w:val="0"/>
                      <w:color w:val="auto"/>
                      <w:sz w:val="21"/>
                      <w:szCs w:val="21"/>
                      <w:highlight w:val="none"/>
                      <w:lang w:val="en-US" w:eastAsia="zh-CN"/>
                    </w:rPr>
                    <w:t>2000m³/h</w:t>
                  </w:r>
                </w:p>
              </w:tc>
              <w:tc>
                <w:tcPr>
                  <w:tcW w:w="427" w:type="pct"/>
                  <w:noWrap w:val="0"/>
                  <w:vAlign w:val="center"/>
                </w:tcPr>
                <w:p w14:paraId="5D7B061F">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SA"/>
                    </w:rPr>
                    <w:t>9</w:t>
                  </w:r>
                  <w:r>
                    <w:rPr>
                      <w:rFonts w:hint="eastAsia" w:cs="Times New Roman"/>
                      <w:color w:val="auto"/>
                      <w:kern w:val="0"/>
                      <w:sz w:val="21"/>
                      <w:szCs w:val="21"/>
                      <w:lang w:val="en-US" w:eastAsia="zh-CN" w:bidi="ar-SA"/>
                    </w:rPr>
                    <w:t>5</w:t>
                  </w:r>
                </w:p>
              </w:tc>
              <w:tc>
                <w:tcPr>
                  <w:tcW w:w="243" w:type="pct"/>
                  <w:vMerge w:val="continue"/>
                  <w:noWrap w:val="0"/>
                  <w:vAlign w:val="center"/>
                </w:tcPr>
                <w:p w14:paraId="3296FAF2">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802" w:type="pct"/>
                  <w:gridSpan w:val="3"/>
                  <w:noWrap w:val="0"/>
                  <w:vAlign w:val="center"/>
                </w:tcPr>
                <w:p w14:paraId="112BB4CB">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{43.23,-7.89,1}</w:t>
                  </w:r>
                </w:p>
              </w:tc>
              <w:tc>
                <w:tcPr>
                  <w:tcW w:w="358" w:type="pct"/>
                  <w:noWrap w:val="0"/>
                  <w:vAlign w:val="center"/>
                </w:tcPr>
                <w:p w14:paraId="459560EF">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w:t>
                  </w:r>
                </w:p>
              </w:tc>
              <w:tc>
                <w:tcPr>
                  <w:tcW w:w="326" w:type="pct"/>
                  <w:noWrap w:val="0"/>
                  <w:vAlign w:val="center"/>
                </w:tcPr>
                <w:p w14:paraId="6CD893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76.38 </w:t>
                  </w:r>
                </w:p>
              </w:tc>
              <w:tc>
                <w:tcPr>
                  <w:tcW w:w="229" w:type="pct"/>
                  <w:vMerge w:val="continue"/>
                  <w:noWrap w:val="0"/>
                  <w:vAlign w:val="center"/>
                </w:tcPr>
                <w:p w14:paraId="518D66FA">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336" w:type="pct"/>
                  <w:noWrap w:val="0"/>
                  <w:vAlign w:val="center"/>
                </w:tcPr>
                <w:p w14:paraId="60666ED1">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329" w:type="pct"/>
                  <w:noWrap w:val="0"/>
                  <w:vAlign w:val="center"/>
                </w:tcPr>
                <w:p w14:paraId="3A38F5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61.38 </w:t>
                  </w:r>
                </w:p>
              </w:tc>
              <w:tc>
                <w:tcPr>
                  <w:tcW w:w="235" w:type="pct"/>
                  <w:noWrap w:val="0"/>
                  <w:vAlign w:val="center"/>
                </w:tcPr>
                <w:p w14:paraId="49CABB74">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79C1BC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20" w:type="dxa"/>
                  <w:noWrap w:val="0"/>
                  <w:vAlign w:val="center"/>
                </w:tcPr>
                <w:p w14:paraId="3318F269">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18</w:t>
                  </w:r>
                </w:p>
              </w:tc>
              <w:tc>
                <w:tcPr>
                  <w:tcW w:w="331" w:type="pct"/>
                  <w:vMerge w:val="continue"/>
                  <w:noWrap w:val="0"/>
                  <w:vAlign w:val="center"/>
                </w:tcPr>
                <w:p w14:paraId="224F5C4F">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730" w:type="pct"/>
                  <w:noWrap w:val="0"/>
                  <w:vAlign w:val="center"/>
                </w:tcPr>
                <w:p w14:paraId="09F79709">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SA"/>
                    </w:rPr>
                    <w:t>梭子窑</w:t>
                  </w:r>
                  <w:r>
                    <w:rPr>
                      <w:rFonts w:hint="eastAsia" w:ascii="Times New Roman" w:hAnsi="Times New Roman" w:eastAsia="宋体" w:cs="Times New Roman"/>
                      <w:color w:val="auto"/>
                      <w:kern w:val="0"/>
                      <w:sz w:val="21"/>
                      <w:szCs w:val="21"/>
                      <w:lang w:val="en-US" w:eastAsia="zh-CN" w:bidi="ar-SA"/>
                    </w:rPr>
                    <w:t>风机</w:t>
                  </w:r>
                </w:p>
              </w:tc>
              <w:tc>
                <w:tcPr>
                  <w:tcW w:w="452" w:type="pct"/>
                  <w:noWrap w:val="0"/>
                  <w:vAlign w:val="center"/>
                </w:tcPr>
                <w:p w14:paraId="4A1C800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 w:val="0"/>
                      <w:bCs w:val="0"/>
                      <w:color w:val="auto"/>
                      <w:sz w:val="21"/>
                      <w:szCs w:val="21"/>
                      <w:highlight w:val="none"/>
                      <w:lang w:val="en-US" w:eastAsia="zh-CN"/>
                    </w:rPr>
                    <w:t>2000m³/h</w:t>
                  </w:r>
                </w:p>
              </w:tc>
              <w:tc>
                <w:tcPr>
                  <w:tcW w:w="427" w:type="pct"/>
                  <w:noWrap w:val="0"/>
                  <w:vAlign w:val="center"/>
                </w:tcPr>
                <w:p w14:paraId="10E00558">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SA"/>
                    </w:rPr>
                    <w:t>9</w:t>
                  </w:r>
                  <w:r>
                    <w:rPr>
                      <w:rFonts w:hint="eastAsia" w:cs="Times New Roman"/>
                      <w:color w:val="auto"/>
                      <w:kern w:val="0"/>
                      <w:sz w:val="21"/>
                      <w:szCs w:val="21"/>
                      <w:lang w:val="en-US" w:eastAsia="zh-CN" w:bidi="ar-SA"/>
                    </w:rPr>
                    <w:t>5</w:t>
                  </w:r>
                </w:p>
              </w:tc>
              <w:tc>
                <w:tcPr>
                  <w:tcW w:w="243" w:type="pct"/>
                  <w:vMerge w:val="continue"/>
                  <w:noWrap w:val="0"/>
                  <w:vAlign w:val="center"/>
                </w:tcPr>
                <w:p w14:paraId="5BF99B58">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802" w:type="pct"/>
                  <w:gridSpan w:val="3"/>
                  <w:noWrap w:val="0"/>
                  <w:vAlign w:val="center"/>
                </w:tcPr>
                <w:p w14:paraId="308FD495">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{42.73,-7.9,1}</w:t>
                  </w:r>
                </w:p>
              </w:tc>
              <w:tc>
                <w:tcPr>
                  <w:tcW w:w="358" w:type="pct"/>
                  <w:noWrap w:val="0"/>
                  <w:vAlign w:val="center"/>
                </w:tcPr>
                <w:p w14:paraId="33F67458">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w:t>
                  </w:r>
                </w:p>
              </w:tc>
              <w:tc>
                <w:tcPr>
                  <w:tcW w:w="326" w:type="pct"/>
                  <w:noWrap w:val="0"/>
                  <w:vAlign w:val="center"/>
                </w:tcPr>
                <w:p w14:paraId="4ACA76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76.38 </w:t>
                  </w:r>
                </w:p>
              </w:tc>
              <w:tc>
                <w:tcPr>
                  <w:tcW w:w="229" w:type="pct"/>
                  <w:vMerge w:val="continue"/>
                  <w:noWrap w:val="0"/>
                  <w:vAlign w:val="center"/>
                </w:tcPr>
                <w:p w14:paraId="62B76E78">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336" w:type="pct"/>
                  <w:noWrap w:val="0"/>
                  <w:vAlign w:val="center"/>
                </w:tcPr>
                <w:p w14:paraId="00BFE9DE">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329" w:type="pct"/>
                  <w:noWrap w:val="0"/>
                  <w:vAlign w:val="center"/>
                </w:tcPr>
                <w:p w14:paraId="00E3A1C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61.38 </w:t>
                  </w:r>
                </w:p>
              </w:tc>
              <w:tc>
                <w:tcPr>
                  <w:tcW w:w="235" w:type="pct"/>
                  <w:noWrap w:val="0"/>
                  <w:vAlign w:val="center"/>
                </w:tcPr>
                <w:p w14:paraId="5E6C5D76">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17C772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20" w:type="dxa"/>
                  <w:noWrap w:val="0"/>
                  <w:vAlign w:val="center"/>
                </w:tcPr>
                <w:p w14:paraId="03A805DC">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19</w:t>
                  </w:r>
                </w:p>
              </w:tc>
              <w:tc>
                <w:tcPr>
                  <w:tcW w:w="331" w:type="pct"/>
                  <w:vMerge w:val="continue"/>
                  <w:noWrap w:val="0"/>
                  <w:vAlign w:val="center"/>
                </w:tcPr>
                <w:p w14:paraId="77E9ECA5">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730" w:type="pct"/>
                  <w:noWrap w:val="0"/>
                  <w:vAlign w:val="center"/>
                </w:tcPr>
                <w:p w14:paraId="1F72E4EA">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SA"/>
                    </w:rPr>
                    <w:t>梭子窑</w:t>
                  </w:r>
                  <w:r>
                    <w:rPr>
                      <w:rFonts w:hint="eastAsia" w:ascii="Times New Roman" w:hAnsi="Times New Roman" w:eastAsia="宋体" w:cs="Times New Roman"/>
                      <w:color w:val="auto"/>
                      <w:kern w:val="0"/>
                      <w:sz w:val="21"/>
                      <w:szCs w:val="21"/>
                      <w:lang w:val="en-US" w:eastAsia="zh-CN" w:bidi="ar-SA"/>
                    </w:rPr>
                    <w:t>风机</w:t>
                  </w:r>
                </w:p>
              </w:tc>
              <w:tc>
                <w:tcPr>
                  <w:tcW w:w="452" w:type="pct"/>
                  <w:noWrap w:val="0"/>
                  <w:vAlign w:val="center"/>
                </w:tcPr>
                <w:p w14:paraId="3AAF18F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 w:val="0"/>
                      <w:bCs w:val="0"/>
                      <w:color w:val="auto"/>
                      <w:sz w:val="21"/>
                      <w:szCs w:val="21"/>
                      <w:highlight w:val="none"/>
                      <w:lang w:val="en-US" w:eastAsia="zh-CN"/>
                    </w:rPr>
                    <w:t>2000m³/h</w:t>
                  </w:r>
                </w:p>
              </w:tc>
              <w:tc>
                <w:tcPr>
                  <w:tcW w:w="427" w:type="pct"/>
                  <w:noWrap w:val="0"/>
                  <w:vAlign w:val="center"/>
                </w:tcPr>
                <w:p w14:paraId="3649134F">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SA"/>
                    </w:rPr>
                    <w:t>9</w:t>
                  </w:r>
                  <w:r>
                    <w:rPr>
                      <w:rFonts w:hint="eastAsia" w:cs="Times New Roman"/>
                      <w:color w:val="auto"/>
                      <w:kern w:val="0"/>
                      <w:sz w:val="21"/>
                      <w:szCs w:val="21"/>
                      <w:lang w:val="en-US" w:eastAsia="zh-CN" w:bidi="ar-SA"/>
                    </w:rPr>
                    <w:t>5</w:t>
                  </w:r>
                </w:p>
              </w:tc>
              <w:tc>
                <w:tcPr>
                  <w:tcW w:w="243" w:type="pct"/>
                  <w:vMerge w:val="continue"/>
                  <w:noWrap w:val="0"/>
                  <w:vAlign w:val="center"/>
                </w:tcPr>
                <w:p w14:paraId="2B9C8D67">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802" w:type="pct"/>
                  <w:gridSpan w:val="3"/>
                  <w:noWrap w:val="0"/>
                  <w:vAlign w:val="center"/>
                </w:tcPr>
                <w:p w14:paraId="48E10D13">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{42.08,-7.93,1}</w:t>
                  </w:r>
                </w:p>
              </w:tc>
              <w:tc>
                <w:tcPr>
                  <w:tcW w:w="358" w:type="pct"/>
                  <w:noWrap w:val="0"/>
                  <w:vAlign w:val="center"/>
                </w:tcPr>
                <w:p w14:paraId="6B5112D7">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4.8</w:t>
                  </w:r>
                </w:p>
              </w:tc>
              <w:tc>
                <w:tcPr>
                  <w:tcW w:w="326" w:type="pct"/>
                  <w:noWrap w:val="0"/>
                  <w:vAlign w:val="center"/>
                </w:tcPr>
                <w:p w14:paraId="26EDC6D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76.38 </w:t>
                  </w:r>
                </w:p>
              </w:tc>
              <w:tc>
                <w:tcPr>
                  <w:tcW w:w="229" w:type="pct"/>
                  <w:vMerge w:val="continue"/>
                  <w:noWrap w:val="0"/>
                  <w:vAlign w:val="center"/>
                </w:tcPr>
                <w:p w14:paraId="6DDB9800">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336" w:type="pct"/>
                  <w:noWrap w:val="0"/>
                  <w:vAlign w:val="center"/>
                </w:tcPr>
                <w:p w14:paraId="4350A980">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329" w:type="pct"/>
                  <w:noWrap w:val="0"/>
                  <w:vAlign w:val="center"/>
                </w:tcPr>
                <w:p w14:paraId="49EC3AD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61.38 </w:t>
                  </w:r>
                </w:p>
              </w:tc>
              <w:tc>
                <w:tcPr>
                  <w:tcW w:w="235" w:type="pct"/>
                  <w:noWrap w:val="0"/>
                  <w:vAlign w:val="center"/>
                </w:tcPr>
                <w:p w14:paraId="1DB21CCA">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14:paraId="73CDA6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97" w:type="pct"/>
                  <w:noWrap w:val="0"/>
                  <w:vAlign w:val="center"/>
                </w:tcPr>
                <w:p w14:paraId="51CC32DA">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331" w:type="pct"/>
                  <w:vMerge w:val="continue"/>
                  <w:noWrap w:val="0"/>
                  <w:vAlign w:val="center"/>
                </w:tcPr>
                <w:p w14:paraId="4009AACC">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730" w:type="pct"/>
                  <w:noWrap w:val="0"/>
                  <w:vAlign w:val="center"/>
                </w:tcPr>
                <w:p w14:paraId="758B79E9">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SA"/>
                    </w:rPr>
                    <w:t>供气风机</w:t>
                  </w:r>
                  <w:r>
                    <w:rPr>
                      <w:rFonts w:hint="eastAsia" w:ascii="Times New Roman" w:hAnsi="Times New Roman" w:eastAsia="宋体" w:cs="Times New Roman"/>
                      <w:color w:val="auto"/>
                      <w:kern w:val="0"/>
                      <w:sz w:val="21"/>
                      <w:szCs w:val="21"/>
                      <w:lang w:val="en-US" w:eastAsia="zh-CN" w:bidi="ar-SA"/>
                    </w:rPr>
                    <w:t>风机</w:t>
                  </w:r>
                </w:p>
              </w:tc>
              <w:tc>
                <w:tcPr>
                  <w:tcW w:w="452" w:type="pct"/>
                  <w:noWrap w:val="0"/>
                  <w:vAlign w:val="center"/>
                </w:tcPr>
                <w:p w14:paraId="44C5635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Cs/>
                      <w:color w:val="auto"/>
                      <w:sz w:val="21"/>
                      <w:szCs w:val="21"/>
                      <w:lang w:val="en-US" w:eastAsia="zh-CN"/>
                    </w:rPr>
                  </w:pPr>
                  <w:r>
                    <w:rPr>
                      <w:rFonts w:hint="eastAsia" w:cs="Times New Roman"/>
                      <w:b w:val="0"/>
                      <w:bCs w:val="0"/>
                      <w:color w:val="auto"/>
                      <w:sz w:val="21"/>
                      <w:szCs w:val="21"/>
                      <w:highlight w:val="none"/>
                      <w:lang w:val="en-US" w:eastAsia="zh-CN"/>
                    </w:rPr>
                    <w:t>1000-10000m³/h</w:t>
                  </w:r>
                </w:p>
              </w:tc>
              <w:tc>
                <w:tcPr>
                  <w:tcW w:w="427" w:type="pct"/>
                  <w:noWrap w:val="0"/>
                  <w:vAlign w:val="center"/>
                </w:tcPr>
                <w:p w14:paraId="6107B900">
                  <w:pPr>
                    <w:keepNext w:val="0"/>
                    <w:keepLines w:val="0"/>
                    <w:pageBreakBefore w:val="0"/>
                    <w:widowControl w:val="0"/>
                    <w:kinsoku/>
                    <w:wordWrap/>
                    <w:overflowPunct/>
                    <w:topLinePunct w:val="0"/>
                    <w:autoSpaceDE w:val="0"/>
                    <w:autoSpaceDN w:val="0"/>
                    <w:bidi w:val="0"/>
                    <w:adjustRightInd w:val="0"/>
                    <w:snapToGrid w:val="0"/>
                    <w:spacing w:after="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SA"/>
                    </w:rPr>
                    <w:t>9</w:t>
                  </w:r>
                  <w:r>
                    <w:rPr>
                      <w:rFonts w:hint="eastAsia" w:cs="Times New Roman"/>
                      <w:color w:val="auto"/>
                      <w:kern w:val="0"/>
                      <w:sz w:val="21"/>
                      <w:szCs w:val="21"/>
                      <w:lang w:val="en-US" w:eastAsia="zh-CN" w:bidi="ar-SA"/>
                    </w:rPr>
                    <w:t>5</w:t>
                  </w:r>
                </w:p>
              </w:tc>
              <w:tc>
                <w:tcPr>
                  <w:tcW w:w="243" w:type="pct"/>
                  <w:vMerge w:val="continue"/>
                  <w:noWrap w:val="0"/>
                  <w:vAlign w:val="center"/>
                </w:tcPr>
                <w:p w14:paraId="348FF3E2">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802" w:type="pct"/>
                  <w:gridSpan w:val="3"/>
                  <w:noWrap w:val="0"/>
                  <w:vAlign w:val="center"/>
                </w:tcPr>
                <w:p w14:paraId="14322ECA">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{41.32,-7.97,1}</w:t>
                  </w:r>
                </w:p>
              </w:tc>
              <w:tc>
                <w:tcPr>
                  <w:tcW w:w="358" w:type="pct"/>
                  <w:noWrap w:val="0"/>
                  <w:vAlign w:val="center"/>
                </w:tcPr>
                <w:p w14:paraId="20EA453E">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5.3</w:t>
                  </w:r>
                </w:p>
              </w:tc>
              <w:tc>
                <w:tcPr>
                  <w:tcW w:w="326" w:type="pct"/>
                  <w:noWrap w:val="0"/>
                  <w:vAlign w:val="center"/>
                </w:tcPr>
                <w:p w14:paraId="37E1FC2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75.51 </w:t>
                  </w:r>
                </w:p>
              </w:tc>
              <w:tc>
                <w:tcPr>
                  <w:tcW w:w="229" w:type="pct"/>
                  <w:vMerge w:val="continue"/>
                  <w:noWrap w:val="0"/>
                  <w:vAlign w:val="center"/>
                </w:tcPr>
                <w:p w14:paraId="5232C61E">
                  <w:pPr>
                    <w:keepNext w:val="0"/>
                    <w:keepLines w:val="0"/>
                    <w:pageBreakBefore w:val="0"/>
                    <w:kinsoku/>
                    <w:wordWrap/>
                    <w:overflowPunct/>
                    <w:topLinePunct w:val="0"/>
                    <w:bidi w:val="0"/>
                    <w:snapToGrid w:val="0"/>
                    <w:spacing w:before="95" w:beforeLines="30" w:after="95" w:afterLines="30"/>
                    <w:jc w:val="center"/>
                    <w:rPr>
                      <w:rFonts w:hint="default" w:ascii="Times New Roman" w:hAnsi="Times New Roman" w:eastAsia="宋体" w:cs="Times New Roman"/>
                      <w:color w:val="auto"/>
                      <w:sz w:val="21"/>
                      <w:szCs w:val="21"/>
                    </w:rPr>
                  </w:pPr>
                </w:p>
              </w:tc>
              <w:tc>
                <w:tcPr>
                  <w:tcW w:w="336" w:type="pct"/>
                  <w:noWrap w:val="0"/>
                  <w:vAlign w:val="center"/>
                </w:tcPr>
                <w:p w14:paraId="1FED4B3E">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329" w:type="pct"/>
                  <w:noWrap w:val="0"/>
                  <w:vAlign w:val="center"/>
                </w:tcPr>
                <w:p w14:paraId="4CE266A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60.51 </w:t>
                  </w:r>
                </w:p>
              </w:tc>
              <w:tc>
                <w:tcPr>
                  <w:tcW w:w="235" w:type="pct"/>
                  <w:noWrap w:val="0"/>
                  <w:vAlign w:val="center"/>
                </w:tcPr>
                <w:p w14:paraId="61CA4ECF">
                  <w:pPr>
                    <w:keepNext w:val="0"/>
                    <w:keepLines w:val="0"/>
                    <w:pageBreakBefore w:val="0"/>
                    <w:kinsoku/>
                    <w:wordWrap/>
                    <w:overflowPunct/>
                    <w:topLinePunct w:val="0"/>
                    <w:autoSpaceDE w:val="0"/>
                    <w:autoSpaceDN w:val="0"/>
                    <w:bidi w:val="0"/>
                    <w:snapToGrid w:val="0"/>
                    <w:spacing w:before="95" w:beforeLines="30" w:after="95" w:afterLines="3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bl>
          <w:p w14:paraId="7A1940F0">
            <w:pPr>
              <w:pStyle w:val="38"/>
              <w:bidi w:val="0"/>
              <w:ind w:left="0" w:leftChars="0" w:firstLine="0" w:firstLineChars="0"/>
              <w:rPr>
                <w:color w:val="auto"/>
              </w:rPr>
            </w:pPr>
          </w:p>
        </w:tc>
      </w:tr>
    </w:tbl>
    <w:p w14:paraId="1E7A968D">
      <w:pPr>
        <w:rPr>
          <w:color w:val="auto"/>
        </w:rPr>
        <w:sectPr>
          <w:headerReference r:id="rId9" w:type="default"/>
          <w:pgSz w:w="16840" w:h="11907" w:orient="landscape"/>
          <w:pgMar w:top="1531" w:right="1701" w:bottom="1531" w:left="2127" w:header="851" w:footer="851" w:gutter="0"/>
          <w:cols w:space="720" w:num="1"/>
          <w:docGrid w:linePitch="312" w:charSpace="0"/>
        </w:sectPr>
      </w:pPr>
    </w:p>
    <w:p w14:paraId="1E9188C1">
      <w:pPr>
        <w:rPr>
          <w:color w:val="auto"/>
        </w:rPr>
      </w:pPr>
    </w:p>
    <w:tbl>
      <w:tblPr>
        <w:tblStyle w:val="29"/>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34B5E9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46" w:type="dxa"/>
            <w:noWrap w:val="0"/>
            <w:tcMar>
              <w:left w:w="28" w:type="dxa"/>
              <w:right w:w="28" w:type="dxa"/>
            </w:tcMar>
            <w:vAlign w:val="center"/>
          </w:tcPr>
          <w:p w14:paraId="61A2767A">
            <w:pPr>
              <w:adjustRightInd w:val="0"/>
              <w:snapToGrid w:val="0"/>
              <w:jc w:val="center"/>
              <w:rPr>
                <w:rFonts w:hint="eastAsia" w:ascii="宋体" w:hAnsi="宋体" w:cs="宋体"/>
                <w:bCs/>
                <w:color w:val="auto"/>
                <w:szCs w:val="21"/>
              </w:rPr>
            </w:pPr>
            <w:r>
              <w:rPr>
                <w:rFonts w:hint="eastAsia" w:ascii="宋体" w:hAnsi="宋体" w:cs="宋体"/>
                <w:bCs/>
                <w:color w:val="auto"/>
                <w:szCs w:val="21"/>
              </w:rPr>
              <w:t>运营</w:t>
            </w:r>
          </w:p>
          <w:p w14:paraId="62ED51A1">
            <w:pPr>
              <w:adjustRightInd w:val="0"/>
              <w:snapToGrid w:val="0"/>
              <w:jc w:val="center"/>
              <w:rPr>
                <w:rFonts w:hint="eastAsia" w:ascii="宋体" w:hAnsi="宋体" w:cs="宋体"/>
                <w:bCs/>
                <w:color w:val="auto"/>
                <w:szCs w:val="21"/>
              </w:rPr>
            </w:pPr>
            <w:r>
              <w:rPr>
                <w:rFonts w:hint="eastAsia" w:ascii="宋体" w:hAnsi="宋体" w:cs="宋体"/>
                <w:bCs/>
                <w:color w:val="auto"/>
                <w:szCs w:val="21"/>
              </w:rPr>
              <w:t>期环</w:t>
            </w:r>
          </w:p>
          <w:p w14:paraId="67342B7B">
            <w:pPr>
              <w:adjustRightInd w:val="0"/>
              <w:snapToGrid w:val="0"/>
              <w:jc w:val="center"/>
              <w:rPr>
                <w:rFonts w:hint="eastAsia" w:ascii="宋体" w:hAnsi="宋体" w:cs="宋体"/>
                <w:bCs/>
                <w:color w:val="auto"/>
                <w:szCs w:val="21"/>
              </w:rPr>
            </w:pPr>
            <w:r>
              <w:rPr>
                <w:rFonts w:hint="eastAsia" w:ascii="宋体" w:hAnsi="宋体" w:cs="宋体"/>
                <w:bCs/>
                <w:color w:val="auto"/>
                <w:szCs w:val="21"/>
              </w:rPr>
              <w:t>境影</w:t>
            </w:r>
          </w:p>
          <w:p w14:paraId="4E4BE897">
            <w:pPr>
              <w:adjustRightInd w:val="0"/>
              <w:snapToGrid w:val="0"/>
              <w:jc w:val="center"/>
              <w:rPr>
                <w:rFonts w:hint="eastAsia" w:ascii="宋体" w:hAnsi="宋体" w:cs="宋体"/>
                <w:bCs/>
                <w:color w:val="auto"/>
                <w:szCs w:val="21"/>
              </w:rPr>
            </w:pPr>
            <w:r>
              <w:rPr>
                <w:rFonts w:hint="eastAsia" w:ascii="宋体" w:hAnsi="宋体" w:cs="宋体"/>
                <w:bCs/>
                <w:color w:val="auto"/>
                <w:szCs w:val="21"/>
              </w:rPr>
              <w:t>响和</w:t>
            </w:r>
          </w:p>
          <w:p w14:paraId="63D6447F">
            <w:pPr>
              <w:adjustRightInd w:val="0"/>
              <w:snapToGrid w:val="0"/>
              <w:jc w:val="center"/>
              <w:rPr>
                <w:rFonts w:hint="eastAsia" w:ascii="宋体" w:hAnsi="宋体" w:cs="宋体"/>
                <w:bCs/>
                <w:color w:val="auto"/>
                <w:szCs w:val="21"/>
              </w:rPr>
            </w:pPr>
            <w:r>
              <w:rPr>
                <w:rFonts w:hint="eastAsia" w:ascii="宋体" w:hAnsi="宋体" w:cs="宋体"/>
                <w:bCs/>
                <w:color w:val="auto"/>
                <w:szCs w:val="21"/>
              </w:rPr>
              <w:t>保护</w:t>
            </w:r>
          </w:p>
          <w:p w14:paraId="1CB1846F">
            <w:pPr>
              <w:adjustRightInd w:val="0"/>
              <w:snapToGrid w:val="0"/>
              <w:jc w:val="center"/>
              <w:rPr>
                <w:rFonts w:hint="eastAsia" w:ascii="宋体" w:hAnsi="宋体" w:cs="宋体"/>
                <w:bCs/>
                <w:color w:val="auto"/>
                <w:szCs w:val="21"/>
              </w:rPr>
            </w:pPr>
            <w:r>
              <w:rPr>
                <w:rFonts w:hint="eastAsia" w:ascii="宋体" w:hAnsi="宋体" w:cs="宋体"/>
                <w:bCs/>
                <w:color w:val="auto"/>
                <w:szCs w:val="21"/>
              </w:rPr>
              <w:t>措施</w:t>
            </w:r>
          </w:p>
        </w:tc>
        <w:tc>
          <w:tcPr>
            <w:tcW w:w="8162" w:type="dxa"/>
            <w:noWrap w:val="0"/>
            <w:vAlign w:val="top"/>
          </w:tcPr>
          <w:p w14:paraId="5FD2E4AD">
            <w:pPr>
              <w:keepNext w:val="0"/>
              <w:keepLines w:val="0"/>
              <w:pageBreakBefore w:val="0"/>
              <w:kinsoku/>
              <w:wordWrap/>
              <w:overflowPunct/>
              <w:topLinePunct w:val="0"/>
              <w:bidi w:val="0"/>
              <w:adjustRightInd w:val="0"/>
              <w:snapToGrid w:val="0"/>
              <w:spacing w:line="360" w:lineRule="auto"/>
              <w:ind w:left="0" w:leftChars="0" w:right="0" w:firstLine="422"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②</w:t>
            </w:r>
            <w:r>
              <w:rPr>
                <w:rFonts w:hint="default" w:ascii="Times New Roman" w:hAnsi="Times New Roman" w:eastAsia="宋体" w:cs="Times New Roman"/>
                <w:b/>
                <w:bCs/>
                <w:color w:val="auto"/>
                <w:sz w:val="21"/>
                <w:szCs w:val="21"/>
              </w:rPr>
              <w:t>厂界噪声预测</w:t>
            </w:r>
          </w:p>
          <w:p w14:paraId="0F9FB3CE">
            <w:pPr>
              <w:keepNext w:val="0"/>
              <w:keepLines w:val="0"/>
              <w:pageBreakBefore w:val="0"/>
              <w:kinsoku/>
              <w:wordWrap/>
              <w:overflowPunct/>
              <w:topLinePunct w:val="0"/>
              <w:autoSpaceDE w:val="0"/>
              <w:autoSpaceDN w:val="0"/>
              <w:bidi w:val="0"/>
              <w:adjustRightInd w:val="0"/>
              <w:snapToGrid w:val="0"/>
              <w:spacing w:line="360" w:lineRule="auto"/>
              <w:ind w:left="0" w:leftChars="0" w:right="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为了解项目噪声源对周边声环境的影响情况，本次环评选择噪声环评专业辅助系统（EIAProfessionalAssistantSystemSpecialforNoise）EIAProN2021噪声预测软件对声环境影响情况进行预测</w:t>
            </w:r>
            <w:r>
              <w:rPr>
                <w:rFonts w:hint="eastAsia" w:eastAsia="宋体" w:cs="Times New Roman"/>
                <w:color w:val="auto"/>
                <w:sz w:val="21"/>
                <w:szCs w:val="21"/>
                <w:lang w:eastAsia="zh-CN"/>
              </w:rPr>
              <w:t>。</w:t>
            </w:r>
            <w:r>
              <w:rPr>
                <w:rFonts w:hint="eastAsia" w:eastAsia="宋体" w:cs="Times New Roman"/>
                <w:color w:val="auto"/>
                <w:sz w:val="21"/>
                <w:szCs w:val="21"/>
                <w:lang w:val="en-US" w:eastAsia="zh-CN"/>
              </w:rPr>
              <w:t>本项目昼夜间生产噪声</w:t>
            </w:r>
            <w:r>
              <w:rPr>
                <w:rFonts w:hint="default" w:ascii="Times New Roman" w:hAnsi="Times New Roman" w:eastAsia="宋体" w:cs="Times New Roman"/>
                <w:color w:val="auto"/>
                <w:sz w:val="21"/>
                <w:szCs w:val="21"/>
              </w:rPr>
              <w:t>预测结果见表所示。</w:t>
            </w:r>
          </w:p>
          <w:p w14:paraId="72B9E8CC">
            <w:pPr>
              <w:widowControl w:val="0"/>
              <w:spacing w:line="360" w:lineRule="auto"/>
              <w:ind w:firstLine="422" w:firstLineChars="200"/>
              <w:jc w:val="center"/>
              <w:rPr>
                <w:rFonts w:ascii="Times New Roman" w:hAnsi="Times New Roman" w:eastAsia="宋体" w:cs="Times New Roman"/>
                <w:b/>
                <w:bCs/>
                <w:color w:val="auto"/>
                <w:kern w:val="2"/>
                <w:sz w:val="21"/>
                <w:szCs w:val="21"/>
                <w:lang w:val="en-US" w:eastAsia="zh-CN" w:bidi="ar-SA"/>
              </w:rPr>
            </w:pPr>
            <w:r>
              <w:rPr>
                <w:rFonts w:ascii="Times New Roman" w:hAnsi="Times New Roman" w:eastAsia="宋体" w:cs="Times New Roman"/>
                <w:b/>
                <w:bCs/>
                <w:color w:val="auto"/>
                <w:kern w:val="2"/>
                <w:sz w:val="21"/>
                <w:szCs w:val="21"/>
                <w:lang w:val="zh-CN" w:eastAsia="zh-CN" w:bidi="ar-SA"/>
              </w:rPr>
              <w:t>表</w:t>
            </w:r>
            <w:r>
              <w:rPr>
                <w:rFonts w:hint="eastAsia" w:ascii="Times New Roman" w:hAnsi="Times New Roman" w:eastAsia="宋体" w:cs="Times New Roman"/>
                <w:b/>
                <w:bCs/>
                <w:color w:val="auto"/>
                <w:kern w:val="2"/>
                <w:sz w:val="21"/>
                <w:szCs w:val="21"/>
                <w:lang w:val="en-US" w:eastAsia="zh-CN" w:bidi="ar-SA"/>
              </w:rPr>
              <w:t>4</w:t>
            </w:r>
            <w:r>
              <w:rPr>
                <w:rFonts w:ascii="Times New Roman" w:hAnsi="Times New Roman" w:eastAsia="宋体" w:cs="Times New Roman"/>
                <w:b/>
                <w:bCs/>
                <w:color w:val="auto"/>
                <w:kern w:val="2"/>
                <w:sz w:val="21"/>
                <w:szCs w:val="21"/>
                <w:lang w:val="en-US" w:eastAsia="zh-CN" w:bidi="ar-SA"/>
              </w:rPr>
              <w:t>-</w:t>
            </w:r>
            <w:r>
              <w:rPr>
                <w:rFonts w:hint="eastAsia" w:cs="Times New Roman"/>
                <w:b/>
                <w:bCs/>
                <w:color w:val="auto"/>
                <w:kern w:val="2"/>
                <w:sz w:val="21"/>
                <w:szCs w:val="21"/>
                <w:lang w:val="en-US" w:eastAsia="zh-CN" w:bidi="ar-SA"/>
              </w:rPr>
              <w:t>11</w:t>
            </w:r>
            <w:r>
              <w:rPr>
                <w:rFonts w:hint="eastAsia" w:ascii="Times New Roman" w:hAnsi="Times New Roman" w:eastAsia="宋体" w:cs="Times New Roman"/>
                <w:b/>
                <w:bCs/>
                <w:color w:val="auto"/>
                <w:kern w:val="2"/>
                <w:sz w:val="21"/>
                <w:szCs w:val="21"/>
                <w:lang w:val="en-US" w:eastAsia="zh-CN" w:bidi="ar-SA"/>
              </w:rPr>
              <w:t xml:space="preserve"> </w:t>
            </w:r>
            <w:r>
              <w:rPr>
                <w:rFonts w:ascii="Times New Roman" w:hAnsi="Times New Roman" w:eastAsia="宋体" w:cs="Times New Roman"/>
                <w:b/>
                <w:bCs/>
                <w:color w:val="auto"/>
                <w:kern w:val="2"/>
                <w:sz w:val="21"/>
                <w:szCs w:val="21"/>
                <w:lang w:val="en-US" w:eastAsia="zh-CN" w:bidi="ar-SA"/>
              </w:rPr>
              <w:t xml:space="preserve"> </w:t>
            </w:r>
            <w:r>
              <w:rPr>
                <w:rFonts w:ascii="Times New Roman" w:hAnsi="Times New Roman" w:eastAsia="宋体" w:cs="Times New Roman"/>
                <w:b/>
                <w:bCs/>
                <w:color w:val="auto"/>
                <w:kern w:val="2"/>
                <w:sz w:val="21"/>
                <w:szCs w:val="21"/>
                <w:lang w:val="zh-CN" w:eastAsia="zh-CN" w:bidi="ar-SA"/>
              </w:rPr>
              <w:t>项目</w:t>
            </w:r>
            <w:r>
              <w:rPr>
                <w:rFonts w:hint="eastAsia" w:ascii="Times New Roman" w:hAnsi="Times New Roman" w:eastAsia="宋体" w:cs="Times New Roman"/>
                <w:b/>
                <w:bCs/>
                <w:color w:val="auto"/>
                <w:kern w:val="2"/>
                <w:sz w:val="21"/>
                <w:szCs w:val="21"/>
                <w:lang w:val="zh-CN" w:eastAsia="zh-CN" w:bidi="ar-SA"/>
              </w:rPr>
              <w:t>厂界</w:t>
            </w:r>
            <w:r>
              <w:rPr>
                <w:rFonts w:ascii="Times New Roman" w:hAnsi="Times New Roman" w:eastAsia="宋体" w:cs="Times New Roman"/>
                <w:b/>
                <w:bCs/>
                <w:color w:val="auto"/>
                <w:kern w:val="2"/>
                <w:sz w:val="21"/>
                <w:szCs w:val="21"/>
                <w:lang w:val="zh-CN" w:eastAsia="zh-CN" w:bidi="ar-SA"/>
              </w:rPr>
              <w:t>噪声影响预测结果一览表</w:t>
            </w:r>
            <w:r>
              <w:rPr>
                <w:rFonts w:hint="eastAsia" w:ascii="Times New Roman" w:hAnsi="Times New Roman" w:eastAsia="宋体" w:cs="Times New Roman"/>
                <w:b/>
                <w:bCs/>
                <w:color w:val="auto"/>
                <w:kern w:val="2"/>
                <w:sz w:val="21"/>
                <w:szCs w:val="21"/>
                <w:lang w:val="en-US" w:eastAsia="zh-CN" w:bidi="ar-SA"/>
              </w:rPr>
              <w:t xml:space="preserve">  单位：</w:t>
            </w:r>
            <w:r>
              <w:rPr>
                <w:rFonts w:ascii="Times New Roman" w:hAnsi="Times New Roman" w:eastAsia="宋体" w:cs="Times New Roman"/>
                <w:b/>
                <w:bCs/>
                <w:color w:val="auto"/>
                <w:kern w:val="2"/>
                <w:sz w:val="21"/>
                <w:szCs w:val="21"/>
                <w:lang w:val="en-US" w:eastAsia="zh-CN" w:bidi="ar-SA"/>
              </w:rPr>
              <w:t>dB（A）</w:t>
            </w:r>
          </w:p>
          <w:tbl>
            <w:tblPr>
              <w:tblStyle w:val="29"/>
              <w:tblW w:w="7879"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618"/>
              <w:gridCol w:w="2290"/>
              <w:gridCol w:w="1476"/>
              <w:gridCol w:w="1479"/>
              <w:gridCol w:w="2016"/>
            </w:tblGrid>
            <w:tr w14:paraId="4C335D76">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618" w:type="dxa"/>
                  <w:vMerge w:val="restart"/>
                  <w:noWrap w:val="0"/>
                  <w:vAlign w:val="center"/>
                </w:tcPr>
                <w:p w14:paraId="6EC28E76">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jc w:val="center"/>
                    <w:textAlignment w:val="auto"/>
                    <w:rPr>
                      <w:rFonts w:hint="eastAsia"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时段</w:t>
                  </w:r>
                </w:p>
              </w:tc>
              <w:tc>
                <w:tcPr>
                  <w:tcW w:w="2290" w:type="dxa"/>
                  <w:vMerge w:val="restart"/>
                  <w:noWrap w:val="0"/>
                  <w:vAlign w:val="center"/>
                </w:tcPr>
                <w:p w14:paraId="1C17CA89">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预测点</w:t>
                  </w:r>
                </w:p>
              </w:tc>
              <w:tc>
                <w:tcPr>
                  <w:tcW w:w="2955" w:type="dxa"/>
                  <w:gridSpan w:val="2"/>
                  <w:noWrap w:val="0"/>
                  <w:vAlign w:val="center"/>
                </w:tcPr>
                <w:p w14:paraId="5958B8CD">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jc w:val="center"/>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坐标点位</w:t>
                  </w:r>
                </w:p>
              </w:tc>
              <w:tc>
                <w:tcPr>
                  <w:tcW w:w="2016" w:type="dxa"/>
                  <w:vMerge w:val="restart"/>
                  <w:noWrap w:val="0"/>
                  <w:vAlign w:val="center"/>
                </w:tcPr>
                <w:p w14:paraId="7FD5E7FF">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贡献值</w:t>
                  </w:r>
                </w:p>
              </w:tc>
            </w:tr>
            <w:tr w14:paraId="44F0AFA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618" w:type="dxa"/>
                  <w:vMerge w:val="continue"/>
                  <w:noWrap w:val="0"/>
                  <w:vAlign w:val="center"/>
                </w:tcPr>
                <w:p w14:paraId="184CC375">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jc w:val="center"/>
                    <w:textAlignment w:val="auto"/>
                    <w:rPr>
                      <w:rFonts w:hint="default" w:ascii="Times New Roman" w:hAnsi="Times New Roman" w:eastAsia="宋体" w:cs="Times New Roman"/>
                      <w:b/>
                      <w:bCs/>
                      <w:color w:val="auto"/>
                      <w:sz w:val="21"/>
                      <w:szCs w:val="21"/>
                    </w:rPr>
                  </w:pPr>
                </w:p>
              </w:tc>
              <w:tc>
                <w:tcPr>
                  <w:tcW w:w="2290" w:type="dxa"/>
                  <w:vMerge w:val="continue"/>
                  <w:noWrap w:val="0"/>
                  <w:vAlign w:val="center"/>
                </w:tcPr>
                <w:p w14:paraId="781DE45B">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jc w:val="center"/>
                    <w:textAlignment w:val="auto"/>
                    <w:rPr>
                      <w:rFonts w:hint="default" w:ascii="Times New Roman" w:hAnsi="Times New Roman" w:eastAsia="宋体" w:cs="Times New Roman"/>
                      <w:b/>
                      <w:bCs/>
                      <w:color w:val="auto"/>
                      <w:sz w:val="21"/>
                      <w:szCs w:val="21"/>
                    </w:rPr>
                  </w:pPr>
                </w:p>
              </w:tc>
              <w:tc>
                <w:tcPr>
                  <w:tcW w:w="1476" w:type="dxa"/>
                  <w:noWrap w:val="0"/>
                  <w:vAlign w:val="center"/>
                </w:tcPr>
                <w:p w14:paraId="6A88BAC5">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jc w:val="center"/>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X/m</w:t>
                  </w:r>
                </w:p>
              </w:tc>
              <w:tc>
                <w:tcPr>
                  <w:tcW w:w="1479" w:type="dxa"/>
                  <w:noWrap w:val="0"/>
                  <w:vAlign w:val="center"/>
                </w:tcPr>
                <w:p w14:paraId="59ECC7D7">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jc w:val="center"/>
                    <w:textAlignment w:val="auto"/>
                    <w:rPr>
                      <w:rFonts w:hint="eastAsia" w:cs="Times New Roman"/>
                      <w:b/>
                      <w:bCs/>
                      <w:color w:val="auto"/>
                      <w:sz w:val="21"/>
                      <w:szCs w:val="21"/>
                      <w:lang w:val="en-US" w:eastAsia="zh-CN"/>
                    </w:rPr>
                  </w:pPr>
                  <w:r>
                    <w:rPr>
                      <w:rFonts w:hint="eastAsia" w:cs="Times New Roman"/>
                      <w:b/>
                      <w:bCs/>
                      <w:color w:val="auto"/>
                      <w:sz w:val="21"/>
                      <w:szCs w:val="21"/>
                      <w:lang w:val="en-US" w:eastAsia="zh-CN"/>
                    </w:rPr>
                    <w:t>Y/m</w:t>
                  </w:r>
                </w:p>
              </w:tc>
              <w:tc>
                <w:tcPr>
                  <w:tcW w:w="2016" w:type="dxa"/>
                  <w:vMerge w:val="continue"/>
                  <w:noWrap w:val="0"/>
                  <w:vAlign w:val="center"/>
                </w:tcPr>
                <w:p w14:paraId="060B01C0">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jc w:val="center"/>
                    <w:textAlignment w:val="auto"/>
                    <w:rPr>
                      <w:rFonts w:hint="default" w:ascii="Times New Roman" w:hAnsi="Times New Roman" w:eastAsia="宋体" w:cs="Times New Roman"/>
                      <w:b/>
                      <w:bCs/>
                      <w:color w:val="auto"/>
                      <w:sz w:val="21"/>
                      <w:szCs w:val="21"/>
                    </w:rPr>
                  </w:pPr>
                </w:p>
              </w:tc>
            </w:tr>
            <w:tr w14:paraId="79A22DB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18" w:type="dxa"/>
                  <w:vMerge w:val="restart"/>
                  <w:noWrap w:val="0"/>
                  <w:vAlign w:val="center"/>
                </w:tcPr>
                <w:p w14:paraId="2DB86130">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昼间</w:t>
                  </w:r>
                </w:p>
              </w:tc>
              <w:tc>
                <w:tcPr>
                  <w:tcW w:w="2290" w:type="dxa"/>
                  <w:noWrap w:val="0"/>
                  <w:vAlign w:val="center"/>
                </w:tcPr>
                <w:p w14:paraId="0B5F192A">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厂界北</w:t>
                  </w:r>
                  <w:r>
                    <w:rPr>
                      <w:rFonts w:hint="eastAsia" w:cs="Times New Roman"/>
                      <w:color w:val="auto"/>
                      <w:sz w:val="21"/>
                      <w:szCs w:val="21"/>
                      <w:lang w:val="en-US" w:eastAsia="zh-CN"/>
                    </w:rPr>
                    <w:t>线性预测Max</w:t>
                  </w:r>
                </w:p>
              </w:tc>
              <w:tc>
                <w:tcPr>
                  <w:tcW w:w="1476" w:type="dxa"/>
                  <w:noWrap w:val="0"/>
                  <w:vAlign w:val="center"/>
                </w:tcPr>
                <w:p w14:paraId="14953807">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color w:val="auto"/>
                      <w:lang w:val="en-US" w:eastAsia="zh-CN"/>
                    </w:rPr>
                    <w:t>38.82</w:t>
                  </w:r>
                </w:p>
              </w:tc>
              <w:tc>
                <w:tcPr>
                  <w:tcW w:w="1479" w:type="dxa"/>
                  <w:noWrap w:val="0"/>
                  <w:vAlign w:val="center"/>
                </w:tcPr>
                <w:p w14:paraId="712F3BEB">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rightChars="0"/>
                    <w:jc w:val="center"/>
                    <w:textAlignment w:val="auto"/>
                    <w:rPr>
                      <w:rFonts w:hint="default" w:eastAsia="宋体" w:cs="Times New Roman"/>
                      <w:color w:val="auto"/>
                      <w:sz w:val="21"/>
                      <w:szCs w:val="21"/>
                      <w:lang w:val="en-US" w:eastAsia="zh-CN"/>
                    </w:rPr>
                  </w:pPr>
                  <w:r>
                    <w:rPr>
                      <w:rFonts w:hint="eastAsia"/>
                      <w:color w:val="auto"/>
                      <w:lang w:val="en-US" w:eastAsia="zh-CN"/>
                    </w:rPr>
                    <w:t>101.12</w:t>
                  </w:r>
                </w:p>
              </w:tc>
              <w:tc>
                <w:tcPr>
                  <w:tcW w:w="2016" w:type="dxa"/>
                  <w:noWrap w:val="0"/>
                  <w:vAlign w:val="center"/>
                </w:tcPr>
                <w:p w14:paraId="2A346477">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45.06</w:t>
                  </w:r>
                </w:p>
              </w:tc>
            </w:tr>
            <w:tr w14:paraId="7654196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18" w:type="dxa"/>
                  <w:vMerge w:val="continue"/>
                  <w:noWrap w:val="0"/>
                  <w:vAlign w:val="center"/>
                </w:tcPr>
                <w:p w14:paraId="0920B88D">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jc w:val="center"/>
                    <w:textAlignment w:val="auto"/>
                    <w:rPr>
                      <w:rFonts w:hint="default" w:ascii="Times New Roman" w:hAnsi="Times New Roman" w:eastAsia="宋体" w:cs="Times New Roman"/>
                      <w:color w:val="auto"/>
                      <w:sz w:val="21"/>
                      <w:szCs w:val="21"/>
                    </w:rPr>
                  </w:pPr>
                </w:p>
              </w:tc>
              <w:tc>
                <w:tcPr>
                  <w:tcW w:w="2290" w:type="dxa"/>
                  <w:noWrap w:val="0"/>
                  <w:vAlign w:val="center"/>
                </w:tcPr>
                <w:p w14:paraId="2CA7336D">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厂界南</w:t>
                  </w:r>
                  <w:r>
                    <w:rPr>
                      <w:rFonts w:hint="default" w:ascii="Times New Roman" w:hAnsi="Times New Roman" w:eastAsia="宋体" w:cs="Times New Roman"/>
                      <w:color w:val="auto"/>
                      <w:sz w:val="21"/>
                      <w:szCs w:val="21"/>
                      <w:lang w:val="en-US" w:eastAsia="zh-CN"/>
                    </w:rPr>
                    <w:t>线性预测Max</w:t>
                  </w:r>
                </w:p>
              </w:tc>
              <w:tc>
                <w:tcPr>
                  <w:tcW w:w="1476" w:type="dxa"/>
                  <w:noWrap w:val="0"/>
                  <w:vAlign w:val="center"/>
                </w:tcPr>
                <w:p w14:paraId="4BB9C7A3">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color w:val="auto"/>
                      <w:lang w:val="en-US" w:eastAsia="zh-CN"/>
                    </w:rPr>
                    <w:t>-6.88</w:t>
                  </w:r>
                </w:p>
              </w:tc>
              <w:tc>
                <w:tcPr>
                  <w:tcW w:w="1479" w:type="dxa"/>
                  <w:noWrap w:val="0"/>
                  <w:vAlign w:val="center"/>
                </w:tcPr>
                <w:p w14:paraId="49DCF375">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rightChars="0"/>
                    <w:jc w:val="center"/>
                    <w:textAlignment w:val="auto"/>
                    <w:rPr>
                      <w:rFonts w:hint="default" w:eastAsia="宋体" w:cs="Times New Roman"/>
                      <w:color w:val="auto"/>
                      <w:sz w:val="21"/>
                      <w:szCs w:val="21"/>
                      <w:lang w:val="en-US" w:eastAsia="zh-CN"/>
                    </w:rPr>
                  </w:pPr>
                  <w:r>
                    <w:rPr>
                      <w:rFonts w:hint="eastAsia"/>
                      <w:color w:val="auto"/>
                      <w:lang w:val="en-US" w:eastAsia="zh-CN"/>
                    </w:rPr>
                    <w:t>-73.02</w:t>
                  </w:r>
                </w:p>
              </w:tc>
              <w:tc>
                <w:tcPr>
                  <w:tcW w:w="2016" w:type="dxa"/>
                  <w:noWrap w:val="0"/>
                  <w:vAlign w:val="center"/>
                </w:tcPr>
                <w:p w14:paraId="78678E2A">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52.81</w:t>
                  </w:r>
                </w:p>
              </w:tc>
            </w:tr>
            <w:tr w14:paraId="671A5FE9">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18" w:type="dxa"/>
                  <w:vMerge w:val="continue"/>
                  <w:noWrap w:val="0"/>
                  <w:vAlign w:val="center"/>
                </w:tcPr>
                <w:p w14:paraId="0BF16445">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jc w:val="center"/>
                    <w:textAlignment w:val="auto"/>
                    <w:rPr>
                      <w:rFonts w:hint="default" w:ascii="Times New Roman" w:hAnsi="Times New Roman" w:eastAsia="宋体" w:cs="Times New Roman"/>
                      <w:color w:val="auto"/>
                      <w:sz w:val="21"/>
                      <w:szCs w:val="21"/>
                    </w:rPr>
                  </w:pPr>
                </w:p>
              </w:tc>
              <w:tc>
                <w:tcPr>
                  <w:tcW w:w="2290" w:type="dxa"/>
                  <w:noWrap w:val="0"/>
                  <w:vAlign w:val="center"/>
                </w:tcPr>
                <w:p w14:paraId="617294C6">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厂界东</w:t>
                  </w:r>
                  <w:r>
                    <w:rPr>
                      <w:rFonts w:hint="default" w:ascii="Times New Roman" w:hAnsi="Times New Roman" w:eastAsia="宋体" w:cs="Times New Roman"/>
                      <w:color w:val="auto"/>
                      <w:sz w:val="21"/>
                      <w:szCs w:val="21"/>
                      <w:lang w:val="en-US" w:eastAsia="zh-CN"/>
                    </w:rPr>
                    <w:t>线性预测Max</w:t>
                  </w:r>
                </w:p>
              </w:tc>
              <w:tc>
                <w:tcPr>
                  <w:tcW w:w="1476" w:type="dxa"/>
                  <w:noWrap w:val="0"/>
                  <w:vAlign w:val="center"/>
                </w:tcPr>
                <w:p w14:paraId="61136324">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color w:val="auto"/>
                      <w:lang w:val="en-US" w:eastAsia="zh-CN"/>
                    </w:rPr>
                    <w:t>18.51</w:t>
                  </w:r>
                </w:p>
              </w:tc>
              <w:tc>
                <w:tcPr>
                  <w:tcW w:w="1479" w:type="dxa"/>
                  <w:noWrap w:val="0"/>
                  <w:vAlign w:val="center"/>
                </w:tcPr>
                <w:p w14:paraId="0683432C">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rightChars="0"/>
                    <w:jc w:val="center"/>
                    <w:textAlignment w:val="auto"/>
                    <w:rPr>
                      <w:rFonts w:hint="default" w:eastAsia="宋体" w:cs="Times New Roman"/>
                      <w:color w:val="auto"/>
                      <w:sz w:val="21"/>
                      <w:szCs w:val="21"/>
                      <w:lang w:val="en-US" w:eastAsia="zh-CN"/>
                    </w:rPr>
                  </w:pPr>
                  <w:r>
                    <w:rPr>
                      <w:rFonts w:hint="eastAsia"/>
                      <w:color w:val="auto"/>
                    </w:rPr>
                    <w:t>-</w:t>
                  </w:r>
                  <w:r>
                    <w:rPr>
                      <w:rFonts w:hint="eastAsia"/>
                      <w:color w:val="auto"/>
                      <w:lang w:val="en-US" w:eastAsia="zh-CN"/>
                    </w:rPr>
                    <w:t>53.60</w:t>
                  </w:r>
                </w:p>
              </w:tc>
              <w:tc>
                <w:tcPr>
                  <w:tcW w:w="2016" w:type="dxa"/>
                  <w:noWrap w:val="0"/>
                  <w:vAlign w:val="center"/>
                </w:tcPr>
                <w:p w14:paraId="0B4EB279">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58.04</w:t>
                  </w:r>
                </w:p>
              </w:tc>
            </w:tr>
            <w:tr w14:paraId="619E162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18" w:type="dxa"/>
                  <w:vMerge w:val="continue"/>
                  <w:noWrap w:val="0"/>
                  <w:vAlign w:val="center"/>
                </w:tcPr>
                <w:p w14:paraId="5BABE255">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jc w:val="center"/>
                    <w:textAlignment w:val="auto"/>
                    <w:rPr>
                      <w:rFonts w:hint="default" w:ascii="Times New Roman" w:hAnsi="Times New Roman" w:eastAsia="宋体" w:cs="Times New Roman"/>
                      <w:color w:val="auto"/>
                      <w:sz w:val="21"/>
                      <w:szCs w:val="21"/>
                    </w:rPr>
                  </w:pPr>
                </w:p>
              </w:tc>
              <w:tc>
                <w:tcPr>
                  <w:tcW w:w="2290" w:type="dxa"/>
                  <w:noWrap w:val="0"/>
                  <w:vAlign w:val="center"/>
                </w:tcPr>
                <w:p w14:paraId="28C66656">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厂界西</w:t>
                  </w:r>
                  <w:r>
                    <w:rPr>
                      <w:rFonts w:hint="default" w:ascii="Times New Roman" w:hAnsi="Times New Roman" w:eastAsia="宋体" w:cs="Times New Roman"/>
                      <w:color w:val="auto"/>
                      <w:sz w:val="21"/>
                      <w:szCs w:val="21"/>
                      <w:lang w:val="en-US" w:eastAsia="zh-CN"/>
                    </w:rPr>
                    <w:t>线性预测Max</w:t>
                  </w:r>
                </w:p>
              </w:tc>
              <w:tc>
                <w:tcPr>
                  <w:tcW w:w="1476" w:type="dxa"/>
                  <w:noWrap w:val="0"/>
                  <w:vAlign w:val="center"/>
                </w:tcPr>
                <w:p w14:paraId="07952163">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color w:val="auto"/>
                      <w:lang w:val="en-US" w:eastAsia="zh-CN"/>
                    </w:rPr>
                    <w:t>-9.42</w:t>
                  </w:r>
                </w:p>
              </w:tc>
              <w:tc>
                <w:tcPr>
                  <w:tcW w:w="1479" w:type="dxa"/>
                  <w:noWrap w:val="0"/>
                  <w:vAlign w:val="center"/>
                </w:tcPr>
                <w:p w14:paraId="15BC4AE3">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rightChars="0"/>
                    <w:jc w:val="center"/>
                    <w:textAlignment w:val="auto"/>
                    <w:rPr>
                      <w:rFonts w:hint="default" w:eastAsia="宋体" w:cs="Times New Roman"/>
                      <w:color w:val="auto"/>
                      <w:sz w:val="21"/>
                      <w:szCs w:val="21"/>
                      <w:lang w:val="en-US" w:eastAsia="zh-CN"/>
                    </w:rPr>
                  </w:pPr>
                  <w:r>
                    <w:rPr>
                      <w:rFonts w:hint="eastAsia"/>
                      <w:color w:val="auto"/>
                      <w:lang w:val="en-US" w:eastAsia="zh-CN"/>
                    </w:rPr>
                    <w:t>87.56</w:t>
                  </w:r>
                </w:p>
              </w:tc>
              <w:tc>
                <w:tcPr>
                  <w:tcW w:w="2016" w:type="dxa"/>
                  <w:noWrap w:val="0"/>
                  <w:vAlign w:val="center"/>
                </w:tcPr>
                <w:p w14:paraId="41E764CD">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30.67</w:t>
                  </w:r>
                </w:p>
              </w:tc>
            </w:tr>
            <w:tr w14:paraId="21A24393">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18" w:type="dxa"/>
                  <w:vMerge w:val="restart"/>
                  <w:noWrap w:val="0"/>
                  <w:vAlign w:val="center"/>
                </w:tcPr>
                <w:p w14:paraId="12CB8428">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夜间</w:t>
                  </w:r>
                </w:p>
              </w:tc>
              <w:tc>
                <w:tcPr>
                  <w:tcW w:w="2290" w:type="dxa"/>
                  <w:noWrap w:val="0"/>
                  <w:vAlign w:val="center"/>
                </w:tcPr>
                <w:p w14:paraId="55C97801">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厂界北</w:t>
                  </w:r>
                  <w:r>
                    <w:rPr>
                      <w:rFonts w:hint="eastAsia" w:cs="Times New Roman"/>
                      <w:color w:val="auto"/>
                      <w:sz w:val="21"/>
                      <w:szCs w:val="21"/>
                      <w:lang w:val="en-US" w:eastAsia="zh-CN"/>
                    </w:rPr>
                    <w:t>线性预测Max</w:t>
                  </w:r>
                </w:p>
              </w:tc>
              <w:tc>
                <w:tcPr>
                  <w:tcW w:w="1476" w:type="dxa"/>
                  <w:noWrap w:val="0"/>
                  <w:vAlign w:val="center"/>
                </w:tcPr>
                <w:p w14:paraId="30608BF0">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rightChars="0"/>
                    <w:jc w:val="center"/>
                    <w:textAlignment w:val="auto"/>
                    <w:rPr>
                      <w:rFonts w:hint="default" w:eastAsia="宋体" w:cs="Times New Roman"/>
                      <w:color w:val="auto"/>
                      <w:sz w:val="21"/>
                      <w:szCs w:val="21"/>
                      <w:lang w:val="en-US" w:eastAsia="zh-CN"/>
                    </w:rPr>
                  </w:pPr>
                  <w:r>
                    <w:rPr>
                      <w:rFonts w:hint="eastAsia"/>
                      <w:color w:val="auto"/>
                      <w:lang w:val="en-US" w:eastAsia="zh-CN"/>
                    </w:rPr>
                    <w:t>73.02</w:t>
                  </w:r>
                </w:p>
              </w:tc>
              <w:tc>
                <w:tcPr>
                  <w:tcW w:w="1479" w:type="dxa"/>
                  <w:noWrap w:val="0"/>
                  <w:vAlign w:val="center"/>
                </w:tcPr>
                <w:p w14:paraId="67288976">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rightChars="0"/>
                    <w:jc w:val="center"/>
                    <w:textAlignment w:val="auto"/>
                    <w:rPr>
                      <w:rFonts w:hint="default" w:eastAsia="宋体" w:cs="Times New Roman"/>
                      <w:color w:val="auto"/>
                      <w:sz w:val="21"/>
                      <w:szCs w:val="21"/>
                      <w:lang w:val="en-US" w:eastAsia="zh-CN"/>
                    </w:rPr>
                  </w:pPr>
                  <w:r>
                    <w:rPr>
                      <w:rFonts w:hint="eastAsia"/>
                      <w:color w:val="auto"/>
                      <w:lang w:val="en-US" w:eastAsia="zh-CN"/>
                    </w:rPr>
                    <w:t>77.83</w:t>
                  </w:r>
                </w:p>
              </w:tc>
              <w:tc>
                <w:tcPr>
                  <w:tcW w:w="2016" w:type="dxa"/>
                  <w:noWrap w:val="0"/>
                  <w:vAlign w:val="center"/>
                </w:tcPr>
                <w:p w14:paraId="21544E7A">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right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16.53</w:t>
                  </w:r>
                </w:p>
              </w:tc>
            </w:tr>
            <w:tr w14:paraId="2A3570F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18" w:type="dxa"/>
                  <w:vMerge w:val="continue"/>
                  <w:noWrap w:val="0"/>
                  <w:vAlign w:val="center"/>
                </w:tcPr>
                <w:p w14:paraId="535F6717">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jc w:val="center"/>
                    <w:textAlignment w:val="auto"/>
                    <w:rPr>
                      <w:rFonts w:hint="default" w:ascii="Times New Roman" w:hAnsi="Times New Roman" w:eastAsia="宋体" w:cs="Times New Roman"/>
                      <w:color w:val="auto"/>
                      <w:sz w:val="21"/>
                      <w:szCs w:val="21"/>
                    </w:rPr>
                  </w:pPr>
                </w:p>
              </w:tc>
              <w:tc>
                <w:tcPr>
                  <w:tcW w:w="2290" w:type="dxa"/>
                  <w:noWrap w:val="0"/>
                  <w:vAlign w:val="center"/>
                </w:tcPr>
                <w:p w14:paraId="0E164D3D">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厂界南</w:t>
                  </w:r>
                  <w:r>
                    <w:rPr>
                      <w:rFonts w:hint="default" w:ascii="Times New Roman" w:hAnsi="Times New Roman" w:eastAsia="宋体" w:cs="Times New Roman"/>
                      <w:color w:val="auto"/>
                      <w:sz w:val="21"/>
                      <w:szCs w:val="21"/>
                      <w:lang w:val="en-US" w:eastAsia="zh-CN"/>
                    </w:rPr>
                    <w:t>线性预测Max</w:t>
                  </w:r>
                </w:p>
              </w:tc>
              <w:tc>
                <w:tcPr>
                  <w:tcW w:w="1476" w:type="dxa"/>
                  <w:noWrap w:val="0"/>
                  <w:vAlign w:val="center"/>
                </w:tcPr>
                <w:p w14:paraId="4C1A3A0E">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rightChars="0"/>
                    <w:jc w:val="center"/>
                    <w:textAlignment w:val="auto"/>
                    <w:rPr>
                      <w:rFonts w:hint="default" w:eastAsia="宋体" w:cs="Times New Roman"/>
                      <w:color w:val="auto"/>
                      <w:sz w:val="21"/>
                      <w:szCs w:val="21"/>
                      <w:lang w:val="en-US" w:eastAsia="zh-CN"/>
                    </w:rPr>
                  </w:pPr>
                  <w:r>
                    <w:rPr>
                      <w:rFonts w:hint="eastAsia"/>
                      <w:color w:val="auto"/>
                      <w:lang w:val="en-US" w:eastAsia="zh-CN"/>
                    </w:rPr>
                    <w:t>-6.88</w:t>
                  </w:r>
                </w:p>
              </w:tc>
              <w:tc>
                <w:tcPr>
                  <w:tcW w:w="1479" w:type="dxa"/>
                  <w:noWrap w:val="0"/>
                  <w:vAlign w:val="center"/>
                </w:tcPr>
                <w:p w14:paraId="0545307C">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rightChars="0"/>
                    <w:jc w:val="center"/>
                    <w:textAlignment w:val="auto"/>
                    <w:rPr>
                      <w:rFonts w:hint="default" w:eastAsia="宋体" w:cs="Times New Roman"/>
                      <w:color w:val="auto"/>
                      <w:sz w:val="21"/>
                      <w:szCs w:val="21"/>
                      <w:lang w:val="en-US" w:eastAsia="zh-CN"/>
                    </w:rPr>
                  </w:pPr>
                  <w:r>
                    <w:rPr>
                      <w:rFonts w:hint="eastAsia"/>
                      <w:color w:val="auto"/>
                      <w:lang w:val="en-US" w:eastAsia="zh-CN"/>
                    </w:rPr>
                    <w:t>-73.02</w:t>
                  </w:r>
                </w:p>
              </w:tc>
              <w:tc>
                <w:tcPr>
                  <w:tcW w:w="2016" w:type="dxa"/>
                  <w:noWrap w:val="0"/>
                  <w:vAlign w:val="center"/>
                </w:tcPr>
                <w:p w14:paraId="03C81B81">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right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48.78</w:t>
                  </w:r>
                </w:p>
              </w:tc>
            </w:tr>
            <w:tr w14:paraId="60E9A16E">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18" w:type="dxa"/>
                  <w:vMerge w:val="continue"/>
                  <w:noWrap w:val="0"/>
                  <w:vAlign w:val="center"/>
                </w:tcPr>
                <w:p w14:paraId="0314F23C">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jc w:val="center"/>
                    <w:textAlignment w:val="auto"/>
                    <w:rPr>
                      <w:rFonts w:hint="default" w:ascii="Times New Roman" w:hAnsi="Times New Roman" w:eastAsia="宋体" w:cs="Times New Roman"/>
                      <w:color w:val="auto"/>
                      <w:sz w:val="21"/>
                      <w:szCs w:val="21"/>
                    </w:rPr>
                  </w:pPr>
                </w:p>
              </w:tc>
              <w:tc>
                <w:tcPr>
                  <w:tcW w:w="2290" w:type="dxa"/>
                  <w:noWrap w:val="0"/>
                  <w:vAlign w:val="center"/>
                </w:tcPr>
                <w:p w14:paraId="024CD076">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厂界东</w:t>
                  </w:r>
                  <w:r>
                    <w:rPr>
                      <w:rFonts w:hint="default" w:ascii="Times New Roman" w:hAnsi="Times New Roman" w:eastAsia="宋体" w:cs="Times New Roman"/>
                      <w:color w:val="auto"/>
                      <w:sz w:val="21"/>
                      <w:szCs w:val="21"/>
                      <w:lang w:val="en-US" w:eastAsia="zh-CN"/>
                    </w:rPr>
                    <w:t>线性预测Max</w:t>
                  </w:r>
                </w:p>
              </w:tc>
              <w:tc>
                <w:tcPr>
                  <w:tcW w:w="1476" w:type="dxa"/>
                  <w:noWrap w:val="0"/>
                  <w:vAlign w:val="center"/>
                </w:tcPr>
                <w:p w14:paraId="7C23DBC7">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rightChars="0"/>
                    <w:jc w:val="center"/>
                    <w:textAlignment w:val="auto"/>
                    <w:rPr>
                      <w:rFonts w:hint="default" w:eastAsia="宋体" w:cs="Times New Roman"/>
                      <w:color w:val="auto"/>
                      <w:sz w:val="21"/>
                      <w:szCs w:val="21"/>
                      <w:lang w:val="en-US" w:eastAsia="zh-CN"/>
                    </w:rPr>
                  </w:pPr>
                  <w:r>
                    <w:rPr>
                      <w:rFonts w:hint="eastAsia"/>
                      <w:color w:val="auto"/>
                      <w:lang w:val="en-US" w:eastAsia="zh-CN"/>
                    </w:rPr>
                    <w:t>18.51</w:t>
                  </w:r>
                </w:p>
              </w:tc>
              <w:tc>
                <w:tcPr>
                  <w:tcW w:w="1479" w:type="dxa"/>
                  <w:noWrap w:val="0"/>
                  <w:vAlign w:val="center"/>
                </w:tcPr>
                <w:p w14:paraId="428B662A">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rightChars="0"/>
                    <w:jc w:val="center"/>
                    <w:textAlignment w:val="auto"/>
                    <w:rPr>
                      <w:rFonts w:hint="default" w:eastAsia="宋体" w:cs="Times New Roman"/>
                      <w:color w:val="auto"/>
                      <w:sz w:val="21"/>
                      <w:szCs w:val="21"/>
                      <w:lang w:val="en-US" w:eastAsia="zh-CN"/>
                    </w:rPr>
                  </w:pPr>
                  <w:r>
                    <w:rPr>
                      <w:rFonts w:hint="eastAsia"/>
                      <w:color w:val="auto"/>
                      <w:lang w:val="en-US" w:eastAsia="zh-CN"/>
                    </w:rPr>
                    <w:t>-53.60</w:t>
                  </w:r>
                </w:p>
              </w:tc>
              <w:tc>
                <w:tcPr>
                  <w:tcW w:w="2016" w:type="dxa"/>
                  <w:noWrap w:val="0"/>
                  <w:vAlign w:val="center"/>
                </w:tcPr>
                <w:p w14:paraId="48566B1C">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right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54.00</w:t>
                  </w:r>
                </w:p>
              </w:tc>
            </w:tr>
            <w:tr w14:paraId="29C39A8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18" w:type="dxa"/>
                  <w:vMerge w:val="continue"/>
                  <w:noWrap w:val="0"/>
                  <w:vAlign w:val="center"/>
                </w:tcPr>
                <w:p w14:paraId="7D3E1D2E">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jc w:val="center"/>
                    <w:textAlignment w:val="auto"/>
                    <w:rPr>
                      <w:rFonts w:hint="default" w:ascii="Times New Roman" w:hAnsi="Times New Roman" w:eastAsia="宋体" w:cs="Times New Roman"/>
                      <w:color w:val="auto"/>
                      <w:sz w:val="21"/>
                      <w:szCs w:val="21"/>
                    </w:rPr>
                  </w:pPr>
                </w:p>
              </w:tc>
              <w:tc>
                <w:tcPr>
                  <w:tcW w:w="2290" w:type="dxa"/>
                  <w:noWrap w:val="0"/>
                  <w:vAlign w:val="center"/>
                </w:tcPr>
                <w:p w14:paraId="261D806C">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厂界西</w:t>
                  </w:r>
                  <w:r>
                    <w:rPr>
                      <w:rFonts w:hint="default" w:ascii="Times New Roman" w:hAnsi="Times New Roman" w:eastAsia="宋体" w:cs="Times New Roman"/>
                      <w:color w:val="auto"/>
                      <w:sz w:val="21"/>
                      <w:szCs w:val="21"/>
                      <w:lang w:val="en-US" w:eastAsia="zh-CN"/>
                    </w:rPr>
                    <w:t>线性预测Max</w:t>
                  </w:r>
                </w:p>
              </w:tc>
              <w:tc>
                <w:tcPr>
                  <w:tcW w:w="1476" w:type="dxa"/>
                  <w:noWrap w:val="0"/>
                  <w:vAlign w:val="center"/>
                </w:tcPr>
                <w:p w14:paraId="7985C6C1">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rightChars="0"/>
                    <w:jc w:val="center"/>
                    <w:textAlignment w:val="auto"/>
                    <w:rPr>
                      <w:rFonts w:hint="default" w:eastAsia="宋体" w:cs="Times New Roman"/>
                      <w:color w:val="auto"/>
                      <w:sz w:val="21"/>
                      <w:szCs w:val="21"/>
                      <w:lang w:val="en-US" w:eastAsia="zh-CN"/>
                    </w:rPr>
                  </w:pPr>
                  <w:r>
                    <w:rPr>
                      <w:rFonts w:hint="eastAsia"/>
                      <w:color w:val="auto"/>
                      <w:lang w:val="en-US" w:eastAsia="zh-CN"/>
                    </w:rPr>
                    <w:t>-77.25</w:t>
                  </w:r>
                </w:p>
              </w:tc>
              <w:tc>
                <w:tcPr>
                  <w:tcW w:w="1479" w:type="dxa"/>
                  <w:noWrap w:val="0"/>
                  <w:vAlign w:val="center"/>
                </w:tcPr>
                <w:p w14:paraId="40E800F3">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rightChars="0"/>
                    <w:jc w:val="center"/>
                    <w:textAlignment w:val="auto"/>
                    <w:rPr>
                      <w:rFonts w:hint="default" w:eastAsia="宋体" w:cs="Times New Roman"/>
                      <w:color w:val="auto"/>
                      <w:sz w:val="21"/>
                      <w:szCs w:val="21"/>
                      <w:lang w:val="en-US" w:eastAsia="zh-CN"/>
                    </w:rPr>
                  </w:pPr>
                  <w:r>
                    <w:rPr>
                      <w:rFonts w:hint="eastAsia"/>
                      <w:color w:val="auto"/>
                      <w:lang w:val="en-US" w:eastAsia="zh-CN"/>
                    </w:rPr>
                    <w:t>-56.41</w:t>
                  </w:r>
                </w:p>
              </w:tc>
              <w:tc>
                <w:tcPr>
                  <w:tcW w:w="2016" w:type="dxa"/>
                  <w:noWrap w:val="0"/>
                  <w:vAlign w:val="center"/>
                </w:tcPr>
                <w:p w14:paraId="7CA3E395">
                  <w:pPr>
                    <w:keepNext w:val="0"/>
                    <w:keepLines w:val="0"/>
                    <w:pageBreakBefore w:val="0"/>
                    <w:widowControl w:val="0"/>
                    <w:kinsoku/>
                    <w:wordWrap/>
                    <w:overflowPunct/>
                    <w:topLinePunct w:val="0"/>
                    <w:autoSpaceDE/>
                    <w:autoSpaceDN/>
                    <w:bidi w:val="0"/>
                    <w:adjustRightInd w:val="0"/>
                    <w:snapToGrid w:val="0"/>
                    <w:spacing w:before="95" w:beforeLines="30" w:after="95" w:afterLines="30"/>
                    <w:ind w:left="0" w:leftChars="0" w:right="0" w:right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23.95</w:t>
                  </w:r>
                </w:p>
              </w:tc>
            </w:tr>
          </w:tbl>
          <w:p w14:paraId="5A4A841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22" w:firstLineChars="200"/>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（2）昼间预测结果</w:t>
            </w:r>
          </w:p>
          <w:p w14:paraId="2AFB27C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根据预测，项目厂界昼间噪声影响预测结果与等值声线图具体如下。</w:t>
            </w:r>
          </w:p>
          <w:p w14:paraId="73A76AAD">
            <w:pPr>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rFonts w:hint="default" w:ascii="Times New Roman" w:hAnsi="Times New Roman" w:eastAsia="宋体" w:cs="Times New Roman"/>
                <w:color w:val="auto"/>
                <w:sz w:val="21"/>
                <w:szCs w:val="21"/>
                <w:lang w:val="en-US" w:eastAsia="zh-CN"/>
              </w:rPr>
            </w:pPr>
            <w:r>
              <w:rPr>
                <w:color w:val="auto"/>
              </w:rPr>
              <w:drawing>
                <wp:inline distT="0" distB="0" distL="114300" distR="114300">
                  <wp:extent cx="4933950" cy="1152525"/>
                  <wp:effectExtent l="0" t="0" r="0" b="9525"/>
                  <wp:docPr id="2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3"/>
                          <pic:cNvPicPr>
                            <a:picLocks noChangeAspect="1"/>
                          </pic:cNvPicPr>
                        </pic:nvPicPr>
                        <pic:blipFill>
                          <a:blip r:embed="rId33"/>
                          <a:stretch>
                            <a:fillRect/>
                          </a:stretch>
                        </pic:blipFill>
                        <pic:spPr>
                          <a:xfrm>
                            <a:off x="0" y="0"/>
                            <a:ext cx="4933950" cy="1152525"/>
                          </a:xfrm>
                          <a:prstGeom prst="rect">
                            <a:avLst/>
                          </a:prstGeom>
                          <a:noFill/>
                          <a:ln>
                            <a:noFill/>
                          </a:ln>
                        </pic:spPr>
                      </pic:pic>
                    </a:graphicData>
                  </a:graphic>
                </wp:inline>
              </w:drawing>
            </w:r>
          </w:p>
          <w:p w14:paraId="3E1F93AF">
            <w:pPr>
              <w:pStyle w:val="41"/>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color w:val="auto"/>
                <w:lang w:val="zh-CN" w:eastAsia="zh-CN"/>
              </w:rPr>
            </w:pPr>
            <w:r>
              <w:rPr>
                <w:rFonts w:hint="eastAsia"/>
                <w:color w:val="auto"/>
                <w:lang w:val="zh-CN" w:eastAsia="zh-CN"/>
              </w:rPr>
              <w:t>图</w:t>
            </w:r>
            <w:r>
              <w:rPr>
                <w:rFonts w:hint="eastAsia"/>
                <w:color w:val="auto"/>
                <w:lang w:val="en-US" w:eastAsia="zh-CN"/>
              </w:rPr>
              <w:t>4-12-1  厂界北线性噪声预测等值声线图（昼间）</w:t>
            </w:r>
          </w:p>
          <w:p w14:paraId="4F80A808">
            <w:pPr>
              <w:pStyle w:val="41"/>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color w:val="auto"/>
                <w:lang w:val="zh-CN" w:eastAsia="zh-CN"/>
              </w:rPr>
            </w:pPr>
            <w:r>
              <w:rPr>
                <w:color w:val="auto"/>
              </w:rPr>
              <w:drawing>
                <wp:inline distT="0" distB="0" distL="114300" distR="114300">
                  <wp:extent cx="4962525" cy="1171575"/>
                  <wp:effectExtent l="0" t="0" r="9525" b="9525"/>
                  <wp:docPr id="3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
                          <pic:cNvPicPr>
                            <a:picLocks noChangeAspect="1"/>
                          </pic:cNvPicPr>
                        </pic:nvPicPr>
                        <pic:blipFill>
                          <a:blip r:embed="rId34"/>
                          <a:stretch>
                            <a:fillRect/>
                          </a:stretch>
                        </pic:blipFill>
                        <pic:spPr>
                          <a:xfrm>
                            <a:off x="0" y="0"/>
                            <a:ext cx="4962525" cy="1171575"/>
                          </a:xfrm>
                          <a:prstGeom prst="rect">
                            <a:avLst/>
                          </a:prstGeom>
                          <a:noFill/>
                          <a:ln>
                            <a:noFill/>
                          </a:ln>
                        </pic:spPr>
                      </pic:pic>
                    </a:graphicData>
                  </a:graphic>
                </wp:inline>
              </w:drawing>
            </w:r>
          </w:p>
          <w:p w14:paraId="52BE7658">
            <w:pPr>
              <w:pStyle w:val="41"/>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color w:val="auto"/>
                <w:lang w:val="en-US" w:eastAsia="zh-CN"/>
              </w:rPr>
            </w:pPr>
            <w:r>
              <w:rPr>
                <w:rFonts w:hint="eastAsia"/>
                <w:color w:val="auto"/>
                <w:lang w:val="zh-CN" w:eastAsia="zh-CN"/>
              </w:rPr>
              <w:t>图</w:t>
            </w:r>
            <w:r>
              <w:rPr>
                <w:rFonts w:hint="eastAsia"/>
                <w:color w:val="auto"/>
                <w:lang w:val="en-US" w:eastAsia="zh-CN"/>
              </w:rPr>
              <w:t>4-12-2  厂界</w:t>
            </w:r>
            <w:r>
              <w:rPr>
                <w:rFonts w:hint="eastAsia"/>
                <w:color w:val="auto"/>
                <w:lang w:val="zh-CN" w:eastAsia="zh-CN"/>
              </w:rPr>
              <w:t>南</w:t>
            </w:r>
            <w:r>
              <w:rPr>
                <w:rFonts w:hint="eastAsia"/>
                <w:color w:val="auto"/>
                <w:lang w:val="en-US" w:eastAsia="zh-CN"/>
              </w:rPr>
              <w:t>线性噪声预测等值声线图（昼间）</w:t>
            </w:r>
          </w:p>
          <w:p w14:paraId="2FE05715">
            <w:pPr>
              <w:pStyle w:val="4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eastAsia"/>
                <w:color w:val="auto"/>
                <w:lang w:val="zh-CN" w:eastAsia="zh-CN"/>
              </w:rPr>
            </w:pPr>
            <w:r>
              <w:rPr>
                <w:color w:val="auto"/>
              </w:rPr>
              <w:drawing>
                <wp:inline distT="0" distB="0" distL="114300" distR="114300">
                  <wp:extent cx="4962525" cy="1219200"/>
                  <wp:effectExtent l="0" t="0" r="9525" b="0"/>
                  <wp:docPr id="3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5"/>
                          <pic:cNvPicPr>
                            <a:picLocks noChangeAspect="1"/>
                          </pic:cNvPicPr>
                        </pic:nvPicPr>
                        <pic:blipFill>
                          <a:blip r:embed="rId35"/>
                          <a:stretch>
                            <a:fillRect/>
                          </a:stretch>
                        </pic:blipFill>
                        <pic:spPr>
                          <a:xfrm>
                            <a:off x="0" y="0"/>
                            <a:ext cx="4962525" cy="1219200"/>
                          </a:xfrm>
                          <a:prstGeom prst="rect">
                            <a:avLst/>
                          </a:prstGeom>
                          <a:noFill/>
                          <a:ln>
                            <a:noFill/>
                          </a:ln>
                        </pic:spPr>
                      </pic:pic>
                    </a:graphicData>
                  </a:graphic>
                </wp:inline>
              </w:drawing>
            </w:r>
          </w:p>
          <w:p w14:paraId="7CF2E2BD">
            <w:pPr>
              <w:pStyle w:val="41"/>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auto"/>
              <w:rPr>
                <w:rFonts w:hint="eastAsia"/>
                <w:color w:val="auto"/>
                <w:lang w:val="zh-CN" w:eastAsia="zh-CN"/>
              </w:rPr>
            </w:pPr>
            <w:r>
              <w:rPr>
                <w:rFonts w:hint="eastAsia"/>
                <w:color w:val="auto"/>
                <w:lang w:val="zh-CN" w:eastAsia="zh-CN"/>
              </w:rPr>
              <w:t>图4-</w:t>
            </w:r>
            <w:r>
              <w:rPr>
                <w:rFonts w:hint="eastAsia"/>
                <w:color w:val="auto"/>
                <w:lang w:val="en-US" w:eastAsia="zh-CN"/>
              </w:rPr>
              <w:t>12-3</w:t>
            </w:r>
            <w:r>
              <w:rPr>
                <w:rFonts w:hint="eastAsia"/>
                <w:color w:val="auto"/>
                <w:lang w:val="zh-CN" w:eastAsia="zh-CN"/>
              </w:rPr>
              <w:t xml:space="preserve">  厂界</w:t>
            </w:r>
            <w:r>
              <w:rPr>
                <w:rFonts w:hint="eastAsia"/>
                <w:color w:val="auto"/>
                <w:lang w:val="en-US" w:eastAsia="zh-CN"/>
              </w:rPr>
              <w:t>东</w:t>
            </w:r>
            <w:r>
              <w:rPr>
                <w:rFonts w:hint="eastAsia"/>
                <w:color w:val="auto"/>
                <w:lang w:val="zh-CN" w:eastAsia="zh-CN"/>
              </w:rPr>
              <w:t>线性噪声预测等值声线图</w:t>
            </w:r>
            <w:r>
              <w:rPr>
                <w:rFonts w:hint="eastAsia"/>
                <w:color w:val="auto"/>
                <w:lang w:val="en-US" w:eastAsia="zh-CN"/>
              </w:rPr>
              <w:t>（昼间）</w:t>
            </w:r>
          </w:p>
          <w:p w14:paraId="3470AE5A">
            <w:pPr>
              <w:pStyle w:val="41"/>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eastAsia"/>
                <w:color w:val="auto"/>
                <w:lang w:val="zh-CN" w:eastAsia="zh-CN"/>
              </w:rPr>
            </w:pPr>
            <w:r>
              <w:rPr>
                <w:color w:val="auto"/>
              </w:rPr>
              <w:drawing>
                <wp:inline distT="0" distB="0" distL="114300" distR="114300">
                  <wp:extent cx="4953000" cy="1019175"/>
                  <wp:effectExtent l="0" t="0" r="0" b="9525"/>
                  <wp:docPr id="3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6"/>
                          <pic:cNvPicPr>
                            <a:picLocks noChangeAspect="1"/>
                          </pic:cNvPicPr>
                        </pic:nvPicPr>
                        <pic:blipFill>
                          <a:blip r:embed="rId36"/>
                          <a:stretch>
                            <a:fillRect/>
                          </a:stretch>
                        </pic:blipFill>
                        <pic:spPr>
                          <a:xfrm>
                            <a:off x="0" y="0"/>
                            <a:ext cx="4953000" cy="1019175"/>
                          </a:xfrm>
                          <a:prstGeom prst="rect">
                            <a:avLst/>
                          </a:prstGeom>
                          <a:noFill/>
                          <a:ln>
                            <a:noFill/>
                          </a:ln>
                        </pic:spPr>
                      </pic:pic>
                    </a:graphicData>
                  </a:graphic>
                </wp:inline>
              </w:drawing>
            </w:r>
          </w:p>
          <w:p w14:paraId="6454E43C">
            <w:pPr>
              <w:pStyle w:val="41"/>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color w:val="auto"/>
                <w:lang w:val="zh-CN" w:eastAsia="zh-CN"/>
              </w:rPr>
            </w:pPr>
            <w:r>
              <w:rPr>
                <w:rFonts w:hint="eastAsia"/>
                <w:color w:val="auto"/>
                <w:lang w:val="zh-CN" w:eastAsia="zh-CN"/>
              </w:rPr>
              <w:t>图</w:t>
            </w:r>
            <w:r>
              <w:rPr>
                <w:rFonts w:hint="eastAsia"/>
                <w:color w:val="auto"/>
                <w:lang w:val="en-US" w:eastAsia="zh-CN"/>
              </w:rPr>
              <w:t>4-12-4  厂界西线性噪声预测等值声线图（昼间）</w:t>
            </w:r>
          </w:p>
          <w:p w14:paraId="22B9242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等值声线图见下图</w:t>
            </w:r>
          </w:p>
          <w:p w14:paraId="22299E90">
            <w:pPr>
              <w:keepNext w:val="0"/>
              <w:keepLines w:val="0"/>
              <w:pageBreakBefore w:val="0"/>
              <w:widowControl w:val="0"/>
              <w:kinsoku/>
              <w:wordWrap/>
              <w:overflowPunct/>
              <w:topLinePunct w:val="0"/>
              <w:autoSpaceDE w:val="0"/>
              <w:autoSpaceDN w:val="0"/>
              <w:bidi w:val="0"/>
              <w:adjustRightInd w:val="0"/>
              <w:snapToGrid w:val="0"/>
              <w:spacing w:before="63" w:beforeLines="20" w:line="360" w:lineRule="auto"/>
              <w:textAlignment w:val="auto"/>
              <w:rPr>
                <w:rFonts w:hint="default" w:ascii="Times New Roman" w:hAnsi="Times New Roman" w:eastAsia="宋体" w:cs="Times New Roman"/>
                <w:color w:val="auto"/>
                <w:sz w:val="21"/>
                <w:szCs w:val="21"/>
                <w:lang w:val="en-US" w:eastAsia="zh-CN" w:bidi="ar-SA"/>
              </w:rPr>
            </w:pPr>
            <w:r>
              <w:rPr>
                <w:color w:val="auto"/>
              </w:rPr>
              <w:drawing>
                <wp:inline distT="0" distB="0" distL="114300" distR="114300">
                  <wp:extent cx="5041900" cy="4107815"/>
                  <wp:effectExtent l="0" t="0" r="6350" b="6985"/>
                  <wp:docPr id="3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7"/>
                          <pic:cNvPicPr>
                            <a:picLocks noChangeAspect="1"/>
                          </pic:cNvPicPr>
                        </pic:nvPicPr>
                        <pic:blipFill>
                          <a:blip r:embed="rId37"/>
                          <a:stretch>
                            <a:fillRect/>
                          </a:stretch>
                        </pic:blipFill>
                        <pic:spPr>
                          <a:xfrm>
                            <a:off x="0" y="0"/>
                            <a:ext cx="5041900" cy="4107815"/>
                          </a:xfrm>
                          <a:prstGeom prst="rect">
                            <a:avLst/>
                          </a:prstGeom>
                          <a:noFill/>
                          <a:ln>
                            <a:noFill/>
                          </a:ln>
                        </pic:spPr>
                      </pic:pic>
                    </a:graphicData>
                  </a:graphic>
                </wp:inline>
              </w:drawing>
            </w:r>
          </w:p>
          <w:p w14:paraId="1D9793E5">
            <w:pPr>
              <w:keepNext w:val="0"/>
              <w:keepLines w:val="0"/>
              <w:pageBreakBefore w:val="0"/>
              <w:widowControl w:val="0"/>
              <w:kinsoku/>
              <w:wordWrap/>
              <w:overflowPunct/>
              <w:topLinePunct w:val="0"/>
              <w:autoSpaceDE/>
              <w:autoSpaceDN/>
              <w:bidi w:val="0"/>
              <w:snapToGrid w:val="0"/>
              <w:spacing w:line="360" w:lineRule="auto"/>
              <w:jc w:val="center"/>
              <w:textAlignment w:val="auto"/>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图4-1</w:t>
            </w:r>
            <w:r>
              <w:rPr>
                <w:rFonts w:hint="eastAsia" w:cs="Times New Roman"/>
                <w:b/>
                <w:bCs/>
                <w:color w:val="auto"/>
                <w:szCs w:val="21"/>
                <w:lang w:val="en-US" w:eastAsia="zh-CN"/>
              </w:rPr>
              <w:t>2-5</w:t>
            </w:r>
            <w:r>
              <w:rPr>
                <w:rFonts w:hint="default" w:ascii="Times New Roman" w:hAnsi="Times New Roman" w:eastAsia="宋体" w:cs="Times New Roman"/>
                <w:b/>
                <w:bCs/>
                <w:color w:val="auto"/>
                <w:szCs w:val="21"/>
                <w:lang w:val="en-US" w:eastAsia="zh-CN"/>
              </w:rPr>
              <w:t xml:space="preserve">  等值声线图</w:t>
            </w:r>
          </w:p>
          <w:p w14:paraId="5D36607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22" w:firstLineChars="200"/>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（3）夜间预测结果</w:t>
            </w:r>
          </w:p>
          <w:p w14:paraId="3BFE8E4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根据预测，项目厂界</w:t>
            </w:r>
            <w:r>
              <w:rPr>
                <w:rFonts w:hint="eastAsia" w:ascii="Times New Roman" w:hAnsi="Times New Roman" w:eastAsia="宋体" w:cs="Times New Roman"/>
                <w:color w:val="auto"/>
                <w:sz w:val="21"/>
                <w:szCs w:val="21"/>
                <w:lang w:val="en-US" w:eastAsia="zh-CN"/>
              </w:rPr>
              <w:t>夜间</w:t>
            </w:r>
            <w:r>
              <w:rPr>
                <w:rFonts w:hint="default" w:ascii="Times New Roman" w:hAnsi="Times New Roman" w:eastAsia="宋体" w:cs="Times New Roman"/>
                <w:color w:val="auto"/>
                <w:sz w:val="21"/>
                <w:szCs w:val="21"/>
                <w:lang w:val="en-US" w:eastAsia="zh-CN"/>
              </w:rPr>
              <w:t>噪声影响预测结果与等值声线图具体如下。</w:t>
            </w:r>
          </w:p>
          <w:p w14:paraId="029EBC09">
            <w:pPr>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rFonts w:hint="default" w:ascii="Times New Roman" w:hAnsi="Times New Roman" w:eastAsia="宋体" w:cs="Times New Roman"/>
                <w:color w:val="auto"/>
                <w:sz w:val="21"/>
                <w:szCs w:val="21"/>
                <w:lang w:val="en-US" w:eastAsia="zh-CN"/>
              </w:rPr>
            </w:pPr>
            <w:r>
              <w:rPr>
                <w:color w:val="auto"/>
              </w:rPr>
              <w:drawing>
                <wp:inline distT="0" distB="0" distL="114300" distR="114300">
                  <wp:extent cx="4933950" cy="1228725"/>
                  <wp:effectExtent l="0" t="0" r="0" b="9525"/>
                  <wp:docPr id="4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9"/>
                          <pic:cNvPicPr>
                            <a:picLocks noChangeAspect="1"/>
                          </pic:cNvPicPr>
                        </pic:nvPicPr>
                        <pic:blipFill>
                          <a:blip r:embed="rId38"/>
                          <a:stretch>
                            <a:fillRect/>
                          </a:stretch>
                        </pic:blipFill>
                        <pic:spPr>
                          <a:xfrm>
                            <a:off x="0" y="0"/>
                            <a:ext cx="4933950" cy="1228725"/>
                          </a:xfrm>
                          <a:prstGeom prst="rect">
                            <a:avLst/>
                          </a:prstGeom>
                          <a:noFill/>
                          <a:ln>
                            <a:noFill/>
                          </a:ln>
                        </pic:spPr>
                      </pic:pic>
                    </a:graphicData>
                  </a:graphic>
                </wp:inline>
              </w:drawing>
            </w:r>
          </w:p>
          <w:p w14:paraId="545660B9">
            <w:pPr>
              <w:pStyle w:val="41"/>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color w:val="auto"/>
                <w:lang w:val="zh-CN" w:eastAsia="zh-CN"/>
              </w:rPr>
            </w:pPr>
            <w:r>
              <w:rPr>
                <w:rFonts w:hint="eastAsia"/>
                <w:color w:val="auto"/>
                <w:lang w:val="zh-CN" w:eastAsia="zh-CN"/>
              </w:rPr>
              <w:t>图</w:t>
            </w:r>
            <w:r>
              <w:rPr>
                <w:rFonts w:hint="eastAsia"/>
                <w:color w:val="auto"/>
                <w:lang w:val="en-US" w:eastAsia="zh-CN"/>
              </w:rPr>
              <w:t>4-12-1  厂界北线性噪声预测等值声线图（夜间）</w:t>
            </w:r>
          </w:p>
          <w:p w14:paraId="5B5B9992">
            <w:pPr>
              <w:pStyle w:val="41"/>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color w:val="auto"/>
                <w:lang w:val="zh-CN" w:eastAsia="zh-CN"/>
              </w:rPr>
            </w:pPr>
            <w:r>
              <w:rPr>
                <w:color w:val="auto"/>
              </w:rPr>
              <w:drawing>
                <wp:inline distT="0" distB="0" distL="114300" distR="114300">
                  <wp:extent cx="4981575" cy="1295400"/>
                  <wp:effectExtent l="0" t="0" r="9525" b="0"/>
                  <wp:docPr id="4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0"/>
                          <pic:cNvPicPr>
                            <a:picLocks noChangeAspect="1"/>
                          </pic:cNvPicPr>
                        </pic:nvPicPr>
                        <pic:blipFill>
                          <a:blip r:embed="rId39"/>
                          <a:stretch>
                            <a:fillRect/>
                          </a:stretch>
                        </pic:blipFill>
                        <pic:spPr>
                          <a:xfrm>
                            <a:off x="0" y="0"/>
                            <a:ext cx="4981575" cy="1295400"/>
                          </a:xfrm>
                          <a:prstGeom prst="rect">
                            <a:avLst/>
                          </a:prstGeom>
                          <a:noFill/>
                          <a:ln>
                            <a:noFill/>
                          </a:ln>
                        </pic:spPr>
                      </pic:pic>
                    </a:graphicData>
                  </a:graphic>
                </wp:inline>
              </w:drawing>
            </w:r>
          </w:p>
          <w:p w14:paraId="1E162F1A">
            <w:pPr>
              <w:pStyle w:val="41"/>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color w:val="auto"/>
                <w:lang w:val="en-US" w:eastAsia="zh-CN"/>
              </w:rPr>
            </w:pPr>
            <w:r>
              <w:rPr>
                <w:rFonts w:hint="eastAsia"/>
                <w:color w:val="auto"/>
                <w:lang w:val="zh-CN" w:eastAsia="zh-CN"/>
              </w:rPr>
              <w:t>图</w:t>
            </w:r>
            <w:r>
              <w:rPr>
                <w:rFonts w:hint="eastAsia"/>
                <w:color w:val="auto"/>
                <w:lang w:val="en-US" w:eastAsia="zh-CN"/>
              </w:rPr>
              <w:t>4-12-2  厂界</w:t>
            </w:r>
            <w:r>
              <w:rPr>
                <w:rFonts w:hint="eastAsia"/>
                <w:color w:val="auto"/>
                <w:lang w:val="zh-CN" w:eastAsia="zh-CN"/>
              </w:rPr>
              <w:t>南</w:t>
            </w:r>
            <w:r>
              <w:rPr>
                <w:rFonts w:hint="eastAsia"/>
                <w:color w:val="auto"/>
                <w:lang w:val="en-US" w:eastAsia="zh-CN"/>
              </w:rPr>
              <w:t>线性噪声预测等值声线图（夜间）</w:t>
            </w:r>
          </w:p>
          <w:p w14:paraId="0DE4E6F1">
            <w:pPr>
              <w:pStyle w:val="41"/>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color w:val="auto"/>
                <w:lang w:val="zh-CN" w:eastAsia="zh-CN"/>
              </w:rPr>
            </w:pPr>
            <w:r>
              <w:rPr>
                <w:color w:val="auto"/>
              </w:rPr>
              <w:drawing>
                <wp:inline distT="0" distB="0" distL="114300" distR="114300">
                  <wp:extent cx="4953000" cy="1219200"/>
                  <wp:effectExtent l="0" t="0" r="0" b="0"/>
                  <wp:docPr id="4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1"/>
                          <pic:cNvPicPr>
                            <a:picLocks noChangeAspect="1"/>
                          </pic:cNvPicPr>
                        </pic:nvPicPr>
                        <pic:blipFill>
                          <a:blip r:embed="rId40"/>
                          <a:stretch>
                            <a:fillRect/>
                          </a:stretch>
                        </pic:blipFill>
                        <pic:spPr>
                          <a:xfrm>
                            <a:off x="0" y="0"/>
                            <a:ext cx="4953000" cy="1219200"/>
                          </a:xfrm>
                          <a:prstGeom prst="rect">
                            <a:avLst/>
                          </a:prstGeom>
                          <a:noFill/>
                          <a:ln>
                            <a:noFill/>
                          </a:ln>
                        </pic:spPr>
                      </pic:pic>
                    </a:graphicData>
                  </a:graphic>
                </wp:inline>
              </w:drawing>
            </w:r>
          </w:p>
          <w:p w14:paraId="0F169331">
            <w:pPr>
              <w:pStyle w:val="41"/>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color w:val="auto"/>
                <w:lang w:val="zh-CN" w:eastAsia="zh-CN"/>
              </w:rPr>
            </w:pPr>
            <w:r>
              <w:rPr>
                <w:rFonts w:hint="eastAsia"/>
                <w:color w:val="auto"/>
                <w:lang w:val="zh-CN" w:eastAsia="zh-CN"/>
              </w:rPr>
              <w:t>图4-</w:t>
            </w:r>
            <w:r>
              <w:rPr>
                <w:rFonts w:hint="eastAsia"/>
                <w:color w:val="auto"/>
                <w:lang w:val="en-US" w:eastAsia="zh-CN"/>
              </w:rPr>
              <w:t>12-3</w:t>
            </w:r>
            <w:r>
              <w:rPr>
                <w:rFonts w:hint="eastAsia"/>
                <w:color w:val="auto"/>
                <w:lang w:val="zh-CN" w:eastAsia="zh-CN"/>
              </w:rPr>
              <w:t xml:space="preserve">  厂界</w:t>
            </w:r>
            <w:r>
              <w:rPr>
                <w:rFonts w:hint="eastAsia"/>
                <w:color w:val="auto"/>
                <w:lang w:val="en-US" w:eastAsia="zh-CN"/>
              </w:rPr>
              <w:t>东</w:t>
            </w:r>
            <w:r>
              <w:rPr>
                <w:rFonts w:hint="eastAsia"/>
                <w:color w:val="auto"/>
                <w:lang w:val="zh-CN" w:eastAsia="zh-CN"/>
              </w:rPr>
              <w:t>线性噪声预测等值声线图</w:t>
            </w:r>
            <w:r>
              <w:rPr>
                <w:rFonts w:hint="eastAsia"/>
                <w:color w:val="auto"/>
                <w:lang w:val="en-US" w:eastAsia="zh-CN"/>
              </w:rPr>
              <w:t>（夜间）</w:t>
            </w:r>
          </w:p>
          <w:p w14:paraId="682E787B">
            <w:pPr>
              <w:pStyle w:val="41"/>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rPr>
                <w:rFonts w:hint="eastAsia"/>
                <w:color w:val="auto"/>
                <w:lang w:val="zh-CN" w:eastAsia="zh-CN"/>
              </w:rPr>
            </w:pPr>
            <w:r>
              <w:rPr>
                <w:color w:val="auto"/>
              </w:rPr>
              <w:drawing>
                <wp:inline distT="0" distB="0" distL="114300" distR="114300">
                  <wp:extent cx="4953000" cy="1323975"/>
                  <wp:effectExtent l="0" t="0" r="0" b="9525"/>
                  <wp:docPr id="4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2"/>
                          <pic:cNvPicPr>
                            <a:picLocks noChangeAspect="1"/>
                          </pic:cNvPicPr>
                        </pic:nvPicPr>
                        <pic:blipFill>
                          <a:blip r:embed="rId41"/>
                          <a:stretch>
                            <a:fillRect/>
                          </a:stretch>
                        </pic:blipFill>
                        <pic:spPr>
                          <a:xfrm>
                            <a:off x="0" y="0"/>
                            <a:ext cx="4953000" cy="1323975"/>
                          </a:xfrm>
                          <a:prstGeom prst="rect">
                            <a:avLst/>
                          </a:prstGeom>
                          <a:noFill/>
                          <a:ln>
                            <a:noFill/>
                          </a:ln>
                        </pic:spPr>
                      </pic:pic>
                    </a:graphicData>
                  </a:graphic>
                </wp:inline>
              </w:drawing>
            </w:r>
          </w:p>
          <w:p w14:paraId="1C40B553">
            <w:pPr>
              <w:pStyle w:val="41"/>
              <w:keepNext w:val="0"/>
              <w:keepLines w:val="0"/>
              <w:pageBreakBefore w:val="0"/>
              <w:widowControl w:val="0"/>
              <w:kinsoku/>
              <w:wordWrap/>
              <w:overflowPunct/>
              <w:topLinePunct w:val="0"/>
              <w:autoSpaceDE/>
              <w:autoSpaceDN/>
              <w:bidi w:val="0"/>
              <w:adjustRightInd/>
              <w:snapToGrid w:val="0"/>
              <w:spacing w:line="360" w:lineRule="auto"/>
              <w:ind w:firstLine="0" w:firstLineChars="0"/>
              <w:textAlignment w:val="auto"/>
              <w:rPr>
                <w:rFonts w:hint="eastAsia"/>
                <w:color w:val="auto"/>
                <w:lang w:val="zh-CN" w:eastAsia="zh-CN"/>
              </w:rPr>
            </w:pPr>
            <w:r>
              <w:rPr>
                <w:rFonts w:hint="eastAsia"/>
                <w:color w:val="auto"/>
                <w:lang w:val="zh-CN" w:eastAsia="zh-CN"/>
              </w:rPr>
              <w:t>图</w:t>
            </w:r>
            <w:r>
              <w:rPr>
                <w:rFonts w:hint="eastAsia"/>
                <w:color w:val="auto"/>
                <w:lang w:val="en-US" w:eastAsia="zh-CN"/>
              </w:rPr>
              <w:t>4-12-4  厂界西线性噪声预测等值声线图（夜间）</w:t>
            </w:r>
          </w:p>
          <w:p w14:paraId="31C7B76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等值声线图见下图</w:t>
            </w:r>
          </w:p>
          <w:p w14:paraId="5A448114">
            <w:pPr>
              <w:keepNext w:val="0"/>
              <w:keepLines w:val="0"/>
              <w:pageBreakBefore w:val="0"/>
              <w:widowControl w:val="0"/>
              <w:kinsoku/>
              <w:wordWrap/>
              <w:overflowPunct/>
              <w:topLinePunct w:val="0"/>
              <w:autoSpaceDE w:val="0"/>
              <w:autoSpaceDN w:val="0"/>
              <w:bidi w:val="0"/>
              <w:adjustRightInd w:val="0"/>
              <w:snapToGrid w:val="0"/>
              <w:spacing w:before="63" w:beforeLines="20" w:line="360" w:lineRule="auto"/>
              <w:textAlignment w:val="auto"/>
              <w:rPr>
                <w:rFonts w:hint="default" w:ascii="Times New Roman" w:hAnsi="Times New Roman" w:eastAsia="宋体" w:cs="Times New Roman"/>
                <w:color w:val="auto"/>
                <w:sz w:val="21"/>
                <w:szCs w:val="21"/>
                <w:lang w:val="en-US" w:eastAsia="zh-CN" w:bidi="ar-SA"/>
              </w:rPr>
            </w:pPr>
            <w:r>
              <w:rPr>
                <w:color w:val="auto"/>
              </w:rPr>
              <w:drawing>
                <wp:inline distT="0" distB="0" distL="114300" distR="114300">
                  <wp:extent cx="5039995" cy="4429760"/>
                  <wp:effectExtent l="0" t="0" r="8255" b="8890"/>
                  <wp:docPr id="4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8"/>
                          <pic:cNvPicPr>
                            <a:picLocks noChangeAspect="1"/>
                          </pic:cNvPicPr>
                        </pic:nvPicPr>
                        <pic:blipFill>
                          <a:blip r:embed="rId42"/>
                          <a:stretch>
                            <a:fillRect/>
                          </a:stretch>
                        </pic:blipFill>
                        <pic:spPr>
                          <a:xfrm>
                            <a:off x="0" y="0"/>
                            <a:ext cx="5039995" cy="4429760"/>
                          </a:xfrm>
                          <a:prstGeom prst="rect">
                            <a:avLst/>
                          </a:prstGeom>
                          <a:noFill/>
                          <a:ln>
                            <a:noFill/>
                          </a:ln>
                        </pic:spPr>
                      </pic:pic>
                    </a:graphicData>
                  </a:graphic>
                </wp:inline>
              </w:drawing>
            </w:r>
          </w:p>
          <w:p w14:paraId="469C83CA">
            <w:pPr>
              <w:keepNext w:val="0"/>
              <w:keepLines w:val="0"/>
              <w:pageBreakBefore w:val="0"/>
              <w:widowControl w:val="0"/>
              <w:kinsoku/>
              <w:wordWrap/>
              <w:overflowPunct/>
              <w:topLinePunct w:val="0"/>
              <w:autoSpaceDE/>
              <w:autoSpaceDN/>
              <w:bidi w:val="0"/>
              <w:snapToGrid w:val="0"/>
              <w:spacing w:line="36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Cs w:val="21"/>
                <w:lang w:val="en-US" w:eastAsia="zh-CN"/>
              </w:rPr>
              <w:t>图4-1</w:t>
            </w:r>
            <w:r>
              <w:rPr>
                <w:rFonts w:hint="eastAsia" w:cs="Times New Roman"/>
                <w:b/>
                <w:bCs/>
                <w:color w:val="auto"/>
                <w:szCs w:val="21"/>
                <w:lang w:val="en-US" w:eastAsia="zh-CN"/>
              </w:rPr>
              <w:t>2-5</w:t>
            </w:r>
            <w:r>
              <w:rPr>
                <w:rFonts w:hint="default" w:ascii="Times New Roman" w:hAnsi="Times New Roman" w:eastAsia="宋体" w:cs="Times New Roman"/>
                <w:b/>
                <w:bCs/>
                <w:color w:val="auto"/>
                <w:szCs w:val="21"/>
                <w:lang w:val="en-US" w:eastAsia="zh-CN"/>
              </w:rPr>
              <w:t xml:space="preserve">  等值声线图</w:t>
            </w:r>
          </w:p>
          <w:p w14:paraId="012B8B76">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根据上表预测可知，本项目</w:t>
            </w:r>
            <w:r>
              <w:rPr>
                <w:rFonts w:hint="eastAsia" w:eastAsia="宋体" w:cs="Times New Roman"/>
                <w:color w:val="auto"/>
                <w:sz w:val="21"/>
                <w:szCs w:val="21"/>
                <w:lang w:val="en-US" w:eastAsia="zh-CN"/>
              </w:rPr>
              <w:t>昼夜间</w:t>
            </w:r>
            <w:r>
              <w:rPr>
                <w:rFonts w:hint="eastAsia" w:cs="Times New Roman"/>
                <w:color w:val="auto"/>
                <w:sz w:val="21"/>
                <w:szCs w:val="21"/>
                <w:lang w:val="en-US" w:eastAsia="zh-CN"/>
              </w:rPr>
              <w:t>生产区</w:t>
            </w:r>
            <w:r>
              <w:rPr>
                <w:rFonts w:hint="default" w:ascii="Times New Roman" w:hAnsi="Times New Roman" w:eastAsia="宋体" w:cs="Times New Roman"/>
                <w:color w:val="auto"/>
                <w:sz w:val="21"/>
                <w:szCs w:val="21"/>
              </w:rPr>
              <w:t>厂界</w:t>
            </w:r>
            <w:r>
              <w:rPr>
                <w:rFonts w:hint="default" w:ascii="Times New Roman" w:hAnsi="Times New Roman" w:eastAsia="宋体" w:cs="Times New Roman"/>
                <w:color w:val="auto"/>
                <w:sz w:val="21"/>
                <w:szCs w:val="21"/>
                <w:lang w:val="en-US" w:eastAsia="zh-CN"/>
              </w:rPr>
              <w:t>南、北、西侧</w:t>
            </w:r>
            <w:r>
              <w:rPr>
                <w:rFonts w:hint="default" w:ascii="Times New Roman" w:hAnsi="Times New Roman" w:eastAsia="宋体" w:cs="Times New Roman"/>
                <w:color w:val="auto"/>
                <w:sz w:val="21"/>
                <w:szCs w:val="21"/>
              </w:rPr>
              <w:t>噪声能满足《工业企业厂界环境噪声排放标准》（GB12348-2008）</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类标准要求</w:t>
            </w:r>
            <w:r>
              <w:rPr>
                <w:rFonts w:hint="default" w:ascii="Times New Roman" w:hAnsi="Times New Roman" w:eastAsia="宋体" w:cs="Times New Roman"/>
                <w:color w:val="auto"/>
                <w:sz w:val="21"/>
                <w:szCs w:val="21"/>
                <w:lang w:eastAsia="zh-CN"/>
              </w:rPr>
              <w:t>；</w:t>
            </w:r>
            <w:r>
              <w:rPr>
                <w:rFonts w:hint="eastAsia" w:eastAsia="宋体" w:cs="Times New Roman"/>
                <w:color w:val="auto"/>
                <w:sz w:val="21"/>
                <w:szCs w:val="21"/>
                <w:lang w:val="en-US" w:eastAsia="zh-CN"/>
              </w:rPr>
              <w:t>项目夜间噪声厂界东侧出现超标</w:t>
            </w:r>
            <w:r>
              <w:rPr>
                <w:rFonts w:hint="eastAsia" w:ascii="Times New Roman" w:hAnsi="Times New Roman" w:cs="Times New Roman"/>
                <w:color w:val="auto"/>
                <w:sz w:val="21"/>
                <w:szCs w:val="21"/>
                <w:lang w:val="en-US" w:eastAsia="zh-CN"/>
              </w:rPr>
              <w:t>，因此，本次环评建议在厂界东侧建设隔音屏障，要求东侧隔音效果为至少为</w:t>
            </w:r>
            <w:r>
              <w:rPr>
                <w:rFonts w:hint="eastAsia" w:cs="Times New Roman"/>
                <w:color w:val="auto"/>
                <w:sz w:val="21"/>
                <w:szCs w:val="21"/>
                <w:lang w:val="en-US" w:eastAsia="zh-CN"/>
              </w:rPr>
              <w:t>5</w:t>
            </w:r>
            <w:r>
              <w:rPr>
                <w:rFonts w:hint="eastAsia" w:ascii="Times New Roman" w:hAnsi="Times New Roman" w:cs="Times New Roman"/>
                <w:color w:val="auto"/>
                <w:sz w:val="21"/>
                <w:szCs w:val="21"/>
                <w:lang w:val="en-US" w:eastAsia="zh-CN"/>
              </w:rPr>
              <w:t>dB(A)；若有更为简便、高效的措施，则以实际噪声防治方案为准</w:t>
            </w:r>
            <w:r>
              <w:rPr>
                <w:rFonts w:hint="eastAsia" w:ascii="Times New Roman" w:hAnsi="Times New Roman" w:eastAsia="宋体" w:cs="Times New Roman"/>
                <w:color w:val="auto"/>
                <w:sz w:val="21"/>
                <w:szCs w:val="21"/>
                <w:lang w:val="en-US" w:eastAsia="zh-CN"/>
              </w:rPr>
              <w:t>。</w:t>
            </w:r>
          </w:p>
          <w:p w14:paraId="443958E0">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为减小运营期噪声对周边环境的影响，本环评提出如下措施：</w:t>
            </w:r>
          </w:p>
          <w:p w14:paraId="70A66426">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①优化设备布局，将设备</w:t>
            </w:r>
            <w:r>
              <w:rPr>
                <w:rFonts w:hint="eastAsia" w:cs="Times New Roman"/>
                <w:color w:val="auto"/>
                <w:sz w:val="21"/>
                <w:szCs w:val="21"/>
                <w:lang w:val="en-US" w:eastAsia="zh-CN"/>
              </w:rPr>
              <w:t>集中布置</w:t>
            </w:r>
            <w:r>
              <w:rPr>
                <w:rFonts w:hint="default" w:ascii="Times New Roman" w:hAnsi="Times New Roman" w:eastAsia="宋体" w:cs="Times New Roman"/>
                <w:color w:val="auto"/>
                <w:sz w:val="21"/>
                <w:szCs w:val="21"/>
                <w:lang w:val="zh-CN"/>
              </w:rPr>
              <w:t>；</w:t>
            </w:r>
          </w:p>
          <w:p w14:paraId="48D86B5F">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②选择低噪声、低振动、高质量的等设备；设备基础必须采取隔振措施；</w:t>
            </w:r>
          </w:p>
          <w:p w14:paraId="7965FF0E">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③加强设备日常检修和维修，确保设备处于良好的运转状态，杜绝因设备不正常运转时产生的高噪声现象；</w:t>
            </w:r>
          </w:p>
          <w:p w14:paraId="5D6E4D0A">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④风机设减震垫，风管设软连接，对设备进行有效地减震、隔声处理；</w:t>
            </w:r>
          </w:p>
          <w:p w14:paraId="4299215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⑤</w:t>
            </w:r>
            <w:r>
              <w:rPr>
                <w:rFonts w:hint="default" w:ascii="Times New Roman" w:hAnsi="Times New Roman" w:eastAsia="宋体" w:cs="Times New Roman"/>
                <w:color w:val="auto"/>
                <w:sz w:val="21"/>
                <w:szCs w:val="21"/>
                <w:lang w:val="zh-CN" w:eastAsia="zh-CN"/>
              </w:rPr>
              <w:t>运营期</w:t>
            </w:r>
            <w:r>
              <w:rPr>
                <w:rFonts w:hint="default" w:ascii="Times New Roman" w:hAnsi="Times New Roman" w:eastAsia="宋体" w:cs="Times New Roman"/>
                <w:color w:val="auto"/>
                <w:sz w:val="21"/>
                <w:szCs w:val="21"/>
                <w:lang w:val="zh-CN"/>
              </w:rPr>
              <w:t>应加强风机的保养、检修，保证设备处于良好的运转状态，减少机械振动和摩擦产生的噪声，防止共振。</w:t>
            </w:r>
          </w:p>
          <w:p w14:paraId="0567A649">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default" w:ascii="Times New Roman" w:hAnsi="Times New Roman" w:eastAsia="宋体" w:cs="Times New Roman"/>
                <w:color w:val="auto"/>
                <w:sz w:val="21"/>
                <w:szCs w:val="21"/>
                <w:lang w:val="zh-CN"/>
              </w:rPr>
            </w:pPr>
            <w:r>
              <w:rPr>
                <w:rFonts w:hint="eastAsia" w:ascii="宋体" w:hAnsi="宋体" w:eastAsia="宋体" w:cs="宋体"/>
                <w:color w:val="auto"/>
                <w:sz w:val="21"/>
                <w:szCs w:val="21"/>
                <w:lang w:val="en-US" w:eastAsia="zh-CN"/>
              </w:rPr>
              <w:t>⑥</w:t>
            </w:r>
            <w:r>
              <w:rPr>
                <w:rFonts w:hint="eastAsia" w:ascii="Times New Roman" w:hAnsi="Times New Roman" w:eastAsia="宋体" w:cs="Times New Roman"/>
                <w:color w:val="auto"/>
                <w:sz w:val="21"/>
                <w:szCs w:val="21"/>
                <w:lang w:val="en-US" w:eastAsia="zh-CN"/>
              </w:rPr>
              <w:t>本次环评建议在厂界东侧建设隔音屏障，要求东侧隔音效果为至少为</w:t>
            </w:r>
            <w:r>
              <w:rPr>
                <w:rFonts w:hint="eastAsia"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dB(A)，若有更为简便、高效的措施，则以实际噪声防治方案为准。</w:t>
            </w:r>
          </w:p>
          <w:p w14:paraId="7A75DD54">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bCs w:val="0"/>
                <w:color w:val="auto"/>
                <w:kern w:val="2"/>
                <w:sz w:val="21"/>
                <w:szCs w:val="21"/>
                <w:lang w:val="zh-CN" w:eastAsia="zh-CN" w:bidi="ar-SA"/>
              </w:rPr>
              <w:t>综上，本项目将采取低噪声设备，减小固定源噪声源强，具有突发性和间歇性，且采取厂房隔声，设置减振垫，</w:t>
            </w:r>
            <w:r>
              <w:rPr>
                <w:rFonts w:hint="eastAsia" w:ascii="Times New Roman" w:hAnsi="Times New Roman" w:cs="Times New Roman"/>
                <w:b w:val="0"/>
                <w:bCs w:val="0"/>
                <w:color w:val="auto"/>
                <w:kern w:val="2"/>
                <w:sz w:val="21"/>
                <w:szCs w:val="21"/>
                <w:lang w:val="en-US" w:eastAsia="zh-CN" w:bidi="ar-SA"/>
              </w:rPr>
              <w:t>设置隔音屏障</w:t>
            </w:r>
            <w:r>
              <w:rPr>
                <w:rFonts w:hint="default" w:ascii="Times New Roman" w:hAnsi="Times New Roman" w:eastAsia="宋体" w:cs="Times New Roman"/>
                <w:b w:val="0"/>
                <w:bCs w:val="0"/>
                <w:color w:val="auto"/>
                <w:kern w:val="2"/>
                <w:sz w:val="21"/>
                <w:szCs w:val="21"/>
                <w:lang w:val="zh-CN" w:eastAsia="zh-CN" w:bidi="ar-SA"/>
              </w:rPr>
              <w:t>等措施后，各厂界昼间噪声排放满足《工业企业厂界环境噪声排放标准》（GB12348-2008）中2类标准值即：昼间≤60dB（A）</w:t>
            </w:r>
            <w:r>
              <w:rPr>
                <w:rFonts w:hint="eastAsia" w:ascii="Times New Roman" w:hAnsi="Times New Roman" w:cs="Times New Roman"/>
                <w:b w:val="0"/>
                <w:bCs w:val="0"/>
                <w:color w:val="auto"/>
                <w:kern w:val="2"/>
                <w:sz w:val="21"/>
                <w:szCs w:val="21"/>
                <w:lang w:val="zh-CN" w:eastAsia="zh-CN" w:bidi="ar-SA"/>
              </w:rPr>
              <w:t>；厂界夜间噪声排放满足《工业企业厂界环境噪声排放标准》（GB12348-2008）中2类标准值即：夜间≤</w:t>
            </w:r>
            <w:r>
              <w:rPr>
                <w:rFonts w:hint="eastAsia" w:ascii="Times New Roman" w:hAnsi="Times New Roman" w:cs="Times New Roman"/>
                <w:b w:val="0"/>
                <w:bCs w:val="0"/>
                <w:color w:val="auto"/>
                <w:kern w:val="2"/>
                <w:sz w:val="21"/>
                <w:szCs w:val="21"/>
                <w:lang w:val="en-US" w:eastAsia="zh-CN" w:bidi="ar-SA"/>
              </w:rPr>
              <w:t>50</w:t>
            </w:r>
            <w:r>
              <w:rPr>
                <w:rFonts w:hint="eastAsia" w:ascii="Times New Roman" w:hAnsi="Times New Roman" w:cs="Times New Roman"/>
                <w:b w:val="0"/>
                <w:bCs w:val="0"/>
                <w:color w:val="auto"/>
                <w:kern w:val="2"/>
                <w:sz w:val="21"/>
                <w:szCs w:val="21"/>
                <w:lang w:val="zh-CN" w:eastAsia="zh-CN" w:bidi="ar-SA"/>
              </w:rPr>
              <w:t>dB（A）。</w:t>
            </w:r>
            <w:r>
              <w:rPr>
                <w:rFonts w:hint="eastAsia" w:ascii="Times New Roman" w:hAnsi="Times New Roman" w:cs="Times New Roman"/>
                <w:b w:val="0"/>
                <w:bCs w:val="0"/>
                <w:color w:val="auto"/>
                <w:kern w:val="2"/>
                <w:sz w:val="21"/>
                <w:szCs w:val="21"/>
                <w:lang w:val="en-US" w:eastAsia="zh-CN" w:bidi="ar-SA"/>
              </w:rPr>
              <w:t>项目区距</w:t>
            </w:r>
            <w:r>
              <w:rPr>
                <w:rFonts w:hint="eastAsia" w:ascii="Times New Roman" w:hAnsi="Times New Roman" w:cs="Times New Roman"/>
                <w:b w:val="0"/>
                <w:bCs w:val="0"/>
                <w:color w:val="auto"/>
                <w:kern w:val="2"/>
                <w:sz w:val="21"/>
                <w:szCs w:val="21"/>
                <w:lang w:val="zh-CN" w:eastAsia="zh-CN" w:bidi="ar-SA"/>
              </w:rPr>
              <w:t>居民区</w:t>
            </w:r>
            <w:r>
              <w:rPr>
                <w:rFonts w:hint="eastAsia" w:ascii="Times New Roman" w:hAnsi="Times New Roman" w:cs="Times New Roman"/>
                <w:b w:val="0"/>
                <w:bCs w:val="0"/>
                <w:color w:val="auto"/>
                <w:kern w:val="2"/>
                <w:sz w:val="21"/>
                <w:szCs w:val="21"/>
                <w:lang w:val="en-US" w:eastAsia="zh-CN" w:bidi="ar-SA"/>
              </w:rPr>
              <w:t>较远</w:t>
            </w:r>
            <w:r>
              <w:rPr>
                <w:rFonts w:hint="eastAsia" w:ascii="Times New Roman" w:hAnsi="Times New Roman" w:cs="Times New Roman"/>
                <w:b w:val="0"/>
                <w:bCs w:val="0"/>
                <w:color w:val="auto"/>
                <w:kern w:val="2"/>
                <w:sz w:val="21"/>
                <w:szCs w:val="21"/>
                <w:lang w:val="zh-CN" w:eastAsia="zh-CN" w:bidi="ar-SA"/>
              </w:rPr>
              <w:t>。因此项目运行后产生的噪声不会对区域声环境产生明显不利影响。对周边声环境影响较小。</w:t>
            </w:r>
          </w:p>
          <w:p w14:paraId="21126439">
            <w:pPr>
              <w:pageBreakBefore w:val="0"/>
              <w:widowControl w:val="0"/>
              <w:wordWrap/>
              <w:topLinePunct w:val="0"/>
              <w:bidi w:val="0"/>
              <w:adjustRightInd w:val="0"/>
              <w:snapToGrid w:val="0"/>
              <w:spacing w:line="360" w:lineRule="auto"/>
              <w:ind w:firstLine="422" w:firstLineChars="200"/>
              <w:jc w:val="left"/>
              <w:rPr>
                <w:rFonts w:hint="default" w:ascii="Times New Roman" w:hAnsi="Times New Roman" w:eastAsia="宋体" w:cs="Times New Roman"/>
                <w:b/>
                <w:color w:val="auto"/>
                <w:kern w:val="2"/>
                <w:sz w:val="21"/>
                <w:szCs w:val="21"/>
                <w:lang w:val="en-US" w:eastAsia="zh-CN" w:bidi="ar"/>
              </w:rPr>
            </w:pPr>
            <w:r>
              <w:rPr>
                <w:rFonts w:hint="default" w:ascii="Times New Roman" w:hAnsi="Times New Roman" w:eastAsia="宋体" w:cs="Times New Roman"/>
                <w:b/>
                <w:color w:val="auto"/>
                <w:kern w:val="2"/>
                <w:sz w:val="21"/>
                <w:szCs w:val="21"/>
                <w:lang w:val="en-US" w:eastAsia="zh-CN" w:bidi="ar"/>
              </w:rPr>
              <w:t>（</w:t>
            </w:r>
            <w:r>
              <w:rPr>
                <w:rFonts w:hint="eastAsia" w:cs="Times New Roman"/>
                <w:b/>
                <w:color w:val="auto"/>
                <w:kern w:val="2"/>
                <w:sz w:val="21"/>
                <w:szCs w:val="21"/>
                <w:lang w:val="en-US" w:eastAsia="zh-CN" w:bidi="ar"/>
              </w:rPr>
              <w:t>4</w:t>
            </w:r>
            <w:r>
              <w:rPr>
                <w:rFonts w:hint="default" w:ascii="Times New Roman" w:hAnsi="Times New Roman" w:eastAsia="宋体" w:cs="Times New Roman"/>
                <w:b/>
                <w:color w:val="auto"/>
                <w:kern w:val="2"/>
                <w:sz w:val="21"/>
                <w:szCs w:val="21"/>
                <w:lang w:val="en-US" w:eastAsia="zh-CN" w:bidi="ar"/>
              </w:rPr>
              <w:t>）监测要求</w:t>
            </w:r>
          </w:p>
          <w:p w14:paraId="37DA6260">
            <w:pPr>
              <w:pageBreakBefore w:val="0"/>
              <w:widowControl w:val="0"/>
              <w:wordWrap/>
              <w:topLinePunct w:val="0"/>
              <w:bidi w:val="0"/>
              <w:adjustRightInd w:val="0"/>
              <w:snapToGrid w:val="0"/>
              <w:spacing w:line="360" w:lineRule="auto"/>
              <w:ind w:firstLine="420" w:firstLineChars="20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
              </w:rPr>
              <w:t>根据《排污单位自行监测技术指南总则》（HJ819-2017），结合项目情况，提出监测计划如下。</w:t>
            </w:r>
          </w:p>
          <w:p w14:paraId="2A6EB128">
            <w:pPr>
              <w:pageBreakBefore w:val="0"/>
              <w:widowControl w:val="0"/>
              <w:wordWrap/>
              <w:topLinePunct w:val="0"/>
              <w:bidi w:val="0"/>
              <w:adjustRightInd w:val="0"/>
              <w:snapToGrid w:val="0"/>
              <w:spacing w:line="240" w:lineRule="auto"/>
              <w:ind w:firstLine="0" w:firstLineChars="0"/>
              <w:jc w:val="center"/>
              <w:rPr>
                <w:rFonts w:hint="default" w:ascii="Times New Roman" w:hAnsi="Times New Roman" w:eastAsia="楷体_GB2312"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表4-</w:t>
            </w:r>
            <w:r>
              <w:rPr>
                <w:rFonts w:hint="eastAsia" w:ascii="Times New Roman" w:hAnsi="Times New Roman" w:eastAsia="宋体" w:cs="Times New Roman"/>
                <w:b/>
                <w:bCs/>
                <w:color w:val="auto"/>
                <w:kern w:val="2"/>
                <w:sz w:val="21"/>
                <w:szCs w:val="21"/>
                <w:lang w:val="en-US" w:eastAsia="zh-CN" w:bidi="ar-SA"/>
              </w:rPr>
              <w:t>1</w:t>
            </w:r>
            <w:r>
              <w:rPr>
                <w:rFonts w:hint="eastAsia" w:cs="Times New Roman"/>
                <w:b/>
                <w:bCs/>
                <w:color w:val="auto"/>
                <w:kern w:val="2"/>
                <w:sz w:val="21"/>
                <w:szCs w:val="21"/>
                <w:lang w:val="en-US" w:eastAsia="zh-CN" w:bidi="ar-SA"/>
              </w:rPr>
              <w:t>3</w:t>
            </w:r>
            <w:r>
              <w:rPr>
                <w:rFonts w:hint="default" w:ascii="Times New Roman" w:hAnsi="Times New Roman" w:eastAsia="宋体" w:cs="Times New Roman"/>
                <w:b/>
                <w:bCs/>
                <w:color w:val="auto"/>
                <w:kern w:val="2"/>
                <w:sz w:val="21"/>
                <w:szCs w:val="21"/>
                <w:lang w:val="en-US" w:eastAsia="zh-CN" w:bidi="ar-SA"/>
              </w:rPr>
              <w:t xml:space="preserve">  噪声监测要求一览表</w:t>
            </w:r>
          </w:p>
          <w:tbl>
            <w:tblPr>
              <w:tblStyle w:val="29"/>
              <w:tblW w:w="7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30"/>
              <w:gridCol w:w="2463"/>
              <w:gridCol w:w="2465"/>
            </w:tblGrid>
            <w:tr w14:paraId="42CEB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030" w:type="dxa"/>
                  <w:noWrap w:val="0"/>
                  <w:vAlign w:val="center"/>
                </w:tcPr>
                <w:p w14:paraId="144E2718">
                  <w:pPr>
                    <w:pageBreakBefore w:val="0"/>
                    <w:widowControl w:val="0"/>
                    <w:wordWrap/>
                    <w:topLinePunct w:val="0"/>
                    <w:bidi w:val="0"/>
                    <w:adjustRightInd w:val="0"/>
                    <w:snapToGrid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监测点位</w:t>
                  </w:r>
                </w:p>
              </w:tc>
              <w:tc>
                <w:tcPr>
                  <w:tcW w:w="2463" w:type="dxa"/>
                  <w:noWrap w:val="0"/>
                  <w:vAlign w:val="center"/>
                </w:tcPr>
                <w:p w14:paraId="5622A1DD">
                  <w:pPr>
                    <w:pageBreakBefore w:val="0"/>
                    <w:widowControl w:val="0"/>
                    <w:wordWrap/>
                    <w:topLinePunct w:val="0"/>
                    <w:bidi w:val="0"/>
                    <w:adjustRightInd w:val="0"/>
                    <w:snapToGrid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监测因子</w:t>
                  </w:r>
                </w:p>
              </w:tc>
              <w:tc>
                <w:tcPr>
                  <w:tcW w:w="2465" w:type="dxa"/>
                  <w:noWrap w:val="0"/>
                  <w:vAlign w:val="center"/>
                </w:tcPr>
                <w:p w14:paraId="050D3C56">
                  <w:pPr>
                    <w:pageBreakBefore w:val="0"/>
                    <w:widowControl w:val="0"/>
                    <w:wordWrap/>
                    <w:topLinePunct w:val="0"/>
                    <w:bidi w:val="0"/>
                    <w:adjustRightInd w:val="0"/>
                    <w:snapToGrid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监测频次</w:t>
                  </w:r>
                </w:p>
              </w:tc>
            </w:tr>
            <w:tr w14:paraId="49DDB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3030" w:type="dxa"/>
                  <w:noWrap w:val="0"/>
                  <w:vAlign w:val="center"/>
                </w:tcPr>
                <w:p w14:paraId="6E0CEC31">
                  <w:pPr>
                    <w:pageBreakBefore w:val="0"/>
                    <w:widowControl w:val="0"/>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厂界东、南、西、北侧</w:t>
                  </w:r>
                </w:p>
              </w:tc>
              <w:tc>
                <w:tcPr>
                  <w:tcW w:w="2463" w:type="dxa"/>
                  <w:noWrap w:val="0"/>
                  <w:vAlign w:val="center"/>
                </w:tcPr>
                <w:p w14:paraId="13E0B781">
                  <w:pPr>
                    <w:pageBreakBefore w:val="0"/>
                    <w:widowControl/>
                    <w:wordWrap/>
                    <w:topLinePunct w:val="0"/>
                    <w:bidi w:val="0"/>
                    <w:adjustRightInd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kern w:val="0"/>
                      <w:sz w:val="21"/>
                      <w:szCs w:val="21"/>
                      <w:lang w:eastAsia="zh-CN" w:bidi="ar"/>
                    </w:rPr>
                    <w:t>厂界噪声</w:t>
                  </w:r>
                </w:p>
              </w:tc>
              <w:tc>
                <w:tcPr>
                  <w:tcW w:w="2465" w:type="dxa"/>
                  <w:noWrap w:val="0"/>
                  <w:vAlign w:val="center"/>
                </w:tcPr>
                <w:p w14:paraId="4A55DD8C">
                  <w:pPr>
                    <w:pageBreakBefore w:val="0"/>
                    <w:widowControl w:val="0"/>
                    <w:wordWrap/>
                    <w:topLinePunct w:val="0"/>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1次/季度</w:t>
                  </w:r>
                </w:p>
              </w:tc>
            </w:tr>
          </w:tbl>
          <w:p w14:paraId="5CB03B0E">
            <w:pPr>
              <w:widowControl w:val="0"/>
              <w:spacing w:line="360" w:lineRule="auto"/>
              <w:ind w:firstLine="0" w:firstLineChars="0"/>
              <w:jc w:val="left"/>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4.5 固废环境影响和治理措施</w:t>
            </w:r>
          </w:p>
          <w:p w14:paraId="0D2E3719">
            <w:pPr>
              <w:widowControl w:val="0"/>
              <w:spacing w:line="360" w:lineRule="auto"/>
              <w:ind w:firstLine="0" w:firstLineChars="0"/>
              <w:jc w:val="left"/>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4.5.1 运营期固废产生情况</w:t>
            </w:r>
          </w:p>
          <w:p w14:paraId="7A60823E">
            <w:pPr>
              <w:widowControl w:val="0"/>
              <w:bidi w:val="0"/>
              <w:spacing w:line="360" w:lineRule="auto"/>
              <w:ind w:firstLine="420" w:firstLineChars="200"/>
              <w:jc w:val="both"/>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项目运营期主要固废为</w:t>
            </w:r>
            <w:r>
              <w:rPr>
                <w:rFonts w:hint="eastAsia" w:ascii="Times New Roman" w:hAnsi="Times New Roman" w:eastAsia="宋体" w:cs="Times New Roman"/>
                <w:b w:val="0"/>
                <w:bCs w:val="0"/>
                <w:color w:val="auto"/>
                <w:sz w:val="21"/>
                <w:szCs w:val="21"/>
                <w:lang w:val="en-US" w:eastAsia="zh-CN"/>
              </w:rPr>
              <w:t>切条废料</w:t>
            </w:r>
            <w:r>
              <w:rPr>
                <w:rFonts w:hint="eastAsia" w:ascii="Times New Roman" w:hAnsi="Times New Roman" w:eastAsia="宋体" w:cs="Times New Roman"/>
                <w:b w:val="0"/>
                <w:bCs w:val="0"/>
                <w:color w:val="auto"/>
                <w:kern w:val="2"/>
                <w:sz w:val="21"/>
                <w:szCs w:val="21"/>
                <w:lang w:val="en-US" w:eastAsia="zh-CN" w:bidi="ar-SA"/>
              </w:rPr>
              <w:t>、</w:t>
            </w:r>
            <w:r>
              <w:rPr>
                <w:rFonts w:hint="eastAsia" w:cs="Times New Roman"/>
                <w:b w:val="0"/>
                <w:bCs w:val="0"/>
                <w:color w:val="auto"/>
                <w:kern w:val="2"/>
                <w:sz w:val="21"/>
                <w:szCs w:val="21"/>
                <w:lang w:val="en-US" w:eastAsia="zh-CN" w:bidi="ar-SA"/>
              </w:rPr>
              <w:t>修坯废料</w:t>
            </w:r>
            <w:r>
              <w:rPr>
                <w:rFonts w:hint="eastAsia" w:ascii="Times New Roman" w:hAnsi="Times New Roman" w:eastAsia="宋体" w:cs="Times New Roman"/>
                <w:b w:val="0"/>
                <w:bCs w:val="0"/>
                <w:color w:val="auto"/>
                <w:kern w:val="2"/>
                <w:sz w:val="21"/>
                <w:szCs w:val="21"/>
                <w:lang w:val="en-US" w:eastAsia="zh-CN" w:bidi="ar-SA"/>
              </w:rPr>
              <w:t>、</w:t>
            </w:r>
            <w:r>
              <w:rPr>
                <w:rFonts w:hint="eastAsia" w:cs="Times New Roman"/>
                <w:b w:val="0"/>
                <w:bCs w:val="0"/>
                <w:color w:val="auto"/>
                <w:kern w:val="2"/>
                <w:sz w:val="21"/>
                <w:szCs w:val="21"/>
                <w:lang w:val="en-US" w:eastAsia="zh-CN" w:bidi="ar-SA"/>
              </w:rPr>
              <w:t>脱硫</w:t>
            </w:r>
            <w:r>
              <w:rPr>
                <w:rFonts w:hint="eastAsia" w:ascii="Times New Roman" w:hAnsi="Times New Roman" w:eastAsia="宋体" w:cs="Times New Roman"/>
                <w:b w:val="0"/>
                <w:bCs w:val="0"/>
                <w:color w:val="auto"/>
                <w:kern w:val="2"/>
                <w:sz w:val="21"/>
                <w:szCs w:val="21"/>
                <w:lang w:val="en-US" w:eastAsia="zh-CN" w:bidi="ar-SA"/>
              </w:rPr>
              <w:t>渣</w:t>
            </w:r>
            <w:r>
              <w:rPr>
                <w:rFonts w:hint="eastAsia" w:cs="Times New Roman"/>
                <w:b w:val="0"/>
                <w:bCs w:val="0"/>
                <w:color w:val="auto"/>
                <w:kern w:val="2"/>
                <w:sz w:val="21"/>
                <w:szCs w:val="21"/>
                <w:lang w:val="en-US" w:eastAsia="zh-CN" w:bidi="ar-SA"/>
              </w:rPr>
              <w:t>、布袋除尘灰、</w:t>
            </w:r>
            <w:r>
              <w:rPr>
                <w:rFonts w:hint="eastAsia" w:ascii="Times New Roman" w:hAnsi="Times New Roman" w:eastAsia="宋体" w:cs="Times New Roman"/>
                <w:b w:val="0"/>
                <w:bCs w:val="0"/>
                <w:color w:val="auto"/>
                <w:kern w:val="2"/>
                <w:sz w:val="21"/>
                <w:szCs w:val="21"/>
                <w:lang w:val="en-US" w:eastAsia="zh-CN" w:bidi="ar-SA"/>
              </w:rPr>
              <w:t>次品</w:t>
            </w:r>
            <w:r>
              <w:rPr>
                <w:rFonts w:hint="eastAsia" w:eastAsia="宋体" w:cs="Times New Roman"/>
                <w:b w:val="0"/>
                <w:bCs w:val="0"/>
                <w:color w:val="auto"/>
                <w:kern w:val="2"/>
                <w:sz w:val="21"/>
                <w:szCs w:val="21"/>
                <w:lang w:val="en-US" w:eastAsia="zh-CN" w:bidi="ar-SA"/>
              </w:rPr>
              <w:t>、</w:t>
            </w:r>
            <w:r>
              <w:rPr>
                <w:rFonts w:hint="eastAsia" w:cs="Times New Roman"/>
                <w:b w:val="0"/>
                <w:bCs w:val="0"/>
                <w:color w:val="auto"/>
                <w:kern w:val="2"/>
                <w:sz w:val="21"/>
                <w:szCs w:val="21"/>
                <w:lang w:val="en-US" w:eastAsia="zh-CN" w:bidi="ar-SA"/>
              </w:rPr>
              <w:t>煤渣</w:t>
            </w:r>
            <w:r>
              <w:rPr>
                <w:rFonts w:hint="eastAsia" w:ascii="Times New Roman" w:hAnsi="Times New Roman" w:eastAsia="宋体" w:cs="Times New Roman"/>
                <w:color w:val="auto"/>
                <w:kern w:val="2"/>
                <w:sz w:val="21"/>
                <w:szCs w:val="21"/>
                <w:lang w:val="en-US" w:eastAsia="zh-CN" w:bidi="ar-SA"/>
              </w:rPr>
              <w:t>废润滑油</w:t>
            </w:r>
            <w:r>
              <w:rPr>
                <w:rFonts w:hint="eastAsia" w:cs="Times New Roman"/>
                <w:color w:val="auto"/>
                <w:kern w:val="2"/>
                <w:sz w:val="21"/>
                <w:szCs w:val="21"/>
                <w:lang w:val="en-US" w:eastAsia="zh-CN" w:bidi="ar-SA"/>
              </w:rPr>
              <w:t>、生活垃圾</w:t>
            </w:r>
            <w:r>
              <w:rPr>
                <w:rFonts w:hint="eastAsia" w:ascii="Times New Roman" w:hAnsi="Times New Roman" w:eastAsia="宋体" w:cs="Times New Roman"/>
                <w:color w:val="auto"/>
                <w:kern w:val="2"/>
                <w:sz w:val="21"/>
                <w:szCs w:val="21"/>
                <w:lang w:val="en-US" w:eastAsia="zh-CN" w:bidi="ar-SA"/>
              </w:rPr>
              <w:t>。</w:t>
            </w:r>
            <w:r>
              <w:rPr>
                <w:rFonts w:hint="eastAsia" w:ascii="Times New Roman" w:hAnsi="Times New Roman" w:eastAsia="宋体" w:cs="Times New Roman"/>
                <w:b w:val="0"/>
                <w:bCs w:val="0"/>
                <w:color w:val="auto"/>
                <w:sz w:val="21"/>
                <w:szCs w:val="21"/>
                <w:lang w:val="en-US" w:eastAsia="zh-CN"/>
              </w:rPr>
              <w:t>切条废料</w:t>
            </w:r>
            <w:r>
              <w:rPr>
                <w:rFonts w:hint="eastAsia" w:ascii="Times New Roman" w:hAnsi="Times New Roman" w:eastAsia="宋体" w:cs="Times New Roman"/>
                <w:b w:val="0"/>
                <w:bCs w:val="0"/>
                <w:color w:val="auto"/>
                <w:kern w:val="2"/>
                <w:sz w:val="21"/>
                <w:szCs w:val="21"/>
                <w:lang w:val="en-US" w:eastAsia="zh-CN" w:bidi="ar-SA"/>
              </w:rPr>
              <w:t>、</w:t>
            </w:r>
            <w:r>
              <w:rPr>
                <w:rFonts w:hint="eastAsia" w:cs="Times New Roman"/>
                <w:b w:val="0"/>
                <w:bCs w:val="0"/>
                <w:color w:val="auto"/>
                <w:kern w:val="2"/>
                <w:sz w:val="21"/>
                <w:szCs w:val="21"/>
                <w:lang w:val="en-US" w:eastAsia="zh-CN" w:bidi="ar-SA"/>
              </w:rPr>
              <w:t>修坯废料</w:t>
            </w:r>
            <w:r>
              <w:rPr>
                <w:rFonts w:hint="eastAsia" w:ascii="Times New Roman" w:hAnsi="Times New Roman" w:eastAsia="宋体" w:cs="Times New Roman"/>
                <w:color w:val="auto"/>
                <w:kern w:val="2"/>
                <w:sz w:val="21"/>
                <w:szCs w:val="21"/>
                <w:lang w:val="en-US" w:eastAsia="zh-CN" w:bidi="ar-SA"/>
              </w:rPr>
              <w:t>回用于生产，不纳入固废中核算；</w:t>
            </w:r>
            <w:r>
              <w:rPr>
                <w:rFonts w:hint="eastAsia" w:cs="Times New Roman"/>
                <w:color w:val="auto"/>
                <w:kern w:val="2"/>
                <w:sz w:val="21"/>
                <w:szCs w:val="21"/>
                <w:lang w:val="en-US" w:eastAsia="zh-CN" w:bidi="ar-SA"/>
              </w:rPr>
              <w:t>布袋除尘灰</w:t>
            </w:r>
            <w:r>
              <w:rPr>
                <w:rFonts w:hint="eastAsia" w:ascii="Times New Roman" w:hAnsi="Times New Roman" w:eastAsia="宋体" w:cs="Times New Roman"/>
                <w:color w:val="auto"/>
                <w:kern w:val="2"/>
                <w:sz w:val="21"/>
                <w:szCs w:val="21"/>
                <w:lang w:val="en-US" w:eastAsia="zh-CN" w:bidi="ar-SA"/>
              </w:rPr>
              <w:t>清出后</w:t>
            </w:r>
            <w:r>
              <w:rPr>
                <w:rFonts w:hint="eastAsia" w:cs="Times New Roman"/>
                <w:color w:val="auto"/>
                <w:kern w:val="2"/>
                <w:sz w:val="21"/>
                <w:szCs w:val="21"/>
                <w:lang w:val="en-US" w:eastAsia="zh-CN" w:bidi="ar-SA"/>
              </w:rPr>
              <w:t>暂存于原料车间</w:t>
            </w:r>
            <w:r>
              <w:rPr>
                <w:rFonts w:hint="eastAsia" w:ascii="Times New Roman" w:hAnsi="Times New Roman" w:eastAsia="宋体" w:cs="Times New Roman"/>
                <w:color w:val="auto"/>
                <w:kern w:val="2"/>
                <w:sz w:val="21"/>
                <w:szCs w:val="21"/>
                <w:lang w:val="en-US" w:eastAsia="zh-CN" w:bidi="ar-SA"/>
              </w:rPr>
              <w:t>作为</w:t>
            </w:r>
            <w:r>
              <w:rPr>
                <w:rFonts w:hint="eastAsia" w:cs="Times New Roman"/>
                <w:color w:val="auto"/>
                <w:kern w:val="2"/>
                <w:sz w:val="21"/>
                <w:szCs w:val="21"/>
                <w:lang w:val="en-US" w:eastAsia="zh-CN" w:bidi="ar-SA"/>
              </w:rPr>
              <w:t>原料</w:t>
            </w:r>
            <w:r>
              <w:rPr>
                <w:rFonts w:hint="eastAsia" w:ascii="Times New Roman" w:hAnsi="Times New Roman" w:eastAsia="宋体" w:cs="Times New Roman"/>
                <w:color w:val="auto"/>
                <w:kern w:val="2"/>
                <w:sz w:val="21"/>
                <w:szCs w:val="21"/>
                <w:lang w:val="en-US" w:eastAsia="zh-CN" w:bidi="ar-SA"/>
              </w:rPr>
              <w:t>使用</w:t>
            </w:r>
            <w:r>
              <w:rPr>
                <w:rFonts w:hint="eastAsia"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脱硫渣</w:t>
            </w:r>
            <w:r>
              <w:rPr>
                <w:rFonts w:hint="eastAsia" w:ascii="Times New Roman" w:hAnsi="Times New Roman" w:eastAsia="宋体" w:cs="Times New Roman"/>
                <w:color w:val="auto"/>
                <w:kern w:val="2"/>
                <w:sz w:val="21"/>
                <w:szCs w:val="21"/>
                <w:lang w:val="en-US" w:eastAsia="zh-CN" w:bidi="ar-SA"/>
              </w:rPr>
              <w:t>定期清</w:t>
            </w:r>
            <w:r>
              <w:rPr>
                <w:rFonts w:hint="eastAsia" w:cs="Times New Roman"/>
                <w:color w:val="auto"/>
                <w:kern w:val="2"/>
                <w:sz w:val="21"/>
                <w:szCs w:val="21"/>
                <w:lang w:val="en-US" w:eastAsia="zh-CN" w:bidi="ar-SA"/>
              </w:rPr>
              <w:t>清出后暂存于陈化库，委托免烧砖单位清运处置，作为原料使用；次品</w:t>
            </w:r>
            <w:r>
              <w:rPr>
                <w:rFonts w:hint="eastAsia" w:ascii="Times New Roman" w:hAnsi="Times New Roman" w:eastAsia="宋体" w:cs="Times New Roman"/>
                <w:color w:val="auto"/>
                <w:kern w:val="2"/>
                <w:sz w:val="21"/>
                <w:szCs w:val="21"/>
                <w:lang w:val="en-US" w:eastAsia="zh-CN" w:bidi="ar-SA"/>
              </w:rPr>
              <w:t>收集后</w:t>
            </w:r>
            <w:r>
              <w:rPr>
                <w:rFonts w:hint="eastAsia" w:cs="Times New Roman"/>
                <w:color w:val="auto"/>
                <w:kern w:val="2"/>
                <w:sz w:val="21"/>
                <w:szCs w:val="21"/>
                <w:lang w:val="en-US" w:eastAsia="zh-CN" w:bidi="ar-SA"/>
              </w:rPr>
              <w:t>利用对辊机</w:t>
            </w:r>
            <w:r>
              <w:rPr>
                <w:rFonts w:hint="eastAsia" w:ascii="Times New Roman" w:hAnsi="Times New Roman" w:eastAsia="宋体" w:cs="Times New Roman"/>
                <w:color w:val="auto"/>
                <w:kern w:val="2"/>
                <w:sz w:val="21"/>
                <w:szCs w:val="21"/>
                <w:lang w:val="en-US" w:eastAsia="zh-CN" w:bidi="ar-SA"/>
              </w:rPr>
              <w:t>破碎后返回生产线；</w:t>
            </w:r>
            <w:r>
              <w:rPr>
                <w:rFonts w:hint="eastAsia" w:cs="Times New Roman"/>
                <w:color w:val="auto"/>
                <w:kern w:val="2"/>
                <w:sz w:val="21"/>
                <w:szCs w:val="21"/>
                <w:lang w:val="en-US" w:eastAsia="zh-CN" w:bidi="ar-SA"/>
              </w:rPr>
              <w:t>煤渣经袋装收集后暂存于原料车间；</w:t>
            </w:r>
            <w:r>
              <w:rPr>
                <w:rFonts w:hint="eastAsia" w:ascii="Times New Roman" w:hAnsi="Times New Roman" w:eastAsia="宋体" w:cs="Times New Roman"/>
                <w:color w:val="auto"/>
                <w:kern w:val="2"/>
                <w:sz w:val="21"/>
                <w:szCs w:val="21"/>
                <w:lang w:val="en-US" w:eastAsia="zh-CN" w:bidi="ar-SA"/>
              </w:rPr>
              <w:t>废润滑油暂存于</w:t>
            </w:r>
            <w:r>
              <w:rPr>
                <w:rFonts w:hint="eastAsia" w:cs="Times New Roman"/>
                <w:color w:val="auto"/>
                <w:kern w:val="2"/>
                <w:sz w:val="21"/>
                <w:szCs w:val="21"/>
                <w:lang w:val="en-US" w:eastAsia="zh-CN" w:bidi="ar-SA"/>
              </w:rPr>
              <w:t>危废贮存库</w:t>
            </w:r>
            <w:r>
              <w:rPr>
                <w:rFonts w:hint="eastAsia" w:ascii="Times New Roman" w:hAnsi="Times New Roman" w:eastAsia="宋体" w:cs="Times New Roman"/>
                <w:color w:val="auto"/>
                <w:kern w:val="2"/>
                <w:sz w:val="21"/>
                <w:szCs w:val="21"/>
                <w:lang w:val="en-US" w:eastAsia="zh-CN" w:bidi="ar-SA"/>
              </w:rPr>
              <w:t>，定期委托有资质的单位清运处置</w:t>
            </w:r>
            <w:r>
              <w:rPr>
                <w:rFonts w:hint="eastAsia" w:cs="Times New Roman"/>
                <w:color w:val="auto"/>
                <w:kern w:val="2"/>
                <w:sz w:val="21"/>
                <w:szCs w:val="21"/>
                <w:lang w:val="en-US" w:eastAsia="zh-CN" w:bidi="ar-SA"/>
              </w:rPr>
              <w:t>；生活垃圾</w:t>
            </w:r>
            <w:r>
              <w:rPr>
                <w:rFonts w:hint="default" w:ascii="Times New Roman" w:hAnsi="Times New Roman" w:cs="Times New Roman"/>
                <w:color w:val="auto"/>
                <w:sz w:val="21"/>
                <w:szCs w:val="21"/>
              </w:rPr>
              <w:t>委托环卫部门</w:t>
            </w:r>
            <w:r>
              <w:rPr>
                <w:rFonts w:hint="default" w:ascii="Times New Roman" w:hAnsi="Times New Roman" w:cs="Times New Roman"/>
                <w:color w:val="auto"/>
                <w:sz w:val="21"/>
                <w:szCs w:val="21"/>
                <w:lang w:eastAsia="zh-CN"/>
              </w:rPr>
              <w:t>清运处置</w:t>
            </w:r>
            <w:r>
              <w:rPr>
                <w:rFonts w:hint="eastAsia" w:ascii="Times New Roman" w:hAnsi="Times New Roman" w:eastAsia="宋体" w:cs="Times New Roman"/>
                <w:color w:val="auto"/>
                <w:kern w:val="2"/>
                <w:sz w:val="21"/>
                <w:szCs w:val="21"/>
                <w:lang w:val="en-US" w:eastAsia="zh-CN" w:bidi="ar-SA"/>
              </w:rPr>
              <w:t>。项目固废均得到合理处置，可做到100%处置。</w:t>
            </w:r>
          </w:p>
          <w:p w14:paraId="3A2CB3D1">
            <w:pPr>
              <w:widowControl w:val="0"/>
              <w:spacing w:line="360" w:lineRule="auto"/>
              <w:ind w:firstLine="0" w:firstLineChars="0"/>
              <w:jc w:val="left"/>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4.5.2 运营期固废核算</w:t>
            </w:r>
          </w:p>
          <w:p w14:paraId="179152FF">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w:t>
            </w:r>
            <w:r>
              <w:rPr>
                <w:rFonts w:hint="eastAsia" w:cs="Times New Roman"/>
                <w:b/>
                <w:bCs/>
                <w:color w:val="auto"/>
                <w:sz w:val="21"/>
                <w:szCs w:val="21"/>
                <w:lang w:val="en-US" w:eastAsia="zh-CN"/>
              </w:rPr>
              <w:t>1</w:t>
            </w:r>
            <w:r>
              <w:rPr>
                <w:rFonts w:hint="eastAsia" w:cs="Times New Roman"/>
                <w:b/>
                <w:bCs/>
                <w:color w:val="auto"/>
                <w:sz w:val="21"/>
                <w:szCs w:val="21"/>
                <w:lang w:eastAsia="zh-CN"/>
              </w:rPr>
              <w:t>）</w:t>
            </w:r>
            <w:r>
              <w:rPr>
                <w:rFonts w:hint="default" w:ascii="Times New Roman" w:hAnsi="Times New Roman" w:cs="Times New Roman"/>
                <w:b/>
                <w:bCs/>
                <w:color w:val="auto"/>
                <w:sz w:val="21"/>
                <w:szCs w:val="21"/>
                <w:lang w:eastAsia="zh-CN"/>
              </w:rPr>
              <w:t>切条及修坯废料</w:t>
            </w:r>
          </w:p>
          <w:p w14:paraId="520078AF">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①S1切条废料</w:t>
            </w:r>
          </w:p>
          <w:p w14:paraId="687AB592">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真空练泥机挤出的泥条经切割后会产生多余的废泥头，</w:t>
            </w:r>
            <w:r>
              <w:rPr>
                <w:rFonts w:hint="default" w:ascii="Times New Roman" w:hAnsi="Times New Roman" w:eastAsia="宋体" w:cs="Times New Roman"/>
                <w:b w:val="0"/>
                <w:bCs w:val="0"/>
                <w:color w:val="auto"/>
                <w:sz w:val="21"/>
                <w:szCs w:val="21"/>
                <w:highlight w:val="none"/>
              </w:rPr>
              <w:t>产生量按原料用量的</w:t>
            </w:r>
            <w:r>
              <w:rPr>
                <w:rFonts w:hint="eastAsia" w:ascii="Times New Roman" w:hAnsi="Times New Roman" w:eastAsia="宋体" w:cs="Times New Roman"/>
                <w:b w:val="0"/>
                <w:bCs w:val="0"/>
                <w:color w:val="auto"/>
                <w:sz w:val="21"/>
                <w:szCs w:val="21"/>
                <w:highlight w:val="none"/>
                <w:lang w:val="en-US" w:eastAsia="zh-CN"/>
              </w:rPr>
              <w:t>4</w:t>
            </w:r>
            <w:r>
              <w:rPr>
                <w:rFonts w:hint="default" w:ascii="Times New Roman" w:hAnsi="Times New Roman" w:eastAsia="宋体" w:cs="Times New Roman"/>
                <w:b w:val="0"/>
                <w:bCs w:val="0"/>
                <w:color w:val="auto"/>
                <w:sz w:val="21"/>
                <w:szCs w:val="21"/>
                <w:highlight w:val="none"/>
              </w:rPr>
              <w:t>%计，</w:t>
            </w:r>
            <w:r>
              <w:rPr>
                <w:rFonts w:hint="default" w:ascii="Times New Roman" w:hAnsi="Times New Roman" w:eastAsia="宋体" w:cs="Times New Roman"/>
                <w:b w:val="0"/>
                <w:bCs w:val="0"/>
                <w:color w:val="auto"/>
                <w:sz w:val="21"/>
                <w:szCs w:val="21"/>
                <w:highlight w:val="none"/>
                <w:lang w:eastAsia="zh-CN"/>
              </w:rPr>
              <w:t>则</w:t>
            </w:r>
            <w:r>
              <w:rPr>
                <w:rFonts w:hint="default" w:ascii="Times New Roman" w:hAnsi="Times New Roman" w:eastAsia="宋体" w:cs="Times New Roman"/>
                <w:color w:val="auto"/>
                <w:sz w:val="21"/>
                <w:szCs w:val="21"/>
                <w:lang w:val="en-US" w:eastAsia="zh-CN"/>
              </w:rPr>
              <w:t>产生量约为</w:t>
            </w:r>
            <w:r>
              <w:rPr>
                <w:rFonts w:hint="eastAsia" w:cs="Times New Roman"/>
                <w:color w:val="auto"/>
                <w:sz w:val="21"/>
                <w:szCs w:val="21"/>
                <w:lang w:val="en-US" w:eastAsia="zh-CN"/>
              </w:rPr>
              <w:t>=15500×4%=620</w:t>
            </w:r>
            <w:r>
              <w:rPr>
                <w:rFonts w:hint="default" w:ascii="Times New Roman" w:hAnsi="Times New Roman" w:cs="Times New Roman"/>
                <w:color w:val="auto"/>
                <w:sz w:val="21"/>
                <w:szCs w:val="21"/>
              </w:rPr>
              <w:t>t/a</w:t>
            </w:r>
            <w:r>
              <w:rPr>
                <w:rFonts w:hint="default" w:ascii="Times New Roman" w:hAnsi="Times New Roman" w:cs="Times New Roman"/>
                <w:color w:val="auto"/>
                <w:sz w:val="21"/>
                <w:szCs w:val="21"/>
                <w:lang w:eastAsia="zh-CN"/>
              </w:rPr>
              <w:t>，收集后</w:t>
            </w:r>
            <w:r>
              <w:rPr>
                <w:rFonts w:hint="default" w:ascii="Times New Roman" w:hAnsi="Times New Roman" w:cs="Times New Roman"/>
                <w:color w:val="auto"/>
                <w:sz w:val="21"/>
                <w:szCs w:val="21"/>
              </w:rPr>
              <w:t>经返回</w:t>
            </w:r>
            <w:r>
              <w:rPr>
                <w:rFonts w:hint="eastAsia" w:ascii="Times New Roman" w:hAnsi="Times New Roman" w:cs="Times New Roman"/>
                <w:color w:val="auto"/>
                <w:sz w:val="21"/>
                <w:szCs w:val="21"/>
                <w:lang w:val="en-US" w:eastAsia="zh-CN"/>
              </w:rPr>
              <w:t>搅拌工序</w:t>
            </w:r>
            <w:r>
              <w:rPr>
                <w:rFonts w:hint="default" w:ascii="Times New Roman" w:hAnsi="Times New Roman" w:cs="Times New Roman"/>
                <w:color w:val="auto"/>
                <w:sz w:val="21"/>
                <w:szCs w:val="21"/>
              </w:rPr>
              <w:t>做原料使用</w:t>
            </w:r>
            <w:r>
              <w:rPr>
                <w:rFonts w:hint="default" w:ascii="Times New Roman" w:hAnsi="Times New Roman" w:cs="Times New Roman"/>
                <w:color w:val="auto"/>
                <w:sz w:val="21"/>
                <w:szCs w:val="21"/>
                <w:lang w:eastAsia="zh-CN"/>
              </w:rPr>
              <w:t>。</w:t>
            </w:r>
          </w:p>
          <w:p w14:paraId="0252F093">
            <w:pPr>
              <w:widowControl w:val="0"/>
              <w:bidi w:val="0"/>
              <w:spacing w:line="360" w:lineRule="auto"/>
              <w:ind w:firstLine="422" w:firstLineChars="200"/>
              <w:jc w:val="both"/>
              <w:rPr>
                <w:rFonts w:hint="default" w:cs="Times New Roman"/>
                <w:b/>
                <w:bCs/>
                <w:color w:val="auto"/>
                <w:kern w:val="2"/>
                <w:sz w:val="21"/>
                <w:szCs w:val="21"/>
                <w:lang w:val="en-US" w:eastAsia="zh-CN" w:bidi="ar-SA"/>
              </w:rPr>
            </w:pPr>
            <w:r>
              <w:rPr>
                <w:rFonts w:hint="eastAsia" w:cs="Times New Roman"/>
                <w:b/>
                <w:bCs/>
                <w:color w:val="auto"/>
                <w:kern w:val="2"/>
                <w:sz w:val="21"/>
                <w:szCs w:val="21"/>
                <w:lang w:val="en-US" w:eastAsia="zh-CN" w:bidi="ar-SA"/>
              </w:rPr>
              <w:t>②S2修坯废料</w:t>
            </w:r>
          </w:p>
          <w:p w14:paraId="45373AAC">
            <w:pPr>
              <w:widowControl w:val="0"/>
              <w:bidi w:val="0"/>
              <w:spacing w:line="360" w:lineRule="auto"/>
              <w:ind w:firstLine="420" w:firstLineChars="200"/>
              <w:jc w:val="both"/>
              <w:rPr>
                <w:rFonts w:hint="eastAsia" w:eastAsia="宋体" w:cs="Times New Roman"/>
                <w:b/>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项目采用</w:t>
            </w:r>
            <w:r>
              <w:rPr>
                <w:rFonts w:hint="default" w:ascii="Times New Roman" w:hAnsi="Times New Roman" w:eastAsia="宋体" w:cs="Times New Roman"/>
                <w:color w:val="auto"/>
                <w:sz w:val="21"/>
                <w:szCs w:val="21"/>
                <w:lang w:val="en-US" w:eastAsia="zh-CN"/>
              </w:rPr>
              <w:t>人工修坯</w:t>
            </w:r>
            <w:r>
              <w:rPr>
                <w:rFonts w:hint="eastAsia" w:ascii="Times New Roman" w:hAnsi="Times New Roman" w:eastAsia="宋体" w:cs="Times New Roman"/>
                <w:color w:val="auto"/>
                <w:sz w:val="21"/>
                <w:szCs w:val="21"/>
                <w:lang w:val="en-US" w:eastAsia="zh-CN"/>
              </w:rPr>
              <w:t>，修坯过程会</w:t>
            </w:r>
            <w:r>
              <w:rPr>
                <w:rFonts w:hint="default" w:ascii="Times New Roman" w:hAnsi="Times New Roman" w:eastAsia="宋体" w:cs="Times New Roman"/>
                <w:color w:val="auto"/>
                <w:sz w:val="21"/>
                <w:szCs w:val="21"/>
                <w:lang w:val="en-US" w:eastAsia="zh-CN"/>
              </w:rPr>
              <w:t>产生修坯废料，</w:t>
            </w:r>
            <w:r>
              <w:rPr>
                <w:rFonts w:hint="default" w:ascii="Times New Roman" w:hAnsi="Times New Roman" w:eastAsia="宋体" w:cs="Times New Roman"/>
                <w:b w:val="0"/>
                <w:bCs w:val="0"/>
                <w:color w:val="auto"/>
                <w:sz w:val="21"/>
                <w:szCs w:val="21"/>
                <w:highlight w:val="none"/>
              </w:rPr>
              <w:t>产生量按原料用量的</w:t>
            </w:r>
            <w:r>
              <w:rPr>
                <w:rFonts w:hint="eastAsia" w:ascii="Times New Roman" w:hAnsi="Times New Roman" w:eastAsia="宋体" w:cs="Times New Roman"/>
                <w:b w:val="0"/>
                <w:bCs w:val="0"/>
                <w:color w:val="auto"/>
                <w:sz w:val="21"/>
                <w:szCs w:val="21"/>
                <w:highlight w:val="none"/>
                <w:lang w:val="en-US" w:eastAsia="zh-CN"/>
              </w:rPr>
              <w:t>1</w:t>
            </w:r>
            <w:r>
              <w:rPr>
                <w:rFonts w:hint="default" w:ascii="Times New Roman" w:hAnsi="Times New Roman" w:eastAsia="宋体" w:cs="Times New Roman"/>
                <w:b w:val="0"/>
                <w:bCs w:val="0"/>
                <w:color w:val="auto"/>
                <w:sz w:val="21"/>
                <w:szCs w:val="21"/>
                <w:highlight w:val="none"/>
              </w:rPr>
              <w:t>%计，</w:t>
            </w:r>
            <w:r>
              <w:rPr>
                <w:rFonts w:hint="default" w:ascii="Times New Roman" w:hAnsi="Times New Roman" w:eastAsia="宋体" w:cs="Times New Roman"/>
                <w:b w:val="0"/>
                <w:bCs w:val="0"/>
                <w:color w:val="auto"/>
                <w:sz w:val="21"/>
                <w:szCs w:val="21"/>
                <w:highlight w:val="none"/>
                <w:lang w:eastAsia="zh-CN"/>
              </w:rPr>
              <w:t>则</w:t>
            </w:r>
            <w:r>
              <w:rPr>
                <w:rFonts w:hint="default" w:ascii="Times New Roman" w:hAnsi="Times New Roman" w:eastAsia="宋体" w:cs="Times New Roman"/>
                <w:color w:val="auto"/>
                <w:sz w:val="21"/>
                <w:szCs w:val="21"/>
                <w:lang w:val="en-US" w:eastAsia="zh-CN"/>
              </w:rPr>
              <w:t>产生量约为</w:t>
            </w:r>
            <w:r>
              <w:rPr>
                <w:rFonts w:hint="eastAsia" w:cs="Times New Roman"/>
                <w:color w:val="auto"/>
                <w:sz w:val="21"/>
                <w:szCs w:val="21"/>
                <w:lang w:val="en-US" w:eastAsia="zh-CN"/>
              </w:rPr>
              <w:t>=15500×1%=155</w:t>
            </w:r>
            <w:r>
              <w:rPr>
                <w:rFonts w:hint="default" w:ascii="Times New Roman" w:hAnsi="Times New Roman" w:cs="Times New Roman"/>
                <w:color w:val="auto"/>
                <w:sz w:val="21"/>
                <w:szCs w:val="21"/>
              </w:rPr>
              <w:t>t/a</w:t>
            </w:r>
            <w:r>
              <w:rPr>
                <w:rFonts w:hint="default" w:ascii="Times New Roman" w:hAnsi="Times New Roman" w:cs="Times New Roman"/>
                <w:color w:val="auto"/>
                <w:sz w:val="21"/>
                <w:szCs w:val="21"/>
                <w:lang w:eastAsia="zh-CN"/>
              </w:rPr>
              <w:t>，收集后</w:t>
            </w:r>
            <w:r>
              <w:rPr>
                <w:rFonts w:hint="default" w:ascii="Times New Roman" w:hAnsi="Times New Roman" w:cs="Times New Roman"/>
                <w:color w:val="auto"/>
                <w:sz w:val="21"/>
                <w:szCs w:val="21"/>
              </w:rPr>
              <w:t>经返回</w:t>
            </w:r>
            <w:r>
              <w:rPr>
                <w:rFonts w:hint="eastAsia" w:ascii="Times New Roman" w:hAnsi="Times New Roman" w:cs="Times New Roman"/>
                <w:color w:val="auto"/>
                <w:sz w:val="21"/>
                <w:szCs w:val="21"/>
                <w:lang w:val="en-US" w:eastAsia="zh-CN"/>
              </w:rPr>
              <w:t>搅拌工序</w:t>
            </w:r>
            <w:r>
              <w:rPr>
                <w:rFonts w:hint="default" w:ascii="Times New Roman" w:hAnsi="Times New Roman" w:cs="Times New Roman"/>
                <w:color w:val="auto"/>
                <w:sz w:val="21"/>
                <w:szCs w:val="21"/>
              </w:rPr>
              <w:t>做原料使用</w:t>
            </w:r>
            <w:r>
              <w:rPr>
                <w:rFonts w:hint="eastAsia" w:ascii="Times New Roman" w:hAnsi="Times New Roman" w:cs="Times New Roman"/>
                <w:color w:val="auto"/>
                <w:sz w:val="21"/>
                <w:szCs w:val="21"/>
                <w:lang w:eastAsia="zh-CN"/>
              </w:rPr>
              <w:t>。</w:t>
            </w:r>
          </w:p>
          <w:p w14:paraId="170224C6">
            <w:pPr>
              <w:widowControl w:val="0"/>
              <w:bidi w:val="0"/>
              <w:spacing w:line="360" w:lineRule="auto"/>
              <w:ind w:firstLine="420" w:firstLineChars="200"/>
              <w:jc w:val="both"/>
              <w:rPr>
                <w:rFonts w:hint="default"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综上，合计产生</w:t>
            </w:r>
            <w:r>
              <w:rPr>
                <w:rFonts w:hint="default" w:ascii="Times New Roman" w:hAnsi="Times New Roman" w:cs="Times New Roman"/>
                <w:b w:val="0"/>
                <w:bCs w:val="0"/>
                <w:color w:val="auto"/>
                <w:sz w:val="21"/>
                <w:szCs w:val="21"/>
                <w:lang w:eastAsia="zh-CN"/>
              </w:rPr>
              <w:t>切条及修坯废料</w:t>
            </w:r>
            <w:r>
              <w:rPr>
                <w:rFonts w:hint="eastAsia" w:ascii="Times New Roman" w:hAnsi="Times New Roman" w:cs="Times New Roman"/>
                <w:b w:val="0"/>
                <w:bCs w:val="0"/>
                <w:color w:val="auto"/>
                <w:sz w:val="21"/>
                <w:szCs w:val="21"/>
                <w:lang w:val="en-US" w:eastAsia="zh-CN"/>
              </w:rPr>
              <w:t>775t/a。</w:t>
            </w:r>
          </w:p>
          <w:p w14:paraId="2AA427F2">
            <w:pPr>
              <w:widowControl w:val="0"/>
              <w:bidi w:val="0"/>
              <w:spacing w:line="360" w:lineRule="auto"/>
              <w:ind w:firstLine="422" w:firstLineChars="200"/>
              <w:jc w:val="both"/>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kern w:val="2"/>
                <w:sz w:val="21"/>
                <w:szCs w:val="21"/>
                <w:lang w:val="en-US" w:eastAsia="zh-CN" w:bidi="ar-SA"/>
              </w:rPr>
              <w:t>（2）S3脱硫</w:t>
            </w:r>
            <w:r>
              <w:rPr>
                <w:rFonts w:hint="eastAsia" w:ascii="Times New Roman" w:hAnsi="Times New Roman" w:eastAsia="宋体" w:cs="Times New Roman"/>
                <w:b/>
                <w:bCs/>
                <w:color w:val="auto"/>
                <w:kern w:val="2"/>
                <w:sz w:val="21"/>
                <w:szCs w:val="21"/>
                <w:lang w:val="en-US" w:eastAsia="zh-CN" w:bidi="ar-SA"/>
              </w:rPr>
              <w:t>渣</w:t>
            </w:r>
            <w:r>
              <w:rPr>
                <w:rFonts w:hint="eastAsia" w:cs="Times New Roman"/>
                <w:b/>
                <w:bCs/>
                <w:color w:val="auto"/>
                <w:kern w:val="2"/>
                <w:sz w:val="21"/>
                <w:szCs w:val="21"/>
                <w:lang w:val="en-US" w:eastAsia="zh-CN" w:bidi="ar-SA"/>
              </w:rPr>
              <w:t>、布袋除尘灰</w:t>
            </w:r>
          </w:p>
          <w:p w14:paraId="429DE499">
            <w:pPr>
              <w:widowControl w:val="0"/>
              <w:bidi w:val="0"/>
              <w:spacing w:line="360" w:lineRule="auto"/>
              <w:ind w:firstLine="420" w:firstLineChars="200"/>
              <w:jc w:val="both"/>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布袋除尘器</w:t>
            </w:r>
            <w:r>
              <w:rPr>
                <w:rFonts w:hint="eastAsia" w:ascii="Times New Roman" w:hAnsi="Times New Roman" w:eastAsia="宋体" w:cs="Times New Roman"/>
                <w:color w:val="auto"/>
                <w:kern w:val="2"/>
                <w:sz w:val="21"/>
                <w:szCs w:val="21"/>
                <w:lang w:val="en-US" w:eastAsia="zh-CN" w:bidi="ar-SA"/>
              </w:rPr>
              <w:t>处理废气后，粉尘</w:t>
            </w:r>
            <w:r>
              <w:rPr>
                <w:rFonts w:hint="eastAsia" w:cs="Times New Roman"/>
                <w:color w:val="auto"/>
                <w:kern w:val="2"/>
                <w:sz w:val="21"/>
                <w:szCs w:val="21"/>
                <w:lang w:val="en-US" w:eastAsia="zh-CN" w:bidi="ar-SA"/>
              </w:rPr>
              <w:t>99%被布袋除尘器收集，</w:t>
            </w:r>
            <w:r>
              <w:rPr>
                <w:rFonts w:hint="eastAsia" w:ascii="Times New Roman" w:hAnsi="Times New Roman" w:eastAsia="宋体" w:cs="Times New Roman"/>
                <w:color w:val="auto"/>
                <w:kern w:val="2"/>
                <w:sz w:val="21"/>
                <w:szCs w:val="21"/>
                <w:lang w:val="en-US" w:eastAsia="zh-CN" w:bidi="ar-SA"/>
              </w:rPr>
              <w:t>根据大气源强核算，</w:t>
            </w:r>
            <w:r>
              <w:rPr>
                <w:rFonts w:hint="eastAsia" w:cs="Times New Roman"/>
                <w:color w:val="auto"/>
                <w:kern w:val="2"/>
                <w:sz w:val="21"/>
                <w:szCs w:val="21"/>
                <w:lang w:val="en-US" w:eastAsia="zh-CN" w:bidi="ar-SA"/>
              </w:rPr>
              <w:t>布袋除尘器收集的灰尘量</w:t>
            </w:r>
            <w:r>
              <w:rPr>
                <w:rFonts w:hint="eastAsia" w:ascii="Times New Roman" w:hAnsi="Times New Roman" w:eastAsia="宋体" w:cs="Times New Roman"/>
                <w:color w:val="auto"/>
                <w:kern w:val="2"/>
                <w:sz w:val="21"/>
                <w:szCs w:val="21"/>
                <w:lang w:val="en-US" w:eastAsia="zh-CN" w:bidi="ar-SA"/>
              </w:rPr>
              <w:t>约为</w:t>
            </w:r>
            <w:r>
              <w:rPr>
                <w:rFonts w:hint="eastAsia" w:cs="Times New Roman"/>
                <w:color w:val="auto"/>
                <w:kern w:val="2"/>
                <w:sz w:val="21"/>
                <w:szCs w:val="21"/>
                <w:lang w:val="en-US" w:eastAsia="zh-CN" w:bidi="ar-SA"/>
              </w:rPr>
              <w:t>21.31</w:t>
            </w:r>
            <w:r>
              <w:rPr>
                <w:rFonts w:hint="eastAsia" w:ascii="Times New Roman" w:hAnsi="Times New Roman" w:eastAsia="宋体" w:cs="Times New Roman"/>
                <w:color w:val="auto"/>
                <w:kern w:val="2"/>
                <w:sz w:val="21"/>
                <w:szCs w:val="21"/>
                <w:lang w:val="en-US" w:eastAsia="zh-CN" w:bidi="ar-SA"/>
              </w:rPr>
              <w:t>t/a；清出后</w:t>
            </w:r>
            <w:r>
              <w:rPr>
                <w:rFonts w:hint="eastAsia" w:cs="Times New Roman"/>
                <w:color w:val="auto"/>
                <w:kern w:val="2"/>
                <w:sz w:val="21"/>
                <w:szCs w:val="21"/>
                <w:lang w:val="en-US" w:eastAsia="zh-CN" w:bidi="ar-SA"/>
              </w:rPr>
              <w:t>暂存于原料车间</w:t>
            </w:r>
            <w:r>
              <w:rPr>
                <w:rFonts w:hint="eastAsia" w:ascii="Times New Roman" w:hAnsi="Times New Roman" w:eastAsia="宋体" w:cs="Times New Roman"/>
                <w:color w:val="auto"/>
                <w:kern w:val="2"/>
                <w:sz w:val="21"/>
                <w:szCs w:val="21"/>
                <w:lang w:val="en-US" w:eastAsia="zh-CN" w:bidi="ar-SA"/>
              </w:rPr>
              <w:t>作为</w:t>
            </w:r>
            <w:r>
              <w:rPr>
                <w:rFonts w:hint="eastAsia" w:cs="Times New Roman"/>
                <w:color w:val="auto"/>
                <w:kern w:val="2"/>
                <w:sz w:val="21"/>
                <w:szCs w:val="21"/>
                <w:lang w:val="en-US" w:eastAsia="zh-CN" w:bidi="ar-SA"/>
              </w:rPr>
              <w:t>原料</w:t>
            </w:r>
            <w:r>
              <w:rPr>
                <w:rFonts w:hint="eastAsia" w:ascii="Times New Roman" w:hAnsi="Times New Roman" w:eastAsia="宋体" w:cs="Times New Roman"/>
                <w:color w:val="auto"/>
                <w:kern w:val="2"/>
                <w:sz w:val="21"/>
                <w:szCs w:val="21"/>
                <w:lang w:val="en-US" w:eastAsia="zh-CN" w:bidi="ar-SA"/>
              </w:rPr>
              <w:t>使用。</w:t>
            </w:r>
          </w:p>
          <w:p w14:paraId="0C354BB5">
            <w:pPr>
              <w:widowControl w:val="0"/>
              <w:bidi w:val="0"/>
              <w:spacing w:line="360" w:lineRule="auto"/>
              <w:ind w:firstLine="420" w:firstLineChars="20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根据大气源强核算，10.06t</w:t>
            </w:r>
            <w:r>
              <w:rPr>
                <w:rFonts w:hint="eastAsia" w:cs="Times New Roman"/>
                <w:color w:val="auto"/>
                <w:kern w:val="2"/>
                <w:sz w:val="21"/>
                <w:szCs w:val="21"/>
                <w:lang w:val="en-US" w:eastAsia="zh-CN" w:bidi="ar-SA"/>
              </w:rPr>
              <w:t>二氧化硫被碱液吸收后形成21.34t/a脱硫渣（以亚硫酸钙计）</w:t>
            </w:r>
            <w:r>
              <w:rPr>
                <w:rFonts w:hint="eastAsia" w:ascii="Times New Roman" w:hAnsi="Times New Roman"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脱硫渣</w:t>
            </w:r>
            <w:r>
              <w:rPr>
                <w:rFonts w:hint="eastAsia" w:ascii="Times New Roman" w:hAnsi="Times New Roman" w:eastAsia="宋体" w:cs="Times New Roman"/>
                <w:color w:val="auto"/>
                <w:kern w:val="2"/>
                <w:sz w:val="21"/>
                <w:szCs w:val="21"/>
                <w:lang w:val="en-US" w:eastAsia="zh-CN" w:bidi="ar-SA"/>
              </w:rPr>
              <w:t>含水率按40%计，则产生的脱硫石膏量约为</w:t>
            </w:r>
            <w:r>
              <w:rPr>
                <w:rFonts w:hint="eastAsia" w:cs="Times New Roman"/>
                <w:color w:val="auto"/>
                <w:kern w:val="2"/>
                <w:sz w:val="21"/>
                <w:szCs w:val="21"/>
                <w:lang w:val="en-US" w:eastAsia="zh-CN" w:bidi="ar-SA"/>
              </w:rPr>
              <w:t>35.7</w:t>
            </w:r>
            <w:r>
              <w:rPr>
                <w:rFonts w:hint="eastAsia" w:ascii="Times New Roman" w:hAnsi="Times New Roman" w:eastAsia="宋体" w:cs="Times New Roman"/>
                <w:color w:val="auto"/>
                <w:kern w:val="2"/>
                <w:sz w:val="21"/>
                <w:szCs w:val="21"/>
                <w:lang w:val="en-US" w:eastAsia="zh-CN" w:bidi="ar-SA"/>
              </w:rPr>
              <w:t>t/a。根据《固体废物分类与代码目录》（生态环境部公告2024年第4号），属于</w:t>
            </w:r>
            <w:r>
              <w:rPr>
                <w:rFonts w:hint="eastAsia" w:cs="Times New Roman"/>
                <w:color w:val="auto"/>
                <w:kern w:val="2"/>
                <w:sz w:val="21"/>
                <w:szCs w:val="21"/>
                <w:lang w:val="en-US" w:eastAsia="zh-CN" w:bidi="ar-SA"/>
              </w:rPr>
              <w:t>脱硫渣</w:t>
            </w:r>
            <w:r>
              <w:rPr>
                <w:rFonts w:hint="eastAsia" w:ascii="Times New Roman" w:hAnsi="Times New Roman" w:eastAsia="宋体" w:cs="Times New Roman"/>
                <w:color w:val="auto"/>
                <w:kern w:val="2"/>
                <w:sz w:val="21"/>
                <w:szCs w:val="21"/>
                <w:lang w:val="en-US" w:eastAsia="zh-CN" w:bidi="ar-SA"/>
              </w:rPr>
              <w:t>属SW06脱硫石膏，代码为900-099-S06，</w:t>
            </w:r>
            <w:r>
              <w:rPr>
                <w:rFonts w:hint="eastAsia" w:cs="Times New Roman"/>
                <w:color w:val="auto"/>
                <w:kern w:val="2"/>
                <w:sz w:val="21"/>
                <w:szCs w:val="21"/>
                <w:lang w:val="en-US" w:eastAsia="zh-CN" w:bidi="ar-SA"/>
              </w:rPr>
              <w:t>脱硫渣清出后暂存于陈化库，委托免烧砖单位清运处置</w:t>
            </w:r>
            <w:r>
              <w:rPr>
                <w:rFonts w:hint="eastAsia" w:ascii="Times New Roman" w:hAnsi="Times New Roman" w:eastAsia="宋体" w:cs="Times New Roman"/>
                <w:color w:val="auto"/>
                <w:kern w:val="2"/>
                <w:sz w:val="21"/>
                <w:szCs w:val="21"/>
                <w:lang w:val="en-US" w:eastAsia="zh-CN" w:bidi="ar-SA"/>
              </w:rPr>
              <w:t>。</w:t>
            </w:r>
          </w:p>
          <w:p w14:paraId="10072697">
            <w:pPr>
              <w:widowControl w:val="0"/>
              <w:bidi w:val="0"/>
              <w:spacing w:line="360" w:lineRule="auto"/>
              <w:ind w:firstLine="422" w:firstLineChars="200"/>
              <w:jc w:val="both"/>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（3）S4次品</w:t>
            </w:r>
          </w:p>
          <w:p w14:paraId="617D9530">
            <w:pPr>
              <w:widowControl w:val="0"/>
              <w:bidi w:val="0"/>
              <w:spacing w:line="360" w:lineRule="auto"/>
              <w:ind w:firstLine="420" w:firstLineChars="200"/>
              <w:jc w:val="both"/>
              <w:rPr>
                <w:rFonts w:hint="eastAsia" w:ascii="Times New Roman" w:hAnsi="Times New Roman" w:eastAsia="宋体" w:cs="Times New Roman"/>
                <w:b/>
                <w:bCs/>
                <w:color w:val="auto"/>
                <w:kern w:val="2"/>
                <w:sz w:val="21"/>
                <w:szCs w:val="21"/>
                <w:lang w:val="en-US" w:eastAsia="zh-CN" w:bidi="ar-SA"/>
              </w:rPr>
            </w:pPr>
            <w:r>
              <w:rPr>
                <w:rFonts w:ascii="Times New Roman" w:hAnsi="Times New Roman" w:eastAsia="宋体" w:cs="Times New Roman"/>
                <w:color w:val="auto"/>
                <w:kern w:val="2"/>
                <w:sz w:val="21"/>
                <w:szCs w:val="21"/>
                <w:lang w:val="en-US" w:eastAsia="zh-CN" w:bidi="ar-SA"/>
              </w:rPr>
              <w:t>根据建设单位提供资料，本项目成品烧成率为 99%，则本项目生产过程中产生的</w:t>
            </w:r>
            <w:r>
              <w:rPr>
                <w:rFonts w:hint="eastAsia" w:ascii="Times New Roman" w:hAnsi="Times New Roman" w:cs="Times New Roman"/>
                <w:color w:val="auto"/>
                <w:sz w:val="21"/>
                <w:szCs w:val="21"/>
                <w:lang w:eastAsia="zh-CN"/>
              </w:rPr>
              <w:t>次品</w:t>
            </w:r>
            <w:r>
              <w:rPr>
                <w:rFonts w:hint="eastAsia" w:cs="Times New Roman"/>
                <w:color w:val="auto"/>
                <w:kern w:val="2"/>
                <w:sz w:val="21"/>
                <w:szCs w:val="21"/>
                <w:lang w:val="en-US" w:eastAsia="zh-CN" w:bidi="ar-SA"/>
              </w:rPr>
              <w:t>砖</w:t>
            </w:r>
            <w:r>
              <w:rPr>
                <w:rFonts w:ascii="Times New Roman" w:hAnsi="Times New Roman" w:eastAsia="宋体" w:cs="Times New Roman"/>
                <w:color w:val="auto"/>
                <w:kern w:val="2"/>
                <w:sz w:val="21"/>
                <w:szCs w:val="21"/>
                <w:lang w:val="en-US" w:eastAsia="zh-CN" w:bidi="ar-SA"/>
              </w:rPr>
              <w:t>瓦</w:t>
            </w:r>
            <w:r>
              <w:rPr>
                <w:rFonts w:hint="eastAsia" w:cs="Times New Roman"/>
                <w:color w:val="auto"/>
                <w:kern w:val="2"/>
                <w:sz w:val="21"/>
                <w:szCs w:val="21"/>
                <w:lang w:val="en-US" w:eastAsia="zh-CN" w:bidi="ar-SA"/>
              </w:rPr>
              <w:t>=15500×1%=155</w:t>
            </w:r>
            <w:r>
              <w:rPr>
                <w:rFonts w:ascii="Times New Roman" w:hAnsi="Times New Roman" w:eastAsia="宋体" w:cs="Times New Roman"/>
                <w:color w:val="auto"/>
                <w:kern w:val="2"/>
                <w:sz w:val="21"/>
                <w:szCs w:val="21"/>
                <w:lang w:val="en-US" w:eastAsia="zh-CN" w:bidi="ar-SA"/>
              </w:rPr>
              <w:t>t/a。</w:t>
            </w:r>
            <w:r>
              <w:rPr>
                <w:rFonts w:hint="eastAsia" w:ascii="Times New Roman" w:hAnsi="Times New Roman" w:eastAsia="宋体" w:cs="Times New Roman"/>
                <w:color w:val="auto"/>
                <w:kern w:val="2"/>
                <w:sz w:val="21"/>
                <w:szCs w:val="21"/>
                <w:lang w:val="en-US" w:eastAsia="zh-CN" w:bidi="ar-SA"/>
              </w:rPr>
              <w:t>收集洒水润湿后，</w:t>
            </w:r>
            <w:r>
              <w:rPr>
                <w:rFonts w:hint="eastAsia" w:cs="Times New Roman"/>
                <w:color w:val="auto"/>
                <w:kern w:val="2"/>
                <w:sz w:val="21"/>
                <w:szCs w:val="21"/>
                <w:lang w:val="en-US" w:eastAsia="zh-CN" w:bidi="ar-SA"/>
              </w:rPr>
              <w:t>利用对辊机</w:t>
            </w:r>
            <w:r>
              <w:rPr>
                <w:rFonts w:hint="eastAsia" w:ascii="Times New Roman" w:hAnsi="Times New Roman" w:eastAsia="宋体" w:cs="Times New Roman"/>
                <w:color w:val="auto"/>
                <w:kern w:val="2"/>
                <w:sz w:val="21"/>
                <w:szCs w:val="21"/>
                <w:lang w:val="en-US" w:eastAsia="zh-CN" w:bidi="ar-SA"/>
              </w:rPr>
              <w:t>破碎后作为原料使用</w:t>
            </w:r>
            <w:r>
              <w:rPr>
                <w:rFonts w:ascii="Times New Roman" w:hAnsi="Times New Roman" w:eastAsia="宋体" w:cs="Times New Roman"/>
                <w:color w:val="auto"/>
                <w:kern w:val="2"/>
                <w:sz w:val="21"/>
                <w:szCs w:val="21"/>
                <w:lang w:val="en-US" w:eastAsia="zh-CN" w:bidi="ar-SA"/>
              </w:rPr>
              <w:t>。</w:t>
            </w:r>
          </w:p>
          <w:p w14:paraId="2ABB1AB3">
            <w:pPr>
              <w:widowControl w:val="0"/>
              <w:bidi w:val="0"/>
              <w:spacing w:line="360" w:lineRule="auto"/>
              <w:ind w:firstLine="422" w:firstLineChars="200"/>
              <w:jc w:val="both"/>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w:t>
            </w:r>
            <w:r>
              <w:rPr>
                <w:rFonts w:hint="eastAsia" w:cs="Times New Roman"/>
                <w:b/>
                <w:bCs/>
                <w:color w:val="auto"/>
                <w:kern w:val="2"/>
                <w:sz w:val="21"/>
                <w:szCs w:val="21"/>
                <w:lang w:val="en-US" w:eastAsia="zh-CN" w:bidi="ar-SA"/>
              </w:rPr>
              <w:t>4</w:t>
            </w:r>
            <w:r>
              <w:rPr>
                <w:rFonts w:hint="eastAsia" w:ascii="Times New Roman" w:hAnsi="Times New Roman" w:eastAsia="宋体" w:cs="Times New Roman"/>
                <w:b/>
                <w:bCs/>
                <w:color w:val="auto"/>
                <w:kern w:val="2"/>
                <w:sz w:val="21"/>
                <w:szCs w:val="21"/>
                <w:lang w:val="en-US" w:eastAsia="zh-CN" w:bidi="ar-SA"/>
              </w:rPr>
              <w:t>）</w:t>
            </w:r>
            <w:r>
              <w:rPr>
                <w:rFonts w:hint="eastAsia" w:cs="Times New Roman"/>
                <w:b/>
                <w:bCs/>
                <w:color w:val="auto"/>
                <w:kern w:val="2"/>
                <w:sz w:val="21"/>
                <w:szCs w:val="21"/>
                <w:lang w:val="en-US" w:eastAsia="zh-CN" w:bidi="ar-SA"/>
              </w:rPr>
              <w:t>S5煤渣</w:t>
            </w:r>
          </w:p>
          <w:p w14:paraId="4A583EC1">
            <w:pPr>
              <w:pStyle w:val="38"/>
              <w:ind w:firstLine="420"/>
              <w:rPr>
                <w:color w:val="auto"/>
                <w:sz w:val="21"/>
                <w:szCs w:val="21"/>
              </w:rPr>
            </w:pPr>
            <w:r>
              <w:rPr>
                <w:rFonts w:hint="eastAsia"/>
                <w:color w:val="auto"/>
                <w:sz w:val="21"/>
                <w:szCs w:val="21"/>
              </w:rPr>
              <w:t>项目运营过程中会产生</w:t>
            </w:r>
            <w:r>
              <w:rPr>
                <w:rFonts w:hint="eastAsia"/>
                <w:color w:val="auto"/>
                <w:sz w:val="21"/>
                <w:szCs w:val="21"/>
                <w:lang w:val="en-US" w:eastAsia="zh-CN"/>
              </w:rPr>
              <w:t>煤</w:t>
            </w:r>
            <w:r>
              <w:rPr>
                <w:rFonts w:hint="eastAsia"/>
                <w:color w:val="auto"/>
                <w:sz w:val="21"/>
                <w:szCs w:val="21"/>
              </w:rPr>
              <w:t>渣，项目使用</w:t>
            </w:r>
            <w:r>
              <w:rPr>
                <w:rFonts w:hint="eastAsia"/>
                <w:color w:val="auto"/>
                <w:sz w:val="21"/>
                <w:szCs w:val="21"/>
                <w:lang w:val="en-US" w:eastAsia="zh-CN"/>
              </w:rPr>
              <w:t>煤1485</w:t>
            </w:r>
            <w:r>
              <w:rPr>
                <w:rFonts w:hint="eastAsia"/>
                <w:color w:val="auto"/>
                <w:sz w:val="21"/>
                <w:szCs w:val="21"/>
              </w:rPr>
              <w:t>t/a，燃料燃烧产生的灰渣量按下式计算：</w:t>
            </w:r>
          </w:p>
          <w:p w14:paraId="25A0750C">
            <w:pPr>
              <w:pStyle w:val="38"/>
              <w:ind w:firstLine="420"/>
              <w:rPr>
                <w:color w:val="auto"/>
                <w:sz w:val="21"/>
                <w:szCs w:val="21"/>
              </w:rPr>
            </w:pPr>
            <w:r>
              <w:rPr>
                <w:color w:val="auto"/>
                <w:position w:val="-10"/>
                <w:sz w:val="21"/>
                <w:szCs w:val="21"/>
              </w:rPr>
              <w:object>
                <v:shape id="_x0000_i1027" o:spt="75" type="#_x0000_t75" style="height:15.85pt;width:92.75pt;" o:ole="t" filled="f" o:preferrelative="t" stroked="f" coordsize="21600,21600">
                  <v:path/>
                  <v:fill on="f" focussize="0,0"/>
                  <v:stroke on="f" joinstyle="miter"/>
                  <v:imagedata r:id="rId44" o:title=""/>
                  <o:lock v:ext="edit" aspectratio="t"/>
                  <w10:wrap type="none"/>
                  <w10:anchorlock/>
                </v:shape>
                <o:OLEObject Type="Embed" ProgID="Equation.KSEE3" ShapeID="_x0000_i1027" DrawAspect="Content" ObjectID="_1468075727" r:id="rId43">
                  <o:LockedField>false</o:LockedField>
                </o:OLEObject>
              </w:object>
            </w:r>
          </w:p>
          <w:p w14:paraId="41B4D026">
            <w:pPr>
              <w:pStyle w:val="38"/>
              <w:ind w:firstLine="420"/>
              <w:rPr>
                <w:color w:val="auto"/>
                <w:sz w:val="21"/>
                <w:szCs w:val="21"/>
              </w:rPr>
            </w:pPr>
            <w:r>
              <w:rPr>
                <w:color w:val="auto"/>
                <w:sz w:val="21"/>
                <w:szCs w:val="21"/>
              </w:rPr>
              <w:t>式中</w:t>
            </w:r>
            <w:r>
              <w:rPr>
                <w:rFonts w:hint="eastAsia"/>
                <w:color w:val="auto"/>
                <w:sz w:val="21"/>
                <w:szCs w:val="21"/>
              </w:rPr>
              <w:t>：</w:t>
            </w:r>
            <w:r>
              <w:rPr>
                <w:color w:val="auto"/>
                <w:sz w:val="21"/>
                <w:szCs w:val="21"/>
              </w:rPr>
              <w:t>G</w:t>
            </w:r>
            <w:r>
              <w:rPr>
                <w:rFonts w:hint="eastAsia"/>
                <w:color w:val="auto"/>
                <w:sz w:val="21"/>
                <w:szCs w:val="21"/>
              </w:rPr>
              <w:t>—</w:t>
            </w:r>
            <w:r>
              <w:rPr>
                <w:color w:val="auto"/>
                <w:sz w:val="21"/>
                <w:szCs w:val="21"/>
              </w:rPr>
              <w:t>灰渣产生量，t/a</w:t>
            </w:r>
            <w:r>
              <w:rPr>
                <w:rFonts w:hint="eastAsia"/>
                <w:color w:val="auto"/>
                <w:sz w:val="21"/>
                <w:szCs w:val="21"/>
              </w:rPr>
              <w:t>；</w:t>
            </w:r>
          </w:p>
          <w:p w14:paraId="7A819498">
            <w:pPr>
              <w:pStyle w:val="38"/>
              <w:ind w:firstLine="1050" w:firstLineChars="500"/>
              <w:rPr>
                <w:color w:val="auto"/>
                <w:sz w:val="21"/>
                <w:szCs w:val="21"/>
              </w:rPr>
            </w:pPr>
            <w:r>
              <w:rPr>
                <w:color w:val="auto"/>
                <w:sz w:val="21"/>
                <w:szCs w:val="21"/>
              </w:rPr>
              <w:t>A—灰分含量，%，为</w:t>
            </w:r>
            <w:r>
              <w:rPr>
                <w:rFonts w:hint="eastAsia" w:cs="Times New Roman"/>
                <w:b w:val="0"/>
                <w:bCs w:val="0"/>
                <w:color w:val="auto"/>
                <w:kern w:val="0"/>
                <w:sz w:val="21"/>
                <w:szCs w:val="21"/>
                <w:lang w:val="en-US" w:eastAsia="zh-CN" w:bidi="ar-SA"/>
              </w:rPr>
              <w:t>7.25</w:t>
            </w:r>
            <w:r>
              <w:rPr>
                <w:color w:val="auto"/>
                <w:sz w:val="21"/>
                <w:szCs w:val="21"/>
              </w:rPr>
              <w:t>%</w:t>
            </w:r>
            <w:r>
              <w:rPr>
                <w:rFonts w:hint="eastAsia"/>
                <w:color w:val="auto"/>
                <w:sz w:val="21"/>
                <w:szCs w:val="21"/>
              </w:rPr>
              <w:t>；</w:t>
            </w:r>
          </w:p>
          <w:p w14:paraId="414FA288">
            <w:pPr>
              <w:pStyle w:val="38"/>
              <w:ind w:firstLine="1050" w:firstLineChars="500"/>
              <w:rPr>
                <w:color w:val="auto"/>
                <w:sz w:val="21"/>
                <w:szCs w:val="21"/>
              </w:rPr>
            </w:pPr>
            <w:r>
              <w:rPr>
                <w:rFonts w:hint="eastAsia"/>
                <w:color w:val="auto"/>
                <w:sz w:val="21"/>
                <w:szCs w:val="21"/>
              </w:rPr>
              <w:t>W</w:t>
            </w:r>
            <w:r>
              <w:rPr>
                <w:color w:val="auto"/>
                <w:sz w:val="21"/>
                <w:szCs w:val="21"/>
              </w:rPr>
              <w:t>—燃料耗量，</w:t>
            </w:r>
            <w:r>
              <w:rPr>
                <w:rFonts w:hint="eastAsia"/>
                <w:color w:val="auto"/>
                <w:sz w:val="21"/>
                <w:szCs w:val="21"/>
                <w:lang w:val="en-US" w:eastAsia="zh-CN"/>
              </w:rPr>
              <w:t>1485</w:t>
            </w:r>
            <w:r>
              <w:rPr>
                <w:color w:val="auto"/>
                <w:sz w:val="21"/>
                <w:szCs w:val="21"/>
              </w:rPr>
              <w:t>t/a</w:t>
            </w:r>
            <w:r>
              <w:rPr>
                <w:rFonts w:hint="eastAsia"/>
                <w:color w:val="auto"/>
                <w:sz w:val="21"/>
                <w:szCs w:val="21"/>
              </w:rPr>
              <w:t>；</w:t>
            </w:r>
          </w:p>
          <w:p w14:paraId="3888742B">
            <w:pPr>
              <w:pStyle w:val="38"/>
              <w:ind w:firstLine="1050" w:firstLineChars="500"/>
              <w:rPr>
                <w:rFonts w:hint="eastAsia"/>
                <w:color w:val="auto"/>
                <w:sz w:val="21"/>
                <w:szCs w:val="21"/>
                <w:lang w:val="en-US" w:eastAsia="zh-CN"/>
              </w:rPr>
            </w:pPr>
            <w:r>
              <w:rPr>
                <w:color w:val="auto"/>
                <w:sz w:val="21"/>
                <w:szCs w:val="21"/>
              </w:rPr>
              <w:t>B—飞灰占生物质燃料中总灰分的百分比，</w:t>
            </w:r>
            <w:r>
              <w:rPr>
                <w:rFonts w:hint="eastAsia"/>
                <w:color w:val="auto"/>
                <w:sz w:val="21"/>
                <w:szCs w:val="21"/>
                <w:lang w:val="en-US" w:eastAsia="zh-CN"/>
              </w:rPr>
              <w:t>根据大气源强核算烟尘产生量为</w:t>
            </w:r>
            <w:r>
              <w:rPr>
                <w:rFonts w:hint="eastAsia" w:cs="Times New Roman"/>
                <w:color w:val="auto"/>
                <w:lang w:val="en-US" w:eastAsia="zh-CN"/>
              </w:rPr>
              <w:t>21.53t，则</w:t>
            </w:r>
            <w:r>
              <w:rPr>
                <w:rFonts w:hint="eastAsia"/>
                <w:color w:val="auto"/>
                <w:sz w:val="21"/>
                <w:szCs w:val="21"/>
              </w:rPr>
              <w:t>灰渣量计算</w:t>
            </w:r>
            <w:r>
              <w:rPr>
                <w:rFonts w:hint="eastAsia"/>
                <w:color w:val="auto"/>
                <w:sz w:val="21"/>
                <w:szCs w:val="21"/>
                <w:lang w:val="en-US" w:eastAsia="zh-CN"/>
              </w:rPr>
              <w:t>公示变更为</w:t>
            </w:r>
          </w:p>
          <w:p w14:paraId="3309D013">
            <w:pPr>
              <w:pStyle w:val="38"/>
              <w:ind w:firstLine="1050" w:firstLineChars="500"/>
              <w:rPr>
                <w:rFonts w:hint="eastAsia"/>
                <w:color w:val="auto"/>
                <w:sz w:val="21"/>
                <w:szCs w:val="21"/>
                <w:lang w:val="en-US" w:eastAsia="zh-CN"/>
              </w:rPr>
            </w:pPr>
            <w:r>
              <w:rPr>
                <w:rFonts w:hint="eastAsia"/>
                <w:color w:val="auto"/>
                <w:sz w:val="21"/>
                <w:szCs w:val="21"/>
                <w:lang w:val="en-US" w:eastAsia="zh-CN"/>
              </w:rPr>
              <w:t>G=W×A-Bm</w:t>
            </w:r>
          </w:p>
          <w:p w14:paraId="1E58A33D">
            <w:pPr>
              <w:pStyle w:val="38"/>
              <w:ind w:firstLine="1050" w:firstLineChars="500"/>
              <w:rPr>
                <w:color w:val="auto"/>
                <w:sz w:val="21"/>
                <w:szCs w:val="21"/>
              </w:rPr>
            </w:pPr>
            <w:r>
              <w:rPr>
                <w:rFonts w:hint="eastAsia"/>
                <w:color w:val="auto"/>
                <w:sz w:val="21"/>
                <w:szCs w:val="21"/>
                <w:lang w:val="en-US" w:eastAsia="zh-CN"/>
              </w:rPr>
              <w:t>Bm-源强核算的烟尘产生量</w:t>
            </w:r>
            <w:r>
              <w:rPr>
                <w:rFonts w:hint="eastAsia"/>
                <w:color w:val="auto"/>
                <w:sz w:val="21"/>
                <w:szCs w:val="21"/>
              </w:rPr>
              <w:t>。</w:t>
            </w:r>
          </w:p>
          <w:p w14:paraId="462DE19A">
            <w:pPr>
              <w:widowControl w:val="0"/>
              <w:bidi w:val="0"/>
              <w:spacing w:line="360" w:lineRule="auto"/>
              <w:ind w:firstLine="420" w:firstLineChars="200"/>
              <w:jc w:val="both"/>
              <w:rPr>
                <w:rFonts w:hint="default" w:ascii="Times New Roman" w:hAnsi="Times New Roman" w:eastAsia="宋体" w:cs="Times New Roman"/>
                <w:color w:val="auto"/>
                <w:kern w:val="2"/>
                <w:sz w:val="21"/>
                <w:szCs w:val="21"/>
                <w:lang w:val="en-US" w:eastAsia="zh-CN" w:bidi="ar-SA"/>
              </w:rPr>
            </w:pPr>
            <w:r>
              <w:rPr>
                <w:color w:val="auto"/>
                <w:sz w:val="21"/>
                <w:szCs w:val="21"/>
              </w:rPr>
              <w:t>根据上式计算得</w:t>
            </w:r>
            <w:r>
              <w:rPr>
                <w:rFonts w:hint="eastAsia"/>
                <w:color w:val="auto"/>
                <w:sz w:val="21"/>
                <w:szCs w:val="21"/>
                <w:lang w:val="en-US" w:eastAsia="zh-CN"/>
              </w:rPr>
              <w:t>煤渣</w:t>
            </w:r>
            <w:r>
              <w:rPr>
                <w:color w:val="auto"/>
                <w:sz w:val="21"/>
                <w:szCs w:val="21"/>
              </w:rPr>
              <w:t>产生量为</w:t>
            </w:r>
            <w:r>
              <w:rPr>
                <w:rFonts w:hint="eastAsia"/>
                <w:color w:val="auto"/>
                <w:sz w:val="21"/>
                <w:szCs w:val="21"/>
                <w:lang w:val="en-US" w:eastAsia="zh-CN"/>
              </w:rPr>
              <w:t>=1485×7.25%-21.53=85.83</w:t>
            </w:r>
            <w:r>
              <w:rPr>
                <w:color w:val="auto"/>
                <w:sz w:val="21"/>
                <w:szCs w:val="21"/>
              </w:rPr>
              <w:t>t/a</w:t>
            </w:r>
            <w:r>
              <w:rPr>
                <w:rFonts w:hint="eastAsia"/>
                <w:color w:val="auto"/>
                <w:sz w:val="21"/>
                <w:szCs w:val="21"/>
              </w:rPr>
              <w:t>，</w:t>
            </w:r>
            <w:r>
              <w:rPr>
                <w:rFonts w:hint="eastAsia" w:cs="Times New Roman"/>
                <w:color w:val="auto"/>
                <w:kern w:val="2"/>
                <w:sz w:val="21"/>
                <w:szCs w:val="21"/>
                <w:lang w:val="en-US" w:eastAsia="zh-CN" w:bidi="ar-SA"/>
              </w:rPr>
              <w:t>煤渣收集后暂存于原料车间，作为原料使用。</w:t>
            </w:r>
          </w:p>
          <w:p w14:paraId="550C12A6">
            <w:pPr>
              <w:widowControl w:val="0"/>
              <w:bidi w:val="0"/>
              <w:spacing w:line="360" w:lineRule="auto"/>
              <w:ind w:firstLine="422" w:firstLineChars="200"/>
              <w:jc w:val="both"/>
              <w:rPr>
                <w:rFonts w:hint="default" w:ascii="Times New Roman" w:hAnsi="Times New Roman" w:eastAsia="宋体" w:cs="Times New Roman"/>
                <w:b/>
                <w:bCs/>
                <w:color w:val="auto"/>
                <w:kern w:val="2"/>
                <w:sz w:val="21"/>
                <w:szCs w:val="21"/>
                <w:lang w:val="en-US" w:eastAsia="zh-CN" w:bidi="ar-SA"/>
              </w:rPr>
            </w:pPr>
            <w:r>
              <w:rPr>
                <w:rFonts w:hint="eastAsia" w:cs="Times New Roman"/>
                <w:b/>
                <w:bCs/>
                <w:color w:val="auto"/>
                <w:kern w:val="2"/>
                <w:sz w:val="21"/>
                <w:szCs w:val="21"/>
                <w:lang w:val="en-US" w:eastAsia="zh-CN" w:bidi="ar-SA"/>
              </w:rPr>
              <w:t>（5）</w:t>
            </w:r>
            <w:r>
              <w:rPr>
                <w:rFonts w:hint="eastAsia" w:ascii="Times New Roman" w:hAnsi="Times New Roman" w:eastAsia="宋体" w:cs="Times New Roman"/>
                <w:b/>
                <w:bCs/>
                <w:color w:val="auto"/>
                <w:kern w:val="2"/>
                <w:sz w:val="21"/>
                <w:szCs w:val="21"/>
                <w:lang w:val="en-US" w:eastAsia="zh-CN" w:bidi="ar-SA"/>
              </w:rPr>
              <w:t>废润滑油</w:t>
            </w:r>
          </w:p>
          <w:p w14:paraId="074BC8BB">
            <w:pPr>
              <w:keepNext w:val="0"/>
              <w:keepLines w:val="0"/>
              <w:pageBreakBefore w:val="0"/>
              <w:widowControl w:val="0"/>
              <w:kinsoku/>
              <w:wordWrap/>
              <w:overflowPunct/>
              <w:topLinePunct w:val="0"/>
              <w:autoSpaceDE/>
              <w:autoSpaceDN/>
              <w:bidi w:val="0"/>
              <w:snapToGrid w:val="0"/>
              <w:spacing w:line="360" w:lineRule="auto"/>
              <w:ind w:firstLine="420" w:firstLineChars="200"/>
              <w:jc w:val="both"/>
              <w:textAlignment w:val="auto"/>
              <w:rPr>
                <w:rFonts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项目机修过程中会产生</w:t>
            </w:r>
            <w:r>
              <w:rPr>
                <w:rFonts w:hint="default" w:ascii="Times New Roman" w:hAnsi="Times New Roman" w:cs="Times New Roman"/>
                <w:color w:val="auto"/>
                <w:sz w:val="21"/>
                <w:szCs w:val="21"/>
                <w:lang w:eastAsia="zh-CN"/>
              </w:rPr>
              <w:t>废润滑油</w:t>
            </w:r>
            <w:r>
              <w:rPr>
                <w:rFonts w:hint="default" w:ascii="Times New Roman" w:hAnsi="Times New Roman" w:cs="Times New Roman"/>
                <w:color w:val="auto"/>
                <w:sz w:val="21"/>
                <w:szCs w:val="21"/>
              </w:rPr>
              <w:t>，产生量约为</w:t>
            </w:r>
            <w:r>
              <w:rPr>
                <w:rFonts w:hint="default" w:ascii="Times New Roman" w:hAnsi="Times New Roman" w:cs="Times New Roman"/>
                <w:color w:val="auto"/>
                <w:sz w:val="21"/>
                <w:szCs w:val="21"/>
                <w:lang w:val="en-US" w:eastAsia="zh-CN"/>
              </w:rPr>
              <w:t>0.</w:t>
            </w: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t/a。根据《国家危险废物名录》（202</w:t>
            </w: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年版），</w:t>
            </w:r>
            <w:r>
              <w:rPr>
                <w:rFonts w:hint="default" w:ascii="Times New Roman" w:hAnsi="Times New Roman" w:cs="Times New Roman"/>
                <w:color w:val="auto"/>
                <w:sz w:val="21"/>
                <w:szCs w:val="21"/>
                <w:lang w:eastAsia="zh-CN"/>
              </w:rPr>
              <w:t>废润滑油</w:t>
            </w:r>
            <w:r>
              <w:rPr>
                <w:rFonts w:hint="default" w:ascii="Times New Roman" w:hAnsi="Times New Roman" w:cs="Times New Roman"/>
                <w:color w:val="auto"/>
                <w:sz w:val="21"/>
                <w:szCs w:val="21"/>
              </w:rPr>
              <w:t>属于危废固废，危废类别：HW08废矿物油与含矿物油废物，废物代码：900-21</w:t>
            </w:r>
            <w:r>
              <w:rPr>
                <w:rFonts w:hint="default" w:ascii="Times New Roman" w:hAnsi="Times New Roman" w:cs="Times New Roman"/>
                <w:color w:val="auto"/>
                <w:sz w:val="21"/>
                <w:szCs w:val="21"/>
                <w:lang w:val="en-US" w:eastAsia="zh-CN"/>
              </w:rPr>
              <w:t>7</w:t>
            </w:r>
            <w:r>
              <w:rPr>
                <w:rFonts w:hint="default" w:ascii="Times New Roman" w:hAnsi="Times New Roman" w:cs="Times New Roman"/>
                <w:color w:val="auto"/>
                <w:sz w:val="21"/>
                <w:szCs w:val="21"/>
              </w:rPr>
              <w:t>-08 使用工业齿轮油进行机械设备润滑过程中产生的废润滑油。</w:t>
            </w:r>
            <w:r>
              <w:rPr>
                <w:rFonts w:hint="default" w:ascii="Times New Roman" w:hAnsi="Times New Roman" w:cs="Times New Roman"/>
                <w:color w:val="auto"/>
                <w:sz w:val="21"/>
                <w:szCs w:val="21"/>
                <w:lang w:eastAsia="zh-CN"/>
              </w:rPr>
              <w:t>废润滑油</w:t>
            </w:r>
            <w:r>
              <w:rPr>
                <w:rFonts w:hint="default" w:ascii="Times New Roman" w:hAnsi="Times New Roman" w:cs="Times New Roman"/>
                <w:color w:val="auto"/>
                <w:sz w:val="21"/>
                <w:szCs w:val="21"/>
              </w:rPr>
              <w:t>由专用收集桶收集后暂存于</w:t>
            </w:r>
            <w:r>
              <w:rPr>
                <w:rFonts w:hint="eastAsia" w:cs="Times New Roman"/>
                <w:color w:val="auto"/>
                <w:sz w:val="21"/>
                <w:szCs w:val="21"/>
                <w:lang w:eastAsia="zh-CN"/>
              </w:rPr>
              <w:t>危废贮存库</w:t>
            </w:r>
            <w:r>
              <w:rPr>
                <w:rFonts w:hint="default" w:ascii="Times New Roman" w:hAnsi="Times New Roman" w:cs="Times New Roman"/>
                <w:color w:val="auto"/>
                <w:sz w:val="21"/>
                <w:szCs w:val="21"/>
              </w:rPr>
              <w:t>内，</w:t>
            </w:r>
            <w:r>
              <w:rPr>
                <w:rFonts w:hint="eastAsia" w:cs="Times New Roman"/>
                <w:color w:val="auto"/>
                <w:sz w:val="21"/>
                <w:szCs w:val="21"/>
                <w:lang w:val="en-US" w:eastAsia="zh-CN"/>
              </w:rPr>
              <w:t>委托有资质的单位清运处置</w:t>
            </w:r>
            <w:r>
              <w:rPr>
                <w:rFonts w:ascii="Times New Roman" w:hAnsi="Times New Roman" w:eastAsia="宋体" w:cs="Times New Roman"/>
                <w:color w:val="auto"/>
                <w:kern w:val="2"/>
                <w:sz w:val="21"/>
                <w:szCs w:val="21"/>
                <w:lang w:val="en-US" w:eastAsia="zh-CN" w:bidi="ar-SA"/>
              </w:rPr>
              <w:t>。</w:t>
            </w:r>
          </w:p>
          <w:p w14:paraId="10045456">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w:t>
            </w:r>
            <w:r>
              <w:rPr>
                <w:rFonts w:hint="eastAsia" w:cs="Times New Roman"/>
                <w:b/>
                <w:bCs/>
                <w:color w:val="auto"/>
                <w:sz w:val="21"/>
                <w:szCs w:val="21"/>
                <w:lang w:val="en-US" w:eastAsia="zh-CN"/>
              </w:rPr>
              <w:t>6</w:t>
            </w:r>
            <w:r>
              <w:rPr>
                <w:rFonts w:hint="default" w:ascii="Times New Roman" w:hAnsi="Times New Roman" w:cs="Times New Roman"/>
                <w:b/>
                <w:bCs/>
                <w:color w:val="auto"/>
                <w:sz w:val="21"/>
                <w:szCs w:val="21"/>
              </w:rPr>
              <w:t>）生活垃圾</w:t>
            </w:r>
          </w:p>
          <w:p w14:paraId="72B861DD">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color w:val="auto"/>
                <w:szCs w:val="21"/>
              </w:rPr>
            </w:pPr>
            <w:r>
              <w:rPr>
                <w:rFonts w:hint="default" w:ascii="Times New Roman" w:hAnsi="Times New Roman" w:cs="Times New Roman"/>
                <w:color w:val="auto"/>
                <w:sz w:val="21"/>
                <w:szCs w:val="21"/>
                <w:highlight w:val="none"/>
              </w:rPr>
              <w:t>本项目劳动定员</w:t>
            </w:r>
            <w:r>
              <w:rPr>
                <w:rFonts w:hint="eastAsia" w:ascii="Times New Roman" w:hAnsi="Times New Roman" w:cs="Times New Roman"/>
                <w:color w:val="auto"/>
                <w:sz w:val="21"/>
                <w:szCs w:val="21"/>
                <w:highlight w:val="none"/>
                <w:lang w:val="en-US" w:eastAsia="zh-CN"/>
              </w:rPr>
              <w:t>25</w:t>
            </w:r>
            <w:r>
              <w:rPr>
                <w:rFonts w:hint="default" w:ascii="Times New Roman" w:hAnsi="Times New Roman" w:cs="Times New Roman"/>
                <w:color w:val="auto"/>
                <w:sz w:val="21"/>
                <w:szCs w:val="21"/>
                <w:highlight w:val="none"/>
              </w:rPr>
              <w:t>人，</w:t>
            </w:r>
            <w:r>
              <w:rPr>
                <w:rFonts w:hint="default" w:ascii="Times New Roman" w:hAnsi="Times New Roman" w:cs="Times New Roman"/>
                <w:color w:val="auto"/>
                <w:sz w:val="21"/>
                <w:szCs w:val="21"/>
              </w:rPr>
              <w:t>生活垃圾产生量按</w:t>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kg/人·d计</w:t>
            </w:r>
            <w:r>
              <w:rPr>
                <w:rFonts w:hint="default" w:ascii="Times New Roman" w:hAnsi="Times New Roman" w:cs="Times New Roman"/>
                <w:color w:val="auto"/>
                <w:kern w:val="0"/>
                <w:sz w:val="21"/>
                <w:szCs w:val="21"/>
                <w:highlight w:val="none"/>
              </w:rPr>
              <w:t>算，</w:t>
            </w:r>
            <w:r>
              <w:rPr>
                <w:rFonts w:hint="default" w:ascii="Times New Roman" w:hAnsi="Times New Roman" w:cs="Times New Roman"/>
                <w:color w:val="auto"/>
                <w:spacing w:val="10"/>
                <w:sz w:val="21"/>
                <w:szCs w:val="21"/>
                <w:lang w:val="zh-CN" w:eastAsia="zh-CN"/>
              </w:rPr>
              <w:t>全年运营，</w:t>
            </w:r>
            <w:r>
              <w:rPr>
                <w:rFonts w:hint="default" w:ascii="Times New Roman" w:hAnsi="Times New Roman" w:cs="Times New Roman"/>
                <w:color w:val="auto"/>
                <w:sz w:val="21"/>
                <w:szCs w:val="21"/>
              </w:rPr>
              <w:t>则员工生活垃圾产生量为</w:t>
            </w:r>
            <w:r>
              <w:rPr>
                <w:rFonts w:hint="eastAsia" w:ascii="Times New Roman" w:hAnsi="Times New Roman" w:cs="Times New Roman"/>
                <w:color w:val="auto"/>
                <w:sz w:val="21"/>
                <w:szCs w:val="21"/>
                <w:lang w:val="en-US" w:eastAsia="zh-CN"/>
              </w:rPr>
              <w:t>25</w:t>
            </w:r>
            <w:r>
              <w:rPr>
                <w:rFonts w:hint="default" w:ascii="Times New Roman" w:hAnsi="Times New Roman" w:cs="Times New Roman"/>
                <w:color w:val="auto"/>
                <w:sz w:val="21"/>
                <w:szCs w:val="21"/>
              </w:rPr>
              <w:t>kg/d，</w:t>
            </w:r>
            <w:r>
              <w:rPr>
                <w:rFonts w:hint="eastAsia" w:ascii="Times New Roman" w:hAnsi="Times New Roman" w:cs="Times New Roman"/>
                <w:color w:val="auto"/>
                <w:sz w:val="21"/>
                <w:szCs w:val="21"/>
                <w:lang w:val="en-US" w:eastAsia="zh-CN"/>
              </w:rPr>
              <w:t>7.5</w:t>
            </w:r>
            <w:r>
              <w:rPr>
                <w:rFonts w:hint="default" w:ascii="Times New Roman" w:hAnsi="Times New Roman" w:cs="Times New Roman"/>
                <w:color w:val="auto"/>
                <w:sz w:val="21"/>
                <w:szCs w:val="21"/>
              </w:rPr>
              <w:t>t/a。本项目生活垃圾设置带盖垃圾桶收集，委托环卫部门</w:t>
            </w:r>
            <w:r>
              <w:rPr>
                <w:rFonts w:hint="default" w:ascii="Times New Roman" w:hAnsi="Times New Roman" w:cs="Times New Roman"/>
                <w:color w:val="auto"/>
                <w:sz w:val="21"/>
                <w:szCs w:val="21"/>
                <w:lang w:eastAsia="zh-CN"/>
              </w:rPr>
              <w:t>清运处置。</w:t>
            </w:r>
          </w:p>
          <w:p w14:paraId="3C3E15C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综合上述分析，项目运营期间固体废弃物产生情况见表4-1</w:t>
            </w:r>
            <w:r>
              <w:rPr>
                <w:rFonts w:hint="eastAsia" w:cs="Times New Roman"/>
                <w:color w:val="auto"/>
                <w:szCs w:val="21"/>
                <w:lang w:val="en-US" w:eastAsia="zh-CN"/>
              </w:rPr>
              <w:t>4</w:t>
            </w:r>
            <w:r>
              <w:rPr>
                <w:rFonts w:hint="default" w:ascii="Times New Roman" w:hAnsi="Times New Roman" w:eastAsia="宋体" w:cs="Times New Roman"/>
                <w:color w:val="auto"/>
                <w:szCs w:val="21"/>
              </w:rPr>
              <w:t>。</w:t>
            </w:r>
          </w:p>
          <w:p w14:paraId="33A595D7">
            <w:pPr>
              <w:widowControl w:val="0"/>
              <w:bidi w:val="0"/>
              <w:spacing w:line="360" w:lineRule="auto"/>
              <w:ind w:firstLine="422" w:firstLineChars="200"/>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表4-1</w:t>
            </w:r>
            <w:r>
              <w:rPr>
                <w:rFonts w:hint="eastAsia" w:cs="Times New Roman"/>
                <w:b/>
                <w:bCs/>
                <w:color w:val="auto"/>
                <w:kern w:val="2"/>
                <w:sz w:val="21"/>
                <w:szCs w:val="21"/>
                <w:lang w:val="en-US" w:eastAsia="zh-CN" w:bidi="ar-SA"/>
              </w:rPr>
              <w:t>4</w:t>
            </w:r>
            <w:r>
              <w:rPr>
                <w:rFonts w:hint="eastAsia" w:ascii="Times New Roman" w:hAnsi="Times New Roman" w:eastAsia="宋体" w:cs="Times New Roman"/>
                <w:b/>
                <w:bCs/>
                <w:color w:val="auto"/>
                <w:kern w:val="2"/>
                <w:sz w:val="21"/>
                <w:szCs w:val="21"/>
                <w:lang w:val="en-US" w:eastAsia="zh-CN" w:bidi="ar-SA"/>
              </w:rPr>
              <w:t xml:space="preserve">  项目主要固废产生及处置情况</w:t>
            </w:r>
          </w:p>
          <w:tbl>
            <w:tblPr>
              <w:tblStyle w:val="30"/>
              <w:tblW w:w="79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1486"/>
              <w:gridCol w:w="1140"/>
              <w:gridCol w:w="1170"/>
              <w:gridCol w:w="1315"/>
              <w:gridCol w:w="2366"/>
            </w:tblGrid>
            <w:tr w14:paraId="3DAF4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459" w:type="dxa"/>
                  <w:vAlign w:val="center"/>
                </w:tcPr>
                <w:p w14:paraId="706F1E0C">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序号</w:t>
                  </w:r>
                </w:p>
              </w:tc>
              <w:tc>
                <w:tcPr>
                  <w:tcW w:w="1486" w:type="dxa"/>
                  <w:vAlign w:val="center"/>
                </w:tcPr>
                <w:p w14:paraId="446DB5B9">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来源</w:t>
                  </w:r>
                </w:p>
              </w:tc>
              <w:tc>
                <w:tcPr>
                  <w:tcW w:w="1140" w:type="dxa"/>
                  <w:vAlign w:val="center"/>
                </w:tcPr>
                <w:p w14:paraId="6A9430A6">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固体废物名称</w:t>
                  </w:r>
                </w:p>
              </w:tc>
              <w:tc>
                <w:tcPr>
                  <w:tcW w:w="1170" w:type="dxa"/>
                  <w:vAlign w:val="center"/>
                </w:tcPr>
                <w:p w14:paraId="55FA9BCD">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废物类别</w:t>
                  </w:r>
                </w:p>
              </w:tc>
              <w:tc>
                <w:tcPr>
                  <w:tcW w:w="1315" w:type="dxa"/>
                  <w:vAlign w:val="center"/>
                </w:tcPr>
                <w:p w14:paraId="7324D188">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产生量（t/a）</w:t>
                  </w:r>
                </w:p>
              </w:tc>
              <w:tc>
                <w:tcPr>
                  <w:tcW w:w="2366" w:type="dxa"/>
                  <w:vAlign w:val="center"/>
                </w:tcPr>
                <w:p w14:paraId="266BC079">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处置方式</w:t>
                  </w:r>
                </w:p>
              </w:tc>
            </w:tr>
            <w:tr w14:paraId="29D90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459" w:type="dxa"/>
                  <w:vAlign w:val="center"/>
                </w:tcPr>
                <w:p w14:paraId="4F4A49B9">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w:t>
                  </w:r>
                </w:p>
              </w:tc>
              <w:tc>
                <w:tcPr>
                  <w:tcW w:w="1486" w:type="dxa"/>
                  <w:vAlign w:val="center"/>
                </w:tcPr>
                <w:p w14:paraId="740B810A">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切条</w:t>
                  </w:r>
                </w:p>
              </w:tc>
              <w:tc>
                <w:tcPr>
                  <w:tcW w:w="1140" w:type="dxa"/>
                  <w:vAlign w:val="center"/>
                </w:tcPr>
                <w:p w14:paraId="296BA629">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b w:val="0"/>
                      <w:bCs w:val="0"/>
                      <w:color w:val="auto"/>
                      <w:sz w:val="21"/>
                      <w:szCs w:val="21"/>
                      <w:lang w:eastAsia="zh-CN"/>
                    </w:rPr>
                    <w:t>切条废料</w:t>
                  </w:r>
                </w:p>
              </w:tc>
              <w:tc>
                <w:tcPr>
                  <w:tcW w:w="1170" w:type="dxa"/>
                  <w:vMerge w:val="restart"/>
                  <w:vAlign w:val="center"/>
                </w:tcPr>
                <w:p w14:paraId="6A7B4425">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一般工业固废</w:t>
                  </w:r>
                </w:p>
              </w:tc>
              <w:tc>
                <w:tcPr>
                  <w:tcW w:w="1315" w:type="dxa"/>
                  <w:vAlign w:val="center"/>
                </w:tcPr>
                <w:p w14:paraId="2EC61901">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620</w:t>
                  </w:r>
                </w:p>
              </w:tc>
              <w:tc>
                <w:tcPr>
                  <w:tcW w:w="2366" w:type="dxa"/>
                  <w:vAlign w:val="center"/>
                </w:tcPr>
                <w:p w14:paraId="0B80042C">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收集后</w:t>
                  </w:r>
                  <w:r>
                    <w:rPr>
                      <w:rFonts w:hint="eastAsia" w:cs="Times New Roman"/>
                      <w:color w:val="auto"/>
                      <w:kern w:val="2"/>
                      <w:sz w:val="21"/>
                      <w:szCs w:val="21"/>
                      <w:lang w:val="en-US" w:eastAsia="zh-CN" w:bidi="ar-SA"/>
                    </w:rPr>
                    <w:t>利用对辊机</w:t>
                  </w:r>
                  <w:r>
                    <w:rPr>
                      <w:rFonts w:hint="eastAsia" w:ascii="Times New Roman" w:hAnsi="Times New Roman" w:eastAsia="宋体" w:cs="Times New Roman"/>
                      <w:color w:val="auto"/>
                      <w:kern w:val="2"/>
                      <w:sz w:val="21"/>
                      <w:szCs w:val="21"/>
                      <w:lang w:val="en-US" w:eastAsia="zh-CN" w:bidi="ar-SA"/>
                    </w:rPr>
                    <w:t>破碎后返回生产线</w:t>
                  </w:r>
                </w:p>
              </w:tc>
            </w:tr>
            <w:tr w14:paraId="3D29A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459" w:type="dxa"/>
                  <w:vAlign w:val="center"/>
                </w:tcPr>
                <w:p w14:paraId="68AD62D0">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c>
                <w:tcPr>
                  <w:tcW w:w="1486" w:type="dxa"/>
                  <w:vAlign w:val="center"/>
                </w:tcPr>
                <w:p w14:paraId="05A79F63">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修坯</w:t>
                  </w:r>
                </w:p>
              </w:tc>
              <w:tc>
                <w:tcPr>
                  <w:tcW w:w="1140" w:type="dxa"/>
                  <w:vAlign w:val="center"/>
                </w:tcPr>
                <w:p w14:paraId="28541F9D">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修坯</w:t>
                  </w:r>
                  <w:r>
                    <w:rPr>
                      <w:rFonts w:hint="default" w:ascii="Times New Roman" w:hAnsi="Times New Roman" w:cs="Times New Roman"/>
                      <w:b w:val="0"/>
                      <w:bCs w:val="0"/>
                      <w:color w:val="auto"/>
                      <w:sz w:val="21"/>
                      <w:szCs w:val="21"/>
                      <w:lang w:eastAsia="zh-CN"/>
                    </w:rPr>
                    <w:t>废料</w:t>
                  </w:r>
                </w:p>
              </w:tc>
              <w:tc>
                <w:tcPr>
                  <w:tcW w:w="1170" w:type="dxa"/>
                  <w:vMerge w:val="continue"/>
                  <w:vAlign w:val="center"/>
                </w:tcPr>
                <w:p w14:paraId="6CCA53B3">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1315" w:type="dxa"/>
                  <w:vAlign w:val="center"/>
                </w:tcPr>
                <w:p w14:paraId="280263AA">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155</w:t>
                  </w:r>
                </w:p>
              </w:tc>
              <w:tc>
                <w:tcPr>
                  <w:tcW w:w="2366" w:type="dxa"/>
                  <w:vAlign w:val="center"/>
                </w:tcPr>
                <w:p w14:paraId="7B222015">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收集后</w:t>
                  </w:r>
                  <w:r>
                    <w:rPr>
                      <w:rFonts w:hint="eastAsia" w:cs="Times New Roman"/>
                      <w:color w:val="auto"/>
                      <w:kern w:val="2"/>
                      <w:sz w:val="21"/>
                      <w:szCs w:val="21"/>
                      <w:lang w:val="en-US" w:eastAsia="zh-CN" w:bidi="ar-SA"/>
                    </w:rPr>
                    <w:t>利用对辊机</w:t>
                  </w:r>
                  <w:r>
                    <w:rPr>
                      <w:rFonts w:hint="eastAsia" w:ascii="Times New Roman" w:hAnsi="Times New Roman" w:eastAsia="宋体" w:cs="Times New Roman"/>
                      <w:color w:val="auto"/>
                      <w:kern w:val="2"/>
                      <w:sz w:val="21"/>
                      <w:szCs w:val="21"/>
                      <w:lang w:val="en-US" w:eastAsia="zh-CN" w:bidi="ar-SA"/>
                    </w:rPr>
                    <w:t>破碎后返回生产线</w:t>
                  </w:r>
                </w:p>
              </w:tc>
            </w:tr>
            <w:tr w14:paraId="1D0C8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459" w:type="dxa"/>
                  <w:vAlign w:val="center"/>
                </w:tcPr>
                <w:p w14:paraId="5BD4EFC0">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w:t>
                  </w:r>
                </w:p>
              </w:tc>
              <w:tc>
                <w:tcPr>
                  <w:tcW w:w="1486" w:type="dxa"/>
                  <w:vAlign w:val="center"/>
                </w:tcPr>
                <w:p w14:paraId="0C9F2296">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脱硫塔</w:t>
                  </w:r>
                </w:p>
              </w:tc>
              <w:tc>
                <w:tcPr>
                  <w:tcW w:w="1140" w:type="dxa"/>
                  <w:vAlign w:val="center"/>
                </w:tcPr>
                <w:p w14:paraId="1DD07EC1">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脱硫渣</w:t>
                  </w:r>
                </w:p>
              </w:tc>
              <w:tc>
                <w:tcPr>
                  <w:tcW w:w="1170" w:type="dxa"/>
                  <w:vMerge w:val="continue"/>
                  <w:vAlign w:val="center"/>
                </w:tcPr>
                <w:p w14:paraId="21052D89">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1315" w:type="dxa"/>
                  <w:vAlign w:val="center"/>
                </w:tcPr>
                <w:p w14:paraId="6EF42101">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35.7</w:t>
                  </w:r>
                </w:p>
              </w:tc>
              <w:tc>
                <w:tcPr>
                  <w:tcW w:w="2366" w:type="dxa"/>
                  <w:vAlign w:val="center"/>
                </w:tcPr>
                <w:p w14:paraId="28299B73">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脱硫渣清出后暂存于陈化库，委托免烧砖单位清运处置</w:t>
                  </w:r>
                </w:p>
              </w:tc>
            </w:tr>
            <w:tr w14:paraId="403F9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459" w:type="dxa"/>
                  <w:vAlign w:val="center"/>
                </w:tcPr>
                <w:p w14:paraId="7AA702D5">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w:t>
                  </w:r>
                </w:p>
              </w:tc>
              <w:tc>
                <w:tcPr>
                  <w:tcW w:w="1486" w:type="dxa"/>
                  <w:vAlign w:val="center"/>
                </w:tcPr>
                <w:p w14:paraId="5E60E729">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布袋除尘器</w:t>
                  </w:r>
                </w:p>
              </w:tc>
              <w:tc>
                <w:tcPr>
                  <w:tcW w:w="1140" w:type="dxa"/>
                  <w:vAlign w:val="center"/>
                </w:tcPr>
                <w:p w14:paraId="1FA2D565">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除尘灰</w:t>
                  </w:r>
                </w:p>
              </w:tc>
              <w:tc>
                <w:tcPr>
                  <w:tcW w:w="1170" w:type="dxa"/>
                  <w:vMerge w:val="continue"/>
                  <w:vAlign w:val="center"/>
                </w:tcPr>
                <w:p w14:paraId="2FA7B689">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1315" w:type="dxa"/>
                  <w:vAlign w:val="center"/>
                </w:tcPr>
                <w:p w14:paraId="2ADFD4BE">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21.31</w:t>
                  </w:r>
                </w:p>
              </w:tc>
              <w:tc>
                <w:tcPr>
                  <w:tcW w:w="2366" w:type="dxa"/>
                  <w:vAlign w:val="center"/>
                </w:tcPr>
                <w:p w14:paraId="6974DA03">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收集后</w:t>
                  </w:r>
                  <w:r>
                    <w:rPr>
                      <w:rFonts w:hint="default" w:ascii="Times New Roman" w:hAnsi="Times New Roman" w:cs="Times New Roman"/>
                      <w:color w:val="auto"/>
                      <w:sz w:val="21"/>
                      <w:szCs w:val="21"/>
                    </w:rPr>
                    <w:t>经返回</w:t>
                  </w:r>
                  <w:r>
                    <w:rPr>
                      <w:rFonts w:hint="eastAsia" w:ascii="Times New Roman" w:hAnsi="Times New Roman" w:cs="Times New Roman"/>
                      <w:color w:val="auto"/>
                      <w:sz w:val="21"/>
                      <w:szCs w:val="21"/>
                      <w:lang w:val="en-US" w:eastAsia="zh-CN"/>
                    </w:rPr>
                    <w:t>原料车间</w:t>
                  </w:r>
                  <w:r>
                    <w:rPr>
                      <w:rFonts w:hint="default" w:ascii="Times New Roman" w:hAnsi="Times New Roman" w:cs="Times New Roman"/>
                      <w:color w:val="auto"/>
                      <w:sz w:val="21"/>
                      <w:szCs w:val="21"/>
                    </w:rPr>
                    <w:t>做原料使用</w:t>
                  </w:r>
                </w:p>
              </w:tc>
            </w:tr>
            <w:tr w14:paraId="31E82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459" w:type="dxa"/>
                  <w:vAlign w:val="center"/>
                </w:tcPr>
                <w:p w14:paraId="4D79F792">
                  <w:pPr>
                    <w:widowControl w:val="0"/>
                    <w:bidi w:val="0"/>
                    <w:spacing w:before="25" w:beforeLines="25" w:after="25" w:afterLines="25" w:line="240" w:lineRule="auto"/>
                    <w:ind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5</w:t>
                  </w:r>
                </w:p>
              </w:tc>
              <w:tc>
                <w:tcPr>
                  <w:tcW w:w="1486" w:type="dxa"/>
                  <w:vAlign w:val="center"/>
                </w:tcPr>
                <w:p w14:paraId="5CD888D6">
                  <w:pPr>
                    <w:widowControl w:val="0"/>
                    <w:bidi w:val="0"/>
                    <w:spacing w:before="25" w:beforeLines="25" w:after="25" w:afterLines="25" w:line="240" w:lineRule="auto"/>
                    <w:ind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产品检验</w:t>
                  </w:r>
                </w:p>
              </w:tc>
              <w:tc>
                <w:tcPr>
                  <w:tcW w:w="1140" w:type="dxa"/>
                  <w:vAlign w:val="center"/>
                </w:tcPr>
                <w:p w14:paraId="2E271BDA">
                  <w:pPr>
                    <w:widowControl w:val="0"/>
                    <w:bidi w:val="0"/>
                    <w:spacing w:before="25" w:beforeLines="25" w:after="25" w:afterLines="25" w:line="240" w:lineRule="auto"/>
                    <w:ind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次品</w:t>
                  </w:r>
                </w:p>
              </w:tc>
              <w:tc>
                <w:tcPr>
                  <w:tcW w:w="1170" w:type="dxa"/>
                  <w:vMerge w:val="continue"/>
                  <w:vAlign w:val="center"/>
                </w:tcPr>
                <w:p w14:paraId="275E575F">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1315" w:type="dxa"/>
                  <w:vAlign w:val="center"/>
                </w:tcPr>
                <w:p w14:paraId="2A7AE8B8">
                  <w:pPr>
                    <w:widowControl w:val="0"/>
                    <w:bidi w:val="0"/>
                    <w:spacing w:before="25" w:beforeLines="25" w:after="25" w:afterLines="25"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155</w:t>
                  </w:r>
                </w:p>
              </w:tc>
              <w:tc>
                <w:tcPr>
                  <w:tcW w:w="2366" w:type="dxa"/>
                  <w:vAlign w:val="center"/>
                </w:tcPr>
                <w:p w14:paraId="1507B60F">
                  <w:pPr>
                    <w:widowControl w:val="0"/>
                    <w:bidi w:val="0"/>
                    <w:spacing w:before="25" w:beforeLines="25" w:after="25" w:afterLines="25" w:line="240" w:lineRule="auto"/>
                    <w:ind w:firstLine="0" w:firstLineChars="0"/>
                    <w:jc w:val="center"/>
                    <w:rPr>
                      <w:rFonts w:hint="default" w:ascii="Times New Roman" w:hAnsi="Times New Roman" w:cs="Times New Roman"/>
                      <w:color w:val="auto"/>
                      <w:sz w:val="21"/>
                      <w:szCs w:val="21"/>
                      <w:lang w:eastAsia="zh-CN"/>
                    </w:rPr>
                  </w:pPr>
                  <w:r>
                    <w:rPr>
                      <w:rFonts w:hint="eastAsia" w:ascii="Times New Roman" w:hAnsi="Times New Roman" w:eastAsia="宋体" w:cs="Times New Roman"/>
                      <w:color w:val="auto"/>
                      <w:kern w:val="2"/>
                      <w:sz w:val="21"/>
                      <w:szCs w:val="21"/>
                      <w:lang w:val="en-US" w:eastAsia="zh-CN" w:bidi="ar-SA"/>
                    </w:rPr>
                    <w:t>收集洒水润湿后，</w:t>
                  </w:r>
                  <w:r>
                    <w:rPr>
                      <w:rFonts w:hint="eastAsia" w:cs="Times New Roman"/>
                      <w:color w:val="auto"/>
                      <w:kern w:val="2"/>
                      <w:sz w:val="21"/>
                      <w:szCs w:val="21"/>
                      <w:lang w:val="en-US" w:eastAsia="zh-CN" w:bidi="ar-SA"/>
                    </w:rPr>
                    <w:t>利用对辊机</w:t>
                  </w:r>
                  <w:r>
                    <w:rPr>
                      <w:rFonts w:hint="eastAsia" w:ascii="Times New Roman" w:hAnsi="Times New Roman" w:eastAsia="宋体" w:cs="Times New Roman"/>
                      <w:color w:val="auto"/>
                      <w:kern w:val="2"/>
                      <w:sz w:val="21"/>
                      <w:szCs w:val="21"/>
                      <w:lang w:val="en-US" w:eastAsia="zh-CN" w:bidi="ar-SA"/>
                    </w:rPr>
                    <w:t>破碎后作为原料使用</w:t>
                  </w:r>
                </w:p>
              </w:tc>
            </w:tr>
            <w:tr w14:paraId="356F3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459" w:type="dxa"/>
                  <w:vAlign w:val="center"/>
                </w:tcPr>
                <w:p w14:paraId="23C60EA8">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w:t>
                  </w:r>
                </w:p>
              </w:tc>
              <w:tc>
                <w:tcPr>
                  <w:tcW w:w="1486" w:type="dxa"/>
                  <w:vAlign w:val="center"/>
                </w:tcPr>
                <w:p w14:paraId="0C81D98F">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焙烧工序</w:t>
                  </w:r>
                </w:p>
              </w:tc>
              <w:tc>
                <w:tcPr>
                  <w:tcW w:w="1140" w:type="dxa"/>
                  <w:vAlign w:val="center"/>
                </w:tcPr>
                <w:p w14:paraId="3D63E1FE">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煤渣</w:t>
                  </w:r>
                </w:p>
              </w:tc>
              <w:tc>
                <w:tcPr>
                  <w:tcW w:w="1170" w:type="dxa"/>
                  <w:vMerge w:val="continue"/>
                  <w:vAlign w:val="center"/>
                </w:tcPr>
                <w:p w14:paraId="176F3065">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p>
              </w:tc>
              <w:tc>
                <w:tcPr>
                  <w:tcW w:w="1315" w:type="dxa"/>
                  <w:vAlign w:val="center"/>
                </w:tcPr>
                <w:p w14:paraId="66C32C5B">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85.83</w:t>
                  </w:r>
                </w:p>
              </w:tc>
              <w:tc>
                <w:tcPr>
                  <w:tcW w:w="2366" w:type="dxa"/>
                  <w:vAlign w:val="center"/>
                </w:tcPr>
                <w:p w14:paraId="6E965A16">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收集后</w:t>
                  </w:r>
                  <w:r>
                    <w:rPr>
                      <w:rFonts w:hint="default" w:ascii="Times New Roman" w:hAnsi="Times New Roman" w:cs="Times New Roman"/>
                      <w:color w:val="auto"/>
                      <w:sz w:val="21"/>
                      <w:szCs w:val="21"/>
                    </w:rPr>
                    <w:t>经返回</w:t>
                  </w:r>
                  <w:r>
                    <w:rPr>
                      <w:rFonts w:hint="eastAsia" w:ascii="Times New Roman" w:hAnsi="Times New Roman" w:cs="Times New Roman"/>
                      <w:color w:val="auto"/>
                      <w:sz w:val="21"/>
                      <w:szCs w:val="21"/>
                      <w:lang w:val="en-US" w:eastAsia="zh-CN"/>
                    </w:rPr>
                    <w:t>原料车间</w:t>
                  </w:r>
                  <w:r>
                    <w:rPr>
                      <w:rFonts w:hint="default" w:ascii="Times New Roman" w:hAnsi="Times New Roman" w:cs="Times New Roman"/>
                      <w:color w:val="auto"/>
                      <w:sz w:val="21"/>
                      <w:szCs w:val="21"/>
                    </w:rPr>
                    <w:t>做原料使用</w:t>
                  </w:r>
                </w:p>
              </w:tc>
            </w:tr>
            <w:tr w14:paraId="077A3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459" w:type="dxa"/>
                  <w:vAlign w:val="center"/>
                </w:tcPr>
                <w:p w14:paraId="2A5B58E6">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w:t>
                  </w:r>
                </w:p>
              </w:tc>
              <w:tc>
                <w:tcPr>
                  <w:tcW w:w="1486" w:type="dxa"/>
                  <w:vAlign w:val="center"/>
                </w:tcPr>
                <w:p w14:paraId="189307B0">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设备维护检修</w:t>
                  </w:r>
                </w:p>
              </w:tc>
              <w:tc>
                <w:tcPr>
                  <w:tcW w:w="1140" w:type="dxa"/>
                  <w:vAlign w:val="center"/>
                </w:tcPr>
                <w:p w14:paraId="5BB84ED6">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废润滑油</w:t>
                  </w:r>
                </w:p>
              </w:tc>
              <w:tc>
                <w:tcPr>
                  <w:tcW w:w="1170" w:type="dxa"/>
                  <w:vAlign w:val="center"/>
                </w:tcPr>
                <w:p w14:paraId="57F674F7">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危险废物</w:t>
                  </w:r>
                </w:p>
              </w:tc>
              <w:tc>
                <w:tcPr>
                  <w:tcW w:w="1315" w:type="dxa"/>
                  <w:vAlign w:val="center"/>
                </w:tcPr>
                <w:p w14:paraId="1128D6AA">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0.2</w:t>
                  </w:r>
                </w:p>
              </w:tc>
              <w:tc>
                <w:tcPr>
                  <w:tcW w:w="2366" w:type="dxa"/>
                  <w:vAlign w:val="center"/>
                </w:tcPr>
                <w:p w14:paraId="041DA46F">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废润滑油</w:t>
                  </w:r>
                  <w:r>
                    <w:rPr>
                      <w:rFonts w:hint="default" w:ascii="Times New Roman" w:hAnsi="Times New Roman" w:cs="Times New Roman"/>
                      <w:color w:val="auto"/>
                      <w:sz w:val="21"/>
                      <w:szCs w:val="21"/>
                    </w:rPr>
                    <w:t>由专用收集桶收集后暂存于</w:t>
                  </w:r>
                  <w:r>
                    <w:rPr>
                      <w:rFonts w:hint="eastAsia" w:cs="Times New Roman"/>
                      <w:color w:val="auto"/>
                      <w:sz w:val="21"/>
                      <w:szCs w:val="21"/>
                      <w:lang w:eastAsia="zh-CN"/>
                    </w:rPr>
                    <w:t>危废贮存库</w:t>
                  </w:r>
                  <w:r>
                    <w:rPr>
                      <w:rFonts w:hint="default" w:ascii="Times New Roman" w:hAnsi="Times New Roman" w:cs="Times New Roman"/>
                      <w:color w:val="auto"/>
                      <w:sz w:val="21"/>
                      <w:szCs w:val="21"/>
                    </w:rPr>
                    <w:t>内</w:t>
                  </w:r>
                  <w:r>
                    <w:rPr>
                      <w:rFonts w:hint="eastAsia" w:cs="Times New Roman"/>
                      <w:color w:val="auto"/>
                      <w:sz w:val="21"/>
                      <w:szCs w:val="21"/>
                      <w:lang w:eastAsia="zh-CN"/>
                    </w:rPr>
                    <w:t>，</w:t>
                  </w:r>
                  <w:r>
                    <w:rPr>
                      <w:rFonts w:hint="eastAsia" w:cs="Times New Roman"/>
                      <w:color w:val="auto"/>
                      <w:sz w:val="21"/>
                      <w:szCs w:val="21"/>
                      <w:lang w:val="en-US" w:eastAsia="zh-CN"/>
                    </w:rPr>
                    <w:t>委托有资质的单位清运处置。</w:t>
                  </w:r>
                </w:p>
              </w:tc>
            </w:tr>
            <w:tr w14:paraId="57299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459" w:type="dxa"/>
                  <w:vAlign w:val="center"/>
                </w:tcPr>
                <w:p w14:paraId="5CB9B69C">
                  <w:pPr>
                    <w:widowControl w:val="0"/>
                    <w:bidi w:val="0"/>
                    <w:spacing w:before="25" w:beforeLines="25" w:after="25" w:afterLines="25" w:line="240" w:lineRule="auto"/>
                    <w:ind w:firstLine="0" w:firstLineChars="0"/>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8</w:t>
                  </w:r>
                </w:p>
              </w:tc>
              <w:tc>
                <w:tcPr>
                  <w:tcW w:w="1486" w:type="dxa"/>
                  <w:vAlign w:val="center"/>
                </w:tcPr>
                <w:p w14:paraId="7AC67FEC">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生活垃圾</w:t>
                  </w:r>
                </w:p>
              </w:tc>
              <w:tc>
                <w:tcPr>
                  <w:tcW w:w="1140" w:type="dxa"/>
                  <w:vAlign w:val="center"/>
                </w:tcPr>
                <w:p w14:paraId="040D932B">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170" w:type="dxa"/>
                  <w:vAlign w:val="center"/>
                </w:tcPr>
                <w:p w14:paraId="2BCB6589">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315" w:type="dxa"/>
                  <w:vAlign w:val="center"/>
                </w:tcPr>
                <w:p w14:paraId="579D220E">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7.5</w:t>
                  </w:r>
                </w:p>
              </w:tc>
              <w:tc>
                <w:tcPr>
                  <w:tcW w:w="2366" w:type="dxa"/>
                  <w:vAlign w:val="center"/>
                </w:tcPr>
                <w:p w14:paraId="3B4C0AF4">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生活垃圾设置带盖垃圾桶收集，委托环卫部门</w:t>
                  </w:r>
                  <w:r>
                    <w:rPr>
                      <w:rFonts w:hint="default" w:ascii="Times New Roman" w:hAnsi="Times New Roman" w:cs="Times New Roman"/>
                      <w:color w:val="auto"/>
                      <w:sz w:val="21"/>
                      <w:szCs w:val="21"/>
                      <w:lang w:eastAsia="zh-CN"/>
                    </w:rPr>
                    <w:t>清运处置</w:t>
                  </w:r>
                </w:p>
              </w:tc>
            </w:tr>
          </w:tbl>
          <w:p w14:paraId="3C83CC60">
            <w:pPr>
              <w:keepNext w:val="0"/>
              <w:keepLines w:val="0"/>
              <w:pageBreakBefore w:val="0"/>
              <w:kinsoku/>
              <w:wordWrap/>
              <w:overflowPunct/>
              <w:topLinePunct w:val="0"/>
              <w:autoSpaceDE/>
              <w:autoSpaceDN/>
              <w:bidi w:val="0"/>
              <w:snapToGrid w:val="0"/>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r>
              <w:rPr>
                <w:rFonts w:hint="eastAsia" w:cs="Times New Roman"/>
                <w:color w:val="auto"/>
                <w:sz w:val="21"/>
                <w:szCs w:val="21"/>
                <w:lang w:val="en-US" w:eastAsia="zh-CN"/>
              </w:rPr>
              <w:t>新建</w:t>
            </w:r>
            <w:r>
              <w:rPr>
                <w:rFonts w:hint="default" w:ascii="Times New Roman" w:hAnsi="Times New Roman" w:eastAsia="宋体" w:cs="Times New Roman"/>
                <w:color w:val="auto"/>
                <w:sz w:val="21"/>
                <w:szCs w:val="21"/>
                <w:lang w:val="en-US" w:eastAsia="zh-CN"/>
              </w:rPr>
              <w:t>一间占地面积</w:t>
            </w:r>
            <w:r>
              <w:rPr>
                <w:rFonts w:hint="default" w:ascii="Times New Roman" w:hAnsi="Times New Roman" w:eastAsia="宋体" w:cs="Times New Roman"/>
                <w:color w:val="auto"/>
                <w:sz w:val="21"/>
                <w:szCs w:val="21"/>
              </w:rPr>
              <w:t>约</w:t>
            </w: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vertAlign w:val="baseline"/>
                <w:lang w:val="en-US" w:eastAsia="zh-CN"/>
              </w:rPr>
              <w:t>的</w:t>
            </w:r>
            <w:r>
              <w:rPr>
                <w:rFonts w:hint="eastAsia" w:cs="Times New Roman"/>
                <w:color w:val="auto"/>
                <w:sz w:val="21"/>
                <w:szCs w:val="21"/>
                <w:lang w:eastAsia="zh-CN"/>
              </w:rPr>
              <w:t>危废贮存库</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最大危险废物储存能力为</w:t>
            </w: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吨；项目危险废物最大产生量</w:t>
            </w:r>
            <w:r>
              <w:rPr>
                <w:rFonts w:hint="eastAsia" w:eastAsia="宋体" w:cs="Times New Roman"/>
                <w:color w:val="auto"/>
                <w:sz w:val="21"/>
                <w:szCs w:val="21"/>
                <w:lang w:val="en-US" w:eastAsia="zh-CN"/>
              </w:rPr>
              <w:t>0</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吨，</w:t>
            </w:r>
            <w:r>
              <w:rPr>
                <w:rFonts w:hint="eastAsia" w:cs="Times New Roman"/>
                <w:color w:val="auto"/>
                <w:sz w:val="21"/>
                <w:szCs w:val="21"/>
                <w:lang w:val="en-US" w:eastAsia="zh-CN"/>
              </w:rPr>
              <w:t>危废贮存库</w:t>
            </w:r>
            <w:r>
              <w:rPr>
                <w:rFonts w:hint="default" w:ascii="Times New Roman" w:hAnsi="Times New Roman" w:eastAsia="宋体" w:cs="Times New Roman"/>
                <w:color w:val="auto"/>
                <w:sz w:val="21"/>
                <w:szCs w:val="21"/>
                <w:lang w:val="en-US" w:eastAsia="zh-CN"/>
              </w:rPr>
              <w:t>可完全容纳</w:t>
            </w:r>
            <w:r>
              <w:rPr>
                <w:rFonts w:hint="eastAsia" w:eastAsia="宋体" w:cs="Times New Roman"/>
                <w:color w:val="auto"/>
                <w:sz w:val="21"/>
                <w:szCs w:val="21"/>
                <w:lang w:val="en-US" w:eastAsia="zh-CN"/>
              </w:rPr>
              <w:t>全厂的危险废物暂存，转运</w:t>
            </w:r>
            <w:r>
              <w:rPr>
                <w:rFonts w:hint="eastAsia" w:ascii="Times New Roman" w:hAnsi="Times New Roman" w:eastAsia="宋体" w:cs="Times New Roman"/>
                <w:color w:val="auto"/>
                <w:sz w:val="21"/>
                <w:szCs w:val="21"/>
                <w:lang w:val="en-US" w:eastAsia="zh-CN"/>
              </w:rPr>
              <w:t>频次为</w:t>
            </w:r>
            <w:r>
              <w:rPr>
                <w:rFonts w:hint="eastAsia" w:eastAsia="宋体" w:cs="Times New Roman"/>
                <w:color w:val="auto"/>
                <w:sz w:val="21"/>
                <w:szCs w:val="21"/>
                <w:lang w:val="en-US" w:eastAsia="zh-CN"/>
              </w:rPr>
              <w:t>每年至少转运一次</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项目产生的所有危险废物</w:t>
            </w:r>
            <w:r>
              <w:rPr>
                <w:rFonts w:hint="default" w:ascii="Times New Roman" w:hAnsi="Times New Roman" w:eastAsia="宋体" w:cs="Times New Roman"/>
                <w:color w:val="auto"/>
                <w:sz w:val="21"/>
                <w:szCs w:val="21"/>
                <w:lang w:val="en-US" w:eastAsia="zh-CN"/>
              </w:rPr>
              <w:t>均</w:t>
            </w:r>
            <w:r>
              <w:rPr>
                <w:rFonts w:hint="default" w:ascii="Times New Roman" w:hAnsi="Times New Roman" w:eastAsia="宋体" w:cs="Times New Roman"/>
                <w:color w:val="auto"/>
                <w:sz w:val="21"/>
                <w:szCs w:val="21"/>
              </w:rPr>
              <w:t>分类收集，暂存于</w:t>
            </w:r>
            <w:r>
              <w:rPr>
                <w:rFonts w:hint="eastAsia" w:cs="Times New Roman"/>
                <w:color w:val="auto"/>
                <w:sz w:val="21"/>
                <w:szCs w:val="21"/>
                <w:lang w:eastAsia="zh-CN"/>
              </w:rPr>
              <w:t>危废贮存库</w:t>
            </w:r>
            <w:r>
              <w:rPr>
                <w:rFonts w:hint="default" w:ascii="Times New Roman" w:hAnsi="Times New Roman" w:eastAsia="宋体" w:cs="Times New Roman"/>
                <w:color w:val="auto"/>
                <w:sz w:val="21"/>
                <w:szCs w:val="21"/>
              </w:rPr>
              <w:t>，委托</w:t>
            </w:r>
            <w:r>
              <w:rPr>
                <w:rFonts w:hint="default" w:ascii="Times New Roman" w:hAnsi="Times New Roman" w:eastAsia="宋体" w:cs="Times New Roman"/>
                <w:color w:val="auto"/>
                <w:sz w:val="21"/>
                <w:szCs w:val="21"/>
                <w:lang w:val="en-US" w:eastAsia="zh-CN"/>
              </w:rPr>
              <w:t>有资质的单位定期</w:t>
            </w:r>
            <w:r>
              <w:rPr>
                <w:rFonts w:hint="default" w:ascii="Times New Roman" w:hAnsi="Times New Roman" w:eastAsia="宋体" w:cs="Times New Roman"/>
                <w:color w:val="auto"/>
                <w:sz w:val="21"/>
                <w:szCs w:val="21"/>
              </w:rPr>
              <w:t>清运处置。</w:t>
            </w:r>
          </w:p>
          <w:p w14:paraId="2F0DDD03">
            <w:pPr>
              <w:widowControl w:val="0"/>
              <w:bidi w:val="0"/>
              <w:spacing w:line="360" w:lineRule="auto"/>
              <w:ind w:firstLine="0" w:firstLineChars="0"/>
              <w:jc w:val="both"/>
              <w:rPr>
                <w:rFonts w:ascii="Times New Roman" w:hAnsi="Times New Roman" w:eastAsia="宋体" w:cs="Times New Roman"/>
                <w:b/>
                <w:color w:val="auto"/>
                <w:kern w:val="2"/>
                <w:sz w:val="21"/>
                <w:szCs w:val="21"/>
                <w:lang w:val="en-US" w:eastAsia="zh-CN" w:bidi="ar-SA"/>
              </w:rPr>
            </w:pPr>
            <w:r>
              <w:rPr>
                <w:rFonts w:hint="eastAsia" w:ascii="Times New Roman" w:hAnsi="Times New Roman" w:eastAsia="宋体" w:cs="Times New Roman"/>
                <w:b/>
                <w:color w:val="auto"/>
                <w:kern w:val="2"/>
                <w:sz w:val="21"/>
                <w:szCs w:val="21"/>
                <w:lang w:val="en-US" w:eastAsia="zh-CN" w:bidi="ar-SA"/>
              </w:rPr>
              <w:t>4.5.3 固体废物环境管理要求</w:t>
            </w:r>
          </w:p>
          <w:p w14:paraId="27542CCA">
            <w:pPr>
              <w:keepNext w:val="0"/>
              <w:keepLines w:val="0"/>
              <w:pageBreakBefore w:val="0"/>
              <w:kinsoku/>
              <w:wordWrap/>
              <w:overflowPunct/>
              <w:topLinePunct w:val="0"/>
              <w:autoSpaceDE/>
              <w:autoSpaceDN/>
              <w:bidi w:val="0"/>
              <w:adjustRightInd/>
              <w:snapToGrid w:val="0"/>
              <w:spacing w:line="360" w:lineRule="auto"/>
              <w:ind w:firstLine="480"/>
              <w:textAlignment w:val="auto"/>
              <w:rPr>
                <w:rFonts w:hint="default" w:ascii="Times New Roman" w:hAnsi="Times New Roman" w:cs="Times New Roman"/>
                <w:color w:val="auto"/>
                <w:sz w:val="21"/>
                <w:szCs w:val="21"/>
              </w:rPr>
            </w:pPr>
            <w:r>
              <w:rPr>
                <w:rFonts w:hint="default" w:ascii="Times New Roman" w:hAnsi="Times New Roman" w:eastAsia="宋体" w:cs="Times New Roman"/>
                <w:b/>
                <w:bCs/>
                <w:color w:val="auto"/>
                <w:kern w:val="2"/>
                <w:sz w:val="21"/>
                <w:szCs w:val="21"/>
                <w:highlight w:val="none"/>
                <w:lang w:val="en-US" w:eastAsia="zh-CN" w:bidi="ar-SA"/>
              </w:rPr>
              <w:t>（</w:t>
            </w:r>
            <w:r>
              <w:rPr>
                <w:rFonts w:hint="default" w:ascii="Times New Roman" w:hAnsi="Times New Roman" w:cs="Times New Roman"/>
                <w:b/>
                <w:bCs/>
                <w:color w:val="auto"/>
                <w:kern w:val="2"/>
                <w:sz w:val="21"/>
                <w:szCs w:val="21"/>
                <w:highlight w:val="none"/>
                <w:lang w:val="en-US" w:eastAsia="zh-CN" w:bidi="ar-SA"/>
              </w:rPr>
              <w:t>1</w:t>
            </w:r>
            <w:r>
              <w:rPr>
                <w:rFonts w:hint="default" w:ascii="Times New Roman" w:hAnsi="Times New Roman" w:eastAsia="宋体" w:cs="Times New Roman"/>
                <w:b/>
                <w:bCs/>
                <w:color w:val="auto"/>
                <w:kern w:val="2"/>
                <w:sz w:val="21"/>
                <w:szCs w:val="21"/>
                <w:highlight w:val="none"/>
                <w:lang w:val="en-US" w:eastAsia="zh-CN" w:bidi="ar-SA"/>
              </w:rPr>
              <w:t>）</w:t>
            </w:r>
            <w:r>
              <w:rPr>
                <w:rFonts w:hint="default" w:ascii="Times New Roman" w:hAnsi="Times New Roman" w:cs="Times New Roman"/>
                <w:b/>
                <w:bCs/>
                <w:color w:val="auto"/>
                <w:sz w:val="21"/>
                <w:szCs w:val="21"/>
                <w:highlight w:val="none"/>
                <w:lang w:val="en-US" w:eastAsia="zh-CN"/>
              </w:rPr>
              <w:t>一般工业固废暂存区</w:t>
            </w:r>
          </w:p>
          <w:p w14:paraId="489C76C5">
            <w:pPr>
              <w:keepNext w:val="0"/>
              <w:keepLines w:val="0"/>
              <w:pageBreakBefore w:val="0"/>
              <w:kinsoku/>
              <w:wordWrap/>
              <w:overflowPunct/>
              <w:topLinePunct w:val="0"/>
              <w:autoSpaceDE/>
              <w:autoSpaceDN/>
              <w:bidi w:val="0"/>
              <w:adjustRightInd/>
              <w:snapToGrid w:val="0"/>
              <w:spacing w:line="360" w:lineRule="auto"/>
              <w:ind w:firstLine="48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lang w:val="en-US" w:eastAsia="zh-CN"/>
              </w:rPr>
              <w:t>本项目</w:t>
            </w:r>
            <w:r>
              <w:rPr>
                <w:rFonts w:hint="eastAsia" w:cs="Times New Roman"/>
                <w:color w:val="auto"/>
                <w:sz w:val="21"/>
                <w:szCs w:val="21"/>
                <w:highlight w:val="none"/>
                <w:lang w:val="en-US" w:eastAsia="zh-CN"/>
              </w:rPr>
              <w:t>产生的一般固体废弃物暂存于原料车间</w:t>
            </w:r>
            <w:r>
              <w:rPr>
                <w:rFonts w:hint="default" w:ascii="Times New Roman" w:hAnsi="Times New Roman" w:cs="Times New Roman"/>
                <w:color w:val="auto"/>
                <w:sz w:val="21"/>
                <w:szCs w:val="21"/>
                <w:highlight w:val="none"/>
                <w:lang w:val="en-US" w:eastAsia="zh-CN"/>
              </w:rPr>
              <w:t>，位于彩钢瓦封闭车间内，其地面进行水泥硬化，满足</w:t>
            </w:r>
            <w:r>
              <w:rPr>
                <w:rFonts w:hint="default" w:ascii="Times New Roman" w:hAnsi="Times New Roman" w:cs="Times New Roman"/>
                <w:color w:val="auto"/>
                <w:sz w:val="21"/>
                <w:szCs w:val="21"/>
                <w:highlight w:val="none"/>
              </w:rPr>
              <w:t>《一般工业固体废物贮存和填埋污染控制标准》（GB 18599-2020）中的要求，做到防风、防晒、防渗措施，并</w:t>
            </w:r>
            <w:r>
              <w:rPr>
                <w:rFonts w:hint="default" w:ascii="Times New Roman" w:hAnsi="Times New Roman" w:cs="Times New Roman"/>
                <w:color w:val="auto"/>
                <w:sz w:val="21"/>
                <w:szCs w:val="21"/>
                <w:highlight w:val="none"/>
                <w:lang w:val="en-US" w:eastAsia="zh-CN"/>
              </w:rPr>
              <w:t>严格按规范设置</w:t>
            </w:r>
            <w:r>
              <w:rPr>
                <w:rFonts w:hint="default" w:ascii="Times New Roman" w:hAnsi="Times New Roman" w:cs="Times New Roman"/>
                <w:color w:val="auto"/>
                <w:sz w:val="21"/>
                <w:szCs w:val="21"/>
                <w:highlight w:val="none"/>
              </w:rPr>
              <w:t>一般固体废物</w:t>
            </w:r>
            <w:r>
              <w:rPr>
                <w:rFonts w:hint="default" w:ascii="Times New Roman" w:hAnsi="Times New Roman" w:cs="Times New Roman"/>
                <w:color w:val="auto"/>
                <w:sz w:val="21"/>
                <w:szCs w:val="21"/>
                <w:highlight w:val="none"/>
                <w:lang w:val="en-US" w:eastAsia="zh-CN"/>
              </w:rPr>
              <w:t>标识牌</w:t>
            </w:r>
            <w:r>
              <w:rPr>
                <w:rFonts w:hint="default" w:ascii="Times New Roman" w:hAnsi="Times New Roman" w:cs="Times New Roman"/>
                <w:color w:val="auto"/>
                <w:sz w:val="21"/>
                <w:szCs w:val="21"/>
                <w:highlight w:val="none"/>
              </w:rPr>
              <w:t>。</w:t>
            </w:r>
          </w:p>
          <w:p w14:paraId="7F633AE6">
            <w:pPr>
              <w:keepNext w:val="0"/>
              <w:keepLines w:val="0"/>
              <w:pageBreakBefore w:val="0"/>
              <w:numPr>
                <w:ilvl w:val="0"/>
                <w:numId w:val="0"/>
              </w:numPr>
              <w:kinsoku/>
              <w:wordWrap/>
              <w:overflowPunct/>
              <w:topLinePunct w:val="0"/>
              <w:autoSpaceDE/>
              <w:autoSpaceDN/>
              <w:bidi w:val="0"/>
              <w:adjustRightInd/>
              <w:snapToGrid w:val="0"/>
              <w:spacing w:line="360" w:lineRule="auto"/>
              <w:ind w:firstLine="422" w:firstLineChars="200"/>
              <w:jc w:val="both"/>
              <w:textAlignment w:val="auto"/>
              <w:rPr>
                <w:rFonts w:hint="default" w:ascii="Times New Roman" w:hAnsi="Times New Roman" w:cs="Times New Roman"/>
                <w:b/>
                <w:bCs/>
                <w:color w:val="auto"/>
                <w:sz w:val="21"/>
                <w:szCs w:val="21"/>
                <w:highlight w:val="none"/>
              </w:rPr>
            </w:pPr>
            <w:r>
              <w:rPr>
                <w:rFonts w:hint="default" w:ascii="Times New Roman" w:hAnsi="Times New Roman" w:eastAsia="宋体" w:cs="Times New Roman"/>
                <w:b/>
                <w:bCs/>
                <w:color w:val="auto"/>
                <w:kern w:val="2"/>
                <w:sz w:val="21"/>
                <w:szCs w:val="21"/>
                <w:highlight w:val="none"/>
                <w:lang w:val="en-US" w:eastAsia="zh-CN" w:bidi="ar-SA"/>
              </w:rPr>
              <w:t>（</w:t>
            </w:r>
            <w:r>
              <w:rPr>
                <w:rFonts w:hint="default" w:ascii="Times New Roman" w:hAnsi="Times New Roman" w:cs="Times New Roman"/>
                <w:b/>
                <w:bCs/>
                <w:color w:val="auto"/>
                <w:kern w:val="2"/>
                <w:sz w:val="21"/>
                <w:szCs w:val="21"/>
                <w:highlight w:val="none"/>
                <w:lang w:val="en-US" w:eastAsia="zh-CN" w:bidi="ar-SA"/>
              </w:rPr>
              <w:t>2</w:t>
            </w:r>
            <w:r>
              <w:rPr>
                <w:rFonts w:hint="default" w:ascii="Times New Roman" w:hAnsi="Times New Roman" w:eastAsia="宋体" w:cs="Times New Roman"/>
                <w:b/>
                <w:bCs/>
                <w:color w:val="auto"/>
                <w:kern w:val="2"/>
                <w:sz w:val="21"/>
                <w:szCs w:val="21"/>
                <w:highlight w:val="none"/>
                <w:lang w:val="en-US" w:eastAsia="zh-CN" w:bidi="ar-SA"/>
              </w:rPr>
              <w:t>）</w:t>
            </w:r>
            <w:r>
              <w:rPr>
                <w:rFonts w:hint="eastAsia" w:cs="Times New Roman"/>
                <w:b/>
                <w:bCs/>
                <w:color w:val="auto"/>
                <w:sz w:val="21"/>
                <w:szCs w:val="21"/>
                <w:highlight w:val="none"/>
                <w:lang w:val="en-US" w:eastAsia="zh-CN"/>
              </w:rPr>
              <w:t>危废贮存库</w:t>
            </w:r>
          </w:p>
          <w:p w14:paraId="444F2FE9">
            <w:pPr>
              <w:keepNext w:val="0"/>
              <w:keepLines w:val="0"/>
              <w:pageBreakBefore w:val="0"/>
              <w:widowControl/>
              <w:suppressLineNumbers w:val="0"/>
              <w:kinsoku/>
              <w:wordWrap/>
              <w:overflowPunct/>
              <w:topLinePunct w:val="0"/>
              <w:autoSpaceDE/>
              <w:autoSpaceDN/>
              <w:bidi w:val="0"/>
              <w:adjustRightInd/>
              <w:snapToGrid w:val="0"/>
              <w:spacing w:line="36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本环评</w:t>
            </w:r>
            <w:r>
              <w:rPr>
                <w:rFonts w:hint="eastAsia" w:cs="Times New Roman"/>
                <w:color w:val="auto"/>
                <w:sz w:val="21"/>
                <w:szCs w:val="21"/>
                <w:lang w:val="en-US" w:eastAsia="zh-CN"/>
              </w:rPr>
              <w:t>新建</w:t>
            </w:r>
            <w:r>
              <w:rPr>
                <w:rFonts w:hint="default" w:ascii="Times New Roman" w:hAnsi="Times New Roman" w:cs="Times New Roman"/>
                <w:color w:val="auto"/>
                <w:sz w:val="21"/>
                <w:szCs w:val="21"/>
                <w:lang w:val="en-US" w:eastAsia="zh-CN"/>
              </w:rPr>
              <w:t>一间</w:t>
            </w:r>
            <w:r>
              <w:rPr>
                <w:rFonts w:hint="eastAsia"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的</w:t>
            </w:r>
            <w:r>
              <w:rPr>
                <w:rFonts w:hint="default" w:ascii="Times New Roman" w:hAnsi="Times New Roman" w:cs="Times New Roman"/>
                <w:color w:val="auto"/>
                <w:sz w:val="21"/>
                <w:szCs w:val="21"/>
                <w:vertAlign w:val="baseline"/>
                <w:lang w:val="en-US" w:eastAsia="zh-CN"/>
              </w:rPr>
              <w:t>危险废物暂存间，危险废物暂存间最大暂存量为</w:t>
            </w:r>
            <w:r>
              <w:rPr>
                <w:rFonts w:hint="eastAsia" w:ascii="Times New Roman" w:hAnsi="Times New Roman" w:cs="Times New Roman"/>
                <w:color w:val="auto"/>
                <w:sz w:val="21"/>
                <w:szCs w:val="21"/>
                <w:vertAlign w:val="baseline"/>
                <w:lang w:val="en-US" w:eastAsia="zh-CN"/>
              </w:rPr>
              <w:t>5</w:t>
            </w:r>
            <w:r>
              <w:rPr>
                <w:rFonts w:hint="default" w:ascii="Times New Roman" w:hAnsi="Times New Roman" w:cs="Times New Roman"/>
                <w:color w:val="auto"/>
                <w:sz w:val="21"/>
                <w:szCs w:val="21"/>
                <w:vertAlign w:val="baseline"/>
                <w:lang w:val="en-US" w:eastAsia="zh-CN"/>
              </w:rPr>
              <w:t>t，项目</w:t>
            </w:r>
            <w:r>
              <w:rPr>
                <w:rFonts w:hint="eastAsia" w:cs="Times New Roman"/>
                <w:color w:val="auto"/>
                <w:sz w:val="21"/>
                <w:szCs w:val="21"/>
                <w:vertAlign w:val="baseline"/>
                <w:lang w:val="en-US" w:eastAsia="zh-CN"/>
              </w:rPr>
              <w:t>危废贮存库</w:t>
            </w:r>
            <w:r>
              <w:rPr>
                <w:rFonts w:hint="default" w:ascii="Times New Roman" w:hAnsi="Times New Roman" w:cs="Times New Roman"/>
                <w:color w:val="auto"/>
                <w:sz w:val="21"/>
                <w:szCs w:val="21"/>
                <w:vertAlign w:val="baseline"/>
                <w:lang w:val="en-US" w:eastAsia="zh-CN"/>
              </w:rPr>
              <w:t>最大暂存量为0.2t，可完全满足本项目</w:t>
            </w:r>
            <w:r>
              <w:rPr>
                <w:rFonts w:hint="eastAsia" w:cs="Times New Roman"/>
                <w:color w:val="auto"/>
                <w:sz w:val="21"/>
                <w:szCs w:val="21"/>
                <w:vertAlign w:val="baseline"/>
                <w:lang w:val="en-US" w:eastAsia="zh-CN"/>
              </w:rPr>
              <w:t>危险废物暂存</w:t>
            </w:r>
            <w:r>
              <w:rPr>
                <w:rFonts w:hint="default" w:ascii="Times New Roman" w:hAnsi="Times New Roman" w:cs="Times New Roman"/>
                <w:color w:val="auto"/>
                <w:sz w:val="21"/>
                <w:szCs w:val="21"/>
                <w:vertAlign w:val="baseline"/>
                <w:lang w:val="en-US" w:eastAsia="zh-CN"/>
              </w:rPr>
              <w:t>需求</w:t>
            </w:r>
            <w:r>
              <w:rPr>
                <w:rFonts w:hint="default" w:ascii="Times New Roman" w:hAnsi="Times New Roman" w:eastAsia="宋体" w:cs="Times New Roman"/>
                <w:color w:val="auto"/>
                <w:sz w:val="21"/>
                <w:szCs w:val="21"/>
                <w:lang w:val="en-US" w:eastAsia="zh-CN"/>
              </w:rPr>
              <w:t>。</w:t>
            </w:r>
          </w:p>
          <w:p w14:paraId="178EA870">
            <w:pPr>
              <w:keepNext w:val="0"/>
              <w:keepLines w:val="0"/>
              <w:pageBreakBefore w:val="0"/>
              <w:widowControl/>
              <w:suppressLineNumbers w:val="0"/>
              <w:kinsoku/>
              <w:wordWrap/>
              <w:overflowPunct/>
              <w:topLinePunct w:val="0"/>
              <w:autoSpaceDE/>
              <w:autoSpaceDN/>
              <w:bidi w:val="0"/>
              <w:adjustRightInd/>
              <w:snapToGrid w:val="0"/>
              <w:spacing w:line="36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危废贮存库</w:t>
            </w:r>
            <w:r>
              <w:rPr>
                <w:rFonts w:hint="default" w:ascii="Times New Roman" w:hAnsi="Times New Roman" w:cs="Times New Roman"/>
                <w:color w:val="auto"/>
                <w:sz w:val="21"/>
                <w:szCs w:val="21"/>
                <w:lang w:val="en-US" w:eastAsia="zh-CN"/>
              </w:rPr>
              <w:t>的建设需要根据</w:t>
            </w:r>
            <w:r>
              <w:rPr>
                <w:rFonts w:hint="default" w:ascii="Times New Roman" w:hAnsi="Times New Roman" w:eastAsia="宋体" w:cs="Times New Roman"/>
                <w:color w:val="auto"/>
                <w:sz w:val="21"/>
                <w:szCs w:val="21"/>
                <w:lang w:eastAsia="zh-CN"/>
              </w:rPr>
              <w:t>《危险废物贮存污染控制标准》（GB18597-2023），</w:t>
            </w:r>
            <w:r>
              <w:rPr>
                <w:rFonts w:hint="default" w:ascii="Times New Roman" w:hAnsi="Times New Roman" w:eastAsia="宋体" w:cs="Times New Roman"/>
                <w:color w:val="auto"/>
                <w:sz w:val="21"/>
                <w:szCs w:val="21"/>
                <w:lang w:val="en-US" w:eastAsia="zh-CN"/>
              </w:rPr>
              <w:t>为重点防渗区，</w:t>
            </w:r>
            <w:r>
              <w:rPr>
                <w:rFonts w:hint="default" w:ascii="Times New Roman" w:hAnsi="Times New Roman" w:eastAsia="宋体" w:cs="Times New Roman"/>
                <w:b w:val="0"/>
                <w:bCs w:val="0"/>
                <w:color w:val="auto"/>
                <w:sz w:val="21"/>
                <w:szCs w:val="21"/>
                <w:highlight w:val="none"/>
                <w:lang w:val="en-US" w:eastAsia="zh-CN"/>
              </w:rPr>
              <w:t>在混凝土场地防渗基础上，再铺设一层</w:t>
            </w:r>
            <w:r>
              <w:rPr>
                <w:rFonts w:hint="eastAsia" w:cs="Times New Roman"/>
                <w:b w:val="0"/>
                <w:bCs w:val="0"/>
                <w:color w:val="auto"/>
                <w:sz w:val="21"/>
                <w:szCs w:val="21"/>
                <w:highlight w:val="none"/>
                <w:lang w:val="en-US" w:eastAsia="zh-CN"/>
              </w:rPr>
              <w:t>人工防渗层</w:t>
            </w:r>
            <w:r>
              <w:rPr>
                <w:rFonts w:hint="default" w:ascii="Times New Roman" w:hAnsi="Times New Roman" w:eastAsia="宋体" w:cs="Times New Roman"/>
                <w:b w:val="0"/>
                <w:bCs w:val="0"/>
                <w:color w:val="auto"/>
                <w:sz w:val="21"/>
                <w:szCs w:val="21"/>
                <w:highlight w:val="none"/>
                <w:lang w:val="en-US" w:eastAsia="zh-CN"/>
              </w:rPr>
              <w:t>，确保重点防渗区地面防渗能力相当于6.0m厚黏土层、渗透系数≤10</w:t>
            </w:r>
            <w:r>
              <w:rPr>
                <w:rFonts w:hint="default" w:ascii="Times New Roman" w:hAnsi="Times New Roman" w:eastAsia="宋体" w:cs="Times New Roman"/>
                <w:b w:val="0"/>
                <w:bCs w:val="0"/>
                <w:color w:val="auto"/>
                <w:sz w:val="21"/>
                <w:szCs w:val="21"/>
                <w:highlight w:val="none"/>
                <w:vertAlign w:val="superscript"/>
                <w:lang w:val="en-US" w:eastAsia="zh-CN"/>
              </w:rPr>
              <w:t>-10</w:t>
            </w:r>
            <w:r>
              <w:rPr>
                <w:rFonts w:hint="default" w:ascii="Times New Roman" w:hAnsi="Times New Roman" w:eastAsia="宋体" w:cs="Times New Roman"/>
                <w:b w:val="0"/>
                <w:bCs w:val="0"/>
                <w:color w:val="auto"/>
                <w:sz w:val="21"/>
                <w:szCs w:val="21"/>
                <w:highlight w:val="none"/>
                <w:lang w:val="en-US" w:eastAsia="zh-CN"/>
              </w:rPr>
              <w:t>cm/s的防渗能力</w:t>
            </w:r>
            <w:r>
              <w:rPr>
                <w:rFonts w:hint="default" w:ascii="Times New Roman" w:hAnsi="Times New Roman" w:cs="Times New Roman"/>
                <w:b w:val="0"/>
                <w:bCs w:val="0"/>
                <w:color w:val="auto"/>
                <w:sz w:val="21"/>
                <w:szCs w:val="21"/>
                <w:highlight w:val="none"/>
                <w:lang w:val="en-US" w:eastAsia="zh-CN"/>
              </w:rPr>
              <w:t>。</w:t>
            </w:r>
            <w:r>
              <w:rPr>
                <w:rFonts w:hint="eastAsia" w:cs="Times New Roman"/>
                <w:b w:val="0"/>
                <w:bCs w:val="0"/>
                <w:color w:val="auto"/>
                <w:sz w:val="21"/>
                <w:szCs w:val="21"/>
                <w:highlight w:val="none"/>
                <w:lang w:val="en-US" w:eastAsia="zh-CN"/>
              </w:rPr>
              <w:t>危废贮存库</w:t>
            </w:r>
            <w:r>
              <w:rPr>
                <w:rFonts w:hint="default" w:ascii="Times New Roman" w:hAnsi="Times New Roman" w:cs="Times New Roman"/>
                <w:b w:val="0"/>
                <w:bCs w:val="0"/>
                <w:color w:val="auto"/>
                <w:sz w:val="21"/>
                <w:szCs w:val="21"/>
                <w:highlight w:val="none"/>
                <w:lang w:val="en-US" w:eastAsia="zh-CN"/>
              </w:rPr>
              <w:t>标识牌参照</w:t>
            </w:r>
            <w:r>
              <w:rPr>
                <w:rFonts w:hint="eastAsia" w:cs="Times New Roman"/>
                <w:color w:val="auto"/>
                <w:sz w:val="21"/>
                <w:szCs w:val="21"/>
                <w:lang w:val="en-US" w:eastAsia="zh-CN"/>
              </w:rPr>
              <w:t>危废贮存库</w:t>
            </w:r>
            <w:r>
              <w:rPr>
                <w:rFonts w:hint="default" w:ascii="Times New Roman" w:hAnsi="Times New Roman" w:cs="Times New Roman"/>
                <w:color w:val="auto"/>
                <w:sz w:val="21"/>
                <w:szCs w:val="21"/>
                <w:lang w:val="en-US" w:eastAsia="zh-CN"/>
              </w:rPr>
              <w:t>标识牌执行</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危险废物识别标志设置技术规范</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（HJ1276-2022）执行，并永久悬挂标识牌。</w:t>
            </w:r>
          </w:p>
          <w:p w14:paraId="2DD7CE1A">
            <w:pPr>
              <w:pStyle w:val="40"/>
              <w:keepNext w:val="0"/>
              <w:keepLines w:val="0"/>
              <w:pageBreakBefore w:val="0"/>
              <w:kinsoku/>
              <w:wordWrap/>
              <w:overflowPunct/>
              <w:topLinePunct w:val="0"/>
              <w:autoSpaceDE/>
              <w:autoSpaceDN/>
              <w:bidi w:val="0"/>
              <w:snapToGrid w:val="0"/>
              <w:ind w:firstLine="422"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3</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危险废物的收集控制措施</w:t>
            </w:r>
          </w:p>
          <w:p w14:paraId="389551E7">
            <w:pPr>
              <w:pStyle w:val="38"/>
              <w:keepNext w:val="0"/>
              <w:keepLines w:val="0"/>
              <w:pageBreakBefore w:val="0"/>
              <w:kinsoku/>
              <w:wordWrap/>
              <w:overflowPunct/>
              <w:topLinePunct w:val="0"/>
              <w:autoSpaceDE/>
              <w:autoSpaceDN/>
              <w:bidi w:val="0"/>
              <w:snapToGrid w:val="0"/>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危险废物收集时根据危险废物的种类、数量、危险特性、物理形态、运输要求等因素确定包装形式，具体包装应符合如下要求：</w:t>
            </w:r>
          </w:p>
          <w:p w14:paraId="20AE5001">
            <w:pPr>
              <w:pStyle w:val="38"/>
              <w:keepNext w:val="0"/>
              <w:keepLines w:val="0"/>
              <w:pageBreakBefore w:val="0"/>
              <w:kinsoku/>
              <w:wordWrap/>
              <w:overflowPunct/>
              <w:topLinePunct w:val="0"/>
              <w:autoSpaceDE/>
              <w:autoSpaceDN/>
              <w:bidi w:val="0"/>
              <w:snapToGrid w:val="0"/>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包装材质要与危险废物相容，盛装废</w:t>
            </w:r>
            <w:r>
              <w:rPr>
                <w:rFonts w:hint="default" w:ascii="Times New Roman" w:hAnsi="Times New Roman" w:cs="Times New Roman"/>
                <w:color w:val="auto"/>
                <w:sz w:val="21"/>
                <w:szCs w:val="21"/>
                <w:lang w:val="en-US" w:eastAsia="zh-CN"/>
              </w:rPr>
              <w:t>矿物油</w:t>
            </w:r>
            <w:r>
              <w:rPr>
                <w:rFonts w:hint="default" w:ascii="Times New Roman" w:hAnsi="Times New Roman" w:cs="Times New Roman"/>
                <w:color w:val="auto"/>
                <w:sz w:val="21"/>
                <w:szCs w:val="21"/>
              </w:rPr>
              <w:t>的容器应是专用收集容器，不得使用敞口容器存放废液；容器上应有清晰的标签，</w:t>
            </w:r>
            <w:r>
              <w:rPr>
                <w:rFonts w:hint="default" w:ascii="Times New Roman" w:hAnsi="Times New Roman" w:cs="Times New Roman"/>
                <w:color w:val="auto"/>
                <w:sz w:val="21"/>
                <w:szCs w:val="21"/>
                <w:lang w:eastAsia="zh-CN"/>
              </w:rPr>
              <w:t>桶</w:t>
            </w:r>
            <w:r>
              <w:rPr>
                <w:rFonts w:hint="default" w:ascii="Times New Roman" w:hAnsi="Times New Roman" w:cs="Times New Roman"/>
                <w:color w:val="auto"/>
                <w:sz w:val="21"/>
                <w:szCs w:val="21"/>
              </w:rPr>
              <w:t>口密封；容器不得渗漏，若出现密封不严或破损必须改用包装后送去处理。</w:t>
            </w:r>
          </w:p>
          <w:p w14:paraId="39FD0E42">
            <w:pPr>
              <w:pStyle w:val="38"/>
              <w:keepNext w:val="0"/>
              <w:keepLines w:val="0"/>
              <w:pageBreakBefore w:val="0"/>
              <w:kinsoku/>
              <w:wordWrap/>
              <w:overflowPunct/>
              <w:topLinePunct w:val="0"/>
              <w:autoSpaceDE/>
              <w:autoSpaceDN/>
              <w:bidi w:val="0"/>
              <w:snapToGrid w:val="0"/>
              <w:ind w:firstLine="420" w:firstLineChars="20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危废分为</w:t>
            </w:r>
            <w:r>
              <w:rPr>
                <w:rFonts w:hint="default" w:ascii="Times New Roman" w:hAnsi="Times New Roman" w:eastAsia="宋体" w:cs="Times New Roman"/>
                <w:color w:val="auto"/>
                <w:sz w:val="21"/>
                <w:szCs w:val="21"/>
                <w:lang w:val="en-US" w:eastAsia="zh-CN"/>
              </w:rPr>
              <w:t>废机油</w:t>
            </w:r>
            <w:r>
              <w:rPr>
                <w:rFonts w:hint="default" w:ascii="Times New Roman" w:hAnsi="Times New Roman" w:cs="Times New Roman"/>
                <w:color w:val="auto"/>
                <w:sz w:val="21"/>
                <w:szCs w:val="21"/>
                <w:lang w:val="en-US" w:eastAsia="zh-CN"/>
              </w:rPr>
              <w:t>、废油桶两</w:t>
            </w:r>
            <w:r>
              <w:rPr>
                <w:rFonts w:hint="default" w:ascii="Times New Roman" w:hAnsi="Times New Roman" w:cs="Times New Roman"/>
                <w:color w:val="auto"/>
                <w:sz w:val="21"/>
                <w:szCs w:val="21"/>
                <w:lang w:eastAsia="zh-CN"/>
              </w:rPr>
              <w:t>类，应按</w:t>
            </w:r>
            <w:r>
              <w:rPr>
                <w:rFonts w:hint="default" w:ascii="Times New Roman" w:hAnsi="Times New Roman" w:cs="Times New Roman"/>
                <w:color w:val="auto"/>
                <w:sz w:val="21"/>
                <w:szCs w:val="21"/>
                <w:lang w:val="en-US" w:eastAsia="zh-CN"/>
              </w:rPr>
              <w:t>危</w:t>
            </w:r>
            <w:r>
              <w:rPr>
                <w:rFonts w:hint="default" w:ascii="Times New Roman" w:hAnsi="Times New Roman" w:cs="Times New Roman"/>
                <w:color w:val="auto"/>
                <w:sz w:val="21"/>
                <w:szCs w:val="21"/>
                <w:lang w:eastAsia="zh-CN"/>
              </w:rPr>
              <w:t>废的种类分别收集和存放，并张贴标签。</w:t>
            </w:r>
          </w:p>
          <w:p w14:paraId="3B797815">
            <w:pPr>
              <w:pStyle w:val="38"/>
              <w:keepNext w:val="0"/>
              <w:keepLines w:val="0"/>
              <w:pageBreakBefore w:val="0"/>
              <w:kinsoku/>
              <w:wordWrap/>
              <w:overflowPunct/>
              <w:topLinePunct w:val="0"/>
              <w:autoSpaceDE/>
              <w:autoSpaceDN/>
              <w:bidi w:val="0"/>
              <w:snapToGrid w:val="0"/>
              <w:ind w:firstLine="420" w:firstLineChars="200"/>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收集后危废的主要有毒有害成分必须在《危险废物登记表》上登记，写明成分的中文全称，不可写简称或缩写，危废收集桶满后（</w:t>
            </w:r>
            <w:r>
              <w:rPr>
                <w:rFonts w:hint="default" w:ascii="Times New Roman" w:hAnsi="Times New Roman" w:eastAsia="宋体" w:cs="Times New Roman"/>
                <w:color w:val="auto"/>
                <w:sz w:val="21"/>
                <w:szCs w:val="21"/>
              </w:rPr>
              <w:t>不可过满，必须保留1/10的空间</w:t>
            </w:r>
            <w:r>
              <w:rPr>
                <w:rFonts w:hint="default" w:ascii="Times New Roman" w:hAnsi="Times New Roman" w:cs="Times New Roman"/>
                <w:color w:val="auto"/>
                <w:sz w:val="21"/>
                <w:szCs w:val="21"/>
                <w:lang w:eastAsia="zh-CN"/>
              </w:rPr>
              <w:t>），将登记表粘贴在相应的桶上。</w:t>
            </w:r>
          </w:p>
          <w:p w14:paraId="063E5D82">
            <w:pPr>
              <w:pStyle w:val="38"/>
              <w:keepNext w:val="0"/>
              <w:keepLines w:val="0"/>
              <w:pageBreakBefore w:val="0"/>
              <w:kinsoku/>
              <w:wordWrap/>
              <w:overflowPunct/>
              <w:topLinePunct w:val="0"/>
              <w:autoSpaceDE/>
              <w:autoSpaceDN/>
              <w:bidi w:val="0"/>
              <w:snapToGrid w:val="0"/>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危险废物的收集应制定详细的操作规程，内容至少应包括适用范围、操作程序和方法、专用设备和工具、转移和交接、安全保障和应急防护等。</w:t>
            </w:r>
          </w:p>
          <w:p w14:paraId="43F7348A">
            <w:pPr>
              <w:pStyle w:val="40"/>
              <w:keepNext w:val="0"/>
              <w:keepLines w:val="0"/>
              <w:pageBreakBefore w:val="0"/>
              <w:kinsoku/>
              <w:wordWrap/>
              <w:overflowPunct/>
              <w:topLinePunct w:val="0"/>
              <w:autoSpaceDE/>
              <w:autoSpaceDN/>
              <w:bidi w:val="0"/>
              <w:snapToGrid w:val="0"/>
              <w:ind w:firstLine="422"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危险废物的贮存控制措施</w:t>
            </w:r>
          </w:p>
          <w:p w14:paraId="0DB0B363">
            <w:pPr>
              <w:keepNext w:val="0"/>
              <w:keepLines w:val="0"/>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①</w:t>
            </w:r>
            <w:r>
              <w:rPr>
                <w:rFonts w:hint="default" w:ascii="Times New Roman" w:hAnsi="Times New Roman" w:eastAsia="宋体" w:cs="Times New Roman"/>
                <w:color w:val="auto"/>
                <w:sz w:val="21"/>
                <w:szCs w:val="21"/>
                <w:lang w:val="en-US" w:eastAsia="zh-CN"/>
              </w:rPr>
              <w:t>应根据危险废物的形态、物理化学性质、包装形式和污染物迁移途径，采取必要的防风、防晒、防雨、防漏、防渗、防腐以及其他环境污染防治措施，不应露天堆放危险废物。</w:t>
            </w:r>
          </w:p>
          <w:p w14:paraId="2173F7D7">
            <w:pPr>
              <w:keepNext w:val="0"/>
              <w:keepLines w:val="0"/>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②</w:t>
            </w:r>
            <w:r>
              <w:rPr>
                <w:rFonts w:hint="default" w:ascii="Times New Roman" w:hAnsi="Times New Roman" w:eastAsia="宋体" w:cs="Times New Roman"/>
                <w:color w:val="auto"/>
                <w:sz w:val="21"/>
                <w:szCs w:val="21"/>
                <w:lang w:val="en-US" w:eastAsia="zh-CN"/>
              </w:rPr>
              <w:t>贮存库内不同贮存分区之间应采取隔离措施。隔离措施可根据危险废物特性采用过道、隔板或隔墙等方式。</w:t>
            </w:r>
          </w:p>
          <w:p w14:paraId="366241B8">
            <w:pPr>
              <w:keepNext w:val="0"/>
              <w:keepLines w:val="0"/>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③在贮存库内或通过贮存分区方式贮存液态危险废物的，应具有液体泄漏堵截设施，堵截设施最小容积不应低于对应贮存区域最大液态废物容器容积或液态废物总储量 1/10（二者取较大者）；用于贮存可能产生渗滤液的危险废物的贮存库或贮存分区应设计渗滤液收集设施，收集设施容积应满足渗滤液的收集要求。</w:t>
            </w:r>
          </w:p>
          <w:p w14:paraId="644C2950">
            <w:pPr>
              <w:keepNext w:val="0"/>
              <w:keepLines w:val="0"/>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④</w:t>
            </w:r>
            <w:r>
              <w:rPr>
                <w:rFonts w:hint="default" w:ascii="Times New Roman" w:hAnsi="Times New Roman" w:eastAsia="宋体" w:cs="Times New Roman"/>
                <w:color w:val="auto"/>
                <w:sz w:val="21"/>
                <w:szCs w:val="21"/>
                <w:lang w:val="en-US" w:eastAsia="zh-CN"/>
              </w:rPr>
              <w:t>贮存设施或贮存分区内地面、墙面裙脚、堵截泄漏的围堰、接触危险废物的隔板和墙体等应采用坚固的材料建造，表面无裂缝。</w:t>
            </w:r>
          </w:p>
          <w:p w14:paraId="7C9F7B01">
            <w:pPr>
              <w:keepNext w:val="0"/>
              <w:keepLines w:val="0"/>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⑤</w:t>
            </w:r>
            <w:r>
              <w:rPr>
                <w:rFonts w:hint="default" w:ascii="Times New Roman" w:hAnsi="Times New Roman" w:eastAsia="宋体" w:cs="Times New Roman"/>
                <w:color w:val="auto"/>
                <w:sz w:val="21"/>
                <w:szCs w:val="21"/>
                <w:lang w:val="en-US" w:eastAsia="zh-CN"/>
              </w:rPr>
              <w:t>贮存设施地面与裙脚应采取表面防渗措施；表面防渗材料应与所接触的物料或污染物相容。贮存的危险废物直接接触地面的，还应进行基础防渗。</w:t>
            </w:r>
          </w:p>
          <w:p w14:paraId="44B0DA43">
            <w:pPr>
              <w:keepNext w:val="0"/>
              <w:keepLines w:val="0"/>
              <w:pageBreakBefore w:val="0"/>
              <w:widowControl/>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⑥</w:t>
            </w:r>
            <w:r>
              <w:rPr>
                <w:rFonts w:hint="default" w:ascii="Times New Roman" w:hAnsi="Times New Roman" w:eastAsia="宋体" w:cs="Times New Roman"/>
                <w:color w:val="auto"/>
                <w:sz w:val="21"/>
                <w:szCs w:val="21"/>
                <w:lang w:val="en-US" w:eastAsia="zh-CN"/>
              </w:rPr>
              <w:t>同一贮存设施宜采用相同的防渗、防腐工艺（包括防渗、防腐结构或材料），防渗、防腐材料应覆盖所有可能与废物及其渗滤液、渗漏液等接触的构筑物表面；采用不同防渗、防腐工艺应分别建设贮存分区。</w:t>
            </w:r>
          </w:p>
          <w:p w14:paraId="4430AF32">
            <w:pPr>
              <w:keepNext w:val="0"/>
              <w:keepLines w:val="0"/>
              <w:pageBreakBefore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lang w:eastAsia="zh-CN"/>
              </w:rPr>
              <w:t>⑦</w:t>
            </w:r>
            <w:r>
              <w:rPr>
                <w:rFonts w:hint="default" w:ascii="Times New Roman" w:hAnsi="Times New Roman" w:eastAsia="宋体" w:cs="Times New Roman"/>
                <w:color w:val="auto"/>
                <w:sz w:val="21"/>
                <w:szCs w:val="21"/>
                <w:lang w:val="en-US" w:eastAsia="zh-CN"/>
              </w:rPr>
              <w:t>贮存设施应采取技术和管理措施防止无关人员进入。</w:t>
            </w:r>
          </w:p>
          <w:p w14:paraId="7BB9DE40">
            <w:pPr>
              <w:pStyle w:val="40"/>
              <w:keepNext w:val="0"/>
              <w:keepLines w:val="0"/>
              <w:pageBreakBefore w:val="0"/>
              <w:kinsoku/>
              <w:wordWrap/>
              <w:overflowPunct/>
              <w:topLinePunct w:val="0"/>
              <w:autoSpaceDE/>
              <w:autoSpaceDN/>
              <w:bidi w:val="0"/>
              <w:snapToGrid w:val="0"/>
              <w:ind w:firstLine="422"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危险废物的管理要求</w:t>
            </w:r>
          </w:p>
          <w:p w14:paraId="74A10186">
            <w:pPr>
              <w:pStyle w:val="38"/>
              <w:keepNext w:val="0"/>
              <w:keepLines w:val="0"/>
              <w:pageBreakBefore w:val="0"/>
              <w:kinsoku/>
              <w:wordWrap/>
              <w:overflowPunct/>
              <w:topLinePunct w:val="0"/>
              <w:autoSpaceDE/>
              <w:autoSpaceDN/>
              <w:bidi w:val="0"/>
              <w:snapToGrid w:val="0"/>
              <w:ind w:firstLine="420" w:firstLineChars="200"/>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A、</w:t>
            </w:r>
            <w:r>
              <w:rPr>
                <w:rFonts w:hint="eastAsia" w:cs="Times New Roman"/>
                <w:color w:val="auto"/>
                <w:kern w:val="0"/>
                <w:sz w:val="21"/>
                <w:szCs w:val="21"/>
                <w:lang w:eastAsia="zh-CN" w:bidi="ar"/>
              </w:rPr>
              <w:t>危废贮存库</w:t>
            </w:r>
            <w:r>
              <w:rPr>
                <w:rFonts w:hint="default" w:ascii="Times New Roman" w:hAnsi="Times New Roman" w:cs="Times New Roman"/>
                <w:color w:val="auto"/>
                <w:kern w:val="0"/>
                <w:sz w:val="21"/>
                <w:szCs w:val="21"/>
                <w:lang w:bidi="ar"/>
              </w:rPr>
              <w:t>应张贴规范标志及管理制度，建立危废台账制度</w:t>
            </w:r>
            <w:r>
              <w:rPr>
                <w:rFonts w:hint="default" w:ascii="Times New Roman" w:hAnsi="Times New Roman" w:cs="Times New Roman"/>
                <w:color w:val="auto"/>
                <w:kern w:val="0"/>
                <w:sz w:val="21"/>
                <w:szCs w:val="21"/>
                <w:lang w:eastAsia="zh-CN" w:bidi="ar"/>
              </w:rPr>
              <w:t>；</w:t>
            </w:r>
          </w:p>
          <w:p w14:paraId="02072B30">
            <w:pPr>
              <w:pStyle w:val="38"/>
              <w:keepNext w:val="0"/>
              <w:keepLines w:val="0"/>
              <w:pageBreakBefore w:val="0"/>
              <w:kinsoku/>
              <w:wordWrap/>
              <w:overflowPunct/>
              <w:topLinePunct w:val="0"/>
              <w:autoSpaceDE/>
              <w:autoSpaceDN/>
              <w:bidi w:val="0"/>
              <w:snapToGrid w:val="0"/>
              <w:ind w:firstLine="420" w:firstLineChars="200"/>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B、</w:t>
            </w:r>
            <w:r>
              <w:rPr>
                <w:rFonts w:hint="default" w:ascii="Times New Roman" w:hAnsi="Times New Roman" w:cs="Times New Roman"/>
                <w:color w:val="auto"/>
                <w:sz w:val="21"/>
                <w:szCs w:val="21"/>
              </w:rPr>
              <w:t>危险废物需</w:t>
            </w:r>
            <w:r>
              <w:rPr>
                <w:rFonts w:hint="default" w:ascii="Times New Roman" w:hAnsi="Times New Roman" w:cs="Times New Roman"/>
                <w:color w:val="auto"/>
                <w:sz w:val="21"/>
                <w:szCs w:val="21"/>
                <w:lang w:eastAsia="zh-CN"/>
              </w:rPr>
              <w:t>委托有处理资质的公司清运处置</w:t>
            </w:r>
            <w:r>
              <w:rPr>
                <w:rFonts w:hint="default" w:ascii="Times New Roman" w:hAnsi="Times New Roman" w:cs="Times New Roman"/>
                <w:color w:val="auto"/>
                <w:sz w:val="21"/>
                <w:szCs w:val="21"/>
              </w:rPr>
              <w:t>；</w:t>
            </w:r>
          </w:p>
          <w:p w14:paraId="4E7CB076">
            <w:pPr>
              <w:pStyle w:val="38"/>
              <w:keepNext w:val="0"/>
              <w:keepLines w:val="0"/>
              <w:pageBreakBefore w:val="0"/>
              <w:kinsoku/>
              <w:wordWrap/>
              <w:overflowPunct/>
              <w:topLinePunct w:val="0"/>
              <w:autoSpaceDE/>
              <w:autoSpaceDN/>
              <w:bidi w:val="0"/>
              <w:snapToGrid w:val="0"/>
              <w:ind w:firstLine="420" w:firstLineChars="200"/>
              <w:textAlignment w:val="auto"/>
              <w:rPr>
                <w:rFonts w:hint="default" w:ascii="Times New Roman" w:hAnsi="Times New Roman" w:eastAsia="宋体" w:cs="Times New Roman"/>
                <w:b/>
                <w:bCs/>
                <w:color w:val="auto"/>
                <w:sz w:val="21"/>
                <w:szCs w:val="21"/>
              </w:rPr>
            </w:pPr>
            <w:r>
              <w:rPr>
                <w:rFonts w:hint="eastAsia" w:ascii="Times New Roman" w:hAnsi="Times New Roman" w:cs="Times New Roman"/>
                <w:color w:val="auto"/>
                <w:sz w:val="21"/>
                <w:szCs w:val="21"/>
                <w:lang w:val="en-US" w:eastAsia="zh-CN"/>
              </w:rPr>
              <w:t>C、</w:t>
            </w:r>
            <w:r>
              <w:rPr>
                <w:rFonts w:hint="default" w:ascii="Times New Roman" w:hAnsi="Times New Roman" w:cs="Times New Roman"/>
                <w:color w:val="auto"/>
                <w:sz w:val="21"/>
                <w:szCs w:val="21"/>
              </w:rPr>
              <w:t>在危险废物转移交接</w:t>
            </w:r>
            <w:r>
              <w:rPr>
                <w:rFonts w:hint="default" w:ascii="Times New Roman" w:hAnsi="Times New Roman" w:cs="Times New Roman"/>
                <w:color w:val="auto"/>
                <w:sz w:val="21"/>
                <w:szCs w:val="21"/>
                <w:lang w:val="en-US" w:eastAsia="zh-CN"/>
              </w:rPr>
              <w:t>《危险废物转移管理办法》（部令第23号）执行</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转移资料</w:t>
            </w:r>
            <w:r>
              <w:rPr>
                <w:rFonts w:hint="default" w:ascii="Times New Roman" w:hAnsi="Times New Roman" w:cs="Times New Roman"/>
                <w:color w:val="auto"/>
                <w:sz w:val="21"/>
                <w:szCs w:val="21"/>
              </w:rPr>
              <w:t>存档时间不得低于3年。</w:t>
            </w:r>
          </w:p>
          <w:p w14:paraId="4C024EF6">
            <w:pPr>
              <w:keepNext w:val="0"/>
              <w:keepLines w:val="0"/>
              <w:pageBreakBefore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r>
              <w:rPr>
                <w:rFonts w:hint="eastAsia" w:ascii="Times New Roman" w:hAnsi="Times New Roman" w:cs="Times New Roman"/>
                <w:b/>
                <w:bCs/>
                <w:color w:val="auto"/>
                <w:sz w:val="21"/>
                <w:szCs w:val="21"/>
                <w:lang w:val="en-US" w:eastAsia="zh-CN"/>
              </w:rPr>
              <w:t>6</w:t>
            </w: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bCs/>
                <w:color w:val="auto"/>
                <w:sz w:val="21"/>
                <w:szCs w:val="21"/>
                <w:lang w:val="en-US" w:eastAsia="zh-CN"/>
              </w:rPr>
              <w:t>危险废物的</w:t>
            </w:r>
            <w:r>
              <w:rPr>
                <w:rFonts w:hint="default" w:ascii="Times New Roman" w:hAnsi="Times New Roman" w:eastAsia="宋体" w:cs="Times New Roman"/>
                <w:b/>
                <w:bCs/>
                <w:color w:val="auto"/>
                <w:sz w:val="21"/>
                <w:szCs w:val="21"/>
              </w:rPr>
              <w:t>转运要求</w:t>
            </w:r>
          </w:p>
          <w:p w14:paraId="7D31AD43">
            <w:pPr>
              <w:pStyle w:val="38"/>
              <w:keepNext w:val="0"/>
              <w:keepLines w:val="0"/>
              <w:pageBreakBefore w:val="0"/>
              <w:kinsoku/>
              <w:wordWrap/>
              <w:overflowPunct/>
              <w:topLinePunct w:val="0"/>
              <w:autoSpaceDE/>
              <w:autoSpaceDN/>
              <w:bidi w:val="0"/>
              <w:snapToGrid w:val="0"/>
              <w:ind w:firstLine="420" w:firstLineChars="200"/>
              <w:textAlignment w:val="auto"/>
              <w:rPr>
                <w:rFonts w:hint="default" w:ascii="Times New Roman" w:hAnsi="Times New Roman" w:eastAsia="宋体" w:cs="Times New Roman"/>
                <w:b w:val="0"/>
                <w:bCs w:val="0"/>
                <w:i w:val="0"/>
                <w:iCs w:val="0"/>
                <w:color w:val="auto"/>
                <w:sz w:val="21"/>
                <w:szCs w:val="21"/>
                <w:lang w:val="en-US" w:eastAsia="zh-CN"/>
              </w:rPr>
            </w:pPr>
            <w:r>
              <w:rPr>
                <w:rFonts w:hint="default" w:ascii="Times New Roman" w:hAnsi="Times New Roman" w:cs="Times New Roman"/>
                <w:color w:val="auto"/>
                <w:sz w:val="21"/>
                <w:szCs w:val="21"/>
              </w:rPr>
              <w:t>项目不负责产生的危险废物运输工作，危险废物</w:t>
            </w:r>
            <w:r>
              <w:rPr>
                <w:rFonts w:hint="default" w:ascii="Times New Roman" w:hAnsi="Times New Roman" w:cs="Times New Roman"/>
                <w:color w:val="auto"/>
                <w:sz w:val="21"/>
                <w:szCs w:val="21"/>
                <w:lang w:eastAsia="zh-CN"/>
              </w:rPr>
              <w:t>委托有处理资质的公司清运处置</w:t>
            </w:r>
            <w:r>
              <w:rPr>
                <w:rFonts w:hint="default" w:ascii="Times New Roman" w:hAnsi="Times New Roman" w:cs="Times New Roman"/>
                <w:color w:val="auto"/>
                <w:sz w:val="21"/>
                <w:szCs w:val="21"/>
              </w:rPr>
              <w:t>，危险废物转移运输过程严格按照《危险废物收集</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贮存</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运输技术规范》（HJ 2025-2012）</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《危险废物转移管理办法》（</w:t>
            </w:r>
            <w:r>
              <w:rPr>
                <w:rFonts w:hint="default" w:ascii="Times New Roman" w:hAnsi="Times New Roman" w:eastAsia="宋体" w:cs="Times New Roman"/>
                <w:color w:val="auto"/>
                <w:sz w:val="21"/>
                <w:szCs w:val="21"/>
                <w:lang w:val="en-US" w:eastAsia="zh-CN"/>
              </w:rPr>
              <w:t>2021年，</w:t>
            </w:r>
            <w:r>
              <w:rPr>
                <w:rFonts w:hint="default" w:ascii="Times New Roman" w:hAnsi="Times New Roman" w:cs="Times New Roman"/>
                <w:color w:val="auto"/>
                <w:sz w:val="21"/>
                <w:szCs w:val="21"/>
              </w:rPr>
              <w:t>部令第23号）及</w:t>
            </w:r>
            <w:r>
              <w:rPr>
                <w:rFonts w:hint="default" w:ascii="Times New Roman" w:hAnsi="Times New Roman" w:eastAsia="宋体" w:cs="Times New Roman"/>
                <w:color w:val="auto"/>
                <w:sz w:val="21"/>
                <w:szCs w:val="21"/>
              </w:rPr>
              <w:t>《危险废物</w:t>
            </w:r>
            <w:r>
              <w:rPr>
                <w:rFonts w:hint="default" w:ascii="Times New Roman" w:hAnsi="Times New Roman" w:eastAsia="宋体" w:cs="Times New Roman"/>
                <w:color w:val="auto"/>
                <w:sz w:val="21"/>
                <w:szCs w:val="21"/>
                <w:lang w:eastAsia="zh-CN"/>
              </w:rPr>
              <w:t>贮</w:t>
            </w:r>
            <w:r>
              <w:rPr>
                <w:rFonts w:hint="default" w:ascii="Times New Roman" w:hAnsi="Times New Roman" w:eastAsia="宋体" w:cs="Times New Roman"/>
                <w:color w:val="auto"/>
                <w:sz w:val="21"/>
                <w:szCs w:val="21"/>
              </w:rPr>
              <w:t>存污染控制标准》（GB18597-20</w:t>
            </w:r>
            <w:r>
              <w:rPr>
                <w:rFonts w:hint="default" w:ascii="Times New Roman" w:hAnsi="Times New Roman" w:eastAsia="宋体" w:cs="Times New Roman"/>
                <w:color w:val="auto"/>
                <w:sz w:val="21"/>
                <w:szCs w:val="21"/>
                <w:lang w:val="en-US" w:eastAsia="zh-CN"/>
              </w:rPr>
              <w:t>23</w:t>
            </w:r>
            <w:r>
              <w:rPr>
                <w:rFonts w:hint="default" w:ascii="Times New Roman" w:hAnsi="Times New Roman" w:eastAsia="宋体" w:cs="Times New Roman"/>
                <w:color w:val="auto"/>
                <w:sz w:val="21"/>
                <w:szCs w:val="21"/>
              </w:rPr>
              <w:t>）</w:t>
            </w:r>
            <w:r>
              <w:rPr>
                <w:rFonts w:hint="default" w:ascii="Times New Roman" w:hAnsi="Times New Roman" w:cs="Times New Roman"/>
                <w:color w:val="auto"/>
                <w:sz w:val="21"/>
                <w:szCs w:val="21"/>
              </w:rPr>
              <w:t>提出本项目危险废物的收集、贮存、运输、处置环节需要采取的各项污染防治措施执行</w:t>
            </w:r>
            <w:r>
              <w:rPr>
                <w:rFonts w:hint="default" w:ascii="Times New Roman" w:hAnsi="Times New Roman" w:eastAsia="宋体" w:cs="Times New Roman"/>
                <w:color w:val="auto"/>
                <w:sz w:val="21"/>
                <w:szCs w:val="21"/>
              </w:rPr>
              <w:t>。</w:t>
            </w:r>
          </w:p>
          <w:p w14:paraId="0B5493D3">
            <w:pPr>
              <w:keepNext w:val="0"/>
              <w:keepLines w:val="0"/>
              <w:pageBreakBefore w:val="0"/>
              <w:widowControl w:val="0"/>
              <w:kinsoku/>
              <w:wordWrap/>
              <w:overflowPunct/>
              <w:topLinePunct w:val="0"/>
              <w:autoSpaceDN/>
              <w:bidi w:val="0"/>
              <w:adjustRightInd w:val="0"/>
              <w:snapToGrid w:val="0"/>
              <w:spacing w:line="360" w:lineRule="auto"/>
              <w:ind w:firstLine="420" w:firstLineChars="200"/>
              <w:textAlignment w:val="auto"/>
              <w:rPr>
                <w:rFonts w:hint="default" w:ascii="Times New Roman" w:hAnsi="Times New Roman" w:cs="Times New Roman"/>
                <w:color w:val="auto"/>
                <w:sz w:val="21"/>
                <w:szCs w:val="21"/>
              </w:rPr>
            </w:pPr>
            <w:r>
              <w:rPr>
                <w:rFonts w:hint="default" w:ascii="Times New Roman" w:hAnsi="Times New Roman" w:eastAsia="宋体" w:cs="Times New Roman"/>
                <w:b w:val="0"/>
                <w:bCs w:val="0"/>
                <w:i w:val="0"/>
                <w:iCs w:val="0"/>
                <w:color w:val="auto"/>
                <w:sz w:val="21"/>
                <w:szCs w:val="21"/>
                <w:lang w:val="en-US" w:eastAsia="zh-CN"/>
              </w:rPr>
              <w:t>综上所述，本项目产生的固体废弃物均得到了妥善有效的处置，处置率为100%，对周围环境的影响较小</w:t>
            </w:r>
            <w:r>
              <w:rPr>
                <w:rFonts w:hint="default" w:ascii="Times New Roman" w:hAnsi="Times New Roman" w:cs="Times New Roman"/>
                <w:color w:val="auto"/>
                <w:sz w:val="21"/>
                <w:szCs w:val="21"/>
                <w:highlight w:val="none"/>
              </w:rPr>
              <w:t>。</w:t>
            </w:r>
          </w:p>
          <w:p w14:paraId="54F63E1E">
            <w:pPr>
              <w:ind w:firstLine="480"/>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eastAsia="zh-CN"/>
              </w:rPr>
              <w:t>（三）结论</w:t>
            </w:r>
          </w:p>
          <w:p w14:paraId="5D08F69E">
            <w:pPr>
              <w:widowControl w:val="0"/>
              <w:bidi w:val="0"/>
              <w:spacing w:line="360" w:lineRule="auto"/>
              <w:ind w:firstLine="420" w:firstLineChars="200"/>
              <w:jc w:val="both"/>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highlight w:val="none"/>
                <w:lang w:val="en-US" w:eastAsia="zh-CN"/>
              </w:rPr>
              <w:t>综上所述，在采取以上措施后，项目运营期产生的固体废物去向明确，</w:t>
            </w:r>
            <w:r>
              <w:rPr>
                <w:rFonts w:hint="default" w:ascii="Times New Roman" w:hAnsi="Times New Roman" w:cs="Times New Roman"/>
                <w:bCs/>
                <w:color w:val="auto"/>
                <w:sz w:val="21"/>
                <w:szCs w:val="21"/>
                <w:highlight w:val="none"/>
              </w:rPr>
              <w:t>固体废物得到妥善的处置，且处置方式合理可行</w:t>
            </w:r>
            <w:r>
              <w:rPr>
                <w:rFonts w:hint="default" w:ascii="Times New Roman" w:hAnsi="Times New Roman" w:cs="Times New Roman"/>
                <w:color w:val="auto"/>
                <w:sz w:val="21"/>
                <w:szCs w:val="21"/>
                <w:highlight w:val="none"/>
                <w:lang w:val="en-US" w:eastAsia="zh-CN"/>
              </w:rPr>
              <w:t>，不会造成二次污染</w:t>
            </w:r>
            <w:r>
              <w:rPr>
                <w:rFonts w:hint="default" w:ascii="Times New Roman" w:hAnsi="Times New Roman" w:cs="Times New Roman"/>
                <w:bCs/>
                <w:color w:val="auto"/>
                <w:sz w:val="21"/>
                <w:szCs w:val="21"/>
                <w:highlight w:val="none"/>
              </w:rPr>
              <w:t>，对周围环</w:t>
            </w:r>
            <w:r>
              <w:rPr>
                <w:rFonts w:hint="default" w:ascii="Times New Roman" w:hAnsi="Times New Roman" w:cs="Times New Roman"/>
                <w:color w:val="auto"/>
                <w:sz w:val="21"/>
                <w:szCs w:val="21"/>
                <w:highlight w:val="none"/>
              </w:rPr>
              <w:t>境影响不大</w:t>
            </w:r>
            <w:r>
              <w:rPr>
                <w:rFonts w:hint="eastAsia" w:ascii="Times New Roman" w:hAnsi="Times New Roman" w:eastAsia="宋体" w:cs="Times New Roman"/>
                <w:color w:val="auto"/>
                <w:kern w:val="2"/>
                <w:sz w:val="21"/>
                <w:szCs w:val="21"/>
                <w:lang w:val="en-US" w:eastAsia="zh-CN" w:bidi="ar-SA"/>
              </w:rPr>
              <w:t>。</w:t>
            </w:r>
          </w:p>
          <w:p w14:paraId="0A79E58F">
            <w:pPr>
              <w:widowControl w:val="0"/>
              <w:bidi w:val="0"/>
              <w:spacing w:line="360" w:lineRule="auto"/>
              <w:ind w:firstLine="0" w:firstLineChars="0"/>
              <w:jc w:val="left"/>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4.6地下水、土壤环境影响分析</w:t>
            </w:r>
          </w:p>
          <w:p w14:paraId="3F5E8A3E">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bidi="ar-SA"/>
              </w:rPr>
              <w:t>按《环境影响评价技术导则 地下水环境》（HJ610-2016）规定，依据建设项目行业分类和地下水环境敏感分级进行等级划分。本项目</w:t>
            </w:r>
            <w:r>
              <w:rPr>
                <w:rFonts w:hint="eastAsia" w:eastAsia="宋体" w:cs="Times New Roman"/>
                <w:color w:val="auto"/>
                <w:sz w:val="21"/>
                <w:szCs w:val="21"/>
                <w:lang w:val="en-US" w:eastAsia="zh-CN" w:bidi="ar-SA"/>
              </w:rPr>
              <w:t>为</w:t>
            </w:r>
            <w:r>
              <w:rPr>
                <w:rFonts w:hint="eastAsia" w:cs="Times New Roman"/>
                <w:color w:val="auto"/>
                <w:sz w:val="21"/>
                <w:szCs w:val="21"/>
                <w:lang w:val="en-US" w:eastAsia="zh-CN" w:bidi="ar-SA"/>
              </w:rPr>
              <w:t>仿古砖瓦制造</w:t>
            </w:r>
            <w:r>
              <w:rPr>
                <w:rFonts w:hint="default" w:ascii="Times New Roman" w:hAnsi="Times New Roman" w:eastAsia="宋体" w:cs="Times New Roman"/>
                <w:color w:val="auto"/>
                <w:sz w:val="21"/>
                <w:szCs w:val="21"/>
                <w:lang w:val="en-US" w:eastAsia="zh-CN" w:bidi="ar-SA"/>
              </w:rPr>
              <w:t>，属于附录A中“</w:t>
            </w:r>
            <w:r>
              <w:rPr>
                <w:rFonts w:hint="eastAsia" w:cs="Times New Roman"/>
                <w:color w:val="auto"/>
                <w:sz w:val="21"/>
                <w:szCs w:val="21"/>
                <w:lang w:val="en-US" w:eastAsia="zh-CN" w:bidi="ar-SA"/>
              </w:rPr>
              <w:t>64</w:t>
            </w:r>
            <w:r>
              <w:rPr>
                <w:rFonts w:hint="default" w:ascii="Times New Roman" w:hAnsi="Times New Roman" w:eastAsia="宋体" w:cs="Times New Roman"/>
                <w:color w:val="auto"/>
                <w:sz w:val="21"/>
                <w:szCs w:val="21"/>
                <w:lang w:val="en-US" w:eastAsia="zh-CN" w:bidi="ar-SA"/>
              </w:rPr>
              <w:t>、砖瓦制造”，地下水环境影响评价项目类别为Ⅳ类，</w:t>
            </w:r>
            <w:r>
              <w:rPr>
                <w:rFonts w:hint="eastAsia" w:eastAsia="宋体" w:cs="Times New Roman"/>
                <w:color w:val="auto"/>
                <w:sz w:val="21"/>
                <w:szCs w:val="21"/>
                <w:lang w:val="en-US" w:eastAsia="zh-CN" w:bidi="ar-SA"/>
              </w:rPr>
              <w:t>可</w:t>
            </w:r>
            <w:r>
              <w:rPr>
                <w:rFonts w:hint="default" w:ascii="Times New Roman" w:hAnsi="Times New Roman" w:eastAsia="宋体" w:cs="Times New Roman"/>
                <w:color w:val="auto"/>
                <w:sz w:val="21"/>
                <w:szCs w:val="21"/>
                <w:lang w:val="en-US" w:eastAsia="zh-CN" w:bidi="ar-SA"/>
              </w:rPr>
              <w:t>不进行地下水环境影响评价。</w:t>
            </w:r>
          </w:p>
          <w:p w14:paraId="65287EB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color w:val="auto"/>
                <w:sz w:val="21"/>
                <w:szCs w:val="21"/>
              </w:rPr>
            </w:pPr>
            <w:r>
              <w:rPr>
                <w:rFonts w:hint="eastAsia" w:ascii="Times New Roman" w:hAnsi="Times New Roman" w:eastAsia="宋体" w:cs="Times New Roman"/>
                <w:bCs/>
                <w:color w:val="auto"/>
                <w:sz w:val="21"/>
                <w:szCs w:val="21"/>
              </w:rPr>
              <w:t>结合项目污染特征因子及其污染控制难易程度，项目按照《地下水环境影响评价导则》（HJ610-2016）表7规定要求实施分区防渗，将场地划分为重点防渗区、一般防渗区和简单防渗区分区，分区情况及防渗要求详见下表。</w:t>
            </w:r>
          </w:p>
          <w:p w14:paraId="68BF4CDE">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表4-</w:t>
            </w:r>
            <w:r>
              <w:rPr>
                <w:rFonts w:hint="eastAsia" w:cs="Times New Roman"/>
                <w:b/>
                <w:color w:val="auto"/>
                <w:sz w:val="21"/>
                <w:szCs w:val="21"/>
                <w:lang w:val="en-US" w:eastAsia="zh-CN"/>
              </w:rPr>
              <w:t>15</w:t>
            </w:r>
            <w:r>
              <w:rPr>
                <w:rFonts w:hint="eastAsia" w:ascii="Times New Roman" w:hAnsi="Times New Roman" w:eastAsia="宋体" w:cs="Times New Roman"/>
                <w:b/>
                <w:color w:val="auto"/>
                <w:sz w:val="21"/>
                <w:szCs w:val="21"/>
              </w:rPr>
              <w:t xml:space="preserve"> </w:t>
            </w:r>
            <w:r>
              <w:rPr>
                <w:rFonts w:hint="eastAsia" w:ascii="Times New Roman" w:hAnsi="Times New Roman" w:eastAsia="宋体" w:cs="Times New Roman"/>
                <w:b/>
                <w:color w:val="auto"/>
                <w:sz w:val="21"/>
                <w:szCs w:val="21"/>
                <w:lang w:val="en-US" w:eastAsia="zh-CN"/>
              </w:rPr>
              <w:t xml:space="preserve"> </w:t>
            </w:r>
            <w:r>
              <w:rPr>
                <w:rFonts w:hint="eastAsia" w:ascii="Times New Roman" w:hAnsi="Times New Roman" w:eastAsia="宋体" w:cs="Times New Roman"/>
                <w:b/>
                <w:color w:val="auto"/>
                <w:sz w:val="21"/>
                <w:szCs w:val="21"/>
              </w:rPr>
              <w:t>项目污染防渗分区及要求一览表</w:t>
            </w:r>
          </w:p>
          <w:tbl>
            <w:tblPr>
              <w:tblStyle w:val="29"/>
              <w:tblW w:w="4988" w:type="pct"/>
              <w:tblInd w:w="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16"/>
              <w:gridCol w:w="1470"/>
              <w:gridCol w:w="5025"/>
            </w:tblGrid>
            <w:tr w14:paraId="5E17E1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180" w:hRule="atLeast"/>
                <w:tblHeader/>
              </w:trPr>
              <w:tc>
                <w:tcPr>
                  <w:tcW w:w="895" w:type="pct"/>
                  <w:noWrap w:val="0"/>
                  <w:vAlign w:val="center"/>
                </w:tcPr>
                <w:p w14:paraId="48CF70A1">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ascii="Times New Roman" w:hAnsi="Times New Roman" w:eastAsia="宋体" w:cs="Times New Roman"/>
                      <w:b/>
                      <w:color w:val="auto"/>
                      <w:kern w:val="24"/>
                      <w:sz w:val="21"/>
                      <w:szCs w:val="21"/>
                    </w:rPr>
                  </w:pPr>
                  <w:r>
                    <w:rPr>
                      <w:rFonts w:ascii="Times New Roman" w:hAnsi="Times New Roman" w:eastAsia="宋体" w:cs="Times New Roman"/>
                      <w:b/>
                      <w:color w:val="auto"/>
                      <w:kern w:val="24"/>
                      <w:sz w:val="21"/>
                      <w:szCs w:val="21"/>
                    </w:rPr>
                    <w:t>防渗分区</w:t>
                  </w:r>
                </w:p>
              </w:tc>
              <w:tc>
                <w:tcPr>
                  <w:tcW w:w="929" w:type="pct"/>
                  <w:noWrap w:val="0"/>
                  <w:vAlign w:val="center"/>
                </w:tcPr>
                <w:p w14:paraId="007AA264">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ascii="Times New Roman" w:hAnsi="Times New Roman" w:eastAsia="宋体" w:cs="Times New Roman"/>
                      <w:b/>
                      <w:color w:val="auto"/>
                      <w:kern w:val="24"/>
                      <w:sz w:val="21"/>
                      <w:szCs w:val="21"/>
                    </w:rPr>
                  </w:pPr>
                  <w:r>
                    <w:rPr>
                      <w:rFonts w:ascii="Times New Roman" w:hAnsi="Times New Roman" w:eastAsia="宋体" w:cs="Times New Roman"/>
                      <w:b/>
                      <w:color w:val="auto"/>
                      <w:kern w:val="0"/>
                      <w:sz w:val="21"/>
                      <w:szCs w:val="21"/>
                    </w:rPr>
                    <w:t>项目构筑物及设施名称</w:t>
                  </w:r>
                </w:p>
              </w:tc>
              <w:tc>
                <w:tcPr>
                  <w:tcW w:w="3175" w:type="pct"/>
                  <w:noWrap w:val="0"/>
                  <w:vAlign w:val="center"/>
                </w:tcPr>
                <w:p w14:paraId="0E48F5D6">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ascii="Times New Roman" w:hAnsi="Times New Roman" w:eastAsia="宋体" w:cs="Times New Roman"/>
                      <w:b/>
                      <w:color w:val="auto"/>
                      <w:kern w:val="24"/>
                      <w:sz w:val="21"/>
                      <w:szCs w:val="21"/>
                    </w:rPr>
                  </w:pPr>
                  <w:r>
                    <w:rPr>
                      <w:rFonts w:ascii="Times New Roman" w:hAnsi="Times New Roman" w:eastAsia="宋体" w:cs="Times New Roman"/>
                      <w:b/>
                      <w:color w:val="auto"/>
                      <w:kern w:val="0"/>
                      <w:sz w:val="21"/>
                      <w:szCs w:val="21"/>
                    </w:rPr>
                    <w:t>防渗技术要求</w:t>
                  </w:r>
                </w:p>
              </w:tc>
            </w:tr>
            <w:tr w14:paraId="77BFDD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26" w:hRule="atLeast"/>
                <w:tblHeader/>
              </w:trPr>
              <w:tc>
                <w:tcPr>
                  <w:tcW w:w="895" w:type="pct"/>
                  <w:vMerge w:val="restart"/>
                  <w:noWrap w:val="0"/>
                  <w:vAlign w:val="center"/>
                </w:tcPr>
                <w:p w14:paraId="5C3905AE">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ascii="Times New Roman" w:hAnsi="Times New Roman" w:eastAsia="宋体" w:cs="Times New Roman"/>
                      <w:color w:val="auto"/>
                      <w:kern w:val="24"/>
                      <w:sz w:val="21"/>
                      <w:szCs w:val="21"/>
                    </w:rPr>
                  </w:pPr>
                  <w:r>
                    <w:rPr>
                      <w:rFonts w:ascii="Times New Roman" w:hAnsi="Times New Roman" w:eastAsia="宋体" w:cs="Times New Roman"/>
                      <w:color w:val="auto"/>
                      <w:kern w:val="24"/>
                      <w:sz w:val="21"/>
                      <w:szCs w:val="21"/>
                    </w:rPr>
                    <w:t>重点防渗区</w:t>
                  </w:r>
                </w:p>
              </w:tc>
              <w:tc>
                <w:tcPr>
                  <w:tcW w:w="929" w:type="pct"/>
                  <w:noWrap w:val="0"/>
                  <w:vAlign w:val="center"/>
                </w:tcPr>
                <w:p w14:paraId="2B6D6BC1">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ascii="Times New Roman" w:hAnsi="Times New Roman" w:eastAsia="宋体" w:cs="Times New Roman"/>
                      <w:color w:val="auto"/>
                      <w:kern w:val="24"/>
                      <w:sz w:val="21"/>
                      <w:szCs w:val="21"/>
                      <w:lang w:val="en-US" w:eastAsia="zh-CN"/>
                    </w:rPr>
                  </w:pPr>
                  <w:r>
                    <w:rPr>
                      <w:rFonts w:hint="eastAsia" w:eastAsia="宋体" w:cs="Times New Roman"/>
                      <w:color w:val="auto"/>
                      <w:kern w:val="24"/>
                      <w:sz w:val="21"/>
                      <w:szCs w:val="21"/>
                      <w:lang w:val="en-US" w:eastAsia="zh-CN"/>
                    </w:rPr>
                    <w:t>脱硫塔循环水池</w:t>
                  </w:r>
                  <w:r>
                    <w:rPr>
                      <w:rFonts w:hint="eastAsia" w:cs="Times New Roman"/>
                      <w:color w:val="auto"/>
                      <w:kern w:val="24"/>
                      <w:sz w:val="21"/>
                      <w:szCs w:val="21"/>
                      <w:lang w:val="en-US" w:eastAsia="zh-CN"/>
                    </w:rPr>
                    <w:t>、原料车间、陈化车间</w:t>
                  </w:r>
                </w:p>
              </w:tc>
              <w:tc>
                <w:tcPr>
                  <w:tcW w:w="3175" w:type="pct"/>
                  <w:noWrap w:val="0"/>
                  <w:vAlign w:val="center"/>
                </w:tcPr>
                <w:p w14:paraId="6F2D9B83">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ascii="Times New Roman" w:hAnsi="Times New Roman" w:eastAsia="宋体" w:cs="Times New Roman"/>
                      <w:color w:val="auto"/>
                      <w:kern w:val="24"/>
                      <w:sz w:val="21"/>
                      <w:szCs w:val="21"/>
                    </w:rPr>
                  </w:pPr>
                  <w:r>
                    <w:rPr>
                      <w:rFonts w:hint="eastAsia" w:cs="Times New Roman"/>
                      <w:color w:val="auto"/>
                      <w:kern w:val="24"/>
                      <w:sz w:val="21"/>
                      <w:szCs w:val="21"/>
                      <w:lang w:val="en-US" w:eastAsia="zh-CN"/>
                    </w:rPr>
                    <w:t>参考</w:t>
                  </w:r>
                  <w:r>
                    <w:rPr>
                      <w:rFonts w:hint="eastAsia" w:ascii="Times New Roman" w:hAnsi="Times New Roman" w:eastAsia="宋体" w:cs="Times New Roman"/>
                      <w:bCs/>
                      <w:color w:val="auto"/>
                      <w:sz w:val="21"/>
                      <w:szCs w:val="21"/>
                    </w:rPr>
                    <w:t>《地下水环境影响评价导则》（HJ610-2016）</w:t>
                  </w:r>
                  <w:r>
                    <w:rPr>
                      <w:rFonts w:hint="eastAsia" w:ascii="Times New Roman" w:hAnsi="Times New Roman" w:eastAsia="宋体" w:cs="Times New Roman"/>
                      <w:bCs/>
                      <w:color w:val="auto"/>
                      <w:sz w:val="21"/>
                      <w:szCs w:val="21"/>
                      <w:lang w:val="en-US" w:eastAsia="zh-CN"/>
                    </w:rPr>
                    <w:t>执行</w:t>
                  </w:r>
                  <w:r>
                    <w:rPr>
                      <w:rFonts w:ascii="Times New Roman" w:hAnsi="Times New Roman" w:eastAsia="宋体" w:cs="Times New Roman"/>
                      <w:color w:val="auto"/>
                      <w:kern w:val="24"/>
                      <w:sz w:val="21"/>
                      <w:szCs w:val="21"/>
                    </w:rPr>
                    <w:t>等效黏土防渗层厚度Mb≥</w:t>
                  </w:r>
                  <w:r>
                    <w:rPr>
                      <w:rFonts w:hint="eastAsia" w:ascii="Times New Roman" w:hAnsi="Times New Roman" w:eastAsia="宋体" w:cs="Times New Roman"/>
                      <w:color w:val="auto"/>
                      <w:kern w:val="24"/>
                      <w:sz w:val="21"/>
                      <w:szCs w:val="21"/>
                      <w:lang w:val="en-US" w:eastAsia="zh-CN"/>
                    </w:rPr>
                    <w:t>6.0</w:t>
                  </w:r>
                  <w:r>
                    <w:rPr>
                      <w:rFonts w:ascii="Times New Roman" w:hAnsi="Times New Roman" w:eastAsia="宋体" w:cs="Times New Roman"/>
                      <w:color w:val="auto"/>
                      <w:kern w:val="24"/>
                      <w:sz w:val="21"/>
                      <w:szCs w:val="21"/>
                    </w:rPr>
                    <w:t>m，渗透系数K≤1.0×10</w:t>
                  </w:r>
                  <w:r>
                    <w:rPr>
                      <w:rFonts w:ascii="Times New Roman" w:hAnsi="Times New Roman" w:eastAsia="宋体" w:cs="Times New Roman"/>
                      <w:color w:val="auto"/>
                      <w:kern w:val="24"/>
                      <w:sz w:val="21"/>
                      <w:szCs w:val="21"/>
                      <w:vertAlign w:val="superscript"/>
                    </w:rPr>
                    <w:t>-7</w:t>
                  </w:r>
                  <w:r>
                    <w:rPr>
                      <w:rFonts w:ascii="Times New Roman" w:hAnsi="Times New Roman" w:eastAsia="宋体" w:cs="Times New Roman"/>
                      <w:color w:val="auto"/>
                      <w:kern w:val="24"/>
                      <w:sz w:val="21"/>
                      <w:szCs w:val="21"/>
                    </w:rPr>
                    <w:t>cm/s</w:t>
                  </w:r>
                  <w:r>
                    <w:rPr>
                      <w:rFonts w:hint="default" w:ascii="Times New Roman" w:hAnsi="Times New Roman" w:eastAsia="宋体" w:cs="Times New Roman"/>
                      <w:b w:val="0"/>
                      <w:bCs w:val="0"/>
                      <w:color w:val="auto"/>
                      <w:sz w:val="21"/>
                      <w:szCs w:val="21"/>
                      <w:highlight w:val="none"/>
                      <w:lang w:val="en-US" w:eastAsia="zh-CN"/>
                    </w:rPr>
                    <w:t>的防渗能力</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在混凝土场地防渗基础上，再铺设一层</w:t>
                  </w:r>
                  <w:r>
                    <w:rPr>
                      <w:rFonts w:hint="eastAsia" w:cs="Times New Roman"/>
                      <w:b w:val="0"/>
                      <w:bCs w:val="0"/>
                      <w:color w:val="auto"/>
                      <w:sz w:val="21"/>
                      <w:szCs w:val="21"/>
                      <w:highlight w:val="none"/>
                      <w:lang w:val="en-US" w:eastAsia="zh-CN"/>
                    </w:rPr>
                    <w:t>厚度不低于2mmHDPE人工防渗层</w:t>
                  </w:r>
                  <w:r>
                    <w:rPr>
                      <w:rFonts w:hint="default" w:ascii="Times New Roman" w:hAnsi="Times New Roman" w:eastAsia="宋体" w:cs="Times New Roman"/>
                      <w:b w:val="0"/>
                      <w:bCs w:val="0"/>
                      <w:color w:val="auto"/>
                      <w:sz w:val="21"/>
                      <w:szCs w:val="21"/>
                      <w:highlight w:val="none"/>
                      <w:lang w:val="en-US" w:eastAsia="zh-CN"/>
                    </w:rPr>
                    <w:t>，确保重点防渗区地面防渗能力</w:t>
                  </w:r>
                  <w:r>
                    <w:rPr>
                      <w:rFonts w:hint="eastAsia" w:cs="Times New Roman"/>
                      <w:b w:val="0"/>
                      <w:bCs w:val="0"/>
                      <w:color w:val="auto"/>
                      <w:sz w:val="21"/>
                      <w:szCs w:val="21"/>
                      <w:highlight w:val="none"/>
                      <w:lang w:val="en-US" w:eastAsia="zh-CN"/>
                    </w:rPr>
                    <w:t>。</w:t>
                  </w:r>
                </w:p>
              </w:tc>
            </w:tr>
            <w:tr w14:paraId="030B47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26" w:hRule="atLeast"/>
                <w:tblHeader/>
              </w:trPr>
              <w:tc>
                <w:tcPr>
                  <w:tcW w:w="895" w:type="pct"/>
                  <w:vMerge w:val="continue"/>
                  <w:noWrap w:val="0"/>
                  <w:vAlign w:val="center"/>
                </w:tcPr>
                <w:p w14:paraId="3CFD15DD">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ascii="Times New Roman" w:hAnsi="Times New Roman" w:eastAsia="宋体" w:cs="Times New Roman"/>
                      <w:color w:val="auto"/>
                      <w:kern w:val="24"/>
                      <w:sz w:val="21"/>
                      <w:szCs w:val="21"/>
                    </w:rPr>
                  </w:pPr>
                </w:p>
              </w:tc>
              <w:tc>
                <w:tcPr>
                  <w:tcW w:w="929" w:type="pct"/>
                  <w:noWrap w:val="0"/>
                  <w:vAlign w:val="center"/>
                </w:tcPr>
                <w:p w14:paraId="54437A84">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hint="default" w:eastAsia="宋体" w:cs="Times New Roman"/>
                      <w:color w:val="auto"/>
                      <w:kern w:val="24"/>
                      <w:sz w:val="21"/>
                      <w:szCs w:val="21"/>
                      <w:lang w:val="en-US" w:eastAsia="zh-CN"/>
                    </w:rPr>
                  </w:pPr>
                  <w:r>
                    <w:rPr>
                      <w:rFonts w:hint="eastAsia" w:cs="Times New Roman"/>
                      <w:color w:val="auto"/>
                      <w:kern w:val="24"/>
                      <w:sz w:val="21"/>
                      <w:szCs w:val="21"/>
                      <w:lang w:val="en-US" w:eastAsia="zh-CN"/>
                    </w:rPr>
                    <w:t>危废贮存库</w:t>
                  </w:r>
                </w:p>
              </w:tc>
              <w:tc>
                <w:tcPr>
                  <w:tcW w:w="3175" w:type="pct"/>
                  <w:noWrap w:val="0"/>
                  <w:vAlign w:val="center"/>
                </w:tcPr>
                <w:p w14:paraId="5CDCFD0F">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ascii="Times New Roman" w:hAnsi="Times New Roman" w:eastAsia="宋体" w:cs="Times New Roman"/>
                      <w:color w:val="auto"/>
                      <w:kern w:val="24"/>
                      <w:sz w:val="21"/>
                      <w:szCs w:val="21"/>
                    </w:rPr>
                  </w:pPr>
                  <w:r>
                    <w:rPr>
                      <w:rFonts w:hint="eastAsia" w:ascii="Times New Roman" w:hAnsi="Times New Roman" w:eastAsia="宋体" w:cs="Times New Roman"/>
                      <w:color w:val="auto"/>
                      <w:sz w:val="21"/>
                      <w:szCs w:val="21"/>
                      <w:lang w:val="en-US" w:eastAsia="zh-CN"/>
                    </w:rPr>
                    <w:t>执行</w:t>
                  </w:r>
                  <w:r>
                    <w:rPr>
                      <w:rFonts w:hint="default" w:ascii="Times New Roman" w:hAnsi="Times New Roman" w:eastAsia="宋体" w:cs="Times New Roman"/>
                      <w:color w:val="auto"/>
                      <w:sz w:val="21"/>
                      <w:szCs w:val="21"/>
                      <w:lang w:eastAsia="zh-CN"/>
                    </w:rPr>
                    <w:t>《危险废物贮存污染控制标准》（GB18597-2023），</w:t>
                  </w:r>
                  <w:r>
                    <w:rPr>
                      <w:rFonts w:hint="default" w:ascii="Times New Roman" w:hAnsi="Times New Roman" w:eastAsia="宋体" w:cs="Times New Roman"/>
                      <w:color w:val="auto"/>
                      <w:sz w:val="21"/>
                      <w:szCs w:val="21"/>
                      <w:lang w:val="en-US" w:eastAsia="zh-CN"/>
                    </w:rPr>
                    <w:t>为重点防渗区，</w:t>
                  </w:r>
                  <w:r>
                    <w:rPr>
                      <w:rFonts w:hint="default" w:ascii="Times New Roman" w:hAnsi="Times New Roman" w:eastAsia="宋体" w:cs="Times New Roman"/>
                      <w:b w:val="0"/>
                      <w:bCs w:val="0"/>
                      <w:color w:val="auto"/>
                      <w:sz w:val="21"/>
                      <w:szCs w:val="21"/>
                      <w:highlight w:val="none"/>
                      <w:lang w:val="en-US" w:eastAsia="zh-CN"/>
                    </w:rPr>
                    <w:t>在混凝土场地防渗基础上，再铺设一层</w:t>
                  </w:r>
                  <w:r>
                    <w:rPr>
                      <w:rFonts w:hint="eastAsia" w:cs="Times New Roman"/>
                      <w:b w:val="0"/>
                      <w:bCs w:val="0"/>
                      <w:color w:val="auto"/>
                      <w:sz w:val="21"/>
                      <w:szCs w:val="21"/>
                      <w:highlight w:val="none"/>
                      <w:lang w:val="en-US" w:eastAsia="zh-CN"/>
                    </w:rPr>
                    <w:t>厚度不低于2mmHDPE人工防渗层</w:t>
                  </w:r>
                  <w:r>
                    <w:rPr>
                      <w:rFonts w:hint="default" w:ascii="Times New Roman" w:hAnsi="Times New Roman" w:eastAsia="宋体" w:cs="Times New Roman"/>
                      <w:b w:val="0"/>
                      <w:bCs w:val="0"/>
                      <w:color w:val="auto"/>
                      <w:sz w:val="21"/>
                      <w:szCs w:val="21"/>
                      <w:highlight w:val="none"/>
                      <w:lang w:val="en-US" w:eastAsia="zh-CN"/>
                    </w:rPr>
                    <w:t>，确保重点防渗区地面防渗能力相当于6.0m厚黏土层、渗透系数≤10</w:t>
                  </w:r>
                  <w:r>
                    <w:rPr>
                      <w:rFonts w:hint="default" w:ascii="Times New Roman" w:hAnsi="Times New Roman" w:eastAsia="宋体" w:cs="Times New Roman"/>
                      <w:b w:val="0"/>
                      <w:bCs w:val="0"/>
                      <w:color w:val="auto"/>
                      <w:sz w:val="21"/>
                      <w:szCs w:val="21"/>
                      <w:highlight w:val="none"/>
                      <w:vertAlign w:val="superscript"/>
                      <w:lang w:val="en-US" w:eastAsia="zh-CN"/>
                    </w:rPr>
                    <w:t>-10</w:t>
                  </w:r>
                  <w:r>
                    <w:rPr>
                      <w:rFonts w:hint="default" w:ascii="Times New Roman" w:hAnsi="Times New Roman" w:eastAsia="宋体" w:cs="Times New Roman"/>
                      <w:b w:val="0"/>
                      <w:bCs w:val="0"/>
                      <w:color w:val="auto"/>
                      <w:sz w:val="21"/>
                      <w:szCs w:val="21"/>
                      <w:highlight w:val="none"/>
                      <w:lang w:val="en-US" w:eastAsia="zh-CN"/>
                    </w:rPr>
                    <w:t>cm/s的防渗能力</w:t>
                  </w:r>
                </w:p>
              </w:tc>
            </w:tr>
            <w:tr w14:paraId="3FC5D0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654" w:hRule="atLeast"/>
                <w:tblHeader/>
              </w:trPr>
              <w:tc>
                <w:tcPr>
                  <w:tcW w:w="895" w:type="pct"/>
                  <w:noWrap w:val="0"/>
                  <w:vAlign w:val="center"/>
                </w:tcPr>
                <w:p w14:paraId="77F48A3D">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ascii="Times New Roman" w:hAnsi="Times New Roman" w:eastAsia="宋体" w:cs="Times New Roman"/>
                      <w:color w:val="auto"/>
                      <w:kern w:val="24"/>
                      <w:sz w:val="21"/>
                      <w:szCs w:val="21"/>
                    </w:rPr>
                  </w:pPr>
                  <w:r>
                    <w:rPr>
                      <w:rFonts w:ascii="Times New Roman" w:hAnsi="Times New Roman" w:eastAsia="宋体" w:cs="Times New Roman"/>
                      <w:color w:val="auto"/>
                      <w:kern w:val="24"/>
                      <w:sz w:val="21"/>
                      <w:szCs w:val="21"/>
                    </w:rPr>
                    <w:t>简单防渗区</w:t>
                  </w:r>
                </w:p>
              </w:tc>
              <w:tc>
                <w:tcPr>
                  <w:tcW w:w="929" w:type="pct"/>
                  <w:noWrap w:val="0"/>
                  <w:vAlign w:val="center"/>
                </w:tcPr>
                <w:p w14:paraId="2A29AE3B">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ascii="Times New Roman" w:hAnsi="Times New Roman" w:eastAsia="宋体" w:cs="Times New Roman"/>
                      <w:color w:val="auto"/>
                      <w:kern w:val="24"/>
                      <w:sz w:val="21"/>
                      <w:szCs w:val="21"/>
                    </w:rPr>
                  </w:pPr>
                  <w:r>
                    <w:rPr>
                      <w:rFonts w:hint="eastAsia" w:ascii="Times New Roman" w:hAnsi="Times New Roman" w:eastAsia="宋体" w:cs="Times New Roman"/>
                      <w:color w:val="auto"/>
                      <w:kern w:val="24"/>
                      <w:sz w:val="21"/>
                      <w:szCs w:val="21"/>
                    </w:rPr>
                    <w:t>厂房、</w:t>
                  </w:r>
                  <w:r>
                    <w:rPr>
                      <w:rFonts w:ascii="Times New Roman" w:hAnsi="Times New Roman" w:eastAsia="宋体" w:cs="Times New Roman"/>
                      <w:color w:val="auto"/>
                      <w:kern w:val="24"/>
                      <w:sz w:val="21"/>
                      <w:szCs w:val="21"/>
                    </w:rPr>
                    <w:t>厂区道路</w:t>
                  </w:r>
                </w:p>
              </w:tc>
              <w:tc>
                <w:tcPr>
                  <w:tcW w:w="3175" w:type="pct"/>
                  <w:noWrap w:val="0"/>
                  <w:vAlign w:val="center"/>
                </w:tcPr>
                <w:p w14:paraId="1269C07A">
                  <w:pPr>
                    <w:keepNext w:val="0"/>
                    <w:keepLines w:val="0"/>
                    <w:pageBreakBefore w:val="0"/>
                    <w:widowControl w:val="0"/>
                    <w:kinsoku/>
                    <w:wordWrap/>
                    <w:overflowPunct/>
                    <w:topLinePunct w:val="0"/>
                    <w:autoSpaceDE/>
                    <w:autoSpaceDN/>
                    <w:bidi w:val="0"/>
                    <w:adjustRightInd/>
                    <w:snapToGrid w:val="0"/>
                    <w:spacing w:before="95" w:beforeLines="30" w:after="95" w:afterLines="30"/>
                    <w:jc w:val="center"/>
                    <w:textAlignment w:val="auto"/>
                    <w:rPr>
                      <w:rFonts w:ascii="Times New Roman" w:hAnsi="Times New Roman" w:eastAsia="宋体" w:cs="Times New Roman"/>
                      <w:color w:val="auto"/>
                      <w:kern w:val="24"/>
                      <w:sz w:val="21"/>
                      <w:szCs w:val="21"/>
                    </w:rPr>
                  </w:pPr>
                  <w:r>
                    <w:rPr>
                      <w:rFonts w:ascii="Times New Roman" w:hAnsi="Times New Roman" w:eastAsia="宋体" w:cs="Times New Roman"/>
                      <w:color w:val="auto"/>
                      <w:kern w:val="24"/>
                      <w:sz w:val="21"/>
                      <w:szCs w:val="21"/>
                    </w:rPr>
                    <w:t>地面采用混凝土硬化</w:t>
                  </w:r>
                </w:p>
              </w:tc>
            </w:tr>
          </w:tbl>
          <w:p w14:paraId="4FA0F964">
            <w:pPr>
              <w:widowControl w:val="0"/>
              <w:bidi w:val="0"/>
              <w:spacing w:line="360" w:lineRule="auto"/>
              <w:ind w:firstLine="0" w:firstLineChars="0"/>
              <w:jc w:val="left"/>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4.7</w:t>
            </w:r>
            <w:r>
              <w:rPr>
                <w:rFonts w:hint="default" w:ascii="Times New Roman" w:hAnsi="Times New Roman" w:eastAsia="宋体" w:cs="Times New Roman"/>
                <w:b/>
                <w:bCs/>
                <w:color w:val="auto"/>
                <w:kern w:val="2"/>
                <w:sz w:val="21"/>
                <w:szCs w:val="21"/>
                <w:lang w:val="en-US" w:eastAsia="zh-CN" w:bidi="ar-SA"/>
              </w:rPr>
              <w:t>土壤环境影响分析</w:t>
            </w:r>
          </w:p>
          <w:p w14:paraId="6E20DF9D">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本项目生产过程中</w:t>
            </w:r>
            <w:r>
              <w:rPr>
                <w:rFonts w:hint="eastAsia" w:eastAsia="宋体" w:cs="Times New Roman"/>
                <w:color w:val="auto"/>
                <w:sz w:val="21"/>
                <w:szCs w:val="21"/>
                <w:lang w:val="en-US" w:eastAsia="zh-CN" w:bidi="ar-SA"/>
              </w:rPr>
              <w:t>排放的废气主要为颗粒物、二氧化硫、氮氧化物、氟化物，</w:t>
            </w:r>
            <w:r>
              <w:rPr>
                <w:rFonts w:hint="eastAsia" w:ascii="Times New Roman" w:hAnsi="Times New Roman" w:eastAsia="宋体" w:cs="Times New Roman"/>
                <w:color w:val="auto"/>
                <w:sz w:val="21"/>
                <w:szCs w:val="21"/>
                <w:lang w:val="en-US" w:eastAsia="zh-CN" w:bidi="ar-SA"/>
              </w:rPr>
              <w:t>废水主要为</w:t>
            </w:r>
            <w:r>
              <w:rPr>
                <w:rFonts w:hint="eastAsia" w:cs="Times New Roman"/>
                <w:color w:val="auto"/>
                <w:sz w:val="21"/>
                <w:szCs w:val="21"/>
                <w:lang w:val="en-US" w:eastAsia="zh-CN" w:bidi="ar-SA"/>
              </w:rPr>
              <w:t>脱硫塔循环水</w:t>
            </w:r>
            <w:r>
              <w:rPr>
                <w:rFonts w:hint="eastAsia" w:ascii="Times New Roman" w:hAnsi="Times New Roman" w:eastAsia="宋体" w:cs="Times New Roman"/>
                <w:color w:val="auto"/>
                <w:sz w:val="21"/>
                <w:szCs w:val="21"/>
                <w:lang w:val="en-US" w:eastAsia="zh-CN" w:bidi="ar-SA"/>
              </w:rPr>
              <w:t>，</w:t>
            </w:r>
            <w:r>
              <w:rPr>
                <w:rFonts w:hint="eastAsia" w:cs="Times New Roman"/>
                <w:color w:val="auto"/>
                <w:sz w:val="21"/>
                <w:szCs w:val="21"/>
                <w:lang w:val="en-US" w:eastAsia="zh-CN" w:bidi="ar-SA"/>
              </w:rPr>
              <w:t>脱硫废水</w:t>
            </w:r>
            <w:r>
              <w:rPr>
                <w:rFonts w:hint="eastAsia" w:eastAsia="宋体" w:cs="Times New Roman"/>
                <w:color w:val="auto"/>
                <w:sz w:val="21"/>
                <w:szCs w:val="21"/>
                <w:lang w:val="en-US" w:eastAsia="zh-CN" w:bidi="ar-SA"/>
              </w:rPr>
              <w:t>循环使用</w:t>
            </w:r>
            <w:r>
              <w:rPr>
                <w:rFonts w:hint="eastAsia" w:ascii="Times New Roman" w:hAnsi="Times New Roman" w:eastAsia="宋体" w:cs="Times New Roman"/>
                <w:color w:val="auto"/>
                <w:sz w:val="21"/>
                <w:szCs w:val="21"/>
                <w:lang w:val="en-US" w:eastAsia="zh-CN" w:bidi="ar-SA"/>
              </w:rPr>
              <w:t>，不外排；</w:t>
            </w:r>
            <w:r>
              <w:rPr>
                <w:rFonts w:hint="eastAsia" w:eastAsia="宋体" w:cs="Times New Roman"/>
                <w:color w:val="auto"/>
                <w:sz w:val="21"/>
                <w:szCs w:val="21"/>
                <w:lang w:val="en-US" w:eastAsia="zh-CN" w:bidi="ar-SA"/>
              </w:rPr>
              <w:t>脱硫塔循环水</w:t>
            </w:r>
            <w:r>
              <w:rPr>
                <w:rFonts w:hint="eastAsia" w:ascii="Times New Roman" w:hAnsi="Times New Roman" w:eastAsia="宋体" w:cs="Times New Roman"/>
                <w:color w:val="auto"/>
                <w:sz w:val="21"/>
                <w:szCs w:val="21"/>
                <w:lang w:val="en-US" w:eastAsia="zh-CN" w:bidi="ar-SA"/>
              </w:rPr>
              <w:t>池采取防渗措施，因此不存在垂直渗入，污染土壤的情况。根据《环境影响评价技术导则 土壤环境》（HJ964-2018）规定，本项目土壤影响类型为污染影响型，依据建设项目占地规模和敏感程度进行评价等级划分。本项目占地规模为小型（</w:t>
            </w:r>
            <w:r>
              <w:rPr>
                <w:rFonts w:hint="eastAsia" w:cs="Times New Roman"/>
                <w:color w:val="auto"/>
                <w:kern w:val="2"/>
                <w:sz w:val="21"/>
                <w:szCs w:val="21"/>
                <w:lang w:val="en-US" w:eastAsia="zh-CN" w:bidi="ar-SA"/>
              </w:rPr>
              <w:t>19552.66</w:t>
            </w:r>
            <w:r>
              <w:rPr>
                <w:rFonts w:hint="eastAsia" w:ascii="Times New Roman" w:hAnsi="Times New Roman" w:eastAsia="宋体" w:cs="Times New Roman"/>
                <w:color w:val="auto"/>
                <w:sz w:val="21"/>
                <w:szCs w:val="21"/>
                <w:lang w:val="en-US" w:eastAsia="zh-CN" w:bidi="ar-SA"/>
              </w:rPr>
              <w:t>m</w:t>
            </w:r>
            <w:r>
              <w:rPr>
                <w:rFonts w:hint="eastAsia" w:ascii="Times New Roman" w:hAnsi="Times New Roman" w:eastAsia="宋体" w:cs="Times New Roman"/>
                <w:color w:val="auto"/>
                <w:sz w:val="21"/>
                <w:szCs w:val="21"/>
                <w:vertAlign w:val="superscript"/>
                <w:lang w:val="en-US" w:eastAsia="zh-CN" w:bidi="ar-SA"/>
              </w:rPr>
              <w:t>2</w:t>
            </w:r>
            <w:r>
              <w:rPr>
                <w:rFonts w:hint="eastAsia" w:ascii="Times New Roman" w:hAnsi="Times New Roman" w:eastAsia="宋体" w:cs="Times New Roman"/>
                <w:color w:val="auto"/>
                <w:sz w:val="21"/>
                <w:szCs w:val="21"/>
                <w:lang w:val="en-US" w:eastAsia="zh-CN" w:bidi="ar-SA"/>
              </w:rPr>
              <w:t>），敏感程度为不敏感，可不开展土壤环境影响评价。因此本项目不设土壤环境评价等级，不开展土壤环境影响评价工作。</w:t>
            </w:r>
          </w:p>
          <w:p w14:paraId="3C77D6F5">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bCs/>
                <w:color w:val="auto"/>
                <w:sz w:val="21"/>
                <w:szCs w:val="21"/>
                <w:lang w:val="en-US" w:eastAsia="zh-CN" w:bidi="ar-SA"/>
              </w:rPr>
            </w:pPr>
            <w:r>
              <w:rPr>
                <w:rFonts w:hint="default" w:ascii="Times New Roman" w:hAnsi="Times New Roman" w:eastAsia="宋体" w:cs="Times New Roman"/>
                <w:b/>
                <w:bCs/>
                <w:color w:val="auto"/>
                <w:sz w:val="21"/>
                <w:szCs w:val="21"/>
                <w:lang w:val="en-US" w:eastAsia="zh-CN" w:bidi="ar-SA"/>
              </w:rPr>
              <w:t>4.</w:t>
            </w:r>
            <w:r>
              <w:rPr>
                <w:rFonts w:hint="eastAsia" w:eastAsia="宋体" w:cs="Times New Roman"/>
                <w:b/>
                <w:bCs/>
                <w:color w:val="auto"/>
                <w:sz w:val="21"/>
                <w:szCs w:val="21"/>
                <w:lang w:val="en-US" w:eastAsia="zh-CN" w:bidi="ar-SA"/>
              </w:rPr>
              <w:t>8</w:t>
            </w:r>
            <w:r>
              <w:rPr>
                <w:rFonts w:hint="default" w:ascii="Times New Roman" w:hAnsi="Times New Roman" w:eastAsia="宋体" w:cs="Times New Roman"/>
                <w:b/>
                <w:bCs/>
                <w:color w:val="auto"/>
                <w:sz w:val="21"/>
                <w:szCs w:val="21"/>
                <w:lang w:val="en-US" w:eastAsia="zh-CN" w:bidi="ar-SA"/>
              </w:rPr>
              <w:t>环境风险分析及防范措施</w:t>
            </w:r>
          </w:p>
          <w:p w14:paraId="3EDC7683">
            <w:pPr>
              <w:pageBreakBefore w:val="0"/>
              <w:widowControl w:val="0"/>
              <w:kinsoku/>
              <w:wordWrap/>
              <w:overflowPunct/>
              <w:topLinePunct w:val="0"/>
              <w:autoSpaceDE/>
              <w:autoSpaceDN/>
              <w:bidi w:val="0"/>
              <w:snapToGrid w:val="0"/>
              <w:spacing w:line="36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评价的目的是分析和预测建设项目存在的潜在危险、有害因素，建设项目建设和运营期间可能产生的突发性事件或事故（一般不包括人为破坏及自然灾害），引起有毒有害和易燃易爆等物质泄漏，所造成的人身安全与环境影响和损害程度，提出合理可行的防范、应急减缓措施，以使建设项目的事故率、损失和环境影响降低到可接受水平。</w:t>
            </w:r>
          </w:p>
          <w:p w14:paraId="6C2EFB4F">
            <w:pPr>
              <w:pageBreakBefore w:val="0"/>
              <w:widowControl w:val="0"/>
              <w:kinsoku/>
              <w:wordWrap/>
              <w:overflowPunct/>
              <w:topLinePunct w:val="0"/>
              <w:autoSpaceDE/>
              <w:autoSpaceDN/>
              <w:bidi w:val="0"/>
              <w:adjustRightInd w:val="0"/>
              <w:snapToGrid w:val="0"/>
              <w:spacing w:line="360" w:lineRule="auto"/>
              <w:ind w:left="0" w:leftChars="0" w:firstLine="422" w:firstLineChars="20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（1）评价依据</w:t>
            </w:r>
          </w:p>
          <w:p w14:paraId="192D7EA6">
            <w:pPr>
              <w:pageBreakBefore w:val="0"/>
              <w:widowControl w:val="0"/>
              <w:kinsoku/>
              <w:wordWrap/>
              <w:overflowPunct/>
              <w:topLinePunct w:val="0"/>
              <w:autoSpaceDE/>
              <w:autoSpaceDN/>
              <w:bidi w:val="0"/>
              <w:adjustRightInd w:val="0"/>
              <w:snapToGrid w:val="0"/>
              <w:spacing w:line="360" w:lineRule="auto"/>
              <w:ind w:left="0" w:leftChars="0" w:firstLine="422"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fldChar w:fldCharType="begin"/>
            </w:r>
            <w:r>
              <w:rPr>
                <w:rFonts w:hint="default" w:ascii="Times New Roman" w:hAnsi="Times New Roman" w:eastAsia="宋体" w:cs="Times New Roman"/>
                <w:b/>
                <w:bCs/>
                <w:color w:val="auto"/>
                <w:sz w:val="21"/>
                <w:szCs w:val="21"/>
                <w:lang w:val="en-US" w:eastAsia="zh-CN"/>
              </w:rPr>
              <w:instrText xml:space="preserve"> = 1 \* GB3 \* MERGEFORMAT </w:instrText>
            </w:r>
            <w:r>
              <w:rPr>
                <w:rFonts w:hint="default" w:ascii="Times New Roman" w:hAnsi="Times New Roman" w:eastAsia="宋体" w:cs="Times New Roman"/>
                <w:b/>
                <w:bCs/>
                <w:color w:val="auto"/>
                <w:sz w:val="21"/>
                <w:szCs w:val="21"/>
                <w:lang w:val="en-US" w:eastAsia="zh-CN"/>
              </w:rPr>
              <w:fldChar w:fldCharType="separate"/>
            </w:r>
            <w:r>
              <w:rPr>
                <w:rFonts w:hint="default" w:ascii="Times New Roman" w:hAnsi="Times New Roman" w:eastAsia="宋体" w:cs="Times New Roman"/>
                <w:b/>
                <w:bCs/>
                <w:color w:val="auto"/>
                <w:sz w:val="21"/>
                <w:szCs w:val="21"/>
              </w:rPr>
              <w:t>①</w:t>
            </w:r>
            <w:r>
              <w:rPr>
                <w:rFonts w:hint="default" w:ascii="Times New Roman" w:hAnsi="Times New Roman" w:eastAsia="宋体" w:cs="Times New Roman"/>
                <w:b/>
                <w:bCs/>
                <w:color w:val="auto"/>
                <w:sz w:val="21"/>
                <w:szCs w:val="21"/>
                <w:lang w:val="en-US" w:eastAsia="zh-CN"/>
              </w:rPr>
              <w:fldChar w:fldCharType="end"/>
            </w:r>
            <w:r>
              <w:rPr>
                <w:rFonts w:hint="default" w:ascii="Times New Roman" w:hAnsi="Times New Roman" w:eastAsia="宋体" w:cs="Times New Roman"/>
                <w:b/>
                <w:bCs/>
                <w:color w:val="auto"/>
                <w:sz w:val="21"/>
                <w:szCs w:val="21"/>
              </w:rPr>
              <w:t>风险调查</w:t>
            </w:r>
          </w:p>
          <w:p w14:paraId="167B0CAC">
            <w:pPr>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根据《建设项目环境风险评价技术导则》（HJ169-2018）附录B，</w:t>
            </w:r>
            <w:r>
              <w:rPr>
                <w:rFonts w:hint="default" w:ascii="Times New Roman" w:hAnsi="Times New Roman" w:eastAsia="宋体" w:cs="Times New Roman"/>
                <w:color w:val="auto"/>
                <w:sz w:val="21"/>
                <w:szCs w:val="21"/>
              </w:rPr>
              <w:t>本项目</w:t>
            </w:r>
            <w:r>
              <w:rPr>
                <w:rFonts w:hint="default" w:ascii="Times New Roman" w:hAnsi="Times New Roman" w:eastAsia="宋体" w:cs="Times New Roman"/>
                <w:color w:val="auto"/>
                <w:sz w:val="21"/>
                <w:szCs w:val="21"/>
                <w:lang w:val="en-US" w:eastAsia="zh-CN"/>
              </w:rPr>
              <w:t>存在的</w:t>
            </w:r>
            <w:r>
              <w:rPr>
                <w:rFonts w:hint="default" w:ascii="Times New Roman" w:hAnsi="Times New Roman" w:eastAsia="宋体" w:cs="Times New Roman"/>
                <w:color w:val="auto"/>
                <w:sz w:val="21"/>
                <w:szCs w:val="21"/>
              </w:rPr>
              <w:t>危险物质主要为</w:t>
            </w:r>
            <w:r>
              <w:rPr>
                <w:rFonts w:hint="eastAsia" w:ascii="Times New Roman" w:hAnsi="Times New Roman" w:eastAsia="宋体" w:cs="Times New Roman"/>
                <w:color w:val="auto"/>
                <w:sz w:val="21"/>
                <w:szCs w:val="21"/>
                <w:lang w:val="en-US" w:eastAsia="zh-CN"/>
              </w:rPr>
              <w:t>废润滑</w:t>
            </w:r>
            <w:r>
              <w:rPr>
                <w:rFonts w:hint="default" w:ascii="Times New Roman" w:hAnsi="Times New Roman" w:eastAsia="宋体" w:cs="Times New Roman"/>
                <w:color w:val="auto"/>
                <w:sz w:val="21"/>
                <w:szCs w:val="21"/>
                <w:lang w:val="en-US" w:eastAsia="zh-CN"/>
              </w:rPr>
              <w:t>油</w:t>
            </w:r>
            <w:r>
              <w:rPr>
                <w:rFonts w:hint="default" w:ascii="Times New Roman" w:hAnsi="Times New Roman" w:eastAsia="宋体" w:cs="Times New Roman"/>
                <w:color w:val="auto"/>
                <w:sz w:val="21"/>
                <w:szCs w:val="21"/>
              </w:rPr>
              <w:t>。主要</w:t>
            </w:r>
            <w:r>
              <w:rPr>
                <w:rFonts w:hint="default" w:ascii="Times New Roman" w:hAnsi="Times New Roman" w:eastAsia="宋体" w:cs="Times New Roman"/>
                <w:color w:val="auto"/>
                <w:sz w:val="21"/>
                <w:szCs w:val="21"/>
                <w:lang w:val="zh-CN"/>
              </w:rPr>
              <w:t>事故</w:t>
            </w:r>
            <w:r>
              <w:rPr>
                <w:rFonts w:hint="default" w:ascii="Times New Roman" w:hAnsi="Times New Roman" w:eastAsia="宋体" w:cs="Times New Roman"/>
                <w:color w:val="auto"/>
                <w:sz w:val="21"/>
                <w:szCs w:val="21"/>
              </w:rPr>
              <w:t>风险源是</w:t>
            </w:r>
            <w:r>
              <w:rPr>
                <w:rFonts w:hint="default" w:ascii="Times New Roman" w:hAnsi="Times New Roman" w:eastAsia="宋体" w:cs="Times New Roman"/>
                <w:color w:val="auto"/>
                <w:sz w:val="21"/>
                <w:szCs w:val="21"/>
                <w:lang w:val="en-US" w:eastAsia="zh-CN"/>
              </w:rPr>
              <w:t>废润滑油收集桶</w:t>
            </w:r>
            <w:r>
              <w:rPr>
                <w:rFonts w:hint="default" w:ascii="Times New Roman" w:hAnsi="Times New Roman" w:eastAsia="宋体" w:cs="Times New Roman"/>
                <w:color w:val="auto"/>
                <w:sz w:val="21"/>
                <w:szCs w:val="21"/>
                <w:lang w:val="zh-CN"/>
              </w:rPr>
              <w:t>破损</w:t>
            </w:r>
            <w:r>
              <w:rPr>
                <w:rFonts w:hint="eastAsia" w:eastAsia="宋体" w:cs="Times New Roman"/>
                <w:color w:val="auto"/>
                <w:sz w:val="21"/>
                <w:szCs w:val="21"/>
                <w:lang w:val="zh-CN"/>
              </w:rPr>
              <w:t>泄漏</w:t>
            </w:r>
            <w:r>
              <w:rPr>
                <w:rFonts w:hint="default" w:ascii="Times New Roman" w:hAnsi="Times New Roman" w:eastAsia="宋体" w:cs="Times New Roman"/>
                <w:color w:val="auto"/>
                <w:sz w:val="21"/>
                <w:szCs w:val="21"/>
                <w:lang w:val="zh-CN"/>
              </w:rPr>
              <w:t>，或</w:t>
            </w:r>
            <w:r>
              <w:rPr>
                <w:rFonts w:hint="eastAsia" w:eastAsia="宋体" w:cs="Times New Roman"/>
                <w:color w:val="auto"/>
                <w:sz w:val="21"/>
                <w:szCs w:val="21"/>
                <w:lang w:val="zh-CN"/>
              </w:rPr>
              <w:t>泄漏</w:t>
            </w:r>
            <w:r>
              <w:rPr>
                <w:rFonts w:hint="default" w:ascii="Times New Roman" w:hAnsi="Times New Roman" w:eastAsia="宋体" w:cs="Times New Roman"/>
                <w:color w:val="auto"/>
                <w:sz w:val="21"/>
                <w:szCs w:val="21"/>
                <w:lang w:val="zh-CN"/>
              </w:rPr>
              <w:t>后遇明火或高热高温即可导致火灾爆炸事故的发生</w:t>
            </w:r>
            <w:r>
              <w:rPr>
                <w:rFonts w:hint="default" w:ascii="Times New Roman" w:hAnsi="Times New Roman" w:eastAsia="宋体" w:cs="Times New Roman"/>
                <w:color w:val="auto"/>
                <w:sz w:val="21"/>
                <w:szCs w:val="21"/>
              </w:rPr>
              <w:t>等风险。</w:t>
            </w:r>
          </w:p>
          <w:p w14:paraId="0CA790BF">
            <w:pPr>
              <w:keepNext/>
              <w:keepLines/>
              <w:pageBreakBefore w:val="0"/>
              <w:widowControl w:val="0"/>
              <w:kinsoku/>
              <w:wordWrap/>
              <w:overflowPunct/>
              <w:topLinePunct w:val="0"/>
              <w:autoSpaceDE/>
              <w:autoSpaceDN/>
              <w:bidi w:val="0"/>
              <w:adjustRightInd w:val="0"/>
              <w:snapToGrid w:val="0"/>
              <w:spacing w:line="360" w:lineRule="auto"/>
              <w:ind w:left="0" w:leftChars="0" w:firstLine="422" w:firstLineChars="200"/>
              <w:jc w:val="left"/>
              <w:textAlignment w:val="auto"/>
              <w:outlineLvl w:val="2"/>
              <w:rPr>
                <w:rFonts w:hint="default" w:ascii="Times New Roman" w:hAnsi="Times New Roman" w:eastAsia="宋体" w:cs="Times New Roman"/>
                <w:b/>
                <w:bCs/>
                <w:color w:val="auto"/>
                <w:sz w:val="21"/>
                <w:szCs w:val="21"/>
              </w:rPr>
            </w:pPr>
            <w:bookmarkStart w:id="10" w:name="_Toc26040"/>
            <w:r>
              <w:rPr>
                <w:rFonts w:hint="default" w:ascii="Times New Roman" w:hAnsi="Times New Roman" w:eastAsia="宋体" w:cs="Times New Roman"/>
                <w:b/>
                <w:bCs/>
                <w:color w:val="auto"/>
                <w:sz w:val="21"/>
                <w:szCs w:val="21"/>
              </w:rPr>
              <w:fldChar w:fldCharType="begin"/>
            </w:r>
            <w:r>
              <w:rPr>
                <w:rFonts w:hint="default" w:ascii="Times New Roman" w:hAnsi="Times New Roman" w:eastAsia="宋体" w:cs="Times New Roman"/>
                <w:b/>
                <w:bCs/>
                <w:color w:val="auto"/>
                <w:sz w:val="21"/>
                <w:szCs w:val="21"/>
              </w:rPr>
              <w:instrText xml:space="preserve"> = 2 \* GB3 \* MERGEFORMAT </w:instrText>
            </w:r>
            <w:r>
              <w:rPr>
                <w:rFonts w:hint="default" w:ascii="Times New Roman" w:hAnsi="Times New Roman" w:eastAsia="宋体" w:cs="Times New Roman"/>
                <w:b/>
                <w:bCs/>
                <w:color w:val="auto"/>
                <w:sz w:val="21"/>
                <w:szCs w:val="21"/>
              </w:rPr>
              <w:fldChar w:fldCharType="separate"/>
            </w:r>
            <w:r>
              <w:rPr>
                <w:rFonts w:hint="default" w:ascii="Times New Roman" w:hAnsi="Times New Roman" w:eastAsia="宋体" w:cs="Times New Roman"/>
                <w:b/>
                <w:bCs/>
                <w:color w:val="auto"/>
                <w:sz w:val="21"/>
                <w:szCs w:val="21"/>
              </w:rPr>
              <w:t>②</w:t>
            </w:r>
            <w:r>
              <w:rPr>
                <w:rFonts w:hint="default" w:ascii="Times New Roman" w:hAnsi="Times New Roman" w:eastAsia="宋体" w:cs="Times New Roman"/>
                <w:b/>
                <w:bCs/>
                <w:color w:val="auto"/>
                <w:sz w:val="21"/>
                <w:szCs w:val="21"/>
              </w:rPr>
              <w:fldChar w:fldCharType="end"/>
            </w:r>
            <w:r>
              <w:rPr>
                <w:rFonts w:hint="default" w:ascii="Times New Roman" w:hAnsi="Times New Roman" w:eastAsia="宋体" w:cs="Times New Roman"/>
                <w:b/>
                <w:bCs/>
                <w:color w:val="auto"/>
                <w:sz w:val="21"/>
                <w:szCs w:val="21"/>
              </w:rPr>
              <w:t>环境风险潜势初判</w:t>
            </w:r>
            <w:bookmarkEnd w:id="10"/>
          </w:p>
          <w:p w14:paraId="44622282">
            <w:pPr>
              <w:pageBreakBefore w:val="0"/>
              <w:widowControl w:val="0"/>
              <w:kinsoku/>
              <w:wordWrap/>
              <w:overflowPunct/>
              <w:topLinePunct w:val="0"/>
              <w:autoSpaceDE/>
              <w:autoSpaceDN/>
              <w:bidi w:val="0"/>
              <w:adjustRightInd w:val="0"/>
              <w:snapToGrid w:val="0"/>
              <w:spacing w:line="360" w:lineRule="auto"/>
              <w:ind w:left="0" w:leftChars="0" w:firstLine="422"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Q值判定</w:t>
            </w:r>
          </w:p>
          <w:p w14:paraId="35A68D53">
            <w:pPr>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根据《建设项目环境风险评价技术导则》（HJ169—2018）附录C，危险物质数量与临界量的比值（Q）如下：</w:t>
            </w:r>
          </w:p>
          <w:p w14:paraId="32DDC438">
            <w:pPr>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计算所涉及的每种危险物质在厂界内的最大存在总量与其在《建设项目环境风险评价技术导则HJ169—2018》附录C中对应临界量的比值Q。</w:t>
            </w:r>
          </w:p>
          <w:p w14:paraId="2432F081">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2007235" cy="462915"/>
                  <wp:effectExtent l="0" t="0" r="4445" b="9525"/>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pic:cNvPicPr>
                            <a:picLocks noChangeAspect="1"/>
                          </pic:cNvPicPr>
                        </pic:nvPicPr>
                        <pic:blipFill>
                          <a:blip r:embed="rId45"/>
                          <a:stretch>
                            <a:fillRect/>
                          </a:stretch>
                        </pic:blipFill>
                        <pic:spPr>
                          <a:xfrm>
                            <a:off x="0" y="0"/>
                            <a:ext cx="2007235" cy="462915"/>
                          </a:xfrm>
                          <a:prstGeom prst="rect">
                            <a:avLst/>
                          </a:prstGeom>
                          <a:noFill/>
                          <a:ln>
                            <a:noFill/>
                          </a:ln>
                        </pic:spPr>
                      </pic:pic>
                    </a:graphicData>
                  </a:graphic>
                </wp:inline>
              </w:drawing>
            </w:r>
          </w:p>
          <w:p w14:paraId="727A6525">
            <w:pPr>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式中：q1，q2，…，qn——每种危险物质的最大存在总量，t</w:t>
            </w:r>
          </w:p>
          <w:p w14:paraId="638B36F1">
            <w:pPr>
              <w:pageBreakBefore w:val="0"/>
              <w:widowControl w:val="0"/>
              <w:kinsoku/>
              <w:wordWrap/>
              <w:overflowPunct/>
              <w:topLinePunct w:val="0"/>
              <w:autoSpaceDE/>
              <w:autoSpaceDN/>
              <w:bidi w:val="0"/>
              <w:adjustRightInd w:val="0"/>
              <w:snapToGrid w:val="0"/>
              <w:spacing w:line="360" w:lineRule="auto"/>
              <w:ind w:left="0" w:leftChars="0" w:firstLine="1050" w:firstLineChars="5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Q1，Q2，…，Qn——每种危险物质的临界量，t</w:t>
            </w:r>
          </w:p>
          <w:p w14:paraId="372D0B0A">
            <w:pPr>
              <w:pageBreakBefore w:val="0"/>
              <w:widowControl w:val="0"/>
              <w:kinsoku/>
              <w:wordWrap/>
              <w:overflowPunct/>
              <w:topLinePunct w:val="0"/>
              <w:autoSpaceDE/>
              <w:autoSpaceDN/>
              <w:bidi w:val="0"/>
              <w:adjustRightInd w:val="0"/>
              <w:snapToGrid w:val="0"/>
              <w:spacing w:line="360" w:lineRule="auto"/>
              <w:ind w:left="0" w:leftChars="0" w:firstLine="1050" w:firstLineChars="5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当Q&lt;1时，该项目环境风险潜势为Ⅰ</w:t>
            </w:r>
          </w:p>
          <w:p w14:paraId="3F9EC331">
            <w:pPr>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当Q≥1时，将Q值划分为：（1）1≤Q＜10；（2）10≤Q＜100；（3）Q≥100。</w:t>
            </w:r>
          </w:p>
          <w:p w14:paraId="54F71677">
            <w:pPr>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本项目存在的风险源主要为</w:t>
            </w:r>
            <w:r>
              <w:rPr>
                <w:rFonts w:hint="default" w:ascii="Times New Roman" w:hAnsi="Times New Roman" w:eastAsia="宋体" w:cs="Times New Roman"/>
                <w:color w:val="auto"/>
                <w:sz w:val="21"/>
                <w:szCs w:val="21"/>
                <w:lang w:val="en-US" w:eastAsia="zh-CN"/>
              </w:rPr>
              <w:t>废润滑油收集桶</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根据《建设项目环境风险评价技术导则》（HJ169-20</w:t>
            </w:r>
            <w:r>
              <w:rPr>
                <w:rFonts w:hint="default" w:ascii="Times New Roman" w:hAnsi="Times New Roman" w:eastAsia="宋体" w:cs="Times New Roman"/>
                <w:color w:val="auto"/>
                <w:sz w:val="21"/>
                <w:szCs w:val="21"/>
                <w:lang w:val="en-US" w:eastAsia="zh-CN"/>
              </w:rPr>
              <w:t>18</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zh-CN"/>
              </w:rPr>
              <w:t>附录B</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矿物油</w:t>
            </w:r>
            <w:r>
              <w:rPr>
                <w:rFonts w:hint="default" w:ascii="Times New Roman" w:hAnsi="Times New Roman" w:eastAsia="宋体" w:cs="Times New Roman"/>
                <w:color w:val="auto"/>
                <w:sz w:val="21"/>
                <w:szCs w:val="21"/>
              </w:rPr>
              <w:t>。计算项目危险物质的本项目Q值核算如下：</w:t>
            </w:r>
          </w:p>
          <w:p w14:paraId="6944799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82"/>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表</w:t>
            </w:r>
            <w:r>
              <w:rPr>
                <w:rFonts w:hint="default" w:ascii="Times New Roman" w:hAnsi="Times New Roman" w:eastAsia="宋体" w:cs="Times New Roman"/>
                <w:b/>
                <w:bCs w:val="0"/>
                <w:color w:val="auto"/>
                <w:sz w:val="21"/>
                <w:szCs w:val="21"/>
                <w:lang w:val="en-US" w:eastAsia="zh-CN"/>
              </w:rPr>
              <w:t>4-</w:t>
            </w:r>
            <w:r>
              <w:rPr>
                <w:rFonts w:hint="eastAsia" w:cs="Times New Roman"/>
                <w:b/>
                <w:bCs w:val="0"/>
                <w:color w:val="auto"/>
                <w:sz w:val="21"/>
                <w:szCs w:val="21"/>
                <w:lang w:val="en-US" w:eastAsia="zh-CN"/>
              </w:rPr>
              <w:t>16</w:t>
            </w:r>
            <w:r>
              <w:rPr>
                <w:rFonts w:hint="eastAsia" w:ascii="Times New Roman" w:hAnsi="Times New Roman" w:eastAsia="宋体" w:cs="Times New Roman"/>
                <w:b/>
                <w:bCs w:val="0"/>
                <w:color w:val="auto"/>
                <w:sz w:val="21"/>
                <w:szCs w:val="21"/>
                <w:lang w:val="en-US" w:eastAsia="zh-CN"/>
              </w:rPr>
              <w:t xml:space="preserve"> </w:t>
            </w:r>
            <w:r>
              <w:rPr>
                <w:rFonts w:hint="default" w:ascii="Times New Roman" w:hAnsi="Times New Roman" w:eastAsia="宋体" w:cs="Times New Roman"/>
                <w:b/>
                <w:bCs w:val="0"/>
                <w:color w:val="auto"/>
                <w:sz w:val="21"/>
                <w:szCs w:val="21"/>
                <w:lang w:val="en-US" w:eastAsia="zh-CN"/>
              </w:rPr>
              <w:t xml:space="preserve"> </w:t>
            </w:r>
            <w:r>
              <w:rPr>
                <w:rFonts w:hint="default" w:ascii="Times New Roman" w:hAnsi="Times New Roman" w:eastAsia="宋体" w:cs="Times New Roman"/>
                <w:b/>
                <w:bCs w:val="0"/>
                <w:color w:val="auto"/>
                <w:sz w:val="21"/>
                <w:szCs w:val="21"/>
              </w:rPr>
              <w:t>建设项目Q值核算表</w:t>
            </w:r>
          </w:p>
          <w:tbl>
            <w:tblPr>
              <w:tblStyle w:val="29"/>
              <w:tblW w:w="77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6"/>
              <w:gridCol w:w="2019"/>
              <w:gridCol w:w="1720"/>
              <w:gridCol w:w="2005"/>
            </w:tblGrid>
            <w:tr w14:paraId="08731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2016" w:type="dxa"/>
                  <w:noWrap w:val="0"/>
                  <w:vAlign w:val="top"/>
                </w:tcPr>
                <w:p w14:paraId="418C92FD">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tLeas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危险物质</w:t>
                  </w:r>
                </w:p>
              </w:tc>
              <w:tc>
                <w:tcPr>
                  <w:tcW w:w="2019" w:type="dxa"/>
                  <w:noWrap w:val="0"/>
                  <w:vAlign w:val="top"/>
                </w:tcPr>
                <w:p w14:paraId="74A65CFD">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tLeas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最大储存量（t）</w:t>
                  </w:r>
                </w:p>
              </w:tc>
              <w:tc>
                <w:tcPr>
                  <w:tcW w:w="1720" w:type="dxa"/>
                  <w:noWrap w:val="0"/>
                  <w:vAlign w:val="top"/>
                </w:tcPr>
                <w:p w14:paraId="5DA78BBA">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tLeas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临界量（t）</w:t>
                  </w:r>
                </w:p>
              </w:tc>
              <w:tc>
                <w:tcPr>
                  <w:tcW w:w="2005" w:type="dxa"/>
                  <w:noWrap w:val="0"/>
                  <w:vAlign w:val="top"/>
                </w:tcPr>
                <w:p w14:paraId="19338309">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tLeas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Q值</w:t>
                  </w:r>
                </w:p>
              </w:tc>
            </w:tr>
            <w:tr w14:paraId="6F2A5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2016" w:type="dxa"/>
                  <w:noWrap w:val="0"/>
                  <w:vAlign w:val="top"/>
                </w:tcPr>
                <w:p w14:paraId="0F2A545D">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tLeast"/>
                    <w:ind w:left="0" w:leftChars="0" w:firstLine="0" w:firstLineChars="0"/>
                    <w:jc w:val="center"/>
                    <w:textAlignment w:val="auto"/>
                    <w:rPr>
                      <w:rFonts w:hint="eastAsia" w:ascii="Times New Roman" w:hAnsi="Times New Roman" w:eastAsia="宋体" w:cs="Times New Roman"/>
                      <w:color w:val="auto"/>
                      <w:kern w:val="2"/>
                      <w:sz w:val="21"/>
                      <w:szCs w:val="21"/>
                      <w:lang w:val="zh-CN" w:eastAsia="zh-CN" w:bidi="ar-SA"/>
                    </w:rPr>
                  </w:pPr>
                  <w:r>
                    <w:rPr>
                      <w:rFonts w:hint="eastAsia" w:ascii="Times New Roman" w:hAnsi="Times New Roman" w:eastAsia="宋体" w:cs="Times New Roman"/>
                      <w:color w:val="auto"/>
                      <w:kern w:val="2"/>
                      <w:sz w:val="21"/>
                      <w:szCs w:val="21"/>
                      <w:lang w:val="zh-CN" w:eastAsia="zh-CN" w:bidi="ar-SA"/>
                    </w:rPr>
                    <w:t>废润滑油</w:t>
                  </w:r>
                </w:p>
              </w:tc>
              <w:tc>
                <w:tcPr>
                  <w:tcW w:w="2019" w:type="dxa"/>
                  <w:noWrap w:val="0"/>
                  <w:vAlign w:val="top"/>
                </w:tcPr>
                <w:p w14:paraId="5EFD3B10">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tLeas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0.2</w:t>
                  </w:r>
                </w:p>
              </w:tc>
              <w:tc>
                <w:tcPr>
                  <w:tcW w:w="1720" w:type="dxa"/>
                  <w:noWrap w:val="0"/>
                  <w:vAlign w:val="top"/>
                </w:tcPr>
                <w:p w14:paraId="6CCF61A1">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tLeast"/>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250</w:t>
                  </w:r>
                  <w:r>
                    <w:rPr>
                      <w:rFonts w:hint="eastAsia" w:ascii="Times New Roman" w:hAnsi="Times New Roman" w:eastAsia="宋体" w:cs="Times New Roman"/>
                      <w:color w:val="auto"/>
                      <w:kern w:val="2"/>
                      <w:sz w:val="21"/>
                      <w:szCs w:val="21"/>
                      <w:lang w:val="en-US" w:eastAsia="zh-CN" w:bidi="ar-SA"/>
                    </w:rPr>
                    <w:t>0</w:t>
                  </w:r>
                </w:p>
              </w:tc>
              <w:tc>
                <w:tcPr>
                  <w:tcW w:w="2005" w:type="dxa"/>
                  <w:noWrap w:val="0"/>
                  <w:vAlign w:val="top"/>
                </w:tcPr>
                <w:p w14:paraId="4BF8427B">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tLeas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0.0000</w:t>
                  </w:r>
                  <w:r>
                    <w:rPr>
                      <w:rFonts w:hint="eastAsia" w:eastAsia="宋体" w:cs="Times New Roman"/>
                      <w:color w:val="auto"/>
                      <w:kern w:val="2"/>
                      <w:sz w:val="21"/>
                      <w:szCs w:val="21"/>
                      <w:lang w:val="en-US" w:eastAsia="zh-CN" w:bidi="ar-SA"/>
                    </w:rPr>
                    <w:t>8</w:t>
                  </w:r>
                </w:p>
              </w:tc>
            </w:tr>
            <w:tr w14:paraId="50C03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755" w:type="dxa"/>
                  <w:gridSpan w:val="3"/>
                  <w:noWrap w:val="0"/>
                  <w:vAlign w:val="top"/>
                </w:tcPr>
                <w:p w14:paraId="36E581DB">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tLeas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合计</w:t>
                  </w:r>
                </w:p>
              </w:tc>
              <w:tc>
                <w:tcPr>
                  <w:tcW w:w="2005" w:type="dxa"/>
                  <w:noWrap w:val="0"/>
                  <w:vAlign w:val="top"/>
                </w:tcPr>
                <w:p w14:paraId="4625E94B">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tLeast"/>
                    <w:ind w:left="0" w:lef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0.00008</w:t>
                  </w:r>
                </w:p>
              </w:tc>
            </w:tr>
          </w:tbl>
          <w:p w14:paraId="11800E89">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根据上表，项目Q值约为</w:t>
            </w:r>
            <w:r>
              <w:rPr>
                <w:rFonts w:hint="eastAsia" w:ascii="Times New Roman" w:hAnsi="Times New Roman" w:eastAsia="宋体" w:cs="Times New Roman"/>
                <w:color w:val="auto"/>
                <w:sz w:val="21"/>
                <w:szCs w:val="21"/>
                <w:lang w:val="en-US" w:eastAsia="zh-CN"/>
              </w:rPr>
              <w:t>0.0</w:t>
            </w:r>
            <w:r>
              <w:rPr>
                <w:rFonts w:hint="eastAsia" w:eastAsia="宋体" w:cs="Times New Roman"/>
                <w:color w:val="auto"/>
                <w:sz w:val="21"/>
                <w:szCs w:val="21"/>
                <w:lang w:val="en-US" w:eastAsia="zh-CN"/>
              </w:rPr>
              <w:t>00</w:t>
            </w:r>
            <w:r>
              <w:rPr>
                <w:rFonts w:hint="eastAsia" w:ascii="Times New Roman" w:hAnsi="Times New Roman" w:eastAsia="宋体" w:cs="Times New Roman"/>
                <w:color w:val="auto"/>
                <w:sz w:val="21"/>
                <w:szCs w:val="21"/>
                <w:lang w:val="en-US" w:eastAsia="zh-CN"/>
              </w:rPr>
              <w:t>08</w:t>
            </w:r>
            <w:r>
              <w:rPr>
                <w:rFonts w:hint="default" w:ascii="Times New Roman" w:hAnsi="Times New Roman" w:eastAsia="宋体" w:cs="Times New Roman"/>
                <w:color w:val="auto"/>
                <w:sz w:val="21"/>
                <w:szCs w:val="21"/>
              </w:rPr>
              <w:t>，Q＜1；根据《建设项目环境风险评价技术导则》</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HJ169-2018</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：当Q＜1时，建设项目环境风险潜势直接判定为Ⅰ</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确定项目环境风险评价工作等级为简单分析。</w:t>
            </w:r>
          </w:p>
          <w:p w14:paraId="2A667FD5">
            <w:pPr>
              <w:keepNext/>
              <w:keepLines/>
              <w:pageBreakBefore w:val="0"/>
              <w:widowControl w:val="0"/>
              <w:kinsoku/>
              <w:wordWrap/>
              <w:overflowPunct/>
              <w:topLinePunct w:val="0"/>
              <w:autoSpaceDE/>
              <w:autoSpaceDN/>
              <w:bidi w:val="0"/>
              <w:adjustRightInd w:val="0"/>
              <w:snapToGrid w:val="0"/>
              <w:spacing w:line="360" w:lineRule="auto"/>
              <w:ind w:left="0" w:leftChars="0" w:firstLine="422" w:firstLineChars="200"/>
              <w:jc w:val="left"/>
              <w:textAlignment w:val="auto"/>
              <w:outlineLvl w:val="2"/>
              <w:rPr>
                <w:rFonts w:hint="default" w:ascii="Times New Roman" w:hAnsi="Times New Roman" w:eastAsia="宋体" w:cs="Times New Roman"/>
                <w:b/>
                <w:bCs/>
                <w:color w:val="auto"/>
                <w:sz w:val="21"/>
                <w:szCs w:val="21"/>
              </w:rPr>
            </w:pPr>
            <w:bookmarkStart w:id="11" w:name="_Toc5243"/>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风险识别</w:t>
            </w:r>
            <w:bookmarkEnd w:id="11"/>
          </w:p>
          <w:p w14:paraId="06810BED">
            <w:pPr>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ascii="Times New Roman" w:hAnsi="Times New Roman" w:eastAsia="宋体" w:cs="Times New Roman"/>
                <w:color w:val="auto"/>
                <w:sz w:val="21"/>
                <w:szCs w:val="21"/>
                <w:lang w:val="en-US" w:eastAsia="zh-CN"/>
              </w:rPr>
            </w:pPr>
            <w:r>
              <w:rPr>
                <w:rFonts w:hint="eastAsia" w:ascii="宋体" w:hAnsi="宋体" w:eastAsia="宋体" w:cs="宋体"/>
                <w:color w:val="auto"/>
                <w:sz w:val="21"/>
                <w:szCs w:val="21"/>
              </w:rPr>
              <w:t>①</w:t>
            </w:r>
            <w:r>
              <w:rPr>
                <w:rFonts w:hint="eastAsia" w:eastAsia="宋体" w:cs="Times New Roman"/>
                <w:color w:val="auto"/>
                <w:sz w:val="21"/>
                <w:szCs w:val="21"/>
                <w:lang w:val="en-US" w:eastAsia="zh-CN"/>
              </w:rPr>
              <w:t>废润滑油</w:t>
            </w:r>
          </w:p>
          <w:p w14:paraId="5D5164E5">
            <w:pPr>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本项目风险物质</w:t>
            </w:r>
            <w:r>
              <w:rPr>
                <w:rFonts w:hint="eastAsia" w:ascii="Times New Roman" w:hAnsi="Times New Roman" w:eastAsia="宋体" w:cs="Times New Roman"/>
                <w:color w:val="auto"/>
                <w:sz w:val="21"/>
                <w:szCs w:val="21"/>
                <w:lang w:val="en-US" w:eastAsia="zh-CN"/>
              </w:rPr>
              <w:t>废润滑</w:t>
            </w:r>
            <w:r>
              <w:rPr>
                <w:rFonts w:hint="default" w:ascii="Times New Roman" w:hAnsi="Times New Roman" w:eastAsia="宋体" w:cs="Times New Roman"/>
                <w:color w:val="auto"/>
                <w:sz w:val="21"/>
                <w:szCs w:val="21"/>
                <w:lang w:val="en-US" w:eastAsia="zh-CN"/>
              </w:rPr>
              <w:t>油（矿物油）</w:t>
            </w:r>
            <w:r>
              <w:rPr>
                <w:rFonts w:hint="default" w:ascii="Times New Roman" w:hAnsi="Times New Roman" w:eastAsia="宋体" w:cs="Times New Roman"/>
                <w:color w:val="auto"/>
                <w:sz w:val="21"/>
                <w:szCs w:val="21"/>
              </w:rPr>
              <w:t>的理化性质及危险特性见下表。</w:t>
            </w:r>
          </w:p>
          <w:p w14:paraId="51A2995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482"/>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lang w:val="en-US" w:eastAsia="zh-CN"/>
              </w:rPr>
              <w:t>4-</w:t>
            </w:r>
            <w:r>
              <w:rPr>
                <w:rFonts w:hint="eastAsia" w:cs="Times New Roman"/>
                <w:b/>
                <w:bCs w:val="0"/>
                <w:color w:val="auto"/>
                <w:sz w:val="21"/>
                <w:szCs w:val="21"/>
                <w:lang w:val="en-US" w:eastAsia="zh-CN"/>
              </w:rPr>
              <w:t>17</w:t>
            </w:r>
            <w:r>
              <w:rPr>
                <w:rFonts w:hint="default" w:ascii="Times New Roman" w:hAnsi="Times New Roman" w:eastAsia="宋体" w:cs="Times New Roman"/>
                <w:b/>
                <w:bCs w:val="0"/>
                <w:color w:val="auto"/>
                <w:sz w:val="21"/>
                <w:szCs w:val="21"/>
                <w:lang w:val="en-US" w:eastAsia="zh-CN"/>
              </w:rPr>
              <w:t xml:space="preserve">  矿物油</w:t>
            </w:r>
            <w:r>
              <w:rPr>
                <w:rFonts w:hint="default" w:ascii="Times New Roman" w:hAnsi="Times New Roman" w:eastAsia="宋体" w:cs="Times New Roman"/>
                <w:b/>
                <w:bCs w:val="0"/>
                <w:color w:val="auto"/>
                <w:sz w:val="21"/>
                <w:szCs w:val="21"/>
              </w:rPr>
              <w:t>主要危险物质特性一览表</w:t>
            </w:r>
          </w:p>
          <w:tbl>
            <w:tblPr>
              <w:tblStyle w:val="2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
              <w:gridCol w:w="804"/>
              <w:gridCol w:w="281"/>
              <w:gridCol w:w="838"/>
              <w:gridCol w:w="888"/>
              <w:gridCol w:w="803"/>
              <w:gridCol w:w="376"/>
              <w:gridCol w:w="854"/>
              <w:gridCol w:w="252"/>
              <w:gridCol w:w="635"/>
              <w:gridCol w:w="725"/>
              <w:gridCol w:w="123"/>
              <w:gridCol w:w="236"/>
              <w:gridCol w:w="691"/>
            </w:tblGrid>
            <w:tr w14:paraId="11910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Merge w:val="restart"/>
                  <w:noWrap w:val="0"/>
                  <w:vAlign w:val="center"/>
                </w:tcPr>
                <w:p w14:paraId="69F51B2A">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标</w:t>
                  </w:r>
                </w:p>
                <w:p w14:paraId="76EADE7C">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识</w:t>
                  </w:r>
                </w:p>
              </w:tc>
              <w:tc>
                <w:tcPr>
                  <w:tcW w:w="506" w:type="pct"/>
                  <w:noWrap w:val="0"/>
                  <w:vAlign w:val="center"/>
                </w:tcPr>
                <w:p w14:paraId="48D3255B">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中文名</w:t>
                  </w:r>
                </w:p>
              </w:tc>
              <w:tc>
                <w:tcPr>
                  <w:tcW w:w="705" w:type="pct"/>
                  <w:gridSpan w:val="2"/>
                  <w:noWrap w:val="0"/>
                  <w:vAlign w:val="center"/>
                </w:tcPr>
                <w:p w14:paraId="31A97EBE">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润滑油</w:t>
                  </w:r>
                  <w:r>
                    <w:rPr>
                      <w:rFonts w:hint="eastAsia" w:ascii="Times New Roman" w:hAnsi="Times New Roman" w:eastAsia="宋体" w:cs="Times New Roman"/>
                      <w:color w:val="auto"/>
                      <w:kern w:val="2"/>
                      <w:sz w:val="21"/>
                      <w:szCs w:val="21"/>
                      <w:lang w:val="en-US" w:eastAsia="zh-CN" w:bidi="ar-SA"/>
                    </w:rPr>
                    <w:t>；矿物油</w:t>
                  </w:r>
                </w:p>
              </w:tc>
              <w:tc>
                <w:tcPr>
                  <w:tcW w:w="559" w:type="pct"/>
                  <w:noWrap w:val="0"/>
                  <w:vAlign w:val="center"/>
                </w:tcPr>
                <w:p w14:paraId="0DF64AA0">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英文名</w:t>
                  </w:r>
                </w:p>
              </w:tc>
              <w:tc>
                <w:tcPr>
                  <w:tcW w:w="1841" w:type="pct"/>
                  <w:gridSpan w:val="5"/>
                  <w:noWrap w:val="0"/>
                  <w:vAlign w:val="center"/>
                </w:tcPr>
                <w:p w14:paraId="59DF6265">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lubricatingoil ；Lubeoil</w:t>
                  </w:r>
                </w:p>
              </w:tc>
              <w:tc>
                <w:tcPr>
                  <w:tcW w:w="683" w:type="pct"/>
                  <w:gridSpan w:val="3"/>
                  <w:noWrap w:val="0"/>
                  <w:vAlign w:val="center"/>
                </w:tcPr>
                <w:p w14:paraId="3BC62AC7">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危险货物编号</w:t>
                  </w:r>
                </w:p>
              </w:tc>
              <w:tc>
                <w:tcPr>
                  <w:tcW w:w="435" w:type="pct"/>
                  <w:noWrap w:val="0"/>
                  <w:vAlign w:val="center"/>
                </w:tcPr>
                <w:p w14:paraId="582EE2E6">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14:paraId="30B07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Merge w:val="continue"/>
                  <w:noWrap w:val="0"/>
                  <w:vAlign w:val="center"/>
                </w:tcPr>
                <w:p w14:paraId="435D97BE">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506" w:type="pct"/>
                  <w:noWrap w:val="0"/>
                  <w:vAlign w:val="center"/>
                </w:tcPr>
                <w:p w14:paraId="643E6196">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分子式</w:t>
                  </w:r>
                </w:p>
              </w:tc>
              <w:tc>
                <w:tcPr>
                  <w:tcW w:w="705" w:type="pct"/>
                  <w:gridSpan w:val="2"/>
                  <w:noWrap w:val="0"/>
                  <w:vAlign w:val="center"/>
                </w:tcPr>
                <w:p w14:paraId="1C468056">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559" w:type="pct"/>
                  <w:noWrap w:val="0"/>
                  <w:vAlign w:val="center"/>
                </w:tcPr>
                <w:p w14:paraId="2918B476">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分子量</w:t>
                  </w:r>
                </w:p>
              </w:tc>
              <w:tc>
                <w:tcPr>
                  <w:tcW w:w="743" w:type="pct"/>
                  <w:gridSpan w:val="2"/>
                  <w:noWrap w:val="0"/>
                  <w:vAlign w:val="center"/>
                </w:tcPr>
                <w:p w14:paraId="7CA9B909">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230～500</w:t>
                  </w:r>
                </w:p>
              </w:tc>
              <w:tc>
                <w:tcPr>
                  <w:tcW w:w="697" w:type="pct"/>
                  <w:gridSpan w:val="2"/>
                  <w:noWrap w:val="0"/>
                  <w:vAlign w:val="center"/>
                </w:tcPr>
                <w:p w14:paraId="4C9B8464">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UN编号</w:t>
                  </w:r>
                </w:p>
              </w:tc>
              <w:tc>
                <w:tcPr>
                  <w:tcW w:w="400" w:type="pct"/>
                  <w:noWrap w:val="0"/>
                  <w:vAlign w:val="center"/>
                </w:tcPr>
                <w:p w14:paraId="6760E935">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683" w:type="pct"/>
                  <w:gridSpan w:val="3"/>
                  <w:noWrap w:val="0"/>
                  <w:vAlign w:val="center"/>
                </w:tcPr>
                <w:p w14:paraId="6DADC2F5">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CAS编号</w:t>
                  </w:r>
                </w:p>
              </w:tc>
              <w:tc>
                <w:tcPr>
                  <w:tcW w:w="435" w:type="pct"/>
                  <w:noWrap w:val="0"/>
                  <w:vAlign w:val="center"/>
                </w:tcPr>
                <w:p w14:paraId="7418B2AB">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14:paraId="0CE7C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Merge w:val="continue"/>
                  <w:noWrap w:val="0"/>
                  <w:vAlign w:val="top"/>
                </w:tcPr>
                <w:p w14:paraId="2357322E">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506" w:type="pct"/>
                  <w:noWrap w:val="0"/>
                  <w:vAlign w:val="center"/>
                </w:tcPr>
                <w:p w14:paraId="6D61DA48">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危险类别</w:t>
                  </w:r>
                </w:p>
              </w:tc>
              <w:tc>
                <w:tcPr>
                  <w:tcW w:w="4225" w:type="pct"/>
                  <w:gridSpan w:val="12"/>
                  <w:noWrap w:val="0"/>
                  <w:vAlign w:val="center"/>
                </w:tcPr>
                <w:p w14:paraId="0AE9CEDE">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14:paraId="66868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Merge w:val="restart"/>
                  <w:noWrap w:val="0"/>
                  <w:vAlign w:val="center"/>
                </w:tcPr>
                <w:p w14:paraId="07658B03">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理</w:t>
                  </w:r>
                </w:p>
                <w:p w14:paraId="6B34AA84">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化</w:t>
                  </w:r>
                </w:p>
                <w:p w14:paraId="77472B4A">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性</w:t>
                  </w:r>
                </w:p>
                <w:p w14:paraId="1EDB932E">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质</w:t>
                  </w:r>
                </w:p>
              </w:tc>
              <w:tc>
                <w:tcPr>
                  <w:tcW w:w="684" w:type="pct"/>
                  <w:gridSpan w:val="2"/>
                  <w:noWrap w:val="0"/>
                  <w:vAlign w:val="center"/>
                </w:tcPr>
                <w:p w14:paraId="1259149F">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性状</w:t>
                  </w:r>
                </w:p>
              </w:tc>
              <w:tc>
                <w:tcPr>
                  <w:tcW w:w="4048" w:type="pct"/>
                  <w:gridSpan w:val="11"/>
                  <w:noWrap w:val="0"/>
                  <w:vAlign w:val="top"/>
                </w:tcPr>
                <w:p w14:paraId="5777B153">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油状液体，淡黄色至褐色，无气味或略带异味。</w:t>
                  </w:r>
                </w:p>
              </w:tc>
            </w:tr>
            <w:tr w14:paraId="0FFFD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Merge w:val="continue"/>
                  <w:noWrap w:val="0"/>
                  <w:vAlign w:val="top"/>
                </w:tcPr>
                <w:p w14:paraId="3FC75748">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684" w:type="pct"/>
                  <w:gridSpan w:val="2"/>
                  <w:noWrap w:val="0"/>
                  <w:vAlign w:val="center"/>
                </w:tcPr>
                <w:p w14:paraId="74251D5D">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熔点（℃）</w:t>
                  </w:r>
                </w:p>
              </w:tc>
              <w:tc>
                <w:tcPr>
                  <w:tcW w:w="1831" w:type="pct"/>
                  <w:gridSpan w:val="4"/>
                  <w:noWrap w:val="0"/>
                  <w:vAlign w:val="center"/>
                </w:tcPr>
                <w:p w14:paraId="75271DA4">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554" w:type="pct"/>
                  <w:gridSpan w:val="4"/>
                  <w:noWrap w:val="0"/>
                  <w:vAlign w:val="center"/>
                </w:tcPr>
                <w:p w14:paraId="372790EC">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临界压力（Mpa）</w:t>
                  </w:r>
                </w:p>
              </w:tc>
              <w:tc>
                <w:tcPr>
                  <w:tcW w:w="662" w:type="pct"/>
                  <w:gridSpan w:val="3"/>
                  <w:noWrap w:val="0"/>
                  <w:vAlign w:val="center"/>
                </w:tcPr>
                <w:p w14:paraId="218230C3">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14:paraId="1866D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Merge w:val="continue"/>
                  <w:noWrap w:val="0"/>
                  <w:vAlign w:val="top"/>
                </w:tcPr>
                <w:p w14:paraId="64B2424F">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684" w:type="pct"/>
                  <w:gridSpan w:val="2"/>
                  <w:noWrap w:val="0"/>
                  <w:vAlign w:val="center"/>
                </w:tcPr>
                <w:p w14:paraId="5CC577A6">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沸点（℃）</w:t>
                  </w:r>
                </w:p>
              </w:tc>
              <w:tc>
                <w:tcPr>
                  <w:tcW w:w="1831" w:type="pct"/>
                  <w:gridSpan w:val="4"/>
                  <w:noWrap w:val="0"/>
                  <w:vAlign w:val="center"/>
                </w:tcPr>
                <w:p w14:paraId="4F8DC2CF">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554" w:type="pct"/>
                  <w:gridSpan w:val="4"/>
                  <w:noWrap w:val="0"/>
                  <w:vAlign w:val="center"/>
                </w:tcPr>
                <w:p w14:paraId="003BE379">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相对密度（水＝1）</w:t>
                  </w:r>
                </w:p>
              </w:tc>
              <w:tc>
                <w:tcPr>
                  <w:tcW w:w="662" w:type="pct"/>
                  <w:gridSpan w:val="3"/>
                  <w:noWrap w:val="0"/>
                  <w:vAlign w:val="center"/>
                </w:tcPr>
                <w:p w14:paraId="7BF1BAA0">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w:t>
                  </w:r>
                </w:p>
              </w:tc>
            </w:tr>
            <w:tr w14:paraId="06022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Merge w:val="continue"/>
                  <w:noWrap w:val="0"/>
                  <w:vAlign w:val="top"/>
                </w:tcPr>
                <w:p w14:paraId="5A93877C">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684" w:type="pct"/>
                  <w:gridSpan w:val="2"/>
                  <w:noWrap w:val="0"/>
                  <w:vAlign w:val="center"/>
                </w:tcPr>
                <w:p w14:paraId="5EE010BE">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饱和蒸汽压（kpa）</w:t>
                  </w:r>
                </w:p>
              </w:tc>
              <w:tc>
                <w:tcPr>
                  <w:tcW w:w="1831" w:type="pct"/>
                  <w:gridSpan w:val="4"/>
                  <w:noWrap w:val="0"/>
                  <w:vAlign w:val="center"/>
                </w:tcPr>
                <w:p w14:paraId="2CA1BF2E">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554" w:type="pct"/>
                  <w:gridSpan w:val="4"/>
                  <w:noWrap w:val="0"/>
                  <w:vAlign w:val="center"/>
                </w:tcPr>
                <w:p w14:paraId="291CE54C">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相对密度（空气＝1）</w:t>
                  </w:r>
                </w:p>
              </w:tc>
              <w:tc>
                <w:tcPr>
                  <w:tcW w:w="662" w:type="pct"/>
                  <w:gridSpan w:val="3"/>
                  <w:noWrap w:val="0"/>
                  <w:vAlign w:val="center"/>
                </w:tcPr>
                <w:p w14:paraId="66EBF698">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14:paraId="238CD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Merge w:val="continue"/>
                  <w:noWrap w:val="0"/>
                  <w:vAlign w:val="top"/>
                </w:tcPr>
                <w:p w14:paraId="489F41C5">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684" w:type="pct"/>
                  <w:gridSpan w:val="2"/>
                  <w:noWrap w:val="0"/>
                  <w:vAlign w:val="center"/>
                </w:tcPr>
                <w:p w14:paraId="74EA0F39">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临界温度（℃）</w:t>
                  </w:r>
                </w:p>
              </w:tc>
              <w:tc>
                <w:tcPr>
                  <w:tcW w:w="1831" w:type="pct"/>
                  <w:gridSpan w:val="4"/>
                  <w:noWrap w:val="0"/>
                  <w:vAlign w:val="center"/>
                </w:tcPr>
                <w:p w14:paraId="504DAF59">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554" w:type="pct"/>
                  <w:gridSpan w:val="4"/>
                  <w:noWrap w:val="0"/>
                  <w:vAlign w:val="center"/>
                </w:tcPr>
                <w:p w14:paraId="02BA7DF4">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燃烧热（KJ·mol</w:t>
                  </w:r>
                  <w:r>
                    <w:rPr>
                      <w:rFonts w:hint="default" w:ascii="Times New Roman" w:hAnsi="Times New Roman" w:eastAsia="宋体" w:cs="Times New Roman"/>
                      <w:color w:val="auto"/>
                      <w:kern w:val="2"/>
                      <w:sz w:val="21"/>
                      <w:szCs w:val="21"/>
                      <w:vertAlign w:val="superscript"/>
                      <w:lang w:val="en-US" w:eastAsia="zh-CN" w:bidi="ar-SA"/>
                    </w:rPr>
                    <w:t>-1</w:t>
                  </w:r>
                  <w:r>
                    <w:rPr>
                      <w:rFonts w:hint="default" w:ascii="Times New Roman" w:hAnsi="Times New Roman" w:eastAsia="宋体" w:cs="Times New Roman"/>
                      <w:color w:val="auto"/>
                      <w:kern w:val="2"/>
                      <w:sz w:val="21"/>
                      <w:szCs w:val="21"/>
                      <w:lang w:val="en-US" w:eastAsia="zh-CN" w:bidi="ar-SA"/>
                    </w:rPr>
                    <w:t>）</w:t>
                  </w:r>
                </w:p>
              </w:tc>
              <w:tc>
                <w:tcPr>
                  <w:tcW w:w="662" w:type="pct"/>
                  <w:gridSpan w:val="3"/>
                  <w:noWrap w:val="0"/>
                  <w:vAlign w:val="center"/>
                </w:tcPr>
                <w:p w14:paraId="44B48B49">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14:paraId="75FD8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Merge w:val="continue"/>
                  <w:noWrap w:val="0"/>
                  <w:vAlign w:val="top"/>
                </w:tcPr>
                <w:p w14:paraId="6A61FFE5">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684" w:type="pct"/>
                  <w:gridSpan w:val="2"/>
                  <w:noWrap w:val="0"/>
                  <w:vAlign w:val="center"/>
                </w:tcPr>
                <w:p w14:paraId="3F13D640">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溶解性</w:t>
                  </w:r>
                </w:p>
              </w:tc>
              <w:tc>
                <w:tcPr>
                  <w:tcW w:w="4048" w:type="pct"/>
                  <w:gridSpan w:val="11"/>
                  <w:noWrap w:val="0"/>
                  <w:vAlign w:val="top"/>
                </w:tcPr>
                <w:p w14:paraId="3D89164D">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不溶于水</w:t>
                  </w:r>
                </w:p>
              </w:tc>
            </w:tr>
            <w:tr w14:paraId="0DDB4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Merge w:val="restart"/>
                  <w:noWrap w:val="0"/>
                  <w:vAlign w:val="center"/>
                </w:tcPr>
                <w:p w14:paraId="30EFD417">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燃</w:t>
                  </w:r>
                </w:p>
                <w:p w14:paraId="2FD43F93">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烧</w:t>
                  </w:r>
                </w:p>
                <w:p w14:paraId="00CA1FEB">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爆</w:t>
                  </w:r>
                </w:p>
                <w:p w14:paraId="36BCDB36">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炸</w:t>
                  </w:r>
                </w:p>
                <w:p w14:paraId="7A7080D1">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危</w:t>
                  </w:r>
                </w:p>
                <w:p w14:paraId="6B8C0850">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险</w:t>
                  </w:r>
                </w:p>
                <w:p w14:paraId="3D2CF623">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性</w:t>
                  </w:r>
                </w:p>
              </w:tc>
              <w:tc>
                <w:tcPr>
                  <w:tcW w:w="684" w:type="pct"/>
                  <w:gridSpan w:val="2"/>
                  <w:noWrap w:val="0"/>
                  <w:vAlign w:val="center"/>
                </w:tcPr>
                <w:p w14:paraId="6583AF93">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燃烧性</w:t>
                  </w:r>
                </w:p>
              </w:tc>
              <w:tc>
                <w:tcPr>
                  <w:tcW w:w="1831" w:type="pct"/>
                  <w:gridSpan w:val="4"/>
                  <w:noWrap w:val="0"/>
                  <w:vAlign w:val="center"/>
                </w:tcPr>
                <w:p w14:paraId="7AF7A9B6">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可燃</w:t>
                  </w:r>
                </w:p>
              </w:tc>
              <w:tc>
                <w:tcPr>
                  <w:tcW w:w="1554" w:type="pct"/>
                  <w:gridSpan w:val="4"/>
                  <w:noWrap w:val="0"/>
                  <w:vAlign w:val="center"/>
                </w:tcPr>
                <w:p w14:paraId="5702D399">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闪点（℃）</w:t>
                  </w:r>
                </w:p>
              </w:tc>
              <w:tc>
                <w:tcPr>
                  <w:tcW w:w="662" w:type="pct"/>
                  <w:gridSpan w:val="3"/>
                  <w:noWrap w:val="0"/>
                  <w:vAlign w:val="center"/>
                </w:tcPr>
                <w:p w14:paraId="519AA907">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76</w:t>
                  </w:r>
                </w:p>
              </w:tc>
            </w:tr>
            <w:tr w14:paraId="627F0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Merge w:val="continue"/>
                  <w:noWrap w:val="0"/>
                  <w:vAlign w:val="top"/>
                </w:tcPr>
                <w:p w14:paraId="3A9BC3B7">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684" w:type="pct"/>
                  <w:gridSpan w:val="2"/>
                  <w:noWrap w:val="0"/>
                  <w:vAlign w:val="center"/>
                </w:tcPr>
                <w:p w14:paraId="3B6F98AC">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爆炸极限（％）</w:t>
                  </w:r>
                </w:p>
              </w:tc>
              <w:tc>
                <w:tcPr>
                  <w:tcW w:w="1831" w:type="pct"/>
                  <w:gridSpan w:val="4"/>
                  <w:noWrap w:val="0"/>
                  <w:vAlign w:val="center"/>
                </w:tcPr>
                <w:p w14:paraId="72814327">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无资料</w:t>
                  </w:r>
                </w:p>
              </w:tc>
              <w:tc>
                <w:tcPr>
                  <w:tcW w:w="1554" w:type="pct"/>
                  <w:gridSpan w:val="4"/>
                  <w:noWrap w:val="0"/>
                  <w:vAlign w:val="center"/>
                </w:tcPr>
                <w:p w14:paraId="7CE2AD80">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最小点火能（MJ）</w:t>
                  </w:r>
                </w:p>
              </w:tc>
              <w:tc>
                <w:tcPr>
                  <w:tcW w:w="662" w:type="pct"/>
                  <w:gridSpan w:val="3"/>
                  <w:noWrap w:val="0"/>
                  <w:vAlign w:val="center"/>
                </w:tcPr>
                <w:p w14:paraId="7A197D13">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14:paraId="02C3D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Merge w:val="continue"/>
                  <w:noWrap w:val="0"/>
                  <w:vAlign w:val="top"/>
                </w:tcPr>
                <w:p w14:paraId="799FC29E">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684" w:type="pct"/>
                  <w:gridSpan w:val="2"/>
                  <w:noWrap w:val="0"/>
                  <w:vAlign w:val="center"/>
                </w:tcPr>
                <w:p w14:paraId="6096899E">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引燃温度（℃）</w:t>
                  </w:r>
                </w:p>
              </w:tc>
              <w:tc>
                <w:tcPr>
                  <w:tcW w:w="1831" w:type="pct"/>
                  <w:gridSpan w:val="4"/>
                  <w:noWrap w:val="0"/>
                  <w:vAlign w:val="center"/>
                </w:tcPr>
                <w:p w14:paraId="391E6DF6">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248</w:t>
                  </w:r>
                </w:p>
              </w:tc>
              <w:tc>
                <w:tcPr>
                  <w:tcW w:w="1554" w:type="pct"/>
                  <w:gridSpan w:val="4"/>
                  <w:noWrap w:val="0"/>
                  <w:vAlign w:val="center"/>
                </w:tcPr>
                <w:p w14:paraId="685D0610">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最大爆炸压力（Mpa）</w:t>
                  </w:r>
                </w:p>
              </w:tc>
              <w:tc>
                <w:tcPr>
                  <w:tcW w:w="662" w:type="pct"/>
                  <w:gridSpan w:val="3"/>
                  <w:noWrap w:val="0"/>
                  <w:vAlign w:val="center"/>
                </w:tcPr>
                <w:p w14:paraId="4B3FCCF4">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14:paraId="1012A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Merge w:val="continue"/>
                  <w:noWrap w:val="0"/>
                  <w:vAlign w:val="top"/>
                </w:tcPr>
                <w:p w14:paraId="1094697A">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684" w:type="pct"/>
                  <w:gridSpan w:val="2"/>
                  <w:noWrap w:val="0"/>
                  <w:vAlign w:val="center"/>
                </w:tcPr>
                <w:p w14:paraId="2883A07D">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危险特性</w:t>
                  </w:r>
                </w:p>
              </w:tc>
              <w:tc>
                <w:tcPr>
                  <w:tcW w:w="4048" w:type="pct"/>
                  <w:gridSpan w:val="11"/>
                  <w:noWrap w:val="0"/>
                  <w:vAlign w:val="top"/>
                </w:tcPr>
                <w:p w14:paraId="0FDECF0D">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遇明火、高热可燃。</w:t>
                  </w:r>
                </w:p>
              </w:tc>
            </w:tr>
            <w:tr w14:paraId="1DCD6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Merge w:val="continue"/>
                  <w:noWrap w:val="0"/>
                  <w:vAlign w:val="top"/>
                </w:tcPr>
                <w:p w14:paraId="295D3B78">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684" w:type="pct"/>
                  <w:gridSpan w:val="2"/>
                  <w:noWrap w:val="0"/>
                  <w:vAlign w:val="center"/>
                </w:tcPr>
                <w:p w14:paraId="3C302A42">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灭火方法</w:t>
                  </w:r>
                </w:p>
              </w:tc>
              <w:tc>
                <w:tcPr>
                  <w:tcW w:w="4048" w:type="pct"/>
                  <w:gridSpan w:val="11"/>
                  <w:noWrap w:val="0"/>
                  <w:vAlign w:val="top"/>
                </w:tcPr>
                <w:p w14:paraId="720F09DD">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消防人员须佩戴防毒面具、穿全身消防服，在上风向灭火。尽可能将容器从火场移至空旷处。喷水保持火场容器冷却，直至灭火结束。处在火场中的容器若已变色或从安全泄压装置中产生声音，必须马上撤离。</w:t>
                  </w:r>
                </w:p>
                <w:p w14:paraId="2C47D7F1">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灭火剂：雾状水、泡沫、干粉、二氧化碳、砂土。</w:t>
                  </w:r>
                </w:p>
              </w:tc>
            </w:tr>
            <w:tr w14:paraId="2FA16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Merge w:val="continue"/>
                  <w:noWrap w:val="0"/>
                  <w:vAlign w:val="top"/>
                </w:tcPr>
                <w:p w14:paraId="415D4DE0">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684" w:type="pct"/>
                  <w:gridSpan w:val="2"/>
                  <w:noWrap w:val="0"/>
                  <w:vAlign w:val="center"/>
                </w:tcPr>
                <w:p w14:paraId="452C1868">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禁忌物</w:t>
                  </w:r>
                </w:p>
              </w:tc>
              <w:tc>
                <w:tcPr>
                  <w:tcW w:w="2370" w:type="pct"/>
                  <w:gridSpan w:val="5"/>
                  <w:noWrap w:val="0"/>
                  <w:vAlign w:val="center"/>
                </w:tcPr>
                <w:p w14:paraId="3C3B0C14">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c>
                <w:tcPr>
                  <w:tcW w:w="1093" w:type="pct"/>
                  <w:gridSpan w:val="4"/>
                  <w:noWrap w:val="0"/>
                  <w:vAlign w:val="center"/>
                </w:tcPr>
                <w:p w14:paraId="4F94BA45">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稳定性</w:t>
                  </w:r>
                </w:p>
              </w:tc>
              <w:tc>
                <w:tcPr>
                  <w:tcW w:w="584" w:type="pct"/>
                  <w:gridSpan w:val="2"/>
                  <w:noWrap w:val="0"/>
                  <w:vAlign w:val="center"/>
                </w:tcPr>
                <w:p w14:paraId="718F66F1">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稳定</w:t>
                  </w:r>
                </w:p>
              </w:tc>
            </w:tr>
            <w:tr w14:paraId="1A76D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Merge w:val="continue"/>
                  <w:noWrap w:val="0"/>
                  <w:vAlign w:val="top"/>
                </w:tcPr>
                <w:p w14:paraId="38971162">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684" w:type="pct"/>
                  <w:gridSpan w:val="2"/>
                  <w:noWrap w:val="0"/>
                  <w:vAlign w:val="center"/>
                </w:tcPr>
                <w:p w14:paraId="71A6F435">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燃烧产物</w:t>
                  </w:r>
                </w:p>
              </w:tc>
              <w:tc>
                <w:tcPr>
                  <w:tcW w:w="2370" w:type="pct"/>
                  <w:gridSpan w:val="5"/>
                  <w:noWrap w:val="0"/>
                  <w:vAlign w:val="center"/>
                </w:tcPr>
                <w:p w14:paraId="3A40ED61">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一氧化碳、二氧化碳</w:t>
                  </w:r>
                </w:p>
              </w:tc>
              <w:tc>
                <w:tcPr>
                  <w:tcW w:w="1093" w:type="pct"/>
                  <w:gridSpan w:val="4"/>
                  <w:noWrap w:val="0"/>
                  <w:vAlign w:val="center"/>
                </w:tcPr>
                <w:p w14:paraId="52248376">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聚合危害</w:t>
                  </w:r>
                </w:p>
              </w:tc>
              <w:tc>
                <w:tcPr>
                  <w:tcW w:w="584" w:type="pct"/>
                  <w:gridSpan w:val="2"/>
                  <w:noWrap w:val="0"/>
                  <w:vAlign w:val="center"/>
                </w:tcPr>
                <w:p w14:paraId="2C5A69F0">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不聚合</w:t>
                  </w:r>
                </w:p>
              </w:tc>
            </w:tr>
            <w:tr w14:paraId="2DC3F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Merge w:val="restart"/>
                  <w:noWrap w:val="0"/>
                  <w:vAlign w:val="center"/>
                </w:tcPr>
                <w:p w14:paraId="30693311">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毒性及健康危害</w:t>
                  </w:r>
                </w:p>
              </w:tc>
              <w:tc>
                <w:tcPr>
                  <w:tcW w:w="684" w:type="pct"/>
                  <w:gridSpan w:val="2"/>
                  <w:noWrap w:val="0"/>
                  <w:vAlign w:val="center"/>
                </w:tcPr>
                <w:p w14:paraId="08ACA37E">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急性毒性</w:t>
                  </w:r>
                </w:p>
              </w:tc>
              <w:tc>
                <w:tcPr>
                  <w:tcW w:w="1594" w:type="pct"/>
                  <w:gridSpan w:val="3"/>
                  <w:noWrap w:val="0"/>
                  <w:vAlign w:val="center"/>
                </w:tcPr>
                <w:p w14:paraId="3B037475">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LD50（mg/kg，大鼠经口）</w:t>
                  </w:r>
                </w:p>
              </w:tc>
              <w:tc>
                <w:tcPr>
                  <w:tcW w:w="775" w:type="pct"/>
                  <w:gridSpan w:val="2"/>
                  <w:noWrap w:val="0"/>
                  <w:vAlign w:val="center"/>
                </w:tcPr>
                <w:p w14:paraId="73201A0F">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无资料</w:t>
                  </w:r>
                </w:p>
              </w:tc>
              <w:tc>
                <w:tcPr>
                  <w:tcW w:w="1093" w:type="pct"/>
                  <w:gridSpan w:val="4"/>
                  <w:noWrap w:val="0"/>
                  <w:vAlign w:val="center"/>
                </w:tcPr>
                <w:p w14:paraId="4E07B6D2">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LC50（mg/kg）</w:t>
                  </w:r>
                </w:p>
              </w:tc>
              <w:tc>
                <w:tcPr>
                  <w:tcW w:w="584" w:type="pct"/>
                  <w:gridSpan w:val="2"/>
                  <w:noWrap w:val="0"/>
                  <w:vAlign w:val="center"/>
                </w:tcPr>
                <w:p w14:paraId="2FE73184">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无资料</w:t>
                  </w:r>
                </w:p>
              </w:tc>
            </w:tr>
            <w:tr w14:paraId="6EA77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Merge w:val="continue"/>
                  <w:noWrap w:val="0"/>
                  <w:vAlign w:val="top"/>
                </w:tcPr>
                <w:p w14:paraId="3D5A8FC6">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684" w:type="pct"/>
                  <w:gridSpan w:val="2"/>
                  <w:vMerge w:val="restart"/>
                  <w:noWrap w:val="0"/>
                  <w:vAlign w:val="center"/>
                </w:tcPr>
                <w:p w14:paraId="46B1D986">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健康危害</w:t>
                  </w:r>
                </w:p>
              </w:tc>
              <w:tc>
                <w:tcPr>
                  <w:tcW w:w="1594" w:type="pct"/>
                  <w:gridSpan w:val="3"/>
                  <w:noWrap w:val="0"/>
                  <w:vAlign w:val="top"/>
                </w:tcPr>
                <w:p w14:paraId="343FC6BC">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车间卫生标准</w:t>
                  </w:r>
                </w:p>
              </w:tc>
              <w:tc>
                <w:tcPr>
                  <w:tcW w:w="2453" w:type="pct"/>
                  <w:gridSpan w:val="8"/>
                  <w:noWrap w:val="0"/>
                  <w:vAlign w:val="top"/>
                </w:tcPr>
                <w:p w14:paraId="4199272F">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w:t>
                  </w:r>
                </w:p>
              </w:tc>
            </w:tr>
            <w:tr w14:paraId="21BD9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vMerge w:val="continue"/>
                  <w:noWrap w:val="0"/>
                  <w:vAlign w:val="top"/>
                </w:tcPr>
                <w:p w14:paraId="2BC8EBCF">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p>
              </w:tc>
              <w:tc>
                <w:tcPr>
                  <w:tcW w:w="684" w:type="pct"/>
                  <w:gridSpan w:val="2"/>
                  <w:vMerge w:val="continue"/>
                  <w:noWrap w:val="0"/>
                  <w:vAlign w:val="center"/>
                </w:tcPr>
                <w:p w14:paraId="46A95549">
                  <w:pPr>
                    <w:pageBreakBefore w:val="0"/>
                    <w:widowControl w:val="0"/>
                    <w:kinsoku/>
                    <w:wordWrap/>
                    <w:overflowPunct/>
                    <w:topLinePunct w:val="0"/>
                    <w:bidi w:val="0"/>
                    <w:adjustRightInd w:val="0"/>
                    <w:snapToGrid w:val="0"/>
                    <w:spacing w:line="240" w:lineRule="atLeast"/>
                    <w:ind w:left="0" w:leftChars="0" w:firstLine="0" w:firstLineChars="0"/>
                    <w:jc w:val="both"/>
                    <w:rPr>
                      <w:rFonts w:hint="default" w:ascii="Times New Roman" w:hAnsi="Times New Roman" w:eastAsia="宋体" w:cs="Times New Roman"/>
                      <w:color w:val="auto"/>
                      <w:kern w:val="2"/>
                      <w:sz w:val="21"/>
                      <w:szCs w:val="21"/>
                      <w:lang w:val="en-US" w:eastAsia="zh-CN" w:bidi="ar-SA"/>
                    </w:rPr>
                  </w:pPr>
                </w:p>
              </w:tc>
              <w:tc>
                <w:tcPr>
                  <w:tcW w:w="4048" w:type="pct"/>
                  <w:gridSpan w:val="11"/>
                  <w:noWrap w:val="0"/>
                  <w:vAlign w:val="center"/>
                </w:tcPr>
                <w:p w14:paraId="33C7B194">
                  <w:pPr>
                    <w:pageBreakBefore w:val="0"/>
                    <w:widowControl w:val="0"/>
                    <w:kinsoku/>
                    <w:wordWrap/>
                    <w:overflowPunct/>
                    <w:topLinePunct w:val="0"/>
                    <w:bidi w:val="0"/>
                    <w:adjustRightInd w:val="0"/>
                    <w:snapToGrid w:val="0"/>
                    <w:spacing w:line="240" w:lineRule="atLeast"/>
                    <w:ind w:left="0" w:leftChars="0" w:firstLine="0" w:firstLineChars="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侵入途径：吸入、食入；</w:t>
                  </w:r>
                </w:p>
                <w:p w14:paraId="719F64A7">
                  <w:pPr>
                    <w:pageBreakBefore w:val="0"/>
                    <w:widowControl w:val="0"/>
                    <w:kinsoku/>
                    <w:wordWrap/>
                    <w:overflowPunct/>
                    <w:topLinePunct w:val="0"/>
                    <w:bidi w:val="0"/>
                    <w:adjustRightInd w:val="0"/>
                    <w:snapToGrid w:val="0"/>
                    <w:spacing w:line="240" w:lineRule="atLeast"/>
                    <w:ind w:left="0" w:leftChars="0" w:firstLine="0" w:firstLineChars="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急性吸入，可出现乏力、头晕、头痛、恶心，严重者可引起油脂性肺炎。慢接触者，暴露部位可发生油性痤疮和接触性皮炎。可引起神经衰弱综合征，呼吸道和眼刺激症状及慢性油脂性肺炎。有资料报道，接触石油润滑油类的工人，有致癌的病例报告。</w:t>
                  </w:r>
                </w:p>
              </w:tc>
            </w:tr>
            <w:tr w14:paraId="6131C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noWrap w:val="0"/>
                  <w:vAlign w:val="center"/>
                </w:tcPr>
                <w:p w14:paraId="4850BE4F">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急救</w:t>
                  </w:r>
                </w:p>
              </w:tc>
              <w:tc>
                <w:tcPr>
                  <w:tcW w:w="4732" w:type="pct"/>
                  <w:gridSpan w:val="13"/>
                  <w:noWrap w:val="0"/>
                  <w:vAlign w:val="center"/>
                </w:tcPr>
                <w:p w14:paraId="302A7B71">
                  <w:pPr>
                    <w:pageBreakBefore w:val="0"/>
                    <w:widowControl w:val="0"/>
                    <w:kinsoku/>
                    <w:wordWrap/>
                    <w:overflowPunct/>
                    <w:topLinePunct w:val="0"/>
                    <w:bidi w:val="0"/>
                    <w:adjustRightInd w:val="0"/>
                    <w:snapToGrid w:val="0"/>
                    <w:spacing w:line="240" w:lineRule="atLeast"/>
                    <w:ind w:left="0" w:leftChars="0" w:firstLine="0" w:firstLineChars="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皮肤接触：立即脱去被污染的衣着，用大量清水冲洗；</w:t>
                  </w:r>
                </w:p>
                <w:p w14:paraId="6256083F">
                  <w:pPr>
                    <w:pageBreakBefore w:val="0"/>
                    <w:widowControl w:val="0"/>
                    <w:kinsoku/>
                    <w:wordWrap/>
                    <w:overflowPunct/>
                    <w:topLinePunct w:val="0"/>
                    <w:bidi w:val="0"/>
                    <w:adjustRightInd w:val="0"/>
                    <w:snapToGrid w:val="0"/>
                    <w:spacing w:line="240" w:lineRule="atLeast"/>
                    <w:ind w:left="0" w:leftChars="0" w:firstLine="0" w:firstLineChars="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眼睛接触：立即提起眼睑，用大量流动清水或生理盐水冲洗，就医；</w:t>
                  </w:r>
                </w:p>
                <w:p w14:paraId="5FE25421">
                  <w:pPr>
                    <w:pageBreakBefore w:val="0"/>
                    <w:widowControl w:val="0"/>
                    <w:kinsoku/>
                    <w:wordWrap/>
                    <w:overflowPunct/>
                    <w:topLinePunct w:val="0"/>
                    <w:bidi w:val="0"/>
                    <w:adjustRightInd w:val="0"/>
                    <w:snapToGrid w:val="0"/>
                    <w:spacing w:line="240" w:lineRule="atLeast"/>
                    <w:ind w:left="0" w:leftChars="0" w:firstLine="0" w:firstLineChars="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吸入：迅速脱离现场至空气新鲜处，保持呼吸道通畅，如呼吸困难，给输氧；如呼吸停止，立即进行人工呼吸，就医；</w:t>
                  </w:r>
                </w:p>
                <w:p w14:paraId="0E8ED36E">
                  <w:pPr>
                    <w:pageBreakBefore w:val="0"/>
                    <w:widowControl w:val="0"/>
                    <w:kinsoku/>
                    <w:wordWrap/>
                    <w:overflowPunct/>
                    <w:topLinePunct w:val="0"/>
                    <w:bidi w:val="0"/>
                    <w:adjustRightInd w:val="0"/>
                    <w:snapToGrid w:val="0"/>
                    <w:spacing w:line="240" w:lineRule="atLeast"/>
                    <w:ind w:left="0" w:leftChars="0" w:firstLine="0" w:firstLineChars="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食入：饮足量温水，催吐，就医。</w:t>
                  </w:r>
                </w:p>
              </w:tc>
            </w:tr>
            <w:tr w14:paraId="6DCCB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noWrap w:val="0"/>
                  <w:vAlign w:val="center"/>
                </w:tcPr>
                <w:p w14:paraId="2320B8A6">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防护</w:t>
                  </w:r>
                </w:p>
              </w:tc>
              <w:tc>
                <w:tcPr>
                  <w:tcW w:w="4732" w:type="pct"/>
                  <w:gridSpan w:val="13"/>
                  <w:noWrap w:val="0"/>
                  <w:vAlign w:val="center"/>
                </w:tcPr>
                <w:p w14:paraId="2178B20E">
                  <w:pPr>
                    <w:pageBreakBefore w:val="0"/>
                    <w:widowControl w:val="0"/>
                    <w:kinsoku/>
                    <w:wordWrap/>
                    <w:overflowPunct/>
                    <w:topLinePunct w:val="0"/>
                    <w:bidi w:val="0"/>
                    <w:adjustRightInd w:val="0"/>
                    <w:snapToGrid w:val="0"/>
                    <w:spacing w:line="240" w:lineRule="atLeast"/>
                    <w:ind w:left="0" w:leftChars="0" w:firstLine="0" w:firstLineChars="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工程控制：封闭操作，注意通风；</w:t>
                  </w:r>
                </w:p>
                <w:p w14:paraId="0A862B33">
                  <w:pPr>
                    <w:pageBreakBefore w:val="0"/>
                    <w:widowControl w:val="0"/>
                    <w:kinsoku/>
                    <w:wordWrap/>
                    <w:overflowPunct/>
                    <w:topLinePunct w:val="0"/>
                    <w:bidi w:val="0"/>
                    <w:adjustRightInd w:val="0"/>
                    <w:snapToGrid w:val="0"/>
                    <w:spacing w:line="240" w:lineRule="atLeast"/>
                    <w:ind w:left="0" w:leftChars="0" w:firstLine="0" w:firstLineChars="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呼吸系统防护：空气中浓度超标时，建议佩戴自吸过滤式防毒面具（半面罩）。紧急事态抢救或撤离时，应该佩戴空气呼吸器。</w:t>
                  </w:r>
                </w:p>
                <w:p w14:paraId="165821FC">
                  <w:pPr>
                    <w:pageBreakBefore w:val="0"/>
                    <w:widowControl w:val="0"/>
                    <w:kinsoku/>
                    <w:wordWrap/>
                    <w:overflowPunct/>
                    <w:topLinePunct w:val="0"/>
                    <w:bidi w:val="0"/>
                    <w:adjustRightInd w:val="0"/>
                    <w:snapToGrid w:val="0"/>
                    <w:spacing w:line="240" w:lineRule="atLeast"/>
                    <w:ind w:left="0" w:leftChars="0" w:firstLine="0" w:firstLineChars="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眼睛防护：戴化学安全防护眼镜。</w:t>
                  </w:r>
                </w:p>
                <w:p w14:paraId="60107A42">
                  <w:pPr>
                    <w:pageBreakBefore w:val="0"/>
                    <w:widowControl w:val="0"/>
                    <w:kinsoku/>
                    <w:wordWrap/>
                    <w:overflowPunct/>
                    <w:topLinePunct w:val="0"/>
                    <w:bidi w:val="0"/>
                    <w:adjustRightInd w:val="0"/>
                    <w:snapToGrid w:val="0"/>
                    <w:spacing w:line="240" w:lineRule="atLeast"/>
                    <w:ind w:left="0" w:leftChars="0" w:firstLine="0" w:firstLineChars="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身体防护：穿防毒物渗透工作服；</w:t>
                  </w:r>
                </w:p>
                <w:p w14:paraId="0AEC16B6">
                  <w:pPr>
                    <w:pageBreakBefore w:val="0"/>
                    <w:widowControl w:val="0"/>
                    <w:kinsoku/>
                    <w:wordWrap/>
                    <w:overflowPunct/>
                    <w:topLinePunct w:val="0"/>
                    <w:bidi w:val="0"/>
                    <w:adjustRightInd w:val="0"/>
                    <w:snapToGrid w:val="0"/>
                    <w:spacing w:line="240" w:lineRule="atLeast"/>
                    <w:ind w:left="0" w:leftChars="0" w:firstLine="0" w:firstLineChars="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手防护：戴橡胶耐油手套；</w:t>
                  </w:r>
                </w:p>
                <w:p w14:paraId="1227A22B">
                  <w:pPr>
                    <w:pageBreakBefore w:val="0"/>
                    <w:widowControl w:val="0"/>
                    <w:kinsoku/>
                    <w:wordWrap/>
                    <w:overflowPunct/>
                    <w:topLinePunct w:val="0"/>
                    <w:bidi w:val="0"/>
                    <w:adjustRightInd w:val="0"/>
                    <w:snapToGrid w:val="0"/>
                    <w:spacing w:line="240" w:lineRule="atLeast"/>
                    <w:ind w:left="0" w:leftChars="0" w:firstLine="0" w:firstLineChars="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其他：工作现场严禁吸烟。避免长期反复接触。</w:t>
                  </w:r>
                </w:p>
              </w:tc>
            </w:tr>
            <w:tr w14:paraId="0AD79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noWrap w:val="0"/>
                  <w:vAlign w:val="center"/>
                </w:tcPr>
                <w:p w14:paraId="18813D5D">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泄漏处理</w:t>
                  </w:r>
                </w:p>
              </w:tc>
              <w:tc>
                <w:tcPr>
                  <w:tcW w:w="4732" w:type="pct"/>
                  <w:gridSpan w:val="13"/>
                  <w:noWrap w:val="0"/>
                  <w:vAlign w:val="center"/>
                </w:tcPr>
                <w:p w14:paraId="7031C3FD">
                  <w:pPr>
                    <w:pageBreakBefore w:val="0"/>
                    <w:widowControl w:val="0"/>
                    <w:kinsoku/>
                    <w:wordWrap/>
                    <w:overflowPunct/>
                    <w:topLinePunct w:val="0"/>
                    <w:bidi w:val="0"/>
                    <w:adjustRightInd w:val="0"/>
                    <w:snapToGrid w:val="0"/>
                    <w:spacing w:line="240" w:lineRule="atLeast"/>
                    <w:ind w:left="0" w:leftChars="0" w:firstLine="0" w:firstLineChars="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迅速撤离泄漏污染区人员至安全区，并进行隔离，严格限制出入。切断火源。建议应急处理人员戴自给正压式呼吸器，穿防毒服。尽可能切断泄漏源。防止流入下水道、排洪沟等限制性空间。</w:t>
                  </w:r>
                </w:p>
                <w:p w14:paraId="614DC163">
                  <w:pPr>
                    <w:pageBreakBefore w:val="0"/>
                    <w:widowControl w:val="0"/>
                    <w:kinsoku/>
                    <w:wordWrap/>
                    <w:overflowPunct/>
                    <w:topLinePunct w:val="0"/>
                    <w:bidi w:val="0"/>
                    <w:adjustRightInd w:val="0"/>
                    <w:snapToGrid w:val="0"/>
                    <w:spacing w:line="240" w:lineRule="atLeast"/>
                    <w:ind w:left="0" w:leftChars="0" w:firstLine="0" w:firstLineChars="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小量泄漏：用砂土或其它不燃材料吸附或吸收。</w:t>
                  </w:r>
                </w:p>
                <w:p w14:paraId="1D33532E">
                  <w:pPr>
                    <w:pageBreakBefore w:val="0"/>
                    <w:widowControl w:val="0"/>
                    <w:kinsoku/>
                    <w:wordWrap/>
                    <w:overflowPunct/>
                    <w:topLinePunct w:val="0"/>
                    <w:bidi w:val="0"/>
                    <w:adjustRightInd w:val="0"/>
                    <w:snapToGrid w:val="0"/>
                    <w:spacing w:line="240" w:lineRule="atLeast"/>
                    <w:ind w:left="0" w:leftChars="0" w:firstLine="0" w:firstLineChars="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大量泄漏：构筑围堤或挖坑收容。用泵转移至槽车或专用收集器内，回收或运至废物处理场所处置。</w:t>
                  </w:r>
                </w:p>
              </w:tc>
            </w:tr>
            <w:tr w14:paraId="40F1E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 w:type="pct"/>
                  <w:noWrap w:val="0"/>
                  <w:vAlign w:val="center"/>
                </w:tcPr>
                <w:p w14:paraId="74ADCE50">
                  <w:pPr>
                    <w:pageBreakBefore w:val="0"/>
                    <w:widowControl w:val="0"/>
                    <w:kinsoku/>
                    <w:wordWrap/>
                    <w:overflowPunct/>
                    <w:topLinePunct w:val="0"/>
                    <w:bidi w:val="0"/>
                    <w:adjustRightInd w:val="0"/>
                    <w:snapToGrid w:val="0"/>
                    <w:spacing w:line="240" w:lineRule="atLeast"/>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储运</w:t>
                  </w:r>
                </w:p>
              </w:tc>
              <w:tc>
                <w:tcPr>
                  <w:tcW w:w="4732" w:type="pct"/>
                  <w:gridSpan w:val="13"/>
                  <w:noWrap w:val="0"/>
                  <w:vAlign w:val="center"/>
                </w:tcPr>
                <w:p w14:paraId="58415708">
                  <w:pPr>
                    <w:pageBreakBefore w:val="0"/>
                    <w:widowControl w:val="0"/>
                    <w:kinsoku/>
                    <w:wordWrap/>
                    <w:overflowPunct/>
                    <w:topLinePunct w:val="0"/>
                    <w:bidi w:val="0"/>
                    <w:adjustRightInd w:val="0"/>
                    <w:snapToGrid w:val="0"/>
                    <w:spacing w:line="240" w:lineRule="atLeast"/>
                    <w:ind w:left="0" w:leftChars="0" w:firstLine="0" w:firstLineChars="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储存于阴凉、通风的库房。远离火种、热源。应与氧化剂分开存放，切忌混储。配备相应品种和数量的消防器材。储区应备有泄漏应急处理设备和合适的收容材料。</w:t>
                  </w:r>
                </w:p>
                <w:p w14:paraId="45CB482B">
                  <w:pPr>
                    <w:pageBreakBefore w:val="0"/>
                    <w:widowControl w:val="0"/>
                    <w:kinsoku/>
                    <w:wordWrap/>
                    <w:overflowPunct/>
                    <w:topLinePunct w:val="0"/>
                    <w:bidi w:val="0"/>
                    <w:adjustRightInd w:val="0"/>
                    <w:snapToGrid w:val="0"/>
                    <w:spacing w:line="240" w:lineRule="atLeast"/>
                    <w:ind w:left="0" w:leftChars="0" w:firstLine="0" w:firstLineChars="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运输前应先检查包装容器是否完整、密封，运输过程中要确保容器不泄漏、不倒塌、不坠落、不损坏。严禁与氧化剂、食用化学品等混装混运。运输车船必须彻底清洗、消毒，否则不得装运其它物品。船运时，配装位置应远离卧室、厨房，并与机舱、电源、火源等部位隔离。公路运输时要按规定路线行驶。</w:t>
                  </w:r>
                </w:p>
              </w:tc>
            </w:tr>
          </w:tbl>
          <w:p w14:paraId="41A36F91">
            <w:pPr>
              <w:keepNext w:val="0"/>
              <w:keepLines w:val="0"/>
              <w:pageBreakBefore w:val="0"/>
              <w:widowControl w:val="0"/>
              <w:kinsoku/>
              <w:wordWrap/>
              <w:overflowPunct/>
              <w:topLinePunct w:val="0"/>
              <w:bidi w:val="0"/>
              <w:adjustRightInd w:val="0"/>
              <w:snapToGrid w:val="0"/>
              <w:spacing w:line="360" w:lineRule="auto"/>
              <w:ind w:left="0" w:leftChars="0" w:firstLine="422" w:firstLineChars="200"/>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lang w:val="en-US" w:eastAsia="zh-CN"/>
              </w:rPr>
              <w:t>环境风险分析</w:t>
            </w:r>
          </w:p>
          <w:p w14:paraId="2491A9C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①泄漏事故影响分析</w:t>
            </w:r>
          </w:p>
          <w:p w14:paraId="3501CA5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本项目危险物质主要涉及废润滑油收集桶</w:t>
            </w:r>
            <w:r>
              <w:rPr>
                <w:rFonts w:hint="eastAsia" w:ascii="Times New Roman" w:hAnsi="Times New Roman" w:eastAsia="宋体" w:cs="Times New Roman"/>
                <w:bCs/>
                <w:color w:val="auto"/>
                <w:sz w:val="21"/>
                <w:szCs w:val="21"/>
                <w:lang w:val="en-US" w:eastAsia="zh-CN"/>
              </w:rPr>
              <w:t>。</w:t>
            </w:r>
            <w:r>
              <w:rPr>
                <w:rFonts w:hint="default" w:ascii="Times New Roman" w:hAnsi="Times New Roman" w:eastAsia="宋体" w:cs="Times New Roman"/>
                <w:bCs/>
                <w:color w:val="auto"/>
                <w:sz w:val="21"/>
                <w:szCs w:val="21"/>
                <w:lang w:val="en-US" w:eastAsia="zh-CN"/>
              </w:rPr>
              <w:t>项目生产系统风险所在主要为危险废物暂存间，废润滑油收集桶的泄漏或渗漏会造成地下水、地表水的污染，地下水一旦遭到污染，将使地下水产生严重异味，渗漏必然穿过较厚的土层，使土壤层中吸附有大量的废</w:t>
            </w:r>
            <w:r>
              <w:rPr>
                <w:rFonts w:hint="eastAsia" w:ascii="Times New Roman" w:hAnsi="Times New Roman" w:eastAsia="宋体" w:cs="Times New Roman"/>
                <w:bCs/>
                <w:color w:val="auto"/>
                <w:sz w:val="21"/>
                <w:szCs w:val="21"/>
                <w:lang w:val="en-US" w:eastAsia="zh-CN"/>
              </w:rPr>
              <w:t>润滑</w:t>
            </w:r>
            <w:r>
              <w:rPr>
                <w:rFonts w:hint="default" w:ascii="Times New Roman" w:hAnsi="Times New Roman" w:eastAsia="宋体" w:cs="Times New Roman"/>
                <w:bCs/>
                <w:color w:val="auto"/>
                <w:sz w:val="21"/>
                <w:szCs w:val="21"/>
                <w:lang w:val="en-US" w:eastAsia="zh-CN"/>
              </w:rPr>
              <w:t>油，土壤层吸附的</w:t>
            </w:r>
            <w:r>
              <w:rPr>
                <w:rFonts w:hint="eastAsia" w:eastAsia="宋体" w:cs="Times New Roman"/>
                <w:bCs/>
                <w:color w:val="auto"/>
                <w:sz w:val="21"/>
                <w:szCs w:val="21"/>
                <w:lang w:val="en-US" w:eastAsia="zh-CN"/>
              </w:rPr>
              <w:t>油类物质</w:t>
            </w:r>
            <w:r>
              <w:rPr>
                <w:rFonts w:hint="default" w:ascii="Times New Roman" w:hAnsi="Times New Roman" w:eastAsia="宋体" w:cs="Times New Roman"/>
                <w:bCs/>
                <w:color w:val="auto"/>
                <w:sz w:val="21"/>
                <w:szCs w:val="21"/>
                <w:lang w:val="en-US" w:eastAsia="zh-CN"/>
              </w:rPr>
              <w:t>不仅会造成植物生物的死亡，而且还会随着地表水的下渗对土壤层的冲刷补充到地下水。一旦进入地表河流，将造成地表河流的污染，污染首先将造成地表河流的景观破坏，产生严重的刺鼻性气味；其次造成水中溶解氧浓度降低，逐渐形成死水，致使水中生物死亡。</w:t>
            </w:r>
          </w:p>
          <w:p w14:paraId="57864B8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②火灾事故影响分析</w:t>
            </w:r>
          </w:p>
          <w:p w14:paraId="6EC88F8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bCs/>
                <w:color w:val="auto"/>
                <w:sz w:val="21"/>
                <w:szCs w:val="21"/>
                <w:lang w:val="en-US" w:eastAsia="zh-CN"/>
              </w:rPr>
              <w:t>润滑油</w:t>
            </w:r>
            <w:r>
              <w:rPr>
                <w:rFonts w:hint="default" w:ascii="Times New Roman" w:hAnsi="Times New Roman" w:eastAsia="宋体" w:cs="Times New Roman"/>
                <w:bCs/>
                <w:color w:val="auto"/>
                <w:sz w:val="21"/>
                <w:szCs w:val="21"/>
                <w:lang w:val="en-US" w:eastAsia="zh-CN"/>
              </w:rPr>
              <w:t>极易燃烧，其中完全燃烧时产生二氧化碳，不完全燃烧时产生CO</w:t>
            </w:r>
            <w:r>
              <w:rPr>
                <w:rFonts w:hint="eastAsia" w:eastAsia="宋体" w:cs="Times New Roman"/>
                <w:bCs/>
                <w:color w:val="auto"/>
                <w:sz w:val="21"/>
                <w:szCs w:val="21"/>
                <w:lang w:val="en-US" w:eastAsia="zh-CN"/>
              </w:rPr>
              <w:t>；</w:t>
            </w:r>
            <w:r>
              <w:rPr>
                <w:rFonts w:hint="eastAsia" w:eastAsia="宋体" w:cs="Times New Roman"/>
                <w:color w:val="auto"/>
                <w:sz w:val="21"/>
                <w:szCs w:val="21"/>
                <w:lang w:val="en-US" w:eastAsia="zh-CN"/>
              </w:rPr>
              <w:t>一氧化碳易燃，燃烧后产生二氧化碳</w:t>
            </w:r>
            <w:r>
              <w:rPr>
                <w:rFonts w:hint="default" w:ascii="Times New Roman" w:hAnsi="Times New Roman" w:eastAsia="宋体" w:cs="Times New Roman"/>
                <w:bCs/>
                <w:color w:val="auto"/>
                <w:sz w:val="21"/>
                <w:szCs w:val="21"/>
                <w:lang w:val="en-US" w:eastAsia="zh-CN"/>
              </w:rPr>
              <w:t>。CO对人的主要危害就是引起组织缺氧，导致急性或者慢性中毒甚至有死亡的威胁，此外，还可能造成听力与视力的损害，CO</w:t>
            </w:r>
            <w:r>
              <w:rPr>
                <w:rFonts w:hint="default" w:ascii="Times New Roman" w:hAnsi="Times New Roman" w:eastAsia="宋体" w:cs="Times New Roman"/>
                <w:bCs/>
                <w:color w:val="auto"/>
                <w:sz w:val="21"/>
                <w:szCs w:val="21"/>
                <w:vertAlign w:val="subscript"/>
                <w:lang w:val="en-US" w:eastAsia="zh-CN"/>
              </w:rPr>
              <w:t>2</w:t>
            </w:r>
            <w:r>
              <w:rPr>
                <w:rFonts w:hint="default" w:ascii="Times New Roman" w:hAnsi="Times New Roman" w:eastAsia="宋体" w:cs="Times New Roman"/>
                <w:bCs/>
                <w:color w:val="auto"/>
                <w:sz w:val="21"/>
                <w:szCs w:val="21"/>
                <w:lang w:val="en-US" w:eastAsia="zh-CN"/>
              </w:rPr>
              <w:t>对环境影响主要为温室效应。</w:t>
            </w:r>
            <w:r>
              <w:rPr>
                <w:rFonts w:hint="eastAsia" w:ascii="Times New Roman" w:hAnsi="Times New Roman" w:eastAsia="宋体" w:cs="Times New Roman"/>
                <w:bCs/>
                <w:color w:val="auto"/>
                <w:sz w:val="21"/>
                <w:szCs w:val="21"/>
                <w:lang w:val="en-US" w:eastAsia="zh-CN"/>
              </w:rPr>
              <w:t>废润滑油</w:t>
            </w:r>
            <w:r>
              <w:rPr>
                <w:rFonts w:hint="eastAsia" w:eastAsia="宋体" w:cs="Times New Roman"/>
                <w:bCs/>
                <w:color w:val="auto"/>
                <w:sz w:val="21"/>
                <w:szCs w:val="21"/>
                <w:lang w:val="en-US" w:eastAsia="zh-CN"/>
              </w:rPr>
              <w:t>、一氧化碳</w:t>
            </w:r>
            <w:r>
              <w:rPr>
                <w:rFonts w:hint="eastAsia" w:ascii="Times New Roman" w:hAnsi="Times New Roman" w:eastAsia="宋体" w:cs="Times New Roman"/>
                <w:bCs/>
                <w:color w:val="auto"/>
                <w:sz w:val="21"/>
                <w:szCs w:val="21"/>
                <w:lang w:val="en-US" w:eastAsia="zh-CN"/>
              </w:rPr>
              <w:t>如</w:t>
            </w:r>
            <w:r>
              <w:rPr>
                <w:rFonts w:hint="default" w:ascii="Times New Roman" w:hAnsi="Times New Roman" w:eastAsia="宋体" w:cs="Times New Roman"/>
                <w:color w:val="auto"/>
                <w:sz w:val="21"/>
                <w:szCs w:val="21"/>
              </w:rPr>
              <w:t>遇明火、高温或与氧化剂接触，有引起燃烧爆炸的危险。若遇高热，容器内压力增大，有开裂和爆炸的危险。</w:t>
            </w:r>
          </w:p>
          <w:p w14:paraId="2A23D4F5">
            <w:pPr>
              <w:keepNext w:val="0"/>
              <w:keepLines w:val="0"/>
              <w:pageBreakBefore w:val="0"/>
              <w:widowControl w:val="0"/>
              <w:kinsoku/>
              <w:wordWrap/>
              <w:overflowPunct/>
              <w:topLinePunct w:val="0"/>
              <w:bidi w:val="0"/>
              <w:adjustRightInd w:val="0"/>
              <w:snapToGrid w:val="0"/>
              <w:spacing w:line="360" w:lineRule="auto"/>
              <w:ind w:left="0" w:leftChars="0" w:firstLine="420" w:firstLineChars="200"/>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rPr>
              <w:t>本项</w:t>
            </w:r>
            <w:r>
              <w:rPr>
                <w:rFonts w:hint="eastAsia" w:ascii="Times New Roman" w:hAnsi="Times New Roman" w:eastAsia="宋体" w:cs="Times New Roman"/>
                <w:color w:val="auto"/>
                <w:sz w:val="21"/>
                <w:szCs w:val="21"/>
                <w:lang w:val="en-US" w:eastAsia="zh-CN"/>
              </w:rPr>
              <w:t>目</w:t>
            </w:r>
            <w:r>
              <w:rPr>
                <w:rFonts w:hint="eastAsia" w:ascii="Times New Roman" w:hAnsi="Times New Roman" w:eastAsia="宋体" w:cs="Times New Roman"/>
                <w:bCs/>
                <w:color w:val="auto"/>
                <w:sz w:val="21"/>
                <w:szCs w:val="21"/>
                <w:lang w:val="en-US" w:eastAsia="zh-CN"/>
              </w:rPr>
              <w:t>废润滑油</w:t>
            </w:r>
            <w:r>
              <w:rPr>
                <w:rFonts w:hint="default" w:ascii="Times New Roman" w:hAnsi="Times New Roman" w:eastAsia="宋体" w:cs="Times New Roman"/>
                <w:color w:val="auto"/>
                <w:sz w:val="21"/>
                <w:szCs w:val="21"/>
                <w:lang w:val="en-US" w:eastAsia="zh-CN"/>
              </w:rPr>
              <w:t>采用桶装形式储存于危险废物暂存间</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共计</w:t>
            </w:r>
            <w:r>
              <w:rPr>
                <w:rFonts w:hint="default" w:ascii="Times New Roman" w:hAnsi="Times New Roman" w:eastAsia="宋体" w:cs="Times New Roman"/>
                <w:color w:val="auto"/>
                <w:sz w:val="21"/>
                <w:szCs w:val="21"/>
              </w:rPr>
              <w:t>最大储量为</w:t>
            </w:r>
            <w:r>
              <w:rPr>
                <w:rFonts w:hint="default" w:ascii="Times New Roman" w:hAnsi="Times New Roman" w:eastAsia="宋体" w:cs="Times New Roman"/>
                <w:color w:val="auto"/>
                <w:sz w:val="21"/>
                <w:szCs w:val="21"/>
                <w:lang w:val="en-US" w:eastAsia="zh-CN"/>
              </w:rPr>
              <w:t>0.</w:t>
            </w:r>
            <w:r>
              <w:rPr>
                <w:rFonts w:hint="eastAsia" w:eastAsia="宋体" w:cs="Times New Roman"/>
                <w:color w:val="auto"/>
                <w:sz w:val="21"/>
                <w:szCs w:val="21"/>
                <w:lang w:val="en-US" w:eastAsia="zh-CN"/>
              </w:rPr>
              <w:t>2</w:t>
            </w:r>
            <w:r>
              <w:rPr>
                <w:rFonts w:hint="default" w:ascii="Times New Roman" w:hAnsi="Times New Roman" w:eastAsia="宋体" w:cs="Times New Roman"/>
                <w:color w:val="auto"/>
                <w:sz w:val="21"/>
                <w:szCs w:val="21"/>
              </w:rPr>
              <w:t>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远远小于</w:t>
            </w:r>
            <w:r>
              <w:rPr>
                <w:rFonts w:hint="eastAsia" w:eastAsia="宋体" w:cs="Times New Roman"/>
                <w:bCs/>
                <w:color w:val="auto"/>
                <w:sz w:val="21"/>
                <w:szCs w:val="21"/>
                <w:lang w:val="en-US" w:eastAsia="zh-CN"/>
              </w:rPr>
              <w:t>矿物油</w:t>
            </w:r>
            <w:r>
              <w:rPr>
                <w:rFonts w:hint="default" w:ascii="Times New Roman" w:hAnsi="Times New Roman" w:eastAsia="宋体" w:cs="Times New Roman"/>
                <w:color w:val="auto"/>
                <w:sz w:val="21"/>
                <w:szCs w:val="21"/>
              </w:rPr>
              <w:t>的临界量</w:t>
            </w:r>
            <w:r>
              <w:rPr>
                <w:rFonts w:hint="eastAsia" w:eastAsia="宋体" w:cs="Times New Roman"/>
                <w:color w:val="auto"/>
                <w:sz w:val="21"/>
                <w:szCs w:val="21"/>
                <w:lang w:val="en-US" w:eastAsia="zh-CN"/>
              </w:rPr>
              <w:t>250</w:t>
            </w:r>
            <w:r>
              <w:rPr>
                <w:rFonts w:hint="default" w:ascii="Times New Roman" w:hAnsi="Times New Roman" w:eastAsia="宋体" w:cs="Times New Roman"/>
                <w:color w:val="auto"/>
                <w:sz w:val="21"/>
                <w:szCs w:val="21"/>
              </w:rPr>
              <w:t>0t</w:t>
            </w:r>
            <w:r>
              <w:rPr>
                <w:rFonts w:hint="eastAsia"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Q＜1，环境风险潜势为I。</w:t>
            </w:r>
            <w:r>
              <w:rPr>
                <w:rFonts w:hint="default" w:ascii="Times New Roman" w:hAnsi="Times New Roman" w:eastAsia="宋体" w:cs="Times New Roman"/>
                <w:bCs/>
                <w:color w:val="auto"/>
                <w:sz w:val="21"/>
                <w:szCs w:val="21"/>
                <w:lang w:val="en-US" w:eastAsia="zh-CN"/>
              </w:rPr>
              <w:t>出现火灾事故概率极小，排放CO、CO</w:t>
            </w:r>
            <w:r>
              <w:rPr>
                <w:rFonts w:hint="default" w:ascii="Times New Roman" w:hAnsi="Times New Roman" w:eastAsia="宋体" w:cs="Times New Roman"/>
                <w:bCs/>
                <w:color w:val="auto"/>
                <w:sz w:val="21"/>
                <w:szCs w:val="21"/>
                <w:vertAlign w:val="subscript"/>
                <w:lang w:val="en-US" w:eastAsia="zh-CN"/>
              </w:rPr>
              <w:t>2</w:t>
            </w:r>
            <w:r>
              <w:rPr>
                <w:rFonts w:hint="default" w:ascii="Times New Roman" w:hAnsi="Times New Roman" w:eastAsia="宋体" w:cs="Times New Roman"/>
                <w:bCs/>
                <w:color w:val="auto"/>
                <w:sz w:val="21"/>
                <w:szCs w:val="21"/>
                <w:lang w:val="en-US" w:eastAsia="zh-CN"/>
              </w:rPr>
              <w:t>经大气稀释、扩散后对周边大气环境影响不大。</w:t>
            </w:r>
          </w:p>
          <w:p w14:paraId="315651AA">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22"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bCs/>
                <w:color w:val="auto"/>
                <w:sz w:val="21"/>
                <w:szCs w:val="21"/>
                <w:lang w:val="en-US" w:eastAsia="zh-CN"/>
              </w:rPr>
              <w:t>5</w:t>
            </w:r>
            <w:r>
              <w:rPr>
                <w:rFonts w:hint="default" w:ascii="Times New Roman" w:hAnsi="Times New Roman" w:eastAsia="宋体" w:cs="Times New Roman"/>
                <w:b/>
                <w:bCs/>
                <w:color w:val="auto"/>
                <w:sz w:val="21"/>
                <w:szCs w:val="21"/>
              </w:rPr>
              <w:t>）</w:t>
            </w:r>
            <w:r>
              <w:rPr>
                <w:rFonts w:hint="eastAsia" w:eastAsia="宋体" w:cs="Times New Roman"/>
                <w:b/>
                <w:bCs/>
                <w:color w:val="auto"/>
                <w:sz w:val="21"/>
                <w:szCs w:val="21"/>
                <w:lang w:val="en-US" w:eastAsia="zh-CN"/>
              </w:rPr>
              <w:t>环境</w:t>
            </w:r>
            <w:r>
              <w:rPr>
                <w:rFonts w:hint="default" w:ascii="Times New Roman" w:hAnsi="Times New Roman" w:eastAsia="宋体" w:cs="Times New Roman"/>
                <w:b/>
                <w:bCs/>
                <w:color w:val="auto"/>
                <w:sz w:val="21"/>
                <w:szCs w:val="21"/>
              </w:rPr>
              <w:t>风险防范措施</w:t>
            </w:r>
          </w:p>
          <w:p w14:paraId="79F6DB35">
            <w:pPr>
              <w:keepNext w:val="0"/>
              <w:keepLines w:val="0"/>
              <w:pageBreakBefore w:val="0"/>
              <w:widowControl w:val="0"/>
              <w:kinsoku/>
              <w:wordWrap/>
              <w:overflowPunct/>
              <w:topLinePunct w:val="0"/>
              <w:bidi w:val="0"/>
              <w:snapToGrid w:val="0"/>
              <w:spacing w:line="360" w:lineRule="auto"/>
              <w:ind w:left="0" w:leftChars="0" w:firstLine="420" w:firstLineChars="200"/>
              <w:textAlignment w:val="auto"/>
              <w:rPr>
                <w:rFonts w:hint="default" w:ascii="Times New Roman" w:hAnsi="Times New Roman" w:eastAsia="宋体" w:cs="Times New Roman"/>
                <w:color w:val="auto"/>
                <w:sz w:val="21"/>
                <w:szCs w:val="21"/>
                <w:lang w:val="en-US" w:eastAsia="zh-CN"/>
              </w:rPr>
            </w:pPr>
            <w:r>
              <w:rPr>
                <w:rFonts w:hint="eastAsia" w:ascii="宋体" w:hAnsi="宋体" w:eastAsia="宋体" w:cs="宋体"/>
                <w:color w:val="auto"/>
                <w:sz w:val="21"/>
                <w:szCs w:val="21"/>
              </w:rPr>
              <w:t>①</w:t>
            </w:r>
            <w:r>
              <w:rPr>
                <w:rFonts w:hint="eastAsia" w:eastAsia="宋体" w:cs="Times New Roman"/>
                <w:color w:val="auto"/>
                <w:sz w:val="21"/>
                <w:szCs w:val="21"/>
                <w:lang w:val="en-US" w:eastAsia="zh-CN"/>
              </w:rPr>
              <w:t>废矿物油泄漏风险防范措施</w:t>
            </w:r>
          </w:p>
          <w:p w14:paraId="63AB84BE">
            <w:pPr>
              <w:keepNext w:val="0"/>
              <w:keepLines w:val="0"/>
              <w:pageBreakBefore w:val="0"/>
              <w:widowControl w:val="0"/>
              <w:kinsoku/>
              <w:wordWrap/>
              <w:overflowPunct/>
              <w:topLinePunct w:val="0"/>
              <w:bidi w:val="0"/>
              <w:snapToGrid w:val="0"/>
              <w:spacing w:line="36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a、</w:t>
            </w:r>
            <w:r>
              <w:rPr>
                <w:rFonts w:hint="eastAsia" w:cs="Times New Roman"/>
                <w:color w:val="auto"/>
                <w:sz w:val="21"/>
                <w:szCs w:val="21"/>
                <w:lang w:val="en-US" w:eastAsia="zh-CN"/>
              </w:rPr>
              <w:t>危废贮存库</w:t>
            </w:r>
            <w:r>
              <w:rPr>
                <w:rFonts w:hint="eastAsia" w:ascii="Times New Roman" w:hAnsi="Times New Roman" w:eastAsia="宋体" w:cs="Times New Roman"/>
                <w:color w:val="auto"/>
                <w:sz w:val="21"/>
                <w:szCs w:val="21"/>
                <w:lang w:eastAsia="zh-CN"/>
              </w:rPr>
              <w:t>附近</w:t>
            </w:r>
            <w:r>
              <w:rPr>
                <w:rFonts w:hint="default" w:ascii="Times New Roman" w:hAnsi="Times New Roman" w:eastAsia="宋体" w:cs="Times New Roman"/>
                <w:color w:val="auto"/>
                <w:sz w:val="21"/>
                <w:szCs w:val="21"/>
              </w:rPr>
              <w:t>严禁烟火，并张贴禁火标识；</w:t>
            </w:r>
          </w:p>
          <w:p w14:paraId="36870840">
            <w:pPr>
              <w:keepNext w:val="0"/>
              <w:keepLines w:val="0"/>
              <w:pageBreakBefore w:val="0"/>
              <w:widowControl w:val="0"/>
              <w:kinsoku/>
              <w:wordWrap/>
              <w:overflowPunct/>
              <w:topLinePunct w:val="0"/>
              <w:bidi w:val="0"/>
              <w:snapToGrid w:val="0"/>
              <w:spacing w:line="36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b、当</w:t>
            </w:r>
            <w:r>
              <w:rPr>
                <w:rFonts w:hint="eastAsia" w:cs="Times New Roman"/>
                <w:color w:val="auto"/>
                <w:sz w:val="21"/>
                <w:szCs w:val="21"/>
                <w:lang w:val="en-US" w:eastAsia="zh-CN"/>
              </w:rPr>
              <w:t>发生</w:t>
            </w:r>
            <w:r>
              <w:rPr>
                <w:rFonts w:hint="default" w:ascii="Times New Roman" w:hAnsi="Times New Roman" w:eastAsia="宋体" w:cs="Times New Roman"/>
                <w:color w:val="auto"/>
                <w:sz w:val="21"/>
                <w:szCs w:val="21"/>
              </w:rPr>
              <w:t>泄漏时，及时寻找泄漏点并阻隔泄漏点，</w:t>
            </w:r>
            <w:r>
              <w:rPr>
                <w:rFonts w:hint="eastAsia" w:eastAsia="宋体" w:cs="Times New Roman"/>
                <w:color w:val="auto"/>
                <w:sz w:val="21"/>
                <w:szCs w:val="21"/>
                <w:lang w:val="en-US" w:eastAsia="zh-CN"/>
              </w:rPr>
              <w:t>防止</w:t>
            </w:r>
            <w:r>
              <w:rPr>
                <w:rFonts w:hint="default" w:ascii="Times New Roman" w:hAnsi="Times New Roman" w:eastAsia="宋体" w:cs="Times New Roman"/>
                <w:color w:val="auto"/>
                <w:sz w:val="21"/>
                <w:szCs w:val="21"/>
              </w:rPr>
              <w:t>进一步</w:t>
            </w:r>
            <w:r>
              <w:rPr>
                <w:rFonts w:hint="eastAsia" w:eastAsia="宋体" w:cs="Times New Roman"/>
                <w:color w:val="auto"/>
                <w:sz w:val="21"/>
                <w:szCs w:val="21"/>
                <w:lang w:eastAsia="zh-CN"/>
              </w:rPr>
              <w:t>泄漏</w:t>
            </w:r>
            <w:r>
              <w:rPr>
                <w:rFonts w:hint="default" w:ascii="Times New Roman" w:hAnsi="Times New Roman" w:eastAsia="宋体" w:cs="Times New Roman"/>
                <w:color w:val="auto"/>
                <w:sz w:val="21"/>
                <w:szCs w:val="21"/>
              </w:rPr>
              <w:t>，同时采取加强通风；</w:t>
            </w:r>
          </w:p>
          <w:p w14:paraId="102B3327">
            <w:pPr>
              <w:keepNext w:val="0"/>
              <w:keepLines w:val="0"/>
              <w:pageBreakBefore w:val="0"/>
              <w:widowControl w:val="0"/>
              <w:kinsoku/>
              <w:wordWrap/>
              <w:overflowPunct/>
              <w:topLinePunct w:val="0"/>
              <w:bidi w:val="0"/>
              <w:snapToGrid w:val="0"/>
              <w:spacing w:line="36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c、火灾发生时，及时扑灭大火；</w:t>
            </w:r>
          </w:p>
          <w:p w14:paraId="625A8F48">
            <w:pPr>
              <w:keepNext w:val="0"/>
              <w:keepLines w:val="0"/>
              <w:pageBreakBefore w:val="0"/>
              <w:widowControl w:val="0"/>
              <w:kinsoku/>
              <w:wordWrap/>
              <w:overflowPunct/>
              <w:topLinePunct w:val="0"/>
              <w:bidi w:val="0"/>
              <w:snapToGrid w:val="0"/>
              <w:spacing w:line="36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d、运营期间需定期检查</w:t>
            </w:r>
            <w:r>
              <w:rPr>
                <w:rFonts w:hint="default" w:ascii="Times New Roman" w:hAnsi="Times New Roman" w:eastAsia="宋体" w:cs="Times New Roman"/>
                <w:color w:val="auto"/>
                <w:sz w:val="21"/>
                <w:szCs w:val="21"/>
                <w:lang w:val="en-US" w:eastAsia="zh-CN"/>
              </w:rPr>
              <w:t>废润滑油储存桶</w:t>
            </w:r>
            <w:r>
              <w:rPr>
                <w:rFonts w:hint="default" w:ascii="Times New Roman" w:hAnsi="Times New Roman" w:eastAsia="宋体" w:cs="Times New Roman"/>
                <w:color w:val="auto"/>
                <w:sz w:val="21"/>
                <w:szCs w:val="21"/>
              </w:rPr>
              <w:t>运行状态，发现异常及时处理。</w:t>
            </w:r>
          </w:p>
          <w:p w14:paraId="15BDC759">
            <w:pPr>
              <w:keepNext w:val="0"/>
              <w:keepLines w:val="0"/>
              <w:pageBreakBefore w:val="0"/>
              <w:widowControl w:val="0"/>
              <w:tabs>
                <w:tab w:val="left" w:pos="3999"/>
              </w:tabs>
              <w:kinsoku/>
              <w:wordWrap/>
              <w:overflowPunct/>
              <w:topLinePunct w:val="0"/>
              <w:bidi w:val="0"/>
              <w:snapToGrid w:val="0"/>
              <w:spacing w:line="360" w:lineRule="auto"/>
              <w:ind w:left="0" w:leftChars="0" w:firstLine="422"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bCs/>
                <w:color w:val="auto"/>
                <w:sz w:val="21"/>
                <w:szCs w:val="21"/>
                <w:lang w:val="en-US" w:eastAsia="zh-CN"/>
              </w:rPr>
              <w:t>6</w:t>
            </w:r>
            <w:r>
              <w:rPr>
                <w:rFonts w:hint="default" w:ascii="Times New Roman" w:hAnsi="Times New Roman" w:eastAsia="宋体" w:cs="Times New Roman"/>
                <w:b/>
                <w:bCs/>
                <w:color w:val="auto"/>
                <w:sz w:val="21"/>
                <w:szCs w:val="21"/>
              </w:rPr>
              <w:t>）应急救援保障措施</w:t>
            </w:r>
          </w:p>
          <w:p w14:paraId="2CFDDF15">
            <w:pPr>
              <w:keepNext w:val="0"/>
              <w:keepLines w:val="0"/>
              <w:pageBreakBefore w:val="0"/>
              <w:widowControl w:val="0"/>
              <w:kinsoku/>
              <w:wordWrap/>
              <w:overflowPunct/>
              <w:topLinePunct w:val="0"/>
              <w:bidi w:val="0"/>
              <w:snapToGrid w:val="0"/>
              <w:spacing w:line="36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①</w:t>
            </w:r>
            <w:r>
              <w:rPr>
                <w:rFonts w:hint="default" w:ascii="Times New Roman" w:hAnsi="Times New Roman" w:eastAsia="宋体" w:cs="Times New Roman"/>
                <w:color w:val="auto"/>
                <w:sz w:val="21"/>
                <w:szCs w:val="21"/>
              </w:rPr>
              <w:t>资金保障：公司要划拨一定的污染事故应急专项资金，用于购买应急设施、设备与器材和日常的宣传培训演练，作为突发环境污染事故应急资金的保障；</w:t>
            </w:r>
          </w:p>
          <w:p w14:paraId="7E28B78E">
            <w:pPr>
              <w:keepNext w:val="0"/>
              <w:keepLines w:val="0"/>
              <w:pageBreakBefore w:val="0"/>
              <w:widowControl w:val="0"/>
              <w:kinsoku/>
              <w:wordWrap/>
              <w:overflowPunct/>
              <w:topLinePunct w:val="0"/>
              <w:bidi w:val="0"/>
              <w:snapToGrid w:val="0"/>
              <w:spacing w:line="36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②</w:t>
            </w:r>
            <w:r>
              <w:rPr>
                <w:rFonts w:hint="default" w:ascii="Times New Roman" w:hAnsi="Times New Roman" w:eastAsia="宋体" w:cs="Times New Roman"/>
                <w:color w:val="auto"/>
                <w:sz w:val="21"/>
                <w:szCs w:val="21"/>
              </w:rPr>
              <w:t>装备保障：厂区内要准备一定数量的应急救援用的用品（消防沙或消防土），并对其进行日常维护，为环境突发事故应急提供装备保障；</w:t>
            </w:r>
          </w:p>
          <w:p w14:paraId="360DEA0E">
            <w:pPr>
              <w:keepNext w:val="0"/>
              <w:keepLines w:val="0"/>
              <w:pageBreakBefore w:val="0"/>
              <w:widowControl w:val="0"/>
              <w:kinsoku/>
              <w:wordWrap/>
              <w:overflowPunct/>
              <w:topLinePunct w:val="0"/>
              <w:bidi w:val="0"/>
              <w:snapToGrid w:val="0"/>
              <w:spacing w:line="36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③</w:t>
            </w:r>
            <w:r>
              <w:rPr>
                <w:rFonts w:hint="default" w:ascii="Times New Roman" w:hAnsi="Times New Roman" w:eastAsia="宋体" w:cs="Times New Roman"/>
                <w:color w:val="auto"/>
                <w:sz w:val="21"/>
                <w:szCs w:val="21"/>
              </w:rPr>
              <w:t>通信保障及人力资源保障：保证全厂的通信畅通，重大事故应急救援组织机构成员要配备相应的通信工具，并且保证每天24小时畅通，保证事故应急人员和救援设备物资能及时到位；</w:t>
            </w:r>
          </w:p>
          <w:p w14:paraId="7E5B924F">
            <w:pPr>
              <w:keepNext w:val="0"/>
              <w:keepLines w:val="0"/>
              <w:pageBreakBefore w:val="0"/>
              <w:widowControl w:val="0"/>
              <w:kinsoku/>
              <w:wordWrap/>
              <w:overflowPunct/>
              <w:topLinePunct w:val="0"/>
              <w:bidi w:val="0"/>
              <w:snapToGrid w:val="0"/>
              <w:spacing w:line="36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④</w:t>
            </w:r>
            <w:r>
              <w:rPr>
                <w:rFonts w:hint="default" w:ascii="Times New Roman" w:hAnsi="Times New Roman" w:eastAsia="宋体" w:cs="Times New Roman"/>
                <w:color w:val="auto"/>
                <w:sz w:val="21"/>
                <w:szCs w:val="21"/>
              </w:rPr>
              <w:t>宣传培训演练：平时要加强防范事故的宣传工作，必要时邀请地方消防部门对企业应急组织机构领导小组成员和职工进行技术指导和培训，发放《环境应急手册》，每半年要安排人员进行一次事故应急演练。对工厂周围公众进行有针对性的科普宣传、教育、培训和发布有关信息，增强广大群众自我防护、自救互救意识。</w:t>
            </w:r>
          </w:p>
          <w:p w14:paraId="00125321">
            <w:pPr>
              <w:keepNext w:val="0"/>
              <w:keepLines w:val="0"/>
              <w:pageBreakBefore w:val="0"/>
              <w:widowControl w:val="0"/>
              <w:kinsoku/>
              <w:wordWrap/>
              <w:overflowPunct/>
              <w:topLinePunct w:val="0"/>
              <w:bidi w:val="0"/>
              <w:snapToGrid w:val="0"/>
              <w:spacing w:line="360" w:lineRule="auto"/>
              <w:ind w:left="0" w:leftChars="0" w:firstLine="422"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bCs/>
                <w:color w:val="auto"/>
                <w:sz w:val="21"/>
                <w:szCs w:val="21"/>
                <w:lang w:val="en-US" w:eastAsia="zh-CN"/>
              </w:rPr>
              <w:t>7</w:t>
            </w:r>
            <w:r>
              <w:rPr>
                <w:rFonts w:hint="default" w:ascii="Times New Roman" w:hAnsi="Times New Roman" w:eastAsia="宋体" w:cs="Times New Roman"/>
                <w:b/>
                <w:bCs/>
                <w:color w:val="auto"/>
                <w:sz w:val="21"/>
                <w:szCs w:val="21"/>
              </w:rPr>
              <w:t>）风险分析结论</w:t>
            </w:r>
          </w:p>
          <w:p w14:paraId="300F22B4">
            <w:pPr>
              <w:keepNext w:val="0"/>
              <w:keepLines w:val="0"/>
              <w:pageBreakBefore w:val="0"/>
              <w:widowControl w:val="0"/>
              <w:kinsoku/>
              <w:wordWrap/>
              <w:overflowPunct/>
              <w:topLinePunct w:val="0"/>
              <w:bidi w:val="0"/>
              <w:snapToGrid w:val="0"/>
              <w:spacing w:line="36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分析可知，本项目运营过程中存在一定的环境风险，通过采取本报告提出的风险事故防范措施及制定行之有效的环境风险应急预案，并在今后进一步加强管理和监控，可将风险事故发生率降至最低点，确保了不对建设所在区域环境造成较大危险。</w:t>
            </w:r>
          </w:p>
          <w:p w14:paraId="40ACDDA0">
            <w:pPr>
              <w:keepNext w:val="0"/>
              <w:keepLines w:val="0"/>
              <w:pageBreakBefore w:val="0"/>
              <w:widowControl w:val="0"/>
              <w:kinsoku/>
              <w:wordWrap/>
              <w:overflowPunct/>
              <w:topLinePunct w:val="0"/>
              <w:bidi w:val="0"/>
              <w:snapToGrid w:val="0"/>
              <w:spacing w:line="360" w:lineRule="auto"/>
              <w:ind w:left="0" w:leftChars="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在落实项目风险事故防范措施和事故应急预案的前提下，项目的风险处于环境可接受的水平，项目的风险防范措施可行。综合分析，项目从环境风险角度可行</w:t>
            </w:r>
            <w:r>
              <w:rPr>
                <w:rFonts w:hint="default" w:ascii="Times New Roman" w:hAnsi="Times New Roman" w:eastAsia="宋体" w:cs="Times New Roman"/>
                <w:color w:val="auto"/>
                <w:sz w:val="21"/>
                <w:szCs w:val="21"/>
                <w:lang w:eastAsia="zh-CN"/>
              </w:rPr>
              <w:t>。</w:t>
            </w:r>
          </w:p>
          <w:p w14:paraId="4451652D">
            <w:pPr>
              <w:keepNext w:val="0"/>
              <w:keepLines w:val="0"/>
              <w:pageBreakBefore w:val="0"/>
              <w:widowControl w:val="0"/>
              <w:kinsoku/>
              <w:wordWrap/>
              <w:overflowPunct/>
              <w:topLinePunct w:val="0"/>
              <w:autoSpaceDE/>
              <w:autoSpaceDN/>
              <w:bidi w:val="0"/>
              <w:adjustRightInd/>
              <w:snapToGrid w:val="0"/>
              <w:spacing w:line="240" w:lineRule="auto"/>
              <w:ind w:left="0" w:leftChars="0" w:firstLine="482"/>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表4-</w:t>
            </w:r>
            <w:r>
              <w:rPr>
                <w:rFonts w:hint="eastAsia" w:cs="Times New Roman"/>
                <w:b/>
                <w:bCs w:val="0"/>
                <w:color w:val="auto"/>
                <w:sz w:val="21"/>
                <w:szCs w:val="21"/>
                <w:lang w:val="en-US" w:eastAsia="zh-CN"/>
              </w:rPr>
              <w:t>18</w:t>
            </w:r>
            <w:r>
              <w:rPr>
                <w:rFonts w:hint="default" w:ascii="Times New Roman" w:hAnsi="Times New Roman" w:eastAsia="宋体" w:cs="Times New Roman"/>
                <w:b/>
                <w:bCs w:val="0"/>
                <w:color w:val="auto"/>
                <w:sz w:val="21"/>
                <w:szCs w:val="21"/>
                <w:lang w:val="en-US" w:eastAsia="zh-CN"/>
              </w:rPr>
              <w:t xml:space="preserve">  建设项目简单分析风险内容表</w:t>
            </w:r>
          </w:p>
          <w:tbl>
            <w:tblPr>
              <w:tblStyle w:val="2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8"/>
              <w:gridCol w:w="674"/>
              <w:gridCol w:w="2139"/>
              <w:gridCol w:w="768"/>
              <w:gridCol w:w="2174"/>
            </w:tblGrid>
            <w:tr w14:paraId="532F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pct"/>
                  <w:noWrap w:val="0"/>
                  <w:vAlign w:val="center"/>
                </w:tcPr>
                <w:p w14:paraId="1E1AE7B1">
                  <w:pPr>
                    <w:keepNext w:val="0"/>
                    <w:keepLines w:val="0"/>
                    <w:pageBreakBefore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建设项目名称</w:t>
                  </w:r>
                </w:p>
              </w:tc>
              <w:tc>
                <w:tcPr>
                  <w:tcW w:w="3627" w:type="pct"/>
                  <w:gridSpan w:val="4"/>
                  <w:noWrap w:val="0"/>
                  <w:vAlign w:val="center"/>
                </w:tcPr>
                <w:p w14:paraId="6749612D">
                  <w:pPr>
                    <w:keepNext w:val="0"/>
                    <w:keepLines w:val="0"/>
                    <w:pageBreakBefore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华宁县白塔山陶器厂年产900万件建筑陶器项目</w:t>
                  </w:r>
                </w:p>
              </w:tc>
            </w:tr>
            <w:tr w14:paraId="011DD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pct"/>
                  <w:noWrap w:val="0"/>
                  <w:vAlign w:val="center"/>
                </w:tcPr>
                <w:p w14:paraId="25B97C4C">
                  <w:pPr>
                    <w:keepNext w:val="0"/>
                    <w:keepLines w:val="0"/>
                    <w:pageBreakBefore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建设地点</w:t>
                  </w:r>
                </w:p>
              </w:tc>
              <w:tc>
                <w:tcPr>
                  <w:tcW w:w="3627" w:type="pct"/>
                  <w:gridSpan w:val="4"/>
                  <w:noWrap w:val="0"/>
                  <w:vAlign w:val="center"/>
                </w:tcPr>
                <w:p w14:paraId="5F4D3782">
                  <w:pPr>
                    <w:keepNext w:val="0"/>
                    <w:keepLines w:val="0"/>
                    <w:pageBreakBefore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宁州街道上村社区松树地</w:t>
                  </w:r>
                </w:p>
              </w:tc>
            </w:tr>
            <w:tr w14:paraId="2B047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372" w:type="pct"/>
                  <w:noWrap w:val="0"/>
                  <w:vAlign w:val="center"/>
                </w:tcPr>
                <w:p w14:paraId="7EC94CD5">
                  <w:pPr>
                    <w:keepNext w:val="0"/>
                    <w:keepLines w:val="0"/>
                    <w:pageBreakBefore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地理坐标</w:t>
                  </w:r>
                </w:p>
              </w:tc>
              <w:tc>
                <w:tcPr>
                  <w:tcW w:w="424" w:type="pct"/>
                  <w:noWrap w:val="0"/>
                  <w:vAlign w:val="center"/>
                </w:tcPr>
                <w:p w14:paraId="2F38FCB1">
                  <w:pPr>
                    <w:keepNext w:val="0"/>
                    <w:keepLines w:val="0"/>
                    <w:pageBreakBefore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经度</w:t>
                  </w:r>
                </w:p>
              </w:tc>
              <w:tc>
                <w:tcPr>
                  <w:tcW w:w="1348" w:type="pct"/>
                  <w:noWrap w:val="0"/>
                  <w:vAlign w:val="center"/>
                </w:tcPr>
                <w:p w14:paraId="4910644F">
                  <w:pPr>
                    <w:keepNext w:val="0"/>
                    <w:keepLines w:val="0"/>
                    <w:pageBreakBefore w:val="0"/>
                    <w:widowControl/>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102°55'12.916"</w:t>
                  </w:r>
                </w:p>
              </w:tc>
              <w:tc>
                <w:tcPr>
                  <w:tcW w:w="484" w:type="pct"/>
                  <w:noWrap w:val="0"/>
                  <w:vAlign w:val="center"/>
                </w:tcPr>
                <w:p w14:paraId="662606C6">
                  <w:pPr>
                    <w:keepNext w:val="0"/>
                    <w:keepLines w:val="0"/>
                    <w:pageBreakBefore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纬度</w:t>
                  </w:r>
                </w:p>
              </w:tc>
              <w:tc>
                <w:tcPr>
                  <w:tcW w:w="1370" w:type="pct"/>
                  <w:noWrap w:val="0"/>
                  <w:vAlign w:val="center"/>
                </w:tcPr>
                <w:p w14:paraId="461F1746">
                  <w:pPr>
                    <w:keepNext w:val="0"/>
                    <w:keepLines w:val="0"/>
                    <w:pageBreakBefore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rPr>
                    <w:t>24°12'19.624"</w:t>
                  </w:r>
                </w:p>
              </w:tc>
            </w:tr>
            <w:tr w14:paraId="7C7B7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pct"/>
                  <w:noWrap w:val="0"/>
                  <w:vAlign w:val="center"/>
                </w:tcPr>
                <w:p w14:paraId="37E188CF">
                  <w:pPr>
                    <w:keepNext w:val="0"/>
                    <w:keepLines w:val="0"/>
                    <w:pageBreakBefore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主要危险物质及分布</w:t>
                  </w:r>
                </w:p>
              </w:tc>
              <w:tc>
                <w:tcPr>
                  <w:tcW w:w="3627" w:type="pct"/>
                  <w:gridSpan w:val="4"/>
                  <w:noWrap w:val="0"/>
                  <w:vAlign w:val="center"/>
                </w:tcPr>
                <w:p w14:paraId="71AE81FE">
                  <w:pPr>
                    <w:keepNext w:val="0"/>
                    <w:keepLines w:val="0"/>
                    <w:pageBreakBefore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危废贮存库</w:t>
                  </w:r>
                </w:p>
              </w:tc>
            </w:tr>
            <w:tr w14:paraId="2CD55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72" w:type="pct"/>
                  <w:noWrap w:val="0"/>
                  <w:vAlign w:val="center"/>
                </w:tcPr>
                <w:p w14:paraId="4117F0EB">
                  <w:pPr>
                    <w:keepNext w:val="0"/>
                    <w:keepLines w:val="0"/>
                    <w:pageBreakBefore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环境影响途径及危害后果（如大气、地表水、地下水等）</w:t>
                  </w:r>
                </w:p>
              </w:tc>
              <w:tc>
                <w:tcPr>
                  <w:tcW w:w="3627" w:type="pct"/>
                  <w:gridSpan w:val="4"/>
                  <w:noWrap w:val="0"/>
                  <w:vAlign w:val="center"/>
                </w:tcPr>
                <w:p w14:paraId="1FFC220F">
                  <w:pPr>
                    <w:keepNext w:val="0"/>
                    <w:keepLines w:val="0"/>
                    <w:pageBreakBefore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leftChars="0" w:right="0" w:rightChars="0"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①废润滑油泄漏后进入水体中会对水体造成污染</w:t>
                  </w:r>
                  <w:r>
                    <w:rPr>
                      <w:rFonts w:hint="eastAsia" w:eastAsia="宋体" w:cs="Times New Roman"/>
                      <w:color w:val="auto"/>
                      <w:sz w:val="21"/>
                      <w:szCs w:val="21"/>
                      <w:lang w:val="en-US" w:eastAsia="zh-CN"/>
                    </w:rPr>
                    <w:t>，若泄漏后遇明火或高热高温会导致火灾爆炸事故的发生</w:t>
                  </w:r>
                  <w:r>
                    <w:rPr>
                      <w:rFonts w:hint="default" w:ascii="Times New Roman" w:hAnsi="Times New Roman" w:eastAsia="宋体" w:cs="Times New Roman"/>
                      <w:color w:val="auto"/>
                      <w:sz w:val="21"/>
                      <w:szCs w:val="21"/>
                      <w:lang w:val="en-US" w:eastAsia="zh-CN"/>
                    </w:rPr>
                    <w:t>。</w:t>
                  </w:r>
                </w:p>
              </w:tc>
            </w:tr>
            <w:tr w14:paraId="5EE10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2" w:type="pct"/>
                  <w:noWrap w:val="0"/>
                  <w:vAlign w:val="center"/>
                </w:tcPr>
                <w:p w14:paraId="1B5B631C">
                  <w:pPr>
                    <w:keepNext w:val="0"/>
                    <w:keepLines w:val="0"/>
                    <w:pageBreakBefore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leftChars="0" w:right="0" w:rightChars="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风险防范措施要求</w:t>
                  </w:r>
                </w:p>
              </w:tc>
              <w:tc>
                <w:tcPr>
                  <w:tcW w:w="3627" w:type="pct"/>
                  <w:gridSpan w:val="4"/>
                  <w:noWrap w:val="0"/>
                  <w:vAlign w:val="center"/>
                </w:tcPr>
                <w:p w14:paraId="1FA91C14">
                  <w:pPr>
                    <w:keepNext w:val="0"/>
                    <w:keepLines w:val="0"/>
                    <w:pageBreakBefore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leftChars="0" w:right="0" w:rightChars="0" w:firstLine="0" w:firstLineChars="0"/>
                    <w:jc w:val="both"/>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①废矿物油泄漏风险防范措施</w:t>
                  </w:r>
                </w:p>
                <w:p w14:paraId="308D655D">
                  <w:pPr>
                    <w:keepNext w:val="0"/>
                    <w:keepLines w:val="0"/>
                    <w:pageBreakBefore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leftChars="0" w:right="0" w:rightChars="0" w:firstLine="0" w:firstLineChars="0"/>
                    <w:jc w:val="both"/>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a、</w:t>
                  </w:r>
                  <w:r>
                    <w:rPr>
                      <w:rFonts w:hint="eastAsia" w:cs="宋体"/>
                      <w:color w:val="auto"/>
                      <w:sz w:val="21"/>
                      <w:szCs w:val="21"/>
                      <w:lang w:val="en-US" w:eastAsia="zh-CN"/>
                    </w:rPr>
                    <w:t>危废贮存库</w:t>
                  </w:r>
                  <w:r>
                    <w:rPr>
                      <w:rFonts w:hint="eastAsia" w:ascii="Times New Roman" w:hAnsi="Times New Roman" w:eastAsia="宋体" w:cs="宋体"/>
                      <w:color w:val="auto"/>
                      <w:sz w:val="21"/>
                      <w:szCs w:val="21"/>
                      <w:lang w:val="en-US" w:eastAsia="zh-CN"/>
                    </w:rPr>
                    <w:t>附近严禁烟火，并张贴禁火标识；</w:t>
                  </w:r>
                </w:p>
                <w:p w14:paraId="737AC0BE">
                  <w:pPr>
                    <w:keepNext w:val="0"/>
                    <w:keepLines w:val="0"/>
                    <w:pageBreakBefore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leftChars="0" w:right="0" w:rightChars="0" w:firstLine="0" w:firstLineChars="0"/>
                    <w:jc w:val="both"/>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b、当</w:t>
                  </w:r>
                  <w:r>
                    <w:rPr>
                      <w:rFonts w:hint="eastAsia" w:cs="宋体"/>
                      <w:color w:val="auto"/>
                      <w:sz w:val="21"/>
                      <w:szCs w:val="21"/>
                      <w:lang w:val="en-US" w:eastAsia="zh-CN"/>
                    </w:rPr>
                    <w:t>发生</w:t>
                  </w:r>
                  <w:r>
                    <w:rPr>
                      <w:rFonts w:hint="eastAsia" w:ascii="Times New Roman" w:hAnsi="Times New Roman" w:eastAsia="宋体" w:cs="宋体"/>
                      <w:color w:val="auto"/>
                      <w:sz w:val="21"/>
                      <w:szCs w:val="21"/>
                      <w:lang w:val="en-US" w:eastAsia="zh-CN"/>
                    </w:rPr>
                    <w:t>泄漏时，及时寻找泄漏点并阻隔泄漏点，</w:t>
                  </w:r>
                  <w:r>
                    <w:rPr>
                      <w:rFonts w:hint="eastAsia" w:eastAsia="宋体" w:cs="宋体"/>
                      <w:color w:val="auto"/>
                      <w:sz w:val="21"/>
                      <w:szCs w:val="21"/>
                      <w:lang w:val="en-US" w:eastAsia="zh-CN"/>
                    </w:rPr>
                    <w:t>防止</w:t>
                  </w:r>
                  <w:r>
                    <w:rPr>
                      <w:rFonts w:hint="eastAsia" w:ascii="Times New Roman" w:hAnsi="Times New Roman" w:eastAsia="宋体" w:cs="宋体"/>
                      <w:color w:val="auto"/>
                      <w:sz w:val="21"/>
                      <w:szCs w:val="21"/>
                      <w:lang w:val="en-US" w:eastAsia="zh-CN"/>
                    </w:rPr>
                    <w:t>进一步泄漏，同时采取加强通风；</w:t>
                  </w:r>
                </w:p>
                <w:p w14:paraId="70CACE9A">
                  <w:pPr>
                    <w:keepNext w:val="0"/>
                    <w:keepLines w:val="0"/>
                    <w:pageBreakBefore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leftChars="0" w:right="0" w:rightChars="0" w:firstLine="0" w:firstLineChars="0"/>
                    <w:jc w:val="both"/>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c、火灾发生时，及时扑灭大火；</w:t>
                  </w:r>
                </w:p>
                <w:p w14:paraId="1440FF1A">
                  <w:pPr>
                    <w:keepNext w:val="0"/>
                    <w:keepLines w:val="0"/>
                    <w:pageBreakBefore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leftChars="0" w:right="0" w:rightChars="0" w:firstLine="0" w:firstLineChars="0"/>
                    <w:jc w:val="both"/>
                    <w:rPr>
                      <w:rFonts w:hint="default" w:ascii="Times New Roman" w:hAnsi="Times New Roman" w:eastAsia="宋体" w:cs="Times New Roman"/>
                      <w:color w:val="auto"/>
                      <w:sz w:val="21"/>
                      <w:szCs w:val="21"/>
                      <w:lang w:val="en-US" w:eastAsia="zh-CN"/>
                    </w:rPr>
                  </w:pPr>
                  <w:r>
                    <w:rPr>
                      <w:rFonts w:hint="eastAsia" w:ascii="Times New Roman" w:hAnsi="Times New Roman" w:eastAsia="宋体" w:cs="宋体"/>
                      <w:color w:val="auto"/>
                      <w:sz w:val="21"/>
                      <w:szCs w:val="21"/>
                      <w:lang w:val="en-US" w:eastAsia="zh-CN"/>
                    </w:rPr>
                    <w:t>d、运营期间需定期检查废润滑油储存桶运行状态，发现异常及时处理。</w:t>
                  </w:r>
                </w:p>
              </w:tc>
            </w:tr>
          </w:tbl>
          <w:p w14:paraId="6F4E2E7D">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color w:val="auto"/>
              </w:rPr>
            </w:pPr>
            <w:r>
              <w:rPr>
                <w:rFonts w:hint="default" w:ascii="Times New Roman" w:hAnsi="Times New Roman" w:eastAsia="宋体" w:cs="Times New Roman"/>
                <w:b/>
                <w:bCs/>
                <w:color w:val="auto"/>
                <w:spacing w:val="-10"/>
                <w:szCs w:val="21"/>
                <w:lang w:val="en-US" w:eastAsia="zh-CN"/>
              </w:rPr>
              <w:t>4.</w:t>
            </w:r>
            <w:r>
              <w:rPr>
                <w:rFonts w:hint="eastAsia" w:eastAsia="宋体" w:cs="Times New Roman"/>
                <w:b/>
                <w:bCs/>
                <w:color w:val="auto"/>
                <w:spacing w:val="-10"/>
                <w:szCs w:val="21"/>
                <w:lang w:val="en-US" w:eastAsia="zh-CN"/>
              </w:rPr>
              <w:t>9</w:t>
            </w:r>
            <w:r>
              <w:rPr>
                <w:rFonts w:hint="eastAsia" w:ascii="Times New Roman" w:hAnsi="Times New Roman" w:eastAsia="宋体" w:cs="Times New Roman"/>
                <w:b/>
                <w:bCs/>
                <w:color w:val="auto"/>
                <w:spacing w:val="-10"/>
                <w:szCs w:val="21"/>
                <w:lang w:val="en-US" w:eastAsia="zh-CN"/>
              </w:rPr>
              <w:t xml:space="preserve"> </w:t>
            </w:r>
            <w:r>
              <w:rPr>
                <w:rFonts w:hint="default" w:ascii="Times New Roman" w:hAnsi="Times New Roman" w:eastAsia="宋体" w:cs="Times New Roman"/>
                <w:b/>
                <w:color w:val="auto"/>
              </w:rPr>
              <w:t>电磁辐射</w:t>
            </w:r>
          </w:p>
          <w:p w14:paraId="5C58014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本项目不涉及电磁辐射。</w:t>
            </w:r>
          </w:p>
          <w:p w14:paraId="311703C9">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color w:val="auto"/>
                <w:szCs w:val="21"/>
                <w:lang w:eastAsia="zh-CN"/>
              </w:rPr>
            </w:pPr>
            <w:r>
              <w:rPr>
                <w:rFonts w:hint="eastAsia" w:ascii="Times New Roman" w:hAnsi="Times New Roman" w:eastAsia="宋体" w:cs="Times New Roman"/>
                <w:b/>
                <w:color w:val="auto"/>
                <w:szCs w:val="21"/>
                <w:lang w:val="en-US" w:eastAsia="zh-CN"/>
              </w:rPr>
              <w:t>4.</w:t>
            </w:r>
            <w:r>
              <w:rPr>
                <w:rFonts w:hint="eastAsia" w:eastAsia="宋体" w:cs="Times New Roman"/>
                <w:b/>
                <w:color w:val="auto"/>
                <w:szCs w:val="21"/>
                <w:lang w:val="en-US" w:eastAsia="zh-CN"/>
              </w:rPr>
              <w:t>10</w:t>
            </w:r>
            <w:r>
              <w:rPr>
                <w:rFonts w:hint="eastAsia" w:ascii="Times New Roman" w:hAnsi="Times New Roman" w:eastAsia="宋体" w:cs="Times New Roman"/>
                <w:b/>
                <w:color w:val="auto"/>
                <w:szCs w:val="21"/>
                <w:lang w:val="en-US" w:eastAsia="zh-CN"/>
              </w:rPr>
              <w:t xml:space="preserve"> </w:t>
            </w:r>
            <w:r>
              <w:rPr>
                <w:rFonts w:hint="default" w:ascii="Times New Roman" w:hAnsi="Times New Roman" w:eastAsia="宋体" w:cs="Times New Roman"/>
                <w:b/>
                <w:color w:val="auto"/>
                <w:szCs w:val="21"/>
              </w:rPr>
              <w:t>环境管理</w:t>
            </w:r>
            <w:r>
              <w:rPr>
                <w:rFonts w:hint="eastAsia" w:eastAsia="宋体" w:cs="Times New Roman"/>
                <w:b/>
                <w:color w:val="auto"/>
                <w:szCs w:val="21"/>
                <w:lang w:val="en-US" w:eastAsia="zh-CN"/>
              </w:rPr>
              <w:t>要求</w:t>
            </w:r>
          </w:p>
          <w:p w14:paraId="6A33FC32">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default" w:ascii="Times New Roman" w:hAnsi="Times New Roman" w:eastAsia="宋体" w:cs="Times New Roman"/>
                <w:color w:val="auto"/>
                <w:kern w:val="0"/>
                <w:szCs w:val="21"/>
              </w:rPr>
            </w:pPr>
            <w:bookmarkStart w:id="12" w:name="_Toc47702580"/>
            <w:r>
              <w:rPr>
                <w:rFonts w:hint="default" w:ascii="Times New Roman" w:hAnsi="Times New Roman" w:eastAsia="宋体" w:cs="Times New Roman"/>
                <w:color w:val="auto"/>
                <w:kern w:val="0"/>
                <w:szCs w:val="21"/>
              </w:rPr>
              <w:t>为贯彻执行有关环境保护法规，及时了解项目及其周围环境质量变化情况，掌握环境保护措施实施的效果，保证该区域良好的环境质量，建设单位进行相应的环境管理。</w:t>
            </w:r>
          </w:p>
          <w:p w14:paraId="285FA106">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①贯彻落实国家相关法律法规及政策，以国家相关法律法规为依据，落实防治环境污染措施，及时向当地环境保护部门汇报各阶段的情况。</w:t>
            </w:r>
          </w:p>
          <w:p w14:paraId="7B6D0D03">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②项目的建设遵循“三同时”制度，即项目环保措施与主体工程同时设计、同时施工、同时投产使用。</w:t>
            </w:r>
          </w:p>
          <w:p w14:paraId="4D62EC19">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③建设项目竣工后，建设单位或者其委托的技术机构应当依照国家有关法律法规、建设项竣工环境保护验收技术规范、建设项目环境影响报告表和审批决定等要求，如实查验、监测、记录建设项目环境保护设施的建设和调试情况，同时还应如实记载其他环境保护对策措施“三同时”落实情况，编制竣工环境保护验收报告。</w:t>
            </w:r>
          </w:p>
          <w:p w14:paraId="712A976D">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④验收报告编制完成后，建设单位应组织成立验收工作组。验收工作组由建设单位、设计单位、施工单位、环境影响报告表编制机构、验收报告编制机构等单位代表和专业技术专家组成。建设单位应当对验收工作组提出的问题进行整改，合格后方可出具验收合格的意见。建设项目配套建设的环境保护设施经验收合格后，其主体工程才可以投入生产或者使用，并纳入环境保护管理部门的管理，对项目各阶段工作进行监督、检查。</w:t>
            </w:r>
          </w:p>
          <w:p w14:paraId="12FC7001">
            <w:pPr>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⑤建设单位按照《环境保护信息公开办法》进行相关信息的公开。</w:t>
            </w:r>
          </w:p>
          <w:p w14:paraId="3A516EB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0" w:firstLineChars="0"/>
              <w:jc w:val="both"/>
              <w:textAlignment w:val="auto"/>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4.1</w:t>
            </w:r>
            <w:r>
              <w:rPr>
                <w:rFonts w:hint="eastAsia" w:eastAsia="宋体" w:cs="Times New Roman"/>
                <w:b/>
                <w:bCs/>
                <w:color w:val="auto"/>
                <w:kern w:val="2"/>
                <w:sz w:val="21"/>
                <w:szCs w:val="21"/>
                <w:lang w:val="en-US" w:eastAsia="zh-CN" w:bidi="ar-SA"/>
              </w:rPr>
              <w:t>1</w:t>
            </w:r>
            <w:r>
              <w:rPr>
                <w:rFonts w:hint="eastAsia" w:ascii="Times New Roman" w:hAnsi="Times New Roman" w:eastAsia="宋体" w:cs="Times New Roman"/>
                <w:b/>
                <w:bCs/>
                <w:color w:val="auto"/>
                <w:kern w:val="2"/>
                <w:sz w:val="21"/>
                <w:szCs w:val="21"/>
                <w:lang w:val="en-US" w:eastAsia="zh-CN" w:bidi="ar-SA"/>
              </w:rPr>
              <w:t>企业环境信息公开</w:t>
            </w:r>
            <w:bookmarkEnd w:id="12"/>
          </w:p>
          <w:p w14:paraId="33BC891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根据国家、省、市环保主管部门的有关要求，本项目废气等排放口必须实施排污口规范化。通过对排污口规范化，促进企业加强管理和污染治理，有利于加强对污染的监督管理，逐步实现污染物排放口的科学化，定量的管理，改善环境质量。</w:t>
            </w:r>
          </w:p>
          <w:p w14:paraId="59EDB3C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本项目运营过程主要污染影响包括废气、废水、固废和厂界噪声等，根据项目实际情况，必须重点做好废气、厂界噪声的监测工作。按照《环境保护部办公厅关于做好环境影响评价制度和排污许可制衔接相关工作的通知》（环办环评〔2017〕84号）的要求，建设单位应按照相关文件要求完成排污许可申请，同时，建设单位应在本项目排污口安装排放口标牌，标牌内容应包含单位名称、排污口编号和污染物种类。</w:t>
            </w:r>
          </w:p>
          <w:p w14:paraId="16D4E881">
            <w:pPr>
              <w:keepNext w:val="0"/>
              <w:keepLines w:val="0"/>
              <w:pageBreakBefore w:val="0"/>
              <w:suppressLineNumbers w:val="0"/>
              <w:kinsoku/>
              <w:wordWrap/>
              <w:overflowPunct/>
              <w:topLinePunct w:val="0"/>
              <w:bidi w:val="0"/>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color w:val="auto"/>
                <w:spacing w:val="0"/>
                <w:w w:val="100"/>
                <w:sz w:val="21"/>
                <w:szCs w:val="21"/>
                <w:lang w:val="en-US" w:eastAsia="zh-CN"/>
              </w:rPr>
            </w:pPr>
            <w:r>
              <w:rPr>
                <w:rFonts w:hint="eastAsia" w:ascii="Times New Roman" w:hAnsi="Times New Roman" w:eastAsia="宋体" w:cs="Times New Roman"/>
                <w:color w:val="auto"/>
                <w:spacing w:val="0"/>
                <w:w w:val="100"/>
                <w:sz w:val="21"/>
                <w:szCs w:val="21"/>
                <w:lang w:val="en-US" w:eastAsia="zh-CN"/>
              </w:rPr>
              <w:t>本项目</w:t>
            </w:r>
            <w:r>
              <w:rPr>
                <w:rFonts w:hint="eastAsia" w:cs="Times New Roman"/>
                <w:color w:val="auto"/>
                <w:spacing w:val="0"/>
                <w:w w:val="100"/>
                <w:sz w:val="21"/>
                <w:szCs w:val="21"/>
                <w:lang w:val="en-US" w:eastAsia="zh-CN"/>
              </w:rPr>
              <w:t>设置</w:t>
            </w:r>
            <w:r>
              <w:rPr>
                <w:rFonts w:hint="eastAsia" w:eastAsia="宋体" w:cs="Times New Roman"/>
                <w:color w:val="auto"/>
                <w:spacing w:val="0"/>
                <w:w w:val="100"/>
                <w:sz w:val="21"/>
                <w:szCs w:val="21"/>
                <w:lang w:val="en-US" w:eastAsia="zh-CN"/>
              </w:rPr>
              <w:t>1</w:t>
            </w:r>
            <w:r>
              <w:rPr>
                <w:rFonts w:hint="eastAsia" w:ascii="Times New Roman" w:hAnsi="Times New Roman" w:eastAsia="宋体" w:cs="Times New Roman"/>
                <w:color w:val="auto"/>
                <w:spacing w:val="0"/>
                <w:w w:val="100"/>
                <w:sz w:val="21"/>
                <w:szCs w:val="21"/>
                <w:lang w:val="en-US" w:eastAsia="zh-CN"/>
              </w:rPr>
              <w:t>个废气排放口，编号</w:t>
            </w:r>
            <w:r>
              <w:rPr>
                <w:rFonts w:hint="eastAsia" w:eastAsia="宋体" w:cs="Times New Roman"/>
                <w:color w:val="auto"/>
                <w:spacing w:val="0"/>
                <w:w w:val="100"/>
                <w:sz w:val="21"/>
                <w:szCs w:val="21"/>
                <w:lang w:val="en-US" w:eastAsia="zh-CN"/>
              </w:rPr>
              <w:t>DA00</w:t>
            </w:r>
            <w:r>
              <w:rPr>
                <w:rFonts w:hint="eastAsia" w:cs="Times New Roman"/>
                <w:color w:val="auto"/>
                <w:spacing w:val="0"/>
                <w:w w:val="100"/>
                <w:sz w:val="21"/>
                <w:szCs w:val="21"/>
                <w:lang w:val="en-US" w:eastAsia="zh-CN"/>
              </w:rPr>
              <w:t>1</w:t>
            </w:r>
            <w:r>
              <w:rPr>
                <w:rFonts w:hint="eastAsia" w:ascii="Times New Roman" w:hAnsi="Times New Roman" w:eastAsia="宋体" w:cs="Times New Roman"/>
                <w:color w:val="auto"/>
                <w:spacing w:val="0"/>
                <w:w w:val="100"/>
                <w:sz w:val="21"/>
                <w:szCs w:val="21"/>
                <w:lang w:val="en-US" w:eastAsia="zh-CN"/>
              </w:rPr>
              <w:t>，对排污口的设置应符合以下要求：</w:t>
            </w:r>
          </w:p>
          <w:p w14:paraId="3A80C2C8">
            <w:pPr>
              <w:keepNext w:val="0"/>
              <w:keepLines w:val="0"/>
              <w:pageBreakBefore w:val="0"/>
              <w:numPr>
                <w:ilvl w:val="0"/>
                <w:numId w:val="0"/>
              </w:numPr>
              <w:suppressLineNumbers w:val="0"/>
              <w:kinsoku/>
              <w:wordWrap/>
              <w:overflowPunct/>
              <w:topLinePunct w:val="0"/>
              <w:bidi w:val="0"/>
              <w:snapToGrid/>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pacing w:val="0"/>
                <w:w w:val="100"/>
                <w:sz w:val="21"/>
                <w:szCs w:val="21"/>
                <w:lang w:val="en-US" w:eastAsia="zh-CN"/>
              </w:rPr>
            </w:pPr>
            <w:r>
              <w:rPr>
                <w:rFonts w:hint="eastAsia" w:ascii="Times New Roman" w:hAnsi="Times New Roman" w:eastAsia="宋体" w:cs="Times New Roman"/>
                <w:color w:val="auto"/>
                <w:spacing w:val="0"/>
                <w:w w:val="100"/>
                <w:sz w:val="21"/>
                <w:szCs w:val="21"/>
                <w:lang w:val="en-US" w:eastAsia="zh-CN"/>
              </w:rPr>
              <w:t>（1）</w:t>
            </w:r>
            <w:r>
              <w:rPr>
                <w:rFonts w:hint="default" w:ascii="Times New Roman" w:hAnsi="Times New Roman" w:eastAsia="宋体" w:cs="Times New Roman"/>
                <w:color w:val="auto"/>
                <w:spacing w:val="0"/>
                <w:w w:val="100"/>
                <w:sz w:val="21"/>
                <w:szCs w:val="21"/>
                <w:lang w:val="en-US" w:eastAsia="zh-CN"/>
              </w:rPr>
              <w:t>排气筒高度应按照要求设置</w:t>
            </w:r>
            <w:r>
              <w:rPr>
                <w:rFonts w:hint="eastAsia" w:ascii="Times New Roman" w:hAnsi="Times New Roman" w:eastAsia="宋体" w:cs="Times New Roman"/>
                <w:color w:val="auto"/>
                <w:spacing w:val="0"/>
                <w:w w:val="100"/>
                <w:sz w:val="21"/>
                <w:szCs w:val="21"/>
                <w:lang w:val="en-US" w:eastAsia="zh-CN"/>
              </w:rPr>
              <w:t>。</w:t>
            </w:r>
          </w:p>
          <w:p w14:paraId="52736F38">
            <w:pPr>
              <w:keepNext w:val="0"/>
              <w:keepLines w:val="0"/>
              <w:pageBreakBefore w:val="0"/>
              <w:widowControl/>
              <w:suppressLineNumbers w:val="0"/>
              <w:kinsoku/>
              <w:wordWrap/>
              <w:overflowPunct/>
              <w:topLinePunct w:val="0"/>
              <w:bidi w:val="0"/>
              <w:snapToGrid/>
              <w:spacing w:before="0" w:beforeAutospacing="0" w:after="0" w:afterAutospacing="0" w:line="360" w:lineRule="auto"/>
              <w:ind w:left="0" w:right="0" w:firstLine="420" w:firstLineChars="200"/>
              <w:jc w:val="left"/>
              <w:textAlignment w:val="auto"/>
              <w:rPr>
                <w:rFonts w:hint="default" w:ascii="Times New Roman" w:hAnsi="Times New Roman" w:eastAsia="宋体" w:cs="Times New Roman"/>
                <w:color w:val="auto"/>
                <w:spacing w:val="0"/>
                <w:w w:val="100"/>
                <w:kern w:val="0"/>
                <w:sz w:val="21"/>
                <w:szCs w:val="21"/>
                <w:lang w:val="en-US" w:eastAsia="zh-CN" w:bidi="ar"/>
              </w:rPr>
            </w:pPr>
            <w:r>
              <w:rPr>
                <w:rFonts w:hint="eastAsia" w:ascii="Times New Roman" w:hAnsi="Times New Roman" w:eastAsia="宋体" w:cs="Times New Roman"/>
                <w:color w:val="auto"/>
                <w:spacing w:val="0"/>
                <w:w w:val="100"/>
                <w:kern w:val="0"/>
                <w:sz w:val="21"/>
                <w:szCs w:val="21"/>
                <w:lang w:val="en-US" w:eastAsia="zh-CN" w:bidi="ar"/>
              </w:rPr>
              <w:t>（2）</w:t>
            </w:r>
            <w:r>
              <w:rPr>
                <w:rFonts w:hint="default" w:ascii="Times New Roman" w:hAnsi="Times New Roman" w:eastAsia="宋体" w:cs="Times New Roman"/>
                <w:color w:val="auto"/>
                <w:spacing w:val="0"/>
                <w:w w:val="100"/>
                <w:kern w:val="0"/>
                <w:sz w:val="21"/>
                <w:szCs w:val="21"/>
                <w:lang w:val="en-US" w:eastAsia="zh-CN" w:bidi="ar"/>
              </w:rPr>
              <w:t>排气筒应设置便于采样、监测的采样口和采样监测平台。当采样平台设置在离地面高度</w:t>
            </w:r>
            <w:r>
              <w:rPr>
                <w:rFonts w:hint="default" w:ascii="Times New Roman" w:hAnsi="Times New Roman" w:eastAsia="Times New Roman" w:cs="Times New Roman"/>
                <w:color w:val="auto"/>
                <w:spacing w:val="0"/>
                <w:w w:val="100"/>
                <w:kern w:val="0"/>
                <w:sz w:val="21"/>
                <w:szCs w:val="21"/>
                <w:lang w:val="en-US" w:eastAsia="zh-CN" w:bidi="en-US"/>
              </w:rPr>
              <w:t>5m</w:t>
            </w:r>
            <w:r>
              <w:rPr>
                <w:rFonts w:hint="default" w:ascii="Times New Roman" w:hAnsi="Times New Roman" w:eastAsia="宋体" w:cs="Times New Roman"/>
                <w:color w:val="auto"/>
                <w:spacing w:val="0"/>
                <w:w w:val="100"/>
                <w:kern w:val="0"/>
                <w:sz w:val="21"/>
                <w:szCs w:val="21"/>
                <w:lang w:val="en-US" w:eastAsia="zh-CN" w:bidi="ar"/>
              </w:rPr>
              <w:t>的位置时，应有通往平台的</w:t>
            </w:r>
            <w:r>
              <w:rPr>
                <w:rFonts w:hint="default" w:ascii="Times New Roman" w:hAnsi="Times New Roman" w:eastAsia="Times New Roman" w:cs="Times New Roman"/>
                <w:color w:val="auto"/>
                <w:spacing w:val="0"/>
                <w:w w:val="100"/>
                <w:kern w:val="0"/>
                <w:sz w:val="21"/>
                <w:szCs w:val="21"/>
                <w:lang w:val="en-US" w:eastAsia="zh-CN" w:bidi="en-US"/>
              </w:rPr>
              <w:t>Z</w:t>
            </w:r>
            <w:r>
              <w:rPr>
                <w:rFonts w:hint="default" w:ascii="Times New Roman" w:hAnsi="Times New Roman" w:eastAsia="宋体" w:cs="Times New Roman"/>
                <w:color w:val="auto"/>
                <w:spacing w:val="0"/>
                <w:w w:val="100"/>
                <w:kern w:val="0"/>
                <w:sz w:val="21"/>
                <w:szCs w:val="21"/>
                <w:lang w:val="en-US" w:eastAsia="zh-CN" w:bidi="ar"/>
              </w:rPr>
              <w:t>字梯/旋梯/升降梯。有净化设施的，应在其进出口分别设置采样口。</w:t>
            </w:r>
          </w:p>
          <w:p w14:paraId="1061A83E">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spacing w:val="0"/>
                <w:w w:val="100"/>
                <w:kern w:val="2"/>
                <w:sz w:val="21"/>
                <w:szCs w:val="21"/>
                <w:lang w:val="en-US" w:eastAsia="zh-CN" w:bidi="ar-SA"/>
              </w:rPr>
            </w:pPr>
            <w:r>
              <w:rPr>
                <w:rFonts w:hint="eastAsia" w:ascii="Times New Roman" w:hAnsi="Times New Roman" w:eastAsia="宋体" w:cs="Times New Roman"/>
                <w:color w:val="auto"/>
                <w:spacing w:val="0"/>
                <w:w w:val="100"/>
                <w:kern w:val="2"/>
                <w:sz w:val="21"/>
                <w:szCs w:val="21"/>
                <w:lang w:val="en-US" w:eastAsia="zh-CN" w:bidi="ar-SA"/>
              </w:rPr>
              <w:t>（3）</w:t>
            </w:r>
            <w:r>
              <w:rPr>
                <w:rFonts w:hint="default" w:ascii="Times New Roman" w:hAnsi="Times New Roman" w:eastAsia="Times New Roman" w:cs="Times New Roman"/>
                <w:color w:val="auto"/>
                <w:spacing w:val="0"/>
                <w:w w:val="100"/>
                <w:kern w:val="2"/>
                <w:sz w:val="21"/>
                <w:szCs w:val="21"/>
                <w:lang w:val="en-US" w:eastAsia="en-US" w:bidi="en-US"/>
              </w:rPr>
              <w:t>应按《排污口规范化整治技术要求（试行）》（国家环保局 环监〔1996〕470号）、《固定污染源排气中颗粒物测定与气态污染物采样方法》（GB/T16157）、《固定源废气监测技术规范》（HJ/T 397-2007）等相关要求规范化设置排放口和监测孔的规定设置</w:t>
            </w:r>
            <w:r>
              <w:rPr>
                <w:rFonts w:hint="eastAsia" w:ascii="Times New Roman" w:hAnsi="Times New Roman" w:eastAsia="宋体" w:cs="Times New Roman"/>
                <w:color w:val="auto"/>
                <w:spacing w:val="0"/>
                <w:w w:val="100"/>
                <w:kern w:val="2"/>
                <w:sz w:val="21"/>
                <w:szCs w:val="21"/>
                <w:lang w:val="en-US" w:eastAsia="zh-CN" w:bidi="en-US"/>
              </w:rPr>
              <w:t>。</w:t>
            </w:r>
          </w:p>
          <w:p w14:paraId="155DE10A">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0" w:firstLineChars="200"/>
              <w:textAlignment w:val="auto"/>
              <w:outlineLvl w:val="9"/>
              <w:rPr>
                <w:rFonts w:hint="default" w:ascii="Times New Roman" w:hAnsi="Times New Roman" w:eastAsia="宋体" w:cs="Times New Roman"/>
                <w:color w:val="auto"/>
                <w:spacing w:val="0"/>
                <w:w w:val="100"/>
                <w:sz w:val="21"/>
                <w:szCs w:val="21"/>
              </w:rPr>
            </w:pPr>
            <w:r>
              <w:rPr>
                <w:rFonts w:hint="eastAsia" w:ascii="Times New Roman" w:hAnsi="Times New Roman" w:eastAsia="宋体" w:cs="Times New Roman"/>
                <w:color w:val="auto"/>
                <w:spacing w:val="0"/>
                <w:w w:val="100"/>
                <w:sz w:val="21"/>
                <w:szCs w:val="21"/>
                <w:lang w:val="en-US" w:eastAsia="zh-CN"/>
              </w:rPr>
              <w:t>（4）</w:t>
            </w:r>
            <w:r>
              <w:rPr>
                <w:rFonts w:hint="default" w:ascii="Times New Roman" w:hAnsi="Times New Roman" w:eastAsia="宋体" w:cs="Times New Roman"/>
                <w:color w:val="auto"/>
                <w:spacing w:val="0"/>
                <w:w w:val="100"/>
                <w:sz w:val="21"/>
                <w:szCs w:val="21"/>
              </w:rPr>
              <w:t>各污染物排放口应按国家《环境保护图形标志》（15562.1-1995）与</w:t>
            </w:r>
            <w:r>
              <w:rPr>
                <w:rFonts w:hint="eastAsia" w:ascii="Times New Roman" w:hAnsi="Times New Roman" w:eastAsia="宋体" w:cs="Times New Roman"/>
                <w:color w:val="auto"/>
                <w:spacing w:val="0"/>
                <w:w w:val="100"/>
                <w:sz w:val="21"/>
                <w:szCs w:val="21"/>
                <w:lang w:eastAsia="zh-CN"/>
              </w:rPr>
              <w:t>（</w:t>
            </w:r>
            <w:r>
              <w:rPr>
                <w:rFonts w:hint="default" w:ascii="Times New Roman" w:hAnsi="Times New Roman" w:eastAsia="宋体" w:cs="Times New Roman"/>
                <w:color w:val="auto"/>
                <w:spacing w:val="0"/>
                <w:w w:val="100"/>
                <w:sz w:val="21"/>
                <w:szCs w:val="21"/>
              </w:rPr>
              <w:t>GB15562.2-1995</w:t>
            </w:r>
            <w:r>
              <w:rPr>
                <w:rFonts w:hint="eastAsia" w:ascii="Times New Roman" w:hAnsi="Times New Roman" w:eastAsia="宋体" w:cs="Times New Roman"/>
                <w:color w:val="auto"/>
                <w:spacing w:val="0"/>
                <w:w w:val="100"/>
                <w:sz w:val="21"/>
                <w:szCs w:val="21"/>
                <w:lang w:eastAsia="zh-CN"/>
              </w:rPr>
              <w:t>）</w:t>
            </w:r>
            <w:r>
              <w:rPr>
                <w:rFonts w:hint="default" w:ascii="Times New Roman" w:hAnsi="Times New Roman" w:eastAsia="宋体" w:cs="Times New Roman"/>
                <w:color w:val="auto"/>
                <w:spacing w:val="0"/>
                <w:w w:val="100"/>
                <w:sz w:val="21"/>
                <w:szCs w:val="21"/>
              </w:rPr>
              <w:t>的规定，设置国家环保总局统一制作的环境保护图形标志牌，本项目排污口标志见下</w:t>
            </w:r>
            <w:r>
              <w:rPr>
                <w:rFonts w:hint="eastAsia" w:ascii="Times New Roman" w:hAnsi="Times New Roman" w:eastAsia="宋体" w:cs="Times New Roman"/>
                <w:color w:val="auto"/>
                <w:spacing w:val="0"/>
                <w:w w:val="100"/>
                <w:sz w:val="21"/>
                <w:szCs w:val="21"/>
                <w:lang w:val="en-US" w:eastAsia="zh-CN"/>
              </w:rPr>
              <w:t>表</w:t>
            </w:r>
            <w:r>
              <w:rPr>
                <w:rFonts w:hint="default" w:ascii="Times New Roman" w:hAnsi="Times New Roman" w:eastAsia="宋体" w:cs="Times New Roman"/>
                <w:color w:val="auto"/>
                <w:spacing w:val="0"/>
                <w:w w:val="100"/>
                <w:sz w:val="21"/>
                <w:szCs w:val="21"/>
              </w:rPr>
              <w:t>。</w:t>
            </w:r>
          </w:p>
          <w:p w14:paraId="0B51B44C">
            <w:pPr>
              <w:keepNext w:val="0"/>
              <w:keepLines w:val="0"/>
              <w:pageBreakBefore w:val="0"/>
              <w:widowControl w:val="0"/>
              <w:suppressLineNumbers w:val="0"/>
              <w:kinsoku/>
              <w:wordWrap/>
              <w:overflowPunct/>
              <w:topLinePunct w:val="0"/>
              <w:bidi w:val="0"/>
              <w:snapToGrid/>
              <w:spacing w:before="0" w:beforeAutospacing="0" w:after="0" w:afterAutospacing="0" w:line="360" w:lineRule="auto"/>
              <w:ind w:left="0" w:right="0"/>
              <w:jc w:val="center"/>
              <w:textAlignment w:val="auto"/>
              <w:outlineLvl w:val="9"/>
              <w:rPr>
                <w:rFonts w:hint="default" w:ascii="Times New Roman" w:hAnsi="Times New Roman" w:eastAsia="宋体" w:cs="Times New Roman"/>
                <w:b/>
                <w:color w:val="auto"/>
                <w:spacing w:val="0"/>
                <w:w w:val="100"/>
                <w:sz w:val="21"/>
                <w:szCs w:val="21"/>
              </w:rPr>
            </w:pPr>
            <w:r>
              <w:rPr>
                <w:rFonts w:hint="default" w:ascii="Times New Roman" w:hAnsi="Times New Roman" w:eastAsia="宋体" w:cs="Times New Roman"/>
                <w:b/>
                <w:color w:val="auto"/>
                <w:spacing w:val="0"/>
                <w:w w:val="100"/>
                <w:sz w:val="21"/>
                <w:szCs w:val="21"/>
              </w:rPr>
              <w:t>表</w:t>
            </w:r>
            <w:r>
              <w:rPr>
                <w:rFonts w:hint="eastAsia" w:ascii="Times New Roman" w:hAnsi="Times New Roman" w:eastAsia="宋体" w:cs="Times New Roman"/>
                <w:b/>
                <w:color w:val="auto"/>
                <w:spacing w:val="0"/>
                <w:w w:val="100"/>
                <w:sz w:val="21"/>
                <w:szCs w:val="21"/>
                <w:lang w:val="en-US" w:eastAsia="zh-CN"/>
              </w:rPr>
              <w:t>4-1</w:t>
            </w:r>
            <w:r>
              <w:rPr>
                <w:rFonts w:hint="eastAsia" w:cs="Times New Roman"/>
                <w:b/>
                <w:color w:val="auto"/>
                <w:spacing w:val="0"/>
                <w:w w:val="100"/>
                <w:sz w:val="21"/>
                <w:szCs w:val="21"/>
                <w:lang w:val="en-US" w:eastAsia="zh-CN"/>
              </w:rPr>
              <w:t>9</w:t>
            </w:r>
            <w:r>
              <w:rPr>
                <w:rFonts w:hint="eastAsia" w:ascii="Times New Roman" w:hAnsi="Times New Roman" w:eastAsia="宋体" w:cs="Times New Roman"/>
                <w:b/>
                <w:color w:val="auto"/>
                <w:spacing w:val="0"/>
                <w:w w:val="100"/>
                <w:sz w:val="21"/>
                <w:szCs w:val="21"/>
                <w:lang w:val="en-US" w:eastAsia="zh-CN"/>
              </w:rPr>
              <w:t xml:space="preserve"> </w:t>
            </w:r>
            <w:r>
              <w:rPr>
                <w:rFonts w:hint="default" w:ascii="Times New Roman" w:hAnsi="Times New Roman" w:eastAsia="宋体" w:cs="Times New Roman"/>
                <w:b/>
                <w:color w:val="auto"/>
                <w:spacing w:val="0"/>
                <w:w w:val="100"/>
                <w:sz w:val="21"/>
                <w:szCs w:val="21"/>
              </w:rPr>
              <w:t xml:space="preserve"> 厂区排污口标志表</w:t>
            </w:r>
          </w:p>
          <w:tbl>
            <w:tblPr>
              <w:tblStyle w:val="29"/>
              <w:tblW w:w="7797"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129"/>
              <w:gridCol w:w="2417"/>
              <w:gridCol w:w="2152"/>
              <w:gridCol w:w="2099"/>
            </w:tblGrid>
            <w:tr w14:paraId="76EBD17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79" w:hRule="atLeast"/>
                <w:jc w:val="center"/>
              </w:trPr>
              <w:tc>
                <w:tcPr>
                  <w:tcW w:w="1129" w:type="dxa"/>
                  <w:tcBorders>
                    <w:tl2br w:val="nil"/>
                    <w:tr2bl w:val="nil"/>
                  </w:tcBorders>
                  <w:noWrap w:val="0"/>
                  <w:vAlign w:val="center"/>
                </w:tcPr>
                <w:p w14:paraId="6A6AA2CF">
                  <w:pPr>
                    <w:keepNext/>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pacing w:val="0"/>
                      <w:w w:val="100"/>
                      <w:sz w:val="21"/>
                      <w:szCs w:val="21"/>
                    </w:rPr>
                  </w:pPr>
                  <w:r>
                    <w:rPr>
                      <w:rFonts w:hint="default" w:ascii="Times New Roman" w:hAnsi="Times New Roman" w:eastAsia="宋体" w:cs="Times New Roman"/>
                      <w:b/>
                      <w:bCs/>
                      <w:color w:val="auto"/>
                      <w:spacing w:val="0"/>
                      <w:w w:val="100"/>
                      <w:sz w:val="21"/>
                      <w:szCs w:val="21"/>
                    </w:rPr>
                    <w:t>排放口</w:t>
                  </w:r>
                </w:p>
              </w:tc>
              <w:tc>
                <w:tcPr>
                  <w:tcW w:w="2417" w:type="dxa"/>
                  <w:tcBorders>
                    <w:tl2br w:val="nil"/>
                    <w:tr2bl w:val="nil"/>
                  </w:tcBorders>
                  <w:noWrap w:val="0"/>
                  <w:vAlign w:val="center"/>
                </w:tcPr>
                <w:p w14:paraId="016F81A7">
                  <w:pPr>
                    <w:keepNext/>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pacing w:val="0"/>
                      <w:w w:val="100"/>
                      <w:sz w:val="21"/>
                      <w:szCs w:val="21"/>
                    </w:rPr>
                  </w:pPr>
                  <w:r>
                    <w:rPr>
                      <w:rFonts w:hint="default" w:ascii="Times New Roman" w:hAnsi="Times New Roman" w:eastAsia="宋体" w:cs="Times New Roman"/>
                      <w:b/>
                      <w:bCs/>
                      <w:color w:val="auto"/>
                      <w:spacing w:val="0"/>
                      <w:w w:val="100"/>
                      <w:sz w:val="21"/>
                      <w:szCs w:val="21"/>
                    </w:rPr>
                    <w:t>废气排放口</w:t>
                  </w:r>
                </w:p>
              </w:tc>
              <w:tc>
                <w:tcPr>
                  <w:tcW w:w="2152" w:type="dxa"/>
                  <w:tcBorders>
                    <w:tl2br w:val="nil"/>
                    <w:tr2bl w:val="nil"/>
                  </w:tcBorders>
                  <w:noWrap w:val="0"/>
                  <w:vAlign w:val="center"/>
                </w:tcPr>
                <w:p w14:paraId="5C739825">
                  <w:pPr>
                    <w:keepNext/>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pacing w:val="0"/>
                      <w:w w:val="100"/>
                      <w:sz w:val="21"/>
                      <w:szCs w:val="21"/>
                    </w:rPr>
                  </w:pPr>
                  <w:r>
                    <w:rPr>
                      <w:rFonts w:hint="default" w:ascii="Times New Roman" w:hAnsi="Times New Roman" w:eastAsia="宋体" w:cs="Times New Roman"/>
                      <w:b/>
                      <w:bCs/>
                      <w:color w:val="auto"/>
                      <w:spacing w:val="0"/>
                      <w:w w:val="100"/>
                      <w:sz w:val="21"/>
                      <w:szCs w:val="21"/>
                    </w:rPr>
                    <w:t>噪声源</w:t>
                  </w:r>
                </w:p>
              </w:tc>
              <w:tc>
                <w:tcPr>
                  <w:tcW w:w="2099" w:type="dxa"/>
                  <w:tcBorders>
                    <w:tl2br w:val="nil"/>
                    <w:tr2bl w:val="nil"/>
                  </w:tcBorders>
                  <w:noWrap w:val="0"/>
                  <w:vAlign w:val="center"/>
                </w:tcPr>
                <w:p w14:paraId="20E29080">
                  <w:pPr>
                    <w:keepNext/>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pacing w:val="0"/>
                      <w:w w:val="100"/>
                      <w:sz w:val="21"/>
                      <w:szCs w:val="21"/>
                    </w:rPr>
                  </w:pPr>
                  <w:r>
                    <w:rPr>
                      <w:rFonts w:hint="default" w:ascii="Times New Roman" w:hAnsi="Times New Roman" w:eastAsia="宋体" w:cs="Times New Roman"/>
                      <w:b/>
                      <w:bCs/>
                      <w:color w:val="auto"/>
                      <w:spacing w:val="0"/>
                      <w:w w:val="100"/>
                      <w:sz w:val="21"/>
                      <w:szCs w:val="21"/>
                    </w:rPr>
                    <w:t>固体废物堆放场</w:t>
                  </w:r>
                </w:p>
              </w:tc>
            </w:tr>
            <w:tr w14:paraId="3220937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183" w:hRule="atLeast"/>
                <w:jc w:val="center"/>
              </w:trPr>
              <w:tc>
                <w:tcPr>
                  <w:tcW w:w="1129" w:type="dxa"/>
                  <w:tcBorders>
                    <w:tl2br w:val="nil"/>
                    <w:tr2bl w:val="nil"/>
                  </w:tcBorders>
                  <w:noWrap w:val="0"/>
                  <w:vAlign w:val="center"/>
                </w:tcPr>
                <w:p w14:paraId="055F6BEA">
                  <w:pPr>
                    <w:keepNext/>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pacing w:val="0"/>
                      <w:w w:val="100"/>
                      <w:sz w:val="21"/>
                      <w:szCs w:val="21"/>
                    </w:rPr>
                  </w:pPr>
                  <w:r>
                    <w:rPr>
                      <w:rFonts w:hint="default" w:ascii="Times New Roman" w:hAnsi="Times New Roman" w:eastAsia="宋体" w:cs="Times New Roman"/>
                      <w:b/>
                      <w:bCs/>
                      <w:color w:val="auto"/>
                      <w:spacing w:val="0"/>
                      <w:w w:val="100"/>
                      <w:sz w:val="21"/>
                      <w:szCs w:val="21"/>
                    </w:rPr>
                    <w:t>图形符号</w:t>
                  </w:r>
                </w:p>
              </w:tc>
              <w:tc>
                <w:tcPr>
                  <w:tcW w:w="2417" w:type="dxa"/>
                  <w:tcBorders>
                    <w:tl2br w:val="nil"/>
                    <w:tr2bl w:val="nil"/>
                  </w:tcBorders>
                  <w:noWrap w:val="0"/>
                  <w:vAlign w:val="center"/>
                </w:tcPr>
                <w:p w14:paraId="0B521243">
                  <w:pPr>
                    <w:keepNext/>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rPr>
                    <w:drawing>
                      <wp:inline distT="0" distB="0" distL="114300" distR="114300">
                        <wp:extent cx="868680" cy="811530"/>
                        <wp:effectExtent l="0" t="0" r="0" b="11430"/>
                        <wp:docPr id="15" name="图片 1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descr="002"/>
                                <pic:cNvPicPr>
                                  <a:picLocks noChangeAspect="1"/>
                                </pic:cNvPicPr>
                              </pic:nvPicPr>
                              <pic:blipFill>
                                <a:blip r:embed="rId46"/>
                                <a:stretch>
                                  <a:fillRect/>
                                </a:stretch>
                              </pic:blipFill>
                              <pic:spPr>
                                <a:xfrm>
                                  <a:off x="0" y="0"/>
                                  <a:ext cx="868680" cy="811530"/>
                                </a:xfrm>
                                <a:prstGeom prst="rect">
                                  <a:avLst/>
                                </a:prstGeom>
                                <a:noFill/>
                                <a:ln>
                                  <a:noFill/>
                                </a:ln>
                              </pic:spPr>
                            </pic:pic>
                          </a:graphicData>
                        </a:graphic>
                      </wp:inline>
                    </w:drawing>
                  </w:r>
                </w:p>
              </w:tc>
              <w:tc>
                <w:tcPr>
                  <w:tcW w:w="2152" w:type="dxa"/>
                  <w:tcBorders>
                    <w:tl2br w:val="nil"/>
                    <w:tr2bl w:val="nil"/>
                  </w:tcBorders>
                  <w:noWrap w:val="0"/>
                  <w:vAlign w:val="center"/>
                </w:tcPr>
                <w:p w14:paraId="275211B4">
                  <w:pPr>
                    <w:keepNext/>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rPr>
                    <w:drawing>
                      <wp:inline distT="0" distB="0" distL="114300" distR="114300">
                        <wp:extent cx="868680" cy="811530"/>
                        <wp:effectExtent l="0" t="0" r="0" b="11430"/>
                        <wp:docPr id="16" name="图片 18"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descr="003"/>
                                <pic:cNvPicPr>
                                  <a:picLocks noChangeAspect="1"/>
                                </pic:cNvPicPr>
                              </pic:nvPicPr>
                              <pic:blipFill>
                                <a:blip r:embed="rId47"/>
                                <a:stretch>
                                  <a:fillRect/>
                                </a:stretch>
                              </pic:blipFill>
                              <pic:spPr>
                                <a:xfrm>
                                  <a:off x="0" y="0"/>
                                  <a:ext cx="868680" cy="811530"/>
                                </a:xfrm>
                                <a:prstGeom prst="rect">
                                  <a:avLst/>
                                </a:prstGeom>
                                <a:noFill/>
                                <a:ln>
                                  <a:noFill/>
                                </a:ln>
                              </pic:spPr>
                            </pic:pic>
                          </a:graphicData>
                        </a:graphic>
                      </wp:inline>
                    </w:drawing>
                  </w:r>
                </w:p>
              </w:tc>
              <w:tc>
                <w:tcPr>
                  <w:tcW w:w="2099" w:type="dxa"/>
                  <w:tcBorders>
                    <w:tl2br w:val="nil"/>
                    <w:tr2bl w:val="nil"/>
                  </w:tcBorders>
                  <w:noWrap w:val="0"/>
                  <w:vAlign w:val="center"/>
                </w:tcPr>
                <w:p w14:paraId="489C2A37">
                  <w:pPr>
                    <w:keepNext/>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rPr>
                    <w:drawing>
                      <wp:inline distT="0" distB="0" distL="114300" distR="114300">
                        <wp:extent cx="868680" cy="811530"/>
                        <wp:effectExtent l="0" t="0" r="0" b="11430"/>
                        <wp:docPr id="17" name="图片 1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descr="004"/>
                                <pic:cNvPicPr>
                                  <a:picLocks noChangeAspect="1"/>
                                </pic:cNvPicPr>
                              </pic:nvPicPr>
                              <pic:blipFill>
                                <a:blip r:embed="rId48"/>
                                <a:stretch>
                                  <a:fillRect/>
                                </a:stretch>
                              </pic:blipFill>
                              <pic:spPr>
                                <a:xfrm>
                                  <a:off x="0" y="0"/>
                                  <a:ext cx="868680" cy="811530"/>
                                </a:xfrm>
                                <a:prstGeom prst="rect">
                                  <a:avLst/>
                                </a:prstGeom>
                                <a:noFill/>
                                <a:ln>
                                  <a:noFill/>
                                </a:ln>
                              </pic:spPr>
                            </pic:pic>
                          </a:graphicData>
                        </a:graphic>
                      </wp:inline>
                    </w:drawing>
                  </w:r>
                </w:p>
              </w:tc>
            </w:tr>
            <w:tr w14:paraId="328B8CB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33" w:hRule="atLeast"/>
                <w:jc w:val="center"/>
              </w:trPr>
              <w:tc>
                <w:tcPr>
                  <w:tcW w:w="1129" w:type="dxa"/>
                  <w:tcBorders>
                    <w:tl2br w:val="nil"/>
                    <w:tr2bl w:val="nil"/>
                  </w:tcBorders>
                  <w:noWrap w:val="0"/>
                  <w:vAlign w:val="center"/>
                </w:tcPr>
                <w:p w14:paraId="36A96CBD">
                  <w:pPr>
                    <w:keepNext/>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pacing w:val="0"/>
                      <w:w w:val="100"/>
                      <w:sz w:val="21"/>
                      <w:szCs w:val="21"/>
                    </w:rPr>
                  </w:pPr>
                  <w:r>
                    <w:rPr>
                      <w:rFonts w:hint="default" w:ascii="Times New Roman" w:hAnsi="Times New Roman" w:eastAsia="宋体" w:cs="Times New Roman"/>
                      <w:b/>
                      <w:bCs/>
                      <w:color w:val="auto"/>
                      <w:spacing w:val="0"/>
                      <w:w w:val="100"/>
                      <w:sz w:val="21"/>
                      <w:szCs w:val="21"/>
                    </w:rPr>
                    <w:t>背景颜色</w:t>
                  </w:r>
                </w:p>
              </w:tc>
              <w:tc>
                <w:tcPr>
                  <w:tcW w:w="6668" w:type="dxa"/>
                  <w:gridSpan w:val="3"/>
                  <w:tcBorders>
                    <w:tl2br w:val="nil"/>
                    <w:tr2bl w:val="nil"/>
                  </w:tcBorders>
                  <w:noWrap w:val="0"/>
                  <w:vAlign w:val="center"/>
                </w:tcPr>
                <w:p w14:paraId="609A4600">
                  <w:pPr>
                    <w:keepNext/>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rPr>
                    <w:t>绿色</w:t>
                  </w:r>
                </w:p>
              </w:tc>
            </w:tr>
            <w:tr w14:paraId="30666EC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76" w:hRule="atLeast"/>
                <w:jc w:val="center"/>
              </w:trPr>
              <w:tc>
                <w:tcPr>
                  <w:tcW w:w="1129" w:type="dxa"/>
                  <w:tcBorders>
                    <w:tl2br w:val="nil"/>
                    <w:tr2bl w:val="nil"/>
                  </w:tcBorders>
                  <w:noWrap w:val="0"/>
                  <w:vAlign w:val="center"/>
                </w:tcPr>
                <w:p w14:paraId="12B20A0D">
                  <w:pPr>
                    <w:keepNext/>
                    <w:keepLines w:val="0"/>
                    <w:suppressLineNumbers w:val="0"/>
                    <w:snapToGrid w:val="0"/>
                    <w:spacing w:before="0" w:beforeAutospacing="0" w:after="0" w:afterAutospacing="0"/>
                    <w:ind w:left="0" w:right="0"/>
                    <w:jc w:val="center"/>
                    <w:rPr>
                      <w:rFonts w:hint="default" w:ascii="Times New Roman" w:hAnsi="Times New Roman" w:eastAsia="宋体" w:cs="Times New Roman"/>
                      <w:b/>
                      <w:bCs/>
                      <w:color w:val="auto"/>
                      <w:spacing w:val="0"/>
                      <w:w w:val="100"/>
                      <w:sz w:val="21"/>
                      <w:szCs w:val="21"/>
                    </w:rPr>
                  </w:pPr>
                  <w:r>
                    <w:rPr>
                      <w:rFonts w:hint="default" w:ascii="Times New Roman" w:hAnsi="Times New Roman" w:eastAsia="宋体" w:cs="Times New Roman"/>
                      <w:b/>
                      <w:bCs/>
                      <w:color w:val="auto"/>
                      <w:spacing w:val="0"/>
                      <w:w w:val="100"/>
                      <w:sz w:val="21"/>
                      <w:szCs w:val="21"/>
                    </w:rPr>
                    <w:t>图形颜色</w:t>
                  </w:r>
                </w:p>
              </w:tc>
              <w:tc>
                <w:tcPr>
                  <w:tcW w:w="6668" w:type="dxa"/>
                  <w:gridSpan w:val="3"/>
                  <w:tcBorders>
                    <w:tl2br w:val="nil"/>
                    <w:tr2bl w:val="nil"/>
                  </w:tcBorders>
                  <w:noWrap w:val="0"/>
                  <w:vAlign w:val="center"/>
                </w:tcPr>
                <w:p w14:paraId="74CA487E">
                  <w:pPr>
                    <w:keepNext/>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pacing w:val="0"/>
                      <w:w w:val="100"/>
                      <w:sz w:val="21"/>
                      <w:szCs w:val="21"/>
                    </w:rPr>
                  </w:pPr>
                  <w:r>
                    <w:rPr>
                      <w:rFonts w:hint="default" w:ascii="Times New Roman" w:hAnsi="Times New Roman" w:eastAsia="宋体" w:cs="Times New Roman"/>
                      <w:color w:val="auto"/>
                      <w:spacing w:val="0"/>
                      <w:w w:val="100"/>
                      <w:sz w:val="21"/>
                      <w:szCs w:val="21"/>
                    </w:rPr>
                    <w:t>白色</w:t>
                  </w:r>
                </w:p>
              </w:tc>
            </w:tr>
          </w:tbl>
          <w:p w14:paraId="699CC1B1">
            <w:pPr>
              <w:keepNext/>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0" w:firstLineChars="200"/>
              <w:textAlignment w:val="auto"/>
              <w:outlineLvl w:val="9"/>
              <w:rPr>
                <w:rFonts w:hint="default" w:ascii="Times New Roman" w:hAnsi="Times New Roman" w:eastAsia="宋体" w:cs="Times New Roman"/>
                <w:color w:val="auto"/>
                <w:spacing w:val="0"/>
                <w:w w:val="100"/>
                <w:sz w:val="21"/>
                <w:szCs w:val="21"/>
              </w:rPr>
            </w:pPr>
            <w:r>
              <w:rPr>
                <w:rFonts w:hint="eastAsia" w:ascii="Times New Roman" w:hAnsi="Times New Roman" w:eastAsia="宋体" w:cs="Times New Roman"/>
                <w:color w:val="auto"/>
                <w:spacing w:val="0"/>
                <w:w w:val="100"/>
                <w:sz w:val="21"/>
                <w:szCs w:val="21"/>
                <w:lang w:val="en-US" w:eastAsia="zh-CN"/>
              </w:rPr>
              <w:t>（5）</w:t>
            </w:r>
            <w:r>
              <w:rPr>
                <w:rFonts w:hint="eastAsia" w:ascii="Times New Roman" w:hAnsi="Times New Roman" w:eastAsia="宋体" w:cs="Times New Roman"/>
                <w:color w:val="auto"/>
                <w:spacing w:val="0"/>
                <w:w w:val="100"/>
                <w:sz w:val="21"/>
                <w:szCs w:val="21"/>
              </w:rPr>
              <w:t>污染物排放口的环保图形标志牌应设置在靠近采样点的醒目处，标志牌设置高度为其上缘距地面2m。</w:t>
            </w:r>
          </w:p>
          <w:p w14:paraId="5E28E31F">
            <w:pPr>
              <w:keepNext/>
              <w:keepLines w:val="0"/>
              <w:pageBreakBefore w:val="0"/>
              <w:widowControl w:val="0"/>
              <w:suppressLineNumbers w:val="0"/>
              <w:kinsoku/>
              <w:wordWrap/>
              <w:overflowPunct/>
              <w:topLinePunct w:val="0"/>
              <w:bidi w:val="0"/>
              <w:snapToGrid/>
              <w:spacing w:before="0" w:beforeAutospacing="0" w:after="0" w:afterAutospacing="0" w:line="360" w:lineRule="auto"/>
              <w:ind w:left="0" w:right="0" w:firstLine="420" w:firstLineChars="200"/>
              <w:textAlignment w:val="auto"/>
              <w:outlineLvl w:val="9"/>
              <w:rPr>
                <w:rFonts w:hint="default" w:ascii="Times New Roman" w:hAnsi="Times New Roman" w:eastAsia="宋体" w:cs="Times New Roman"/>
                <w:bCs/>
                <w:color w:val="auto"/>
                <w:spacing w:val="0"/>
                <w:w w:val="100"/>
                <w:sz w:val="21"/>
                <w:szCs w:val="21"/>
              </w:rPr>
            </w:pPr>
            <w:r>
              <w:rPr>
                <w:rFonts w:hint="eastAsia" w:ascii="Times New Roman" w:hAnsi="Times New Roman" w:eastAsia="宋体" w:cs="Times New Roman"/>
                <w:bCs/>
                <w:color w:val="auto"/>
                <w:spacing w:val="0"/>
                <w:w w:val="100"/>
                <w:sz w:val="21"/>
                <w:szCs w:val="21"/>
                <w:lang w:val="en-US" w:eastAsia="zh-CN"/>
              </w:rPr>
              <w:t>（6）</w:t>
            </w:r>
            <w:r>
              <w:rPr>
                <w:rFonts w:hint="eastAsia" w:ascii="Times New Roman" w:hAnsi="Times New Roman" w:eastAsia="宋体" w:cs="Times New Roman"/>
                <w:bCs/>
                <w:color w:val="auto"/>
                <w:spacing w:val="0"/>
                <w:w w:val="100"/>
                <w:sz w:val="21"/>
                <w:szCs w:val="21"/>
              </w:rPr>
              <w:t>排污口建档管理</w:t>
            </w:r>
          </w:p>
          <w:p w14:paraId="318A594B">
            <w:pPr>
              <w:keepNext/>
              <w:keepLines w:val="0"/>
              <w:pageBreakBefore w:val="0"/>
              <w:widowControl w:val="0"/>
              <w:numPr>
                <w:ilvl w:val="0"/>
                <w:numId w:val="0"/>
              </w:numPr>
              <w:suppressLineNumbers w:val="0"/>
              <w:kinsoku/>
              <w:wordWrap/>
              <w:overflowPunct/>
              <w:topLinePunct w:val="0"/>
              <w:bidi w:val="0"/>
              <w:snapToGrid/>
              <w:spacing w:before="0" w:beforeAutospacing="0" w:after="0" w:afterAutospacing="0" w:line="360" w:lineRule="auto"/>
              <w:ind w:left="0" w:right="0" w:firstLine="420" w:firstLineChars="200"/>
              <w:textAlignment w:val="auto"/>
              <w:outlineLvl w:val="9"/>
              <w:rPr>
                <w:rFonts w:hint="eastAsia" w:ascii="Times New Roman" w:hAnsi="Times New Roman" w:eastAsia="宋体" w:cs="Times New Roman"/>
                <w:color w:val="auto"/>
                <w:spacing w:val="0"/>
                <w:w w:val="100"/>
                <w:sz w:val="21"/>
                <w:szCs w:val="21"/>
              </w:rPr>
            </w:pPr>
            <w:r>
              <w:rPr>
                <w:rFonts w:hint="eastAsia" w:ascii="Times New Roman" w:hAnsi="Times New Roman" w:eastAsia="宋体" w:cs="Times New Roman"/>
                <w:color w:val="auto"/>
                <w:spacing w:val="0"/>
                <w:w w:val="100"/>
                <w:sz w:val="21"/>
                <w:szCs w:val="21"/>
                <w:lang w:val="en-US" w:eastAsia="zh-CN"/>
              </w:rPr>
              <w:t>A、</w:t>
            </w:r>
            <w:r>
              <w:rPr>
                <w:rFonts w:hint="eastAsia" w:ascii="Times New Roman" w:hAnsi="Times New Roman" w:eastAsia="宋体" w:cs="Times New Roman"/>
                <w:color w:val="auto"/>
                <w:spacing w:val="0"/>
                <w:w w:val="100"/>
                <w:sz w:val="21"/>
                <w:szCs w:val="21"/>
              </w:rPr>
              <w:t>要求使用国家环保局统一印刷的《中华人民共和国规范化排污口标志登记证》，并按要求填写有关内容；</w:t>
            </w:r>
          </w:p>
          <w:p w14:paraId="7622097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color w:val="auto"/>
                <w:spacing w:val="0"/>
                <w:w w:val="100"/>
                <w:kern w:val="2"/>
                <w:sz w:val="21"/>
                <w:szCs w:val="21"/>
                <w:lang w:val="en-US" w:eastAsia="zh-CN" w:bidi="ar-SA"/>
              </w:rPr>
              <w:t>B、根据排污口管理档案内容要求，项目建成后，应将主要污染物种类、数量、浓度、排放去向、达标情况及设施运行情况记录于档案。</w:t>
            </w:r>
          </w:p>
          <w:p w14:paraId="16BCBDF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0" w:firstLineChars="0"/>
              <w:jc w:val="both"/>
              <w:textAlignment w:val="auto"/>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4.1</w:t>
            </w:r>
            <w:r>
              <w:rPr>
                <w:rFonts w:hint="eastAsia" w:eastAsia="宋体" w:cs="Times New Roman"/>
                <w:b/>
                <w:bCs/>
                <w:color w:val="auto"/>
                <w:kern w:val="2"/>
                <w:sz w:val="21"/>
                <w:szCs w:val="21"/>
                <w:lang w:val="en-US" w:eastAsia="zh-CN" w:bidi="ar-SA"/>
              </w:rPr>
              <w:t>2</w:t>
            </w:r>
            <w:r>
              <w:rPr>
                <w:rFonts w:hint="eastAsia" w:ascii="Times New Roman" w:hAnsi="Times New Roman" w:eastAsia="宋体" w:cs="Times New Roman"/>
                <w:b/>
                <w:bCs/>
                <w:color w:val="auto"/>
                <w:kern w:val="2"/>
                <w:sz w:val="21"/>
                <w:szCs w:val="21"/>
                <w:lang w:val="en-US" w:eastAsia="zh-CN" w:bidi="ar-SA"/>
              </w:rPr>
              <w:t>竣工验收</w:t>
            </w:r>
          </w:p>
          <w:p w14:paraId="636D1B1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自主开展环境保护验收的程序和标准。根据《建设项目竣工环境保护验收技术指南 污染影响类》（生态环境部公告，公告 2018年 第9号）及《建设项目环境保护管理管理条例》的要求，建设单位是建设项目竣工环境保护验收的责任主体，应当按照《暂行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w:t>
            </w:r>
          </w:p>
          <w:p w14:paraId="7CB1F17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①建设单位如实查验、监测记载环保设施的建设和调试情况。调试期间，建设单位应当确保该期间污染物排放符合国家和地方的有关污染物排放标准和排污许可等相关规定。环境保护设施未与主体工程同时建成的，或者应当取得排污许可证但未取得的，建设单位不得对该建设项目环境保护设施进行调试。</w:t>
            </w:r>
          </w:p>
          <w:p w14:paraId="51DD780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②编制验收监测报告，本项以排放污染物为主的建设项目，参照《建设项目竣工环境保护验收技术指南——污染影响类》编制验收监测报告，建设单位不具备自主验收能力的可以委托有能力的技术机构编制。</w:t>
            </w:r>
          </w:p>
          <w:p w14:paraId="16E14A0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③验收监测报告编制完成后，建设单位应当根据验收监测报告结论，逐一检查是否存在《建设项目竣工环保验收暂行办法》中第八条所列验收不合格的情形，提出验收意见。存在问题的，建设单位应当进行整改，整改完成后方可提出验收意见。验收意见包括工程建设基本情况、工程变动情况、环境保护设施落实情况、环境保护设施调试效果、工程建设对环境的影响、验收结论和后续要求等内容。</w:t>
            </w:r>
          </w:p>
          <w:p w14:paraId="4F037BE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④验收报告编制完成后5个工作日内，公开验收报告，公示的期限不得少于20个工作日，同步公开环保设施竣工日期以及对环保设施公开调试的起始日期。建设单位公开上述信息的同时，应当向所在地县级以上环境保护主管部门报送相关信息，并接受监督检查。</w:t>
            </w:r>
          </w:p>
          <w:p w14:paraId="0030F05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⑤验收报告公示期满后5个工作日内，建设单位应当登录全国建设项目竣工环境保护验收信息平台，填报建设项目基本信息、环境保护设施验收情况等相关信息，环境保护主管部门对上述信息予以公开。</w:t>
            </w:r>
          </w:p>
          <w:p w14:paraId="09EAF1D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⑥纳入排污许可管理的建设项目，排污单位应当在项目产生实际污染物排放之前，按照国家排污许可有关管理规定要求，申请排污许可证。建设项目验收报告中与污染物排放相关的主要内容应当纳入该项目验收完成当年排污许可证执行年报。</w:t>
            </w:r>
          </w:p>
          <w:p w14:paraId="7CBE5E6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本项目环境保护“三同时”竣工验收一览表如下。</w:t>
            </w:r>
          </w:p>
          <w:p w14:paraId="1B1DE83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表4-</w:t>
            </w:r>
            <w:r>
              <w:rPr>
                <w:rFonts w:hint="eastAsia" w:ascii="Times New Roman" w:hAnsi="Times New Roman" w:eastAsia="宋体" w:cs="Times New Roman"/>
                <w:b/>
                <w:bCs/>
                <w:color w:val="auto"/>
                <w:szCs w:val="21"/>
                <w:lang w:val="en-US" w:eastAsia="zh-CN"/>
              </w:rPr>
              <w:t>20</w:t>
            </w:r>
            <w:r>
              <w:rPr>
                <w:rFonts w:hint="default" w:ascii="Times New Roman" w:hAnsi="Times New Roman" w:eastAsia="宋体" w:cs="Times New Roman"/>
                <w:b/>
                <w:bCs/>
                <w:color w:val="auto"/>
                <w:szCs w:val="21"/>
              </w:rPr>
              <w:t xml:space="preserve">  建设项目竣工环境保护验收一览表</w:t>
            </w:r>
          </w:p>
          <w:tbl>
            <w:tblPr>
              <w:tblStyle w:val="30"/>
              <w:tblW w:w="7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1749"/>
              <w:gridCol w:w="2838"/>
              <w:gridCol w:w="2670"/>
            </w:tblGrid>
            <w:tr w14:paraId="7B55D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vAlign w:val="center"/>
                </w:tcPr>
                <w:p w14:paraId="784BA33D">
                  <w:pPr>
                    <w:keepNext w:val="0"/>
                    <w:keepLines w:val="0"/>
                    <w:pageBreakBefore w:val="0"/>
                    <w:widowControl w:val="0"/>
                    <w:suppressLineNumbers w:val="0"/>
                    <w:kinsoku/>
                    <w:wordWrap/>
                    <w:overflowPunct/>
                    <w:topLinePunct w:val="0"/>
                    <w:autoSpaceDE/>
                    <w:autoSpaceDN/>
                    <w:bidi w:val="0"/>
                    <w:snapToGrid w:val="0"/>
                    <w:spacing w:before="95" w:beforeLines="30" w:beforeAutospacing="0" w:after="95" w:afterLines="30" w:afterAutospacing="0"/>
                    <w:ind w:left="0" w:right="0"/>
                    <w:jc w:val="center"/>
                    <w:textAlignment w:val="auto"/>
                    <w:rPr>
                      <w:rFonts w:hint="eastAsia" w:ascii="Times New Roman" w:hAnsi="Times New Roman" w:eastAsia="宋体" w:cs="Times New Roman"/>
                      <w:color w:val="auto"/>
                      <w:szCs w:val="21"/>
                      <w:vertAlign w:val="baseline"/>
                      <w:lang w:eastAsia="zh-CN"/>
                    </w:rPr>
                  </w:pPr>
                  <w:r>
                    <w:rPr>
                      <w:rFonts w:hint="default" w:ascii="Times New Roman" w:hAnsi="Times New Roman" w:eastAsia="宋体" w:cs="Times New Roman"/>
                      <w:color w:val="auto"/>
                      <w:szCs w:val="21"/>
                    </w:rPr>
                    <w:t>项目</w:t>
                  </w:r>
                </w:p>
              </w:tc>
              <w:tc>
                <w:tcPr>
                  <w:tcW w:w="1749" w:type="dxa"/>
                  <w:vAlign w:val="center"/>
                </w:tcPr>
                <w:p w14:paraId="28B94AB5">
                  <w:pPr>
                    <w:keepNext w:val="0"/>
                    <w:keepLines w:val="0"/>
                    <w:pageBreakBefore w:val="0"/>
                    <w:widowControl w:val="0"/>
                    <w:suppressLineNumbers w:val="0"/>
                    <w:kinsoku/>
                    <w:wordWrap/>
                    <w:overflowPunct/>
                    <w:topLinePunct w:val="0"/>
                    <w:autoSpaceDE/>
                    <w:autoSpaceDN/>
                    <w:bidi w:val="0"/>
                    <w:snapToGrid w:val="0"/>
                    <w:spacing w:before="95" w:beforeLines="30" w:beforeAutospacing="0" w:after="95" w:afterLines="30" w:afterAutospacing="0"/>
                    <w:ind w:left="0" w:right="0"/>
                    <w:jc w:val="center"/>
                    <w:textAlignment w:val="auto"/>
                    <w:rPr>
                      <w:rFonts w:hint="eastAsia" w:ascii="Times New Roman" w:hAnsi="Times New Roman" w:eastAsia="宋体" w:cs="Times New Roman"/>
                      <w:color w:val="auto"/>
                      <w:szCs w:val="21"/>
                      <w:vertAlign w:val="baseline"/>
                      <w:lang w:eastAsia="zh-CN"/>
                    </w:rPr>
                  </w:pPr>
                  <w:r>
                    <w:rPr>
                      <w:rFonts w:hint="default" w:ascii="Times New Roman" w:hAnsi="Times New Roman" w:eastAsia="宋体" w:cs="Times New Roman"/>
                      <w:color w:val="auto"/>
                      <w:szCs w:val="21"/>
                    </w:rPr>
                    <w:t>处理对象</w:t>
                  </w:r>
                </w:p>
              </w:tc>
              <w:tc>
                <w:tcPr>
                  <w:tcW w:w="2838" w:type="dxa"/>
                  <w:vAlign w:val="center"/>
                </w:tcPr>
                <w:p w14:paraId="580C0E2B">
                  <w:pPr>
                    <w:keepNext w:val="0"/>
                    <w:keepLines w:val="0"/>
                    <w:pageBreakBefore w:val="0"/>
                    <w:widowControl w:val="0"/>
                    <w:suppressLineNumbers w:val="0"/>
                    <w:kinsoku/>
                    <w:wordWrap/>
                    <w:overflowPunct/>
                    <w:topLinePunct w:val="0"/>
                    <w:autoSpaceDE/>
                    <w:autoSpaceDN/>
                    <w:bidi w:val="0"/>
                    <w:snapToGrid w:val="0"/>
                    <w:spacing w:before="95" w:beforeLines="30" w:beforeAutospacing="0" w:after="95" w:afterLines="30" w:afterAutospacing="0"/>
                    <w:ind w:left="0" w:right="0"/>
                    <w:jc w:val="center"/>
                    <w:textAlignment w:val="auto"/>
                    <w:rPr>
                      <w:rFonts w:hint="eastAsia" w:ascii="Times New Roman" w:hAnsi="Times New Roman" w:eastAsia="宋体" w:cs="Times New Roman"/>
                      <w:color w:val="auto"/>
                      <w:szCs w:val="21"/>
                      <w:vertAlign w:val="baseline"/>
                      <w:lang w:eastAsia="zh-CN"/>
                    </w:rPr>
                  </w:pPr>
                  <w:r>
                    <w:rPr>
                      <w:rFonts w:hint="default" w:ascii="Times New Roman" w:hAnsi="Times New Roman" w:eastAsia="宋体" w:cs="Times New Roman"/>
                      <w:color w:val="auto"/>
                      <w:szCs w:val="21"/>
                    </w:rPr>
                    <w:t>处理措施</w:t>
                  </w:r>
                </w:p>
              </w:tc>
              <w:tc>
                <w:tcPr>
                  <w:tcW w:w="2670" w:type="dxa"/>
                  <w:vAlign w:val="center"/>
                </w:tcPr>
                <w:p w14:paraId="46E13786">
                  <w:pPr>
                    <w:keepNext w:val="0"/>
                    <w:keepLines w:val="0"/>
                    <w:pageBreakBefore w:val="0"/>
                    <w:widowControl w:val="0"/>
                    <w:suppressLineNumbers w:val="0"/>
                    <w:kinsoku/>
                    <w:wordWrap/>
                    <w:overflowPunct/>
                    <w:topLinePunct w:val="0"/>
                    <w:autoSpaceDE/>
                    <w:autoSpaceDN/>
                    <w:bidi w:val="0"/>
                    <w:snapToGrid w:val="0"/>
                    <w:spacing w:before="95" w:beforeLines="30" w:beforeAutospacing="0" w:after="95" w:afterLines="30" w:afterAutospacing="0"/>
                    <w:ind w:left="0" w:right="0"/>
                    <w:jc w:val="center"/>
                    <w:textAlignment w:val="auto"/>
                    <w:rPr>
                      <w:rFonts w:hint="eastAsia" w:ascii="Times New Roman" w:hAnsi="Times New Roman" w:eastAsia="宋体" w:cs="Times New Roman"/>
                      <w:color w:val="auto"/>
                      <w:szCs w:val="21"/>
                      <w:vertAlign w:val="baseline"/>
                      <w:lang w:eastAsia="zh-CN"/>
                    </w:rPr>
                  </w:pPr>
                  <w:r>
                    <w:rPr>
                      <w:rFonts w:hint="default" w:ascii="Times New Roman" w:hAnsi="Times New Roman" w:eastAsia="宋体" w:cs="Times New Roman"/>
                      <w:color w:val="auto"/>
                      <w:szCs w:val="21"/>
                    </w:rPr>
                    <w:t>处理效果</w:t>
                  </w:r>
                </w:p>
              </w:tc>
            </w:tr>
            <w:tr w14:paraId="66C61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9" w:type="dxa"/>
                  <w:vMerge w:val="restart"/>
                  <w:vAlign w:val="center"/>
                </w:tcPr>
                <w:p w14:paraId="19A0E955">
                  <w:pPr>
                    <w:keepNext w:val="0"/>
                    <w:keepLines w:val="0"/>
                    <w:pageBreakBefore w:val="0"/>
                    <w:widowControl w:val="0"/>
                    <w:suppressLineNumbers w:val="0"/>
                    <w:kinsoku/>
                    <w:wordWrap/>
                    <w:overflowPunct/>
                    <w:topLinePunct w:val="0"/>
                    <w:autoSpaceDE/>
                    <w:autoSpaceDN/>
                    <w:bidi w:val="0"/>
                    <w:snapToGrid w:val="0"/>
                    <w:spacing w:before="95" w:beforeLines="30" w:beforeAutospacing="0" w:after="95" w:afterLines="3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废气治理</w:t>
                  </w:r>
                </w:p>
              </w:tc>
              <w:tc>
                <w:tcPr>
                  <w:tcW w:w="1749" w:type="dxa"/>
                  <w:vAlign w:val="center"/>
                </w:tcPr>
                <w:p w14:paraId="3D578411">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rPr>
                    <w:t>烧成废气DA001</w:t>
                  </w:r>
                </w:p>
              </w:tc>
              <w:tc>
                <w:tcPr>
                  <w:tcW w:w="2838" w:type="dxa"/>
                  <w:vAlign w:val="center"/>
                </w:tcPr>
                <w:p w14:paraId="6B5DACF7">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rPr>
                    <w:t>经一套布袋除尘器+脱硫塔处理后达标排放</w:t>
                  </w:r>
                  <w:r>
                    <w:rPr>
                      <w:rFonts w:hint="eastAsia"/>
                      <w:color w:val="auto"/>
                      <w:lang w:eastAsia="zh-CN"/>
                    </w:rPr>
                    <w:t>（</w:t>
                  </w:r>
                  <w:r>
                    <w:rPr>
                      <w:rFonts w:hint="eastAsia"/>
                      <w:color w:val="auto"/>
                      <w:lang w:val="en-US" w:eastAsia="zh-CN"/>
                    </w:rPr>
                    <w:t>后期根据当地政府要求安装</w:t>
                  </w:r>
                  <w:r>
                    <w:rPr>
                      <w:rFonts w:hint="eastAsia"/>
                      <w:color w:val="auto"/>
                    </w:rPr>
                    <w:t>在线监测设备</w:t>
                  </w:r>
                  <w:r>
                    <w:rPr>
                      <w:rFonts w:hint="eastAsia"/>
                      <w:color w:val="auto"/>
                      <w:lang w:val="en-US" w:eastAsia="zh-CN"/>
                    </w:rPr>
                    <w:t>后</w:t>
                  </w:r>
                  <w:r>
                    <w:rPr>
                      <w:rFonts w:hint="eastAsia"/>
                      <w:color w:val="auto"/>
                      <w:lang w:eastAsia="zh-CN"/>
                    </w:rPr>
                    <w:t>）</w:t>
                  </w:r>
                  <w:r>
                    <w:rPr>
                      <w:rFonts w:hint="eastAsia"/>
                      <w:color w:val="auto"/>
                    </w:rPr>
                    <w:t>，排气筒高</w:t>
                  </w:r>
                  <w:r>
                    <w:rPr>
                      <w:rFonts w:hint="eastAsia"/>
                      <w:color w:val="auto"/>
                      <w:lang w:val="en-US" w:eastAsia="zh-CN"/>
                    </w:rPr>
                    <w:t>15</w:t>
                  </w:r>
                  <w:r>
                    <w:rPr>
                      <w:rFonts w:hint="eastAsia"/>
                      <w:color w:val="auto"/>
                    </w:rPr>
                    <w:t>m，排放口编码为DA001</w:t>
                  </w:r>
                  <w:r>
                    <w:rPr>
                      <w:rFonts w:hint="eastAsia"/>
                      <w:color w:val="auto"/>
                      <w:lang w:eastAsia="zh-CN"/>
                    </w:rPr>
                    <w:t>。</w:t>
                  </w:r>
                </w:p>
              </w:tc>
              <w:tc>
                <w:tcPr>
                  <w:tcW w:w="2670" w:type="dxa"/>
                  <w:vAlign w:val="center"/>
                </w:tcPr>
                <w:p w14:paraId="50E91ACA">
                  <w:pPr>
                    <w:keepNext w:val="0"/>
                    <w:keepLines w:val="0"/>
                    <w:pageBreakBefore w:val="0"/>
                    <w:widowControl w:val="0"/>
                    <w:suppressLineNumbers w:val="0"/>
                    <w:kinsoku/>
                    <w:wordWrap/>
                    <w:overflowPunct/>
                    <w:topLinePunct w:val="0"/>
                    <w:autoSpaceDE/>
                    <w:autoSpaceDN/>
                    <w:bidi w:val="0"/>
                    <w:snapToGrid w:val="0"/>
                    <w:spacing w:before="95" w:beforeLines="30" w:beforeAutospacing="0" w:after="95" w:afterLines="3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《砖瓦工业大气污染物排放标准》（GB29620-2013）及修改单中表2要求，即颗粒物排放浓度≤30mg/m³；二氧化硫排放浓度≤150mg/m³；氮氧化物排放浓度≤200mg/m³。</w:t>
                  </w:r>
                </w:p>
              </w:tc>
            </w:tr>
            <w:tr w14:paraId="33247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9" w:type="dxa"/>
                  <w:vMerge w:val="continue"/>
                  <w:vAlign w:val="center"/>
                </w:tcPr>
                <w:p w14:paraId="0C1141F9">
                  <w:pPr>
                    <w:keepNext w:val="0"/>
                    <w:keepLines w:val="0"/>
                    <w:pageBreakBefore w:val="0"/>
                    <w:widowControl w:val="0"/>
                    <w:suppressLineNumbers w:val="0"/>
                    <w:kinsoku/>
                    <w:wordWrap/>
                    <w:overflowPunct/>
                    <w:topLinePunct w:val="0"/>
                    <w:autoSpaceDE/>
                    <w:autoSpaceDN/>
                    <w:bidi w:val="0"/>
                    <w:snapToGrid w:val="0"/>
                    <w:spacing w:before="95" w:beforeLines="30" w:beforeAutospacing="0" w:after="95" w:afterLines="3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c>
                <w:tcPr>
                  <w:tcW w:w="1749" w:type="dxa"/>
                  <w:vAlign w:val="center"/>
                </w:tcPr>
                <w:p w14:paraId="062F6A57">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宋体" w:hAnsi="宋体" w:cs="宋体"/>
                      <w:b w:val="0"/>
                      <w:bCs w:val="0"/>
                      <w:color w:val="auto"/>
                      <w:kern w:val="2"/>
                      <w:sz w:val="21"/>
                      <w:szCs w:val="21"/>
                      <w:lang w:val="en-US" w:eastAsia="zh-CN" w:bidi="ar-SA"/>
                    </w:rPr>
                    <w:t>卸料粉尘（T1）、原料车间至陈化车间给料粉尘（T2）</w:t>
                  </w:r>
                </w:p>
              </w:tc>
              <w:tc>
                <w:tcPr>
                  <w:tcW w:w="2838" w:type="dxa"/>
                  <w:vAlign w:val="center"/>
                </w:tcPr>
                <w:p w14:paraId="38911800">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rPr>
                    <w:t>封闭</w:t>
                  </w:r>
                  <w:r>
                    <w:rPr>
                      <w:rFonts w:hint="eastAsia"/>
                      <w:color w:val="auto"/>
                      <w:lang w:val="en-US" w:eastAsia="zh-CN"/>
                    </w:rPr>
                    <w:t>车间</w:t>
                  </w:r>
                  <w:r>
                    <w:rPr>
                      <w:rFonts w:hint="eastAsia"/>
                      <w:color w:val="auto"/>
                    </w:rPr>
                    <w:t>，洒水降尘等</w:t>
                  </w:r>
                </w:p>
              </w:tc>
              <w:tc>
                <w:tcPr>
                  <w:tcW w:w="2670" w:type="dxa"/>
                  <w:vMerge w:val="restart"/>
                  <w:vAlign w:val="center"/>
                </w:tcPr>
                <w:p w14:paraId="4398CE54">
                  <w:pPr>
                    <w:keepNext w:val="0"/>
                    <w:keepLines w:val="0"/>
                    <w:pageBreakBefore w:val="0"/>
                    <w:widowControl w:val="0"/>
                    <w:suppressLineNumbers w:val="0"/>
                    <w:kinsoku/>
                    <w:wordWrap/>
                    <w:overflowPunct/>
                    <w:topLinePunct w:val="0"/>
                    <w:autoSpaceDE/>
                    <w:autoSpaceDN/>
                    <w:bidi w:val="0"/>
                    <w:snapToGrid w:val="0"/>
                    <w:spacing w:before="95" w:beforeLines="30" w:beforeAutospacing="0" w:after="95" w:afterLines="3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《砖瓦工业大气污染物排放标准》（GB29620-2013）及修改单中表3要求，即颗粒物排放浓度≤1.0mg/m³；二氧化硫排放浓度≤0.5mg/m³；氟化物排放浓度≤0.02mg/m³。</w:t>
                  </w:r>
                </w:p>
              </w:tc>
            </w:tr>
            <w:tr w14:paraId="73118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9" w:type="dxa"/>
                  <w:vMerge w:val="continue"/>
                  <w:vAlign w:val="center"/>
                </w:tcPr>
                <w:p w14:paraId="087F115F">
                  <w:pPr>
                    <w:keepNext w:val="0"/>
                    <w:keepLines w:val="0"/>
                    <w:pageBreakBefore w:val="0"/>
                    <w:widowControl w:val="0"/>
                    <w:suppressLineNumbers w:val="0"/>
                    <w:kinsoku/>
                    <w:wordWrap/>
                    <w:overflowPunct/>
                    <w:topLinePunct w:val="0"/>
                    <w:autoSpaceDE/>
                    <w:autoSpaceDN/>
                    <w:bidi w:val="0"/>
                    <w:snapToGrid w:val="0"/>
                    <w:spacing w:before="95" w:beforeLines="30" w:beforeAutospacing="0" w:after="95" w:afterLines="3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c>
                <w:tcPr>
                  <w:tcW w:w="1749" w:type="dxa"/>
                  <w:vAlign w:val="center"/>
                </w:tcPr>
                <w:p w14:paraId="1825D46A">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宋体" w:hAnsi="宋体" w:cs="宋体"/>
                      <w:b w:val="0"/>
                      <w:bCs w:val="0"/>
                      <w:color w:val="auto"/>
                      <w:kern w:val="2"/>
                      <w:sz w:val="21"/>
                      <w:szCs w:val="21"/>
                      <w:lang w:val="en-US" w:eastAsia="zh-CN" w:bidi="ar-SA"/>
                    </w:rPr>
                  </w:pPr>
                  <w:r>
                    <w:rPr>
                      <w:rFonts w:hint="eastAsia" w:cs="Times New Roman"/>
                      <w:b w:val="0"/>
                      <w:bCs w:val="0"/>
                      <w:color w:val="auto"/>
                      <w:sz w:val="21"/>
                      <w:szCs w:val="21"/>
                      <w:lang w:val="en-US" w:eastAsia="zh-CN"/>
                    </w:rPr>
                    <w:t>原料、陈化车间储存粉尘（T3）</w:t>
                  </w:r>
                </w:p>
              </w:tc>
              <w:tc>
                <w:tcPr>
                  <w:tcW w:w="2838" w:type="dxa"/>
                  <w:vAlign w:val="center"/>
                </w:tcPr>
                <w:p w14:paraId="5B9F3109">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color w:val="auto"/>
                    </w:rPr>
                  </w:pPr>
                  <w:r>
                    <w:rPr>
                      <w:rFonts w:hint="default" w:ascii="Times New Roman" w:hAnsi="Times New Roman" w:cs="Times New Roman"/>
                      <w:b w:val="0"/>
                      <w:bCs w:val="0"/>
                      <w:color w:val="auto"/>
                      <w:sz w:val="21"/>
                      <w:szCs w:val="21"/>
                    </w:rPr>
                    <w:t>封闭厂房</w:t>
                  </w:r>
                  <w:r>
                    <w:rPr>
                      <w:rFonts w:hint="default" w:ascii="Times New Roman" w:hAnsi="Times New Roman" w:cs="Times New Roman"/>
                      <w:b w:val="0"/>
                      <w:bCs w:val="0"/>
                      <w:color w:val="auto"/>
                      <w:sz w:val="21"/>
                      <w:szCs w:val="21"/>
                      <w:lang w:val="en-US" w:eastAsia="zh-CN"/>
                    </w:rPr>
                    <w:t>阻隔+</w:t>
                  </w:r>
                  <w:r>
                    <w:rPr>
                      <w:rFonts w:hint="default" w:ascii="Times New Roman" w:hAnsi="Times New Roman" w:cs="Times New Roman"/>
                      <w:b w:val="0"/>
                      <w:bCs w:val="0"/>
                      <w:color w:val="auto"/>
                      <w:sz w:val="21"/>
                      <w:szCs w:val="21"/>
                    </w:rPr>
                    <w:t>洒水降尘后</w:t>
                  </w:r>
                </w:p>
              </w:tc>
              <w:tc>
                <w:tcPr>
                  <w:tcW w:w="2670" w:type="dxa"/>
                  <w:vMerge w:val="continue"/>
                  <w:vAlign w:val="center"/>
                </w:tcPr>
                <w:p w14:paraId="50728BFA">
                  <w:pPr>
                    <w:keepNext w:val="0"/>
                    <w:keepLines w:val="0"/>
                    <w:pageBreakBefore w:val="0"/>
                    <w:widowControl w:val="0"/>
                    <w:suppressLineNumbers w:val="0"/>
                    <w:kinsoku/>
                    <w:wordWrap/>
                    <w:overflowPunct/>
                    <w:topLinePunct w:val="0"/>
                    <w:autoSpaceDE/>
                    <w:autoSpaceDN/>
                    <w:bidi w:val="0"/>
                    <w:snapToGrid w:val="0"/>
                    <w:spacing w:before="95" w:beforeLines="30" w:beforeAutospacing="0" w:after="95" w:afterLines="3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r>
            <w:tr w14:paraId="4219C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9" w:type="dxa"/>
                  <w:vMerge w:val="continue"/>
                  <w:vAlign w:val="center"/>
                </w:tcPr>
                <w:p w14:paraId="7BF2DF26">
                  <w:pPr>
                    <w:keepNext w:val="0"/>
                    <w:keepLines w:val="0"/>
                    <w:pageBreakBefore w:val="0"/>
                    <w:widowControl w:val="0"/>
                    <w:suppressLineNumbers w:val="0"/>
                    <w:kinsoku/>
                    <w:wordWrap/>
                    <w:overflowPunct/>
                    <w:topLinePunct w:val="0"/>
                    <w:autoSpaceDE/>
                    <w:autoSpaceDN/>
                    <w:bidi w:val="0"/>
                    <w:snapToGrid w:val="0"/>
                    <w:spacing w:before="95" w:beforeLines="30" w:beforeAutospacing="0" w:after="95" w:afterLines="3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c>
                <w:tcPr>
                  <w:tcW w:w="1749" w:type="dxa"/>
                  <w:vAlign w:val="center"/>
                </w:tcPr>
                <w:p w14:paraId="7F4337E1">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宋体" w:hAnsi="宋体" w:eastAsia="宋体" w:cs="宋体"/>
                      <w:color w:val="auto"/>
                      <w:szCs w:val="21"/>
                      <w:lang w:val="en-US" w:eastAsia="zh-CN"/>
                    </w:rPr>
                  </w:pPr>
                  <w:r>
                    <w:rPr>
                      <w:rFonts w:hint="eastAsia" w:ascii="宋体" w:hAnsi="宋体" w:cs="宋体"/>
                      <w:b w:val="0"/>
                      <w:bCs w:val="0"/>
                      <w:color w:val="auto"/>
                      <w:kern w:val="2"/>
                      <w:sz w:val="21"/>
                      <w:szCs w:val="21"/>
                      <w:lang w:val="en-US" w:eastAsia="zh-CN" w:bidi="ar-SA"/>
                    </w:rPr>
                    <w:t>陈化物料输送至搅拌机的给料粉尘（T4）</w:t>
                  </w:r>
                </w:p>
              </w:tc>
              <w:tc>
                <w:tcPr>
                  <w:tcW w:w="2838" w:type="dxa"/>
                  <w:vAlign w:val="center"/>
                </w:tcPr>
                <w:p w14:paraId="40EAD3CF">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color w:val="auto"/>
                    </w:rPr>
                  </w:pPr>
                  <w:r>
                    <w:rPr>
                      <w:rFonts w:hint="eastAsia" w:cs="Times New Roman"/>
                      <w:color w:val="auto"/>
                      <w:szCs w:val="21"/>
                      <w:lang w:val="en-US" w:eastAsia="zh-CN"/>
                    </w:rPr>
                    <w:t>输送机全封闭；搅拌机全封闭；给料口洒水降尘+厂房阻隔</w:t>
                  </w:r>
                </w:p>
              </w:tc>
              <w:tc>
                <w:tcPr>
                  <w:tcW w:w="2670" w:type="dxa"/>
                  <w:vMerge w:val="continue"/>
                  <w:vAlign w:val="center"/>
                </w:tcPr>
                <w:p w14:paraId="0A4AAB7F">
                  <w:pPr>
                    <w:keepNext w:val="0"/>
                    <w:keepLines w:val="0"/>
                    <w:pageBreakBefore w:val="0"/>
                    <w:widowControl w:val="0"/>
                    <w:suppressLineNumbers w:val="0"/>
                    <w:kinsoku/>
                    <w:wordWrap/>
                    <w:overflowPunct/>
                    <w:topLinePunct w:val="0"/>
                    <w:autoSpaceDE/>
                    <w:autoSpaceDN/>
                    <w:bidi w:val="0"/>
                    <w:snapToGrid w:val="0"/>
                    <w:spacing w:before="95" w:beforeLines="30" w:beforeAutospacing="0" w:after="95" w:afterLines="3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r>
            <w:tr w14:paraId="74F8B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9" w:type="dxa"/>
                  <w:vMerge w:val="continue"/>
                  <w:vAlign w:val="center"/>
                </w:tcPr>
                <w:p w14:paraId="29AFF3E7">
                  <w:pPr>
                    <w:keepNext w:val="0"/>
                    <w:keepLines w:val="0"/>
                    <w:pageBreakBefore w:val="0"/>
                    <w:widowControl w:val="0"/>
                    <w:suppressLineNumbers w:val="0"/>
                    <w:kinsoku/>
                    <w:wordWrap/>
                    <w:overflowPunct/>
                    <w:topLinePunct w:val="0"/>
                    <w:autoSpaceDE/>
                    <w:autoSpaceDN/>
                    <w:bidi w:val="0"/>
                    <w:snapToGrid w:val="0"/>
                    <w:spacing w:before="95" w:beforeLines="30" w:beforeAutospacing="0" w:after="95" w:afterLines="3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c>
                <w:tcPr>
                  <w:tcW w:w="1749" w:type="dxa"/>
                  <w:vAlign w:val="center"/>
                </w:tcPr>
                <w:p w14:paraId="45E95EB6">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宋体" w:hAnsi="宋体" w:cs="宋体"/>
                      <w:b w:val="0"/>
                      <w:bCs w:val="0"/>
                      <w:color w:val="auto"/>
                      <w:kern w:val="2"/>
                      <w:sz w:val="21"/>
                      <w:szCs w:val="21"/>
                      <w:lang w:val="en-US" w:eastAsia="zh-CN" w:bidi="ar-SA"/>
                    </w:rPr>
                  </w:pPr>
                  <w:r>
                    <w:rPr>
                      <w:rFonts w:hint="default" w:ascii="Times New Roman" w:hAnsi="Times New Roman" w:cs="Times New Roman"/>
                      <w:b w:val="0"/>
                      <w:bCs w:val="0"/>
                      <w:color w:val="auto"/>
                      <w:sz w:val="21"/>
                      <w:szCs w:val="21"/>
                    </w:rPr>
                    <w:t>运输车辆动力扬尘</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lang w:val="en-US" w:eastAsia="zh-CN"/>
                    </w:rPr>
                    <w:t>T</w:t>
                  </w:r>
                  <w:r>
                    <w:rPr>
                      <w:rFonts w:hint="eastAsia" w:ascii="Times New Roman" w:hAnsi="Times New Roman" w:cs="Times New Roman"/>
                      <w:b w:val="0"/>
                      <w:bCs w:val="0"/>
                      <w:color w:val="auto"/>
                      <w:sz w:val="21"/>
                      <w:szCs w:val="21"/>
                      <w:lang w:val="en-US" w:eastAsia="zh-CN"/>
                    </w:rPr>
                    <w:t>5</w:t>
                  </w:r>
                  <w:r>
                    <w:rPr>
                      <w:rFonts w:hint="default" w:ascii="Times New Roman" w:hAnsi="Times New Roman" w:cs="Times New Roman"/>
                      <w:b w:val="0"/>
                      <w:bCs w:val="0"/>
                      <w:color w:val="auto"/>
                      <w:sz w:val="21"/>
                      <w:szCs w:val="21"/>
                      <w:lang w:eastAsia="zh-CN"/>
                    </w:rPr>
                    <w:t>）</w:t>
                  </w:r>
                </w:p>
              </w:tc>
              <w:tc>
                <w:tcPr>
                  <w:tcW w:w="2838" w:type="dxa"/>
                  <w:vAlign w:val="center"/>
                </w:tcPr>
                <w:p w14:paraId="2FCFD9D5">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cs="Times New Roman"/>
                      <w:color w:val="auto"/>
                      <w:szCs w:val="21"/>
                      <w:lang w:val="en-US" w:eastAsia="zh-CN"/>
                    </w:rPr>
                  </w:pPr>
                  <w:r>
                    <w:rPr>
                      <w:rFonts w:hint="eastAsia" w:cs="Times New Roman"/>
                      <w:color w:val="auto"/>
                      <w:szCs w:val="21"/>
                      <w:lang w:val="en-US" w:eastAsia="zh-CN"/>
                    </w:rPr>
                    <w:t>清扫地面，定期</w:t>
                  </w:r>
                  <w:r>
                    <w:rPr>
                      <w:rFonts w:hint="default" w:ascii="Times New Roman" w:hAnsi="Times New Roman" w:cs="Times New Roman"/>
                      <w:color w:val="auto"/>
                      <w:szCs w:val="21"/>
                    </w:rPr>
                    <w:t>洒水降尘</w:t>
                  </w:r>
                </w:p>
              </w:tc>
              <w:tc>
                <w:tcPr>
                  <w:tcW w:w="2670" w:type="dxa"/>
                  <w:vMerge w:val="continue"/>
                  <w:vAlign w:val="center"/>
                </w:tcPr>
                <w:p w14:paraId="0A6BE3E9">
                  <w:pPr>
                    <w:keepNext w:val="0"/>
                    <w:keepLines w:val="0"/>
                    <w:pageBreakBefore w:val="0"/>
                    <w:widowControl w:val="0"/>
                    <w:suppressLineNumbers w:val="0"/>
                    <w:kinsoku/>
                    <w:wordWrap/>
                    <w:overflowPunct/>
                    <w:topLinePunct w:val="0"/>
                    <w:autoSpaceDE/>
                    <w:autoSpaceDN/>
                    <w:bidi w:val="0"/>
                    <w:snapToGrid w:val="0"/>
                    <w:spacing w:before="95" w:beforeLines="30" w:beforeAutospacing="0" w:after="95" w:afterLines="3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r>
            <w:tr w14:paraId="2A7B1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9" w:type="dxa"/>
                  <w:vMerge w:val="continue"/>
                  <w:vAlign w:val="center"/>
                </w:tcPr>
                <w:p w14:paraId="453CD0CC">
                  <w:pPr>
                    <w:keepNext w:val="0"/>
                    <w:keepLines w:val="0"/>
                    <w:pageBreakBefore w:val="0"/>
                    <w:widowControl w:val="0"/>
                    <w:suppressLineNumbers w:val="0"/>
                    <w:kinsoku/>
                    <w:wordWrap/>
                    <w:overflowPunct/>
                    <w:topLinePunct w:val="0"/>
                    <w:autoSpaceDE/>
                    <w:autoSpaceDN/>
                    <w:bidi w:val="0"/>
                    <w:snapToGrid w:val="0"/>
                    <w:spacing w:before="95" w:beforeLines="30" w:beforeAutospacing="0" w:after="95" w:afterLines="3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c>
                <w:tcPr>
                  <w:tcW w:w="1749" w:type="dxa"/>
                  <w:vAlign w:val="center"/>
                </w:tcPr>
                <w:p w14:paraId="6C2E10BC">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cs="Times New Roman"/>
                      <w:b w:val="0"/>
                      <w:bCs w:val="0"/>
                      <w:color w:val="auto"/>
                      <w:sz w:val="21"/>
                      <w:szCs w:val="21"/>
                    </w:rPr>
                  </w:pPr>
                  <w:r>
                    <w:rPr>
                      <w:rFonts w:hint="eastAsia" w:ascii="宋体" w:hAnsi="宋体" w:cs="宋体"/>
                      <w:b w:val="0"/>
                      <w:bCs w:val="0"/>
                      <w:color w:val="auto"/>
                      <w:kern w:val="2"/>
                      <w:sz w:val="21"/>
                      <w:szCs w:val="21"/>
                      <w:lang w:val="en-US" w:eastAsia="zh-CN" w:bidi="ar-SA"/>
                    </w:rPr>
                    <w:t>对辊破碎、制坯、切条、修坯、晾干工序加工粉尘（T6）</w:t>
                  </w:r>
                </w:p>
              </w:tc>
              <w:tc>
                <w:tcPr>
                  <w:tcW w:w="2838" w:type="dxa"/>
                  <w:vAlign w:val="center"/>
                </w:tcPr>
                <w:p w14:paraId="2A8D84DA">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cs="Times New Roman"/>
                      <w:color w:val="auto"/>
                      <w:szCs w:val="21"/>
                      <w:lang w:val="en-US" w:eastAsia="zh-CN"/>
                    </w:rPr>
                  </w:pPr>
                  <w:r>
                    <w:rPr>
                      <w:rFonts w:hint="eastAsia" w:cs="Times New Roman"/>
                      <w:color w:val="auto"/>
                      <w:szCs w:val="21"/>
                      <w:lang w:val="en-US" w:eastAsia="zh-CN"/>
                    </w:rPr>
                    <w:t>湿料加工</w:t>
                  </w:r>
                </w:p>
              </w:tc>
              <w:tc>
                <w:tcPr>
                  <w:tcW w:w="2670" w:type="dxa"/>
                  <w:vMerge w:val="continue"/>
                  <w:vAlign w:val="center"/>
                </w:tcPr>
                <w:p w14:paraId="4B78A3B2">
                  <w:pPr>
                    <w:keepNext w:val="0"/>
                    <w:keepLines w:val="0"/>
                    <w:pageBreakBefore w:val="0"/>
                    <w:widowControl w:val="0"/>
                    <w:suppressLineNumbers w:val="0"/>
                    <w:kinsoku/>
                    <w:wordWrap/>
                    <w:overflowPunct/>
                    <w:topLinePunct w:val="0"/>
                    <w:autoSpaceDE/>
                    <w:autoSpaceDN/>
                    <w:bidi w:val="0"/>
                    <w:snapToGrid w:val="0"/>
                    <w:spacing w:before="95" w:beforeLines="30" w:beforeAutospacing="0" w:after="95" w:afterLines="3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r>
            <w:tr w14:paraId="51C6F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9" w:type="dxa"/>
                  <w:vMerge w:val="continue"/>
                  <w:vAlign w:val="center"/>
                </w:tcPr>
                <w:p w14:paraId="583FB6D0">
                  <w:pPr>
                    <w:keepNext w:val="0"/>
                    <w:keepLines w:val="0"/>
                    <w:pageBreakBefore w:val="0"/>
                    <w:widowControl w:val="0"/>
                    <w:suppressLineNumbers w:val="0"/>
                    <w:kinsoku/>
                    <w:wordWrap/>
                    <w:overflowPunct/>
                    <w:topLinePunct w:val="0"/>
                    <w:autoSpaceDE/>
                    <w:autoSpaceDN/>
                    <w:bidi w:val="0"/>
                    <w:snapToGrid w:val="0"/>
                    <w:spacing w:before="95" w:beforeLines="30" w:beforeAutospacing="0" w:after="95" w:afterLines="3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c>
                <w:tcPr>
                  <w:tcW w:w="1749" w:type="dxa"/>
                  <w:vAlign w:val="center"/>
                </w:tcPr>
                <w:p w14:paraId="5B89CC50">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宋体" w:hAnsi="宋体" w:cs="宋体"/>
                      <w:b w:val="0"/>
                      <w:bCs w:val="0"/>
                      <w:color w:val="auto"/>
                      <w:lang w:val="en-US" w:eastAsia="zh-CN"/>
                    </w:rPr>
                    <w:t>次品对辊破碎粉尘（T7）</w:t>
                  </w:r>
                </w:p>
              </w:tc>
              <w:tc>
                <w:tcPr>
                  <w:tcW w:w="2838" w:type="dxa"/>
                  <w:vAlign w:val="center"/>
                </w:tcPr>
                <w:p w14:paraId="5A2AACE9">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洒水润湿破碎</w:t>
                  </w:r>
                </w:p>
              </w:tc>
              <w:tc>
                <w:tcPr>
                  <w:tcW w:w="2670" w:type="dxa"/>
                  <w:vMerge w:val="continue"/>
                  <w:vAlign w:val="center"/>
                </w:tcPr>
                <w:p w14:paraId="3E00C418">
                  <w:pPr>
                    <w:keepNext w:val="0"/>
                    <w:keepLines w:val="0"/>
                    <w:pageBreakBefore w:val="0"/>
                    <w:widowControl w:val="0"/>
                    <w:suppressLineNumbers w:val="0"/>
                    <w:kinsoku/>
                    <w:wordWrap/>
                    <w:overflowPunct/>
                    <w:topLinePunct w:val="0"/>
                    <w:autoSpaceDE/>
                    <w:autoSpaceDN/>
                    <w:bidi w:val="0"/>
                    <w:snapToGrid w:val="0"/>
                    <w:spacing w:before="95" w:beforeLines="30" w:beforeAutospacing="0" w:after="95" w:afterLines="3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r>
            <w:tr w14:paraId="6031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vAlign w:val="center"/>
                </w:tcPr>
                <w:p w14:paraId="45DA5AA3">
                  <w:pPr>
                    <w:keepNext w:val="0"/>
                    <w:keepLines w:val="0"/>
                    <w:pageBreakBefore w:val="0"/>
                    <w:widowControl w:val="0"/>
                    <w:suppressLineNumbers w:val="0"/>
                    <w:kinsoku/>
                    <w:wordWrap/>
                    <w:overflowPunct/>
                    <w:topLinePunct w:val="0"/>
                    <w:autoSpaceDE/>
                    <w:autoSpaceDN/>
                    <w:bidi w:val="0"/>
                    <w:snapToGrid w:val="0"/>
                    <w:spacing w:before="95" w:beforeLines="30" w:beforeAutospacing="0" w:after="95" w:afterLines="3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废水治理</w:t>
                  </w:r>
                </w:p>
              </w:tc>
              <w:tc>
                <w:tcPr>
                  <w:tcW w:w="1749" w:type="dxa"/>
                  <w:vAlign w:val="center"/>
                </w:tcPr>
                <w:p w14:paraId="371479A5">
                  <w:pPr>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ind w:left="0" w:right="0" w:firstLine="0" w:firstLineChars="0"/>
                    <w:jc w:val="center"/>
                    <w:textAlignment w:val="auto"/>
                    <w:rPr>
                      <w:rFonts w:hint="eastAsia" w:ascii="Times New Roman" w:hAnsi="Times New Roman" w:eastAsia="宋体" w:cs="Times New Roman"/>
                      <w:color w:val="auto"/>
                      <w:lang w:eastAsia="zh-CN"/>
                    </w:rPr>
                  </w:pPr>
                  <w:r>
                    <w:rPr>
                      <w:rFonts w:hint="default" w:ascii="Times New Roman" w:hAnsi="Times New Roman" w:eastAsia="宋体" w:cs="Times New Roman"/>
                      <w:color w:val="auto"/>
                      <w:szCs w:val="21"/>
                      <w:lang w:val="en-US" w:eastAsia="zh-CN"/>
                    </w:rPr>
                    <w:t>生活污水、生产废水</w:t>
                  </w:r>
                </w:p>
              </w:tc>
              <w:tc>
                <w:tcPr>
                  <w:tcW w:w="2838" w:type="dxa"/>
                  <w:vAlign w:val="center"/>
                </w:tcPr>
                <w:p w14:paraId="36B7BDD6">
                  <w:pPr>
                    <w:keepNext w:val="0"/>
                    <w:keepLines w:val="0"/>
                    <w:pageBreakBefore w:val="0"/>
                    <w:widowControl w:val="0"/>
                    <w:suppressLineNumbers w:val="0"/>
                    <w:kinsoku/>
                    <w:wordWrap/>
                    <w:overflowPunct/>
                    <w:topLinePunct w:val="0"/>
                    <w:autoSpaceDE/>
                    <w:autoSpaceDN/>
                    <w:bidi w:val="0"/>
                    <w:snapToGrid w:val="0"/>
                    <w:spacing w:before="95" w:beforeLines="30" w:beforeAutospacing="0" w:after="95" w:afterLines="3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生活污水经10m</w:t>
                  </w:r>
                  <w:r>
                    <w:rPr>
                      <w:rFonts w:hint="eastAsia" w:cs="Times New Roman"/>
                      <w:color w:val="auto"/>
                      <w:kern w:val="2"/>
                      <w:sz w:val="21"/>
                      <w:szCs w:val="21"/>
                      <w:vertAlign w:val="superscript"/>
                      <w:lang w:val="en-US" w:eastAsia="zh-CN" w:bidi="ar-SA"/>
                    </w:rPr>
                    <w:t>3</w:t>
                  </w:r>
                  <w:r>
                    <w:rPr>
                      <w:rFonts w:hint="eastAsia" w:cs="Times New Roman"/>
                      <w:color w:val="auto"/>
                      <w:kern w:val="2"/>
                      <w:sz w:val="21"/>
                      <w:szCs w:val="21"/>
                      <w:lang w:val="en-US" w:eastAsia="zh-CN" w:bidi="ar-SA"/>
                    </w:rPr>
                    <w:t>化粪池处理后</w:t>
                  </w:r>
                  <w:r>
                    <w:rPr>
                      <w:rFonts w:hint="eastAsia"/>
                      <w:b w:val="0"/>
                      <w:bCs/>
                      <w:color w:val="auto"/>
                      <w:sz w:val="21"/>
                      <w:szCs w:val="21"/>
                      <w:lang w:val="en-US" w:eastAsia="zh-CN"/>
                    </w:rPr>
                    <w:t>委托环卫车辆运送至华宁北控环保水务有限公司管理运营的华宁县城污水处理厂处理</w:t>
                  </w:r>
                  <w:r>
                    <w:rPr>
                      <w:rFonts w:hint="eastAsia"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雨水收集后进入初期雨水收集池，回用于生产；</w:t>
                  </w:r>
                  <w:r>
                    <w:rPr>
                      <w:rFonts w:hint="eastAsia" w:cs="Times New Roman"/>
                      <w:color w:val="auto"/>
                      <w:kern w:val="2"/>
                      <w:sz w:val="21"/>
                      <w:szCs w:val="21"/>
                      <w:lang w:val="en-US" w:eastAsia="zh-CN" w:bidi="ar-SA"/>
                    </w:rPr>
                    <w:t>脱硫废水</w:t>
                  </w:r>
                  <w:r>
                    <w:rPr>
                      <w:rFonts w:hint="eastAsia" w:ascii="Times New Roman" w:hAnsi="Times New Roman" w:eastAsia="宋体" w:cs="Times New Roman"/>
                      <w:color w:val="auto"/>
                      <w:kern w:val="2"/>
                      <w:sz w:val="21"/>
                      <w:szCs w:val="21"/>
                      <w:lang w:val="en-US" w:eastAsia="zh-CN" w:bidi="ar-SA"/>
                    </w:rPr>
                    <w:t>循环使用，不外排</w:t>
                  </w:r>
                  <w:r>
                    <w:rPr>
                      <w:rFonts w:hint="default" w:ascii="Times New Roman" w:hAnsi="Times New Roman" w:eastAsia="宋体" w:cs="Times New Roman"/>
                      <w:color w:val="auto"/>
                      <w:kern w:val="2"/>
                      <w:sz w:val="21"/>
                      <w:szCs w:val="21"/>
                      <w:lang w:val="en-US" w:eastAsia="zh-CN" w:bidi="ar-SA"/>
                    </w:rPr>
                    <w:t>。</w:t>
                  </w:r>
                </w:p>
              </w:tc>
              <w:tc>
                <w:tcPr>
                  <w:tcW w:w="2670" w:type="dxa"/>
                  <w:vAlign w:val="center"/>
                </w:tcPr>
                <w:p w14:paraId="6C6A15DB">
                  <w:pPr>
                    <w:keepNext w:val="0"/>
                    <w:keepLines w:val="0"/>
                    <w:pageBreakBefore w:val="0"/>
                    <w:widowControl w:val="0"/>
                    <w:suppressLineNumbers w:val="0"/>
                    <w:kinsoku/>
                    <w:wordWrap/>
                    <w:overflowPunct/>
                    <w:topLinePunct w:val="0"/>
                    <w:autoSpaceDE/>
                    <w:autoSpaceDN/>
                    <w:bidi w:val="0"/>
                    <w:snapToGrid w:val="0"/>
                    <w:spacing w:before="95" w:beforeLines="30" w:beforeAutospacing="0" w:after="95" w:afterLines="3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r>
            <w:tr w14:paraId="00253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vMerge w:val="restart"/>
                  <w:vAlign w:val="center"/>
                </w:tcPr>
                <w:p w14:paraId="45EF7858">
                  <w:pPr>
                    <w:keepNext w:val="0"/>
                    <w:keepLines w:val="0"/>
                    <w:pageBreakBefore w:val="0"/>
                    <w:widowControl w:val="0"/>
                    <w:suppressLineNumbers w:val="0"/>
                    <w:kinsoku/>
                    <w:wordWrap/>
                    <w:overflowPunct/>
                    <w:topLinePunct w:val="0"/>
                    <w:autoSpaceDE/>
                    <w:autoSpaceDN/>
                    <w:bidi w:val="0"/>
                    <w:snapToGrid w:val="0"/>
                    <w:spacing w:before="95" w:beforeLines="30" w:beforeAutospacing="0" w:after="95" w:afterLines="3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固体废弃物</w:t>
                  </w:r>
                </w:p>
              </w:tc>
              <w:tc>
                <w:tcPr>
                  <w:tcW w:w="1749" w:type="dxa"/>
                  <w:vAlign w:val="center"/>
                </w:tcPr>
                <w:p w14:paraId="477C5275">
                  <w:pPr>
                    <w:keepNext w:val="0"/>
                    <w:keepLines w:val="0"/>
                    <w:pageBreakBefore w:val="0"/>
                    <w:widowControl w:val="0"/>
                    <w:suppressLineNumbers w:val="0"/>
                    <w:kinsoku/>
                    <w:wordWrap/>
                    <w:overflowPunct/>
                    <w:topLinePunct w:val="0"/>
                    <w:autoSpaceDE/>
                    <w:autoSpaceDN/>
                    <w:bidi w:val="0"/>
                    <w:snapToGrid w:val="0"/>
                    <w:spacing w:before="95" w:beforeLines="30" w:beforeAutospacing="0" w:after="95" w:afterLines="3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生活垃圾</w:t>
                  </w:r>
                </w:p>
              </w:tc>
              <w:tc>
                <w:tcPr>
                  <w:tcW w:w="2838" w:type="dxa"/>
                  <w:vAlign w:val="center"/>
                </w:tcPr>
                <w:p w14:paraId="4E4819A1">
                  <w:pPr>
                    <w:keepNext w:val="0"/>
                    <w:keepLines w:val="0"/>
                    <w:pageBreakBefore w:val="0"/>
                    <w:widowControl w:val="0"/>
                    <w:suppressLineNumbers w:val="0"/>
                    <w:kinsoku/>
                    <w:wordWrap/>
                    <w:overflowPunct/>
                    <w:topLinePunct w:val="0"/>
                    <w:autoSpaceDE/>
                    <w:autoSpaceDN/>
                    <w:bidi w:val="0"/>
                    <w:snapToGrid w:val="0"/>
                    <w:spacing w:before="95" w:beforeLines="30" w:beforeAutospacing="0" w:after="95" w:afterLines="3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委托环卫部门清运处置</w:t>
                  </w:r>
                </w:p>
              </w:tc>
              <w:tc>
                <w:tcPr>
                  <w:tcW w:w="2670" w:type="dxa"/>
                  <w:vAlign w:val="center"/>
                </w:tcPr>
                <w:p w14:paraId="64A61104">
                  <w:pPr>
                    <w:keepNext w:val="0"/>
                    <w:keepLines w:val="0"/>
                    <w:pageBreakBefore w:val="0"/>
                    <w:widowControl w:val="0"/>
                    <w:suppressLineNumbers w:val="0"/>
                    <w:kinsoku/>
                    <w:wordWrap/>
                    <w:overflowPunct/>
                    <w:topLinePunct w:val="0"/>
                    <w:autoSpaceDE/>
                    <w:autoSpaceDN/>
                    <w:bidi w:val="0"/>
                    <w:snapToGrid w:val="0"/>
                    <w:spacing w:before="95" w:beforeLines="30" w:beforeAutospacing="0" w:after="95" w:afterLines="3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处置率100%。</w:t>
                  </w:r>
                </w:p>
              </w:tc>
            </w:tr>
            <w:tr w14:paraId="77C38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vMerge w:val="continue"/>
                  <w:vAlign w:val="center"/>
                </w:tcPr>
                <w:p w14:paraId="204106FA">
                  <w:pPr>
                    <w:keepNext w:val="0"/>
                    <w:keepLines w:val="0"/>
                    <w:pageBreakBefore w:val="0"/>
                    <w:widowControl w:val="0"/>
                    <w:suppressLineNumbers w:val="0"/>
                    <w:kinsoku/>
                    <w:wordWrap/>
                    <w:overflowPunct/>
                    <w:topLinePunct w:val="0"/>
                    <w:autoSpaceDE/>
                    <w:autoSpaceDN/>
                    <w:bidi w:val="0"/>
                    <w:snapToGrid w:val="0"/>
                    <w:spacing w:before="95" w:beforeLines="30" w:beforeAutospacing="0" w:after="95" w:afterLines="3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c>
                <w:tcPr>
                  <w:tcW w:w="1749" w:type="dxa"/>
                  <w:vAlign w:val="center"/>
                </w:tcPr>
                <w:p w14:paraId="26CACA74">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b w:val="0"/>
                      <w:bCs w:val="0"/>
                      <w:color w:val="auto"/>
                      <w:sz w:val="21"/>
                      <w:szCs w:val="21"/>
                      <w:lang w:eastAsia="zh-CN"/>
                    </w:rPr>
                    <w:t>切条废料</w:t>
                  </w:r>
                </w:p>
              </w:tc>
              <w:tc>
                <w:tcPr>
                  <w:tcW w:w="2838" w:type="dxa"/>
                  <w:vAlign w:val="center"/>
                </w:tcPr>
                <w:p w14:paraId="4196B7B6">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收集后</w:t>
                  </w:r>
                  <w:r>
                    <w:rPr>
                      <w:rFonts w:hint="eastAsia" w:cs="Times New Roman"/>
                      <w:color w:val="auto"/>
                      <w:kern w:val="2"/>
                      <w:sz w:val="21"/>
                      <w:szCs w:val="21"/>
                      <w:lang w:val="en-US" w:eastAsia="zh-CN" w:bidi="ar-SA"/>
                    </w:rPr>
                    <w:t>利用对辊机</w:t>
                  </w:r>
                  <w:r>
                    <w:rPr>
                      <w:rFonts w:hint="eastAsia" w:ascii="Times New Roman" w:hAnsi="Times New Roman" w:eastAsia="宋体" w:cs="Times New Roman"/>
                      <w:color w:val="auto"/>
                      <w:kern w:val="2"/>
                      <w:sz w:val="21"/>
                      <w:szCs w:val="21"/>
                      <w:lang w:val="en-US" w:eastAsia="zh-CN" w:bidi="ar-SA"/>
                    </w:rPr>
                    <w:t>破碎后返回生产线</w:t>
                  </w:r>
                </w:p>
              </w:tc>
              <w:tc>
                <w:tcPr>
                  <w:tcW w:w="2670" w:type="dxa"/>
                  <w:vMerge w:val="restart"/>
                  <w:vAlign w:val="center"/>
                </w:tcPr>
                <w:p w14:paraId="5CF9C688">
                  <w:pPr>
                    <w:keepNext w:val="0"/>
                    <w:keepLines w:val="0"/>
                    <w:pageBreakBefore w:val="0"/>
                    <w:widowControl w:val="0"/>
                    <w:suppressLineNumbers w:val="0"/>
                    <w:kinsoku/>
                    <w:wordWrap/>
                    <w:overflowPunct/>
                    <w:topLinePunct w:val="0"/>
                    <w:autoSpaceDE/>
                    <w:autoSpaceDN/>
                    <w:bidi w:val="0"/>
                    <w:snapToGrid w:val="0"/>
                    <w:spacing w:before="95" w:beforeLines="30" w:beforeAutospacing="0" w:after="95" w:afterLines="3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综合利用</w:t>
                  </w:r>
                  <w:r>
                    <w:rPr>
                      <w:rFonts w:hint="eastAsia" w:ascii="Times New Roman" w:hAnsi="Times New Roman" w:eastAsia="宋体" w:cs="Times New Roman"/>
                      <w:color w:val="auto"/>
                      <w:kern w:val="2"/>
                      <w:sz w:val="21"/>
                      <w:szCs w:val="21"/>
                      <w:lang w:val="en-US" w:eastAsia="zh-CN" w:bidi="ar-SA"/>
                    </w:rPr>
                    <w:t>。</w:t>
                  </w:r>
                </w:p>
              </w:tc>
            </w:tr>
            <w:tr w14:paraId="08577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vMerge w:val="continue"/>
                  <w:vAlign w:val="center"/>
                </w:tcPr>
                <w:p w14:paraId="016EFA70">
                  <w:pPr>
                    <w:keepNext w:val="0"/>
                    <w:keepLines w:val="0"/>
                    <w:pageBreakBefore w:val="0"/>
                    <w:widowControl w:val="0"/>
                    <w:suppressLineNumbers w:val="0"/>
                    <w:kinsoku/>
                    <w:wordWrap/>
                    <w:overflowPunct/>
                    <w:topLinePunct w:val="0"/>
                    <w:autoSpaceDE/>
                    <w:autoSpaceDN/>
                    <w:bidi w:val="0"/>
                    <w:snapToGrid w:val="0"/>
                    <w:spacing w:before="95" w:beforeLines="30" w:beforeAutospacing="0" w:after="95" w:afterLines="3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c>
                <w:tcPr>
                  <w:tcW w:w="1749" w:type="dxa"/>
                  <w:vAlign w:val="center"/>
                </w:tcPr>
                <w:p w14:paraId="493D4E2A">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b w:val="0"/>
                      <w:bCs w:val="0"/>
                      <w:color w:val="auto"/>
                      <w:sz w:val="21"/>
                      <w:szCs w:val="21"/>
                      <w:lang w:val="en-US" w:eastAsia="zh-CN"/>
                    </w:rPr>
                    <w:t>修坯</w:t>
                  </w:r>
                  <w:r>
                    <w:rPr>
                      <w:rFonts w:hint="default" w:ascii="Times New Roman" w:hAnsi="Times New Roman" w:cs="Times New Roman"/>
                      <w:b w:val="0"/>
                      <w:bCs w:val="0"/>
                      <w:color w:val="auto"/>
                      <w:sz w:val="21"/>
                      <w:szCs w:val="21"/>
                      <w:lang w:eastAsia="zh-CN"/>
                    </w:rPr>
                    <w:t>废料</w:t>
                  </w:r>
                </w:p>
              </w:tc>
              <w:tc>
                <w:tcPr>
                  <w:tcW w:w="2838" w:type="dxa"/>
                  <w:vAlign w:val="center"/>
                </w:tcPr>
                <w:p w14:paraId="5AB60659">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收集后</w:t>
                  </w:r>
                  <w:r>
                    <w:rPr>
                      <w:rFonts w:hint="eastAsia" w:cs="Times New Roman"/>
                      <w:color w:val="auto"/>
                      <w:kern w:val="2"/>
                      <w:sz w:val="21"/>
                      <w:szCs w:val="21"/>
                      <w:lang w:val="en-US" w:eastAsia="zh-CN" w:bidi="ar-SA"/>
                    </w:rPr>
                    <w:t>利用对辊机</w:t>
                  </w:r>
                  <w:r>
                    <w:rPr>
                      <w:rFonts w:hint="eastAsia" w:ascii="Times New Roman" w:hAnsi="Times New Roman" w:eastAsia="宋体" w:cs="Times New Roman"/>
                      <w:color w:val="auto"/>
                      <w:kern w:val="2"/>
                      <w:sz w:val="21"/>
                      <w:szCs w:val="21"/>
                      <w:lang w:val="en-US" w:eastAsia="zh-CN" w:bidi="ar-SA"/>
                    </w:rPr>
                    <w:t>破碎后返回生产线</w:t>
                  </w:r>
                </w:p>
              </w:tc>
              <w:tc>
                <w:tcPr>
                  <w:tcW w:w="2670" w:type="dxa"/>
                  <w:vMerge w:val="continue"/>
                  <w:vAlign w:val="center"/>
                </w:tcPr>
                <w:p w14:paraId="0A14208B">
                  <w:pPr>
                    <w:keepNext w:val="0"/>
                    <w:keepLines w:val="0"/>
                    <w:pageBreakBefore w:val="0"/>
                    <w:widowControl w:val="0"/>
                    <w:suppressLineNumbers w:val="0"/>
                    <w:kinsoku/>
                    <w:wordWrap/>
                    <w:overflowPunct/>
                    <w:topLinePunct w:val="0"/>
                    <w:autoSpaceDE/>
                    <w:autoSpaceDN/>
                    <w:bidi w:val="0"/>
                    <w:snapToGrid w:val="0"/>
                    <w:spacing w:before="95" w:beforeLines="30" w:beforeAutospacing="0" w:after="95" w:afterLines="3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r>
            <w:tr w14:paraId="400E3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vMerge w:val="continue"/>
                  <w:vAlign w:val="center"/>
                </w:tcPr>
                <w:p w14:paraId="4F585C4D">
                  <w:pPr>
                    <w:keepNext w:val="0"/>
                    <w:keepLines w:val="0"/>
                    <w:pageBreakBefore w:val="0"/>
                    <w:widowControl w:val="0"/>
                    <w:suppressLineNumbers w:val="0"/>
                    <w:kinsoku/>
                    <w:wordWrap/>
                    <w:overflowPunct/>
                    <w:topLinePunct w:val="0"/>
                    <w:autoSpaceDE/>
                    <w:autoSpaceDN/>
                    <w:bidi w:val="0"/>
                    <w:snapToGrid w:val="0"/>
                    <w:spacing w:before="95" w:beforeLines="30" w:beforeAutospacing="0" w:after="95" w:afterLines="3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c>
                <w:tcPr>
                  <w:tcW w:w="1749" w:type="dxa"/>
                  <w:vAlign w:val="center"/>
                </w:tcPr>
                <w:p w14:paraId="4AEED701">
                  <w:pPr>
                    <w:widowControl w:val="0"/>
                    <w:bidi w:val="0"/>
                    <w:spacing w:before="25" w:beforeLines="25" w:after="25" w:afterLines="25" w:line="240" w:lineRule="auto"/>
                    <w:ind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脱硫渣</w:t>
                  </w:r>
                </w:p>
              </w:tc>
              <w:tc>
                <w:tcPr>
                  <w:tcW w:w="2838" w:type="dxa"/>
                  <w:vAlign w:val="center"/>
                </w:tcPr>
                <w:p w14:paraId="48B58E2A">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脱硫渣清出后暂存于陈化库，委托免烧砖单位清运处置</w:t>
                  </w:r>
                </w:p>
              </w:tc>
              <w:tc>
                <w:tcPr>
                  <w:tcW w:w="2670" w:type="dxa"/>
                  <w:vMerge w:val="continue"/>
                  <w:vAlign w:val="center"/>
                </w:tcPr>
                <w:p w14:paraId="73A59A0F">
                  <w:pPr>
                    <w:keepNext w:val="0"/>
                    <w:keepLines w:val="0"/>
                    <w:pageBreakBefore w:val="0"/>
                    <w:widowControl w:val="0"/>
                    <w:suppressLineNumbers w:val="0"/>
                    <w:kinsoku/>
                    <w:wordWrap/>
                    <w:overflowPunct/>
                    <w:topLinePunct w:val="0"/>
                    <w:autoSpaceDE/>
                    <w:autoSpaceDN/>
                    <w:bidi w:val="0"/>
                    <w:snapToGrid w:val="0"/>
                    <w:spacing w:before="95" w:beforeLines="30" w:beforeAutospacing="0" w:after="95" w:afterLines="3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r>
            <w:tr w14:paraId="023C5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vMerge w:val="continue"/>
                  <w:vAlign w:val="center"/>
                </w:tcPr>
                <w:p w14:paraId="3D1327E1">
                  <w:pPr>
                    <w:keepNext w:val="0"/>
                    <w:keepLines w:val="0"/>
                    <w:pageBreakBefore w:val="0"/>
                    <w:widowControl w:val="0"/>
                    <w:suppressLineNumbers w:val="0"/>
                    <w:kinsoku/>
                    <w:wordWrap/>
                    <w:overflowPunct/>
                    <w:topLinePunct w:val="0"/>
                    <w:autoSpaceDE/>
                    <w:autoSpaceDN/>
                    <w:bidi w:val="0"/>
                    <w:snapToGrid w:val="0"/>
                    <w:spacing w:before="95" w:beforeLines="30" w:beforeAutospacing="0" w:after="95" w:afterLines="3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c>
                <w:tcPr>
                  <w:tcW w:w="1749" w:type="dxa"/>
                  <w:vAlign w:val="center"/>
                </w:tcPr>
                <w:p w14:paraId="1339C934">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除尘灰</w:t>
                  </w:r>
                </w:p>
              </w:tc>
              <w:tc>
                <w:tcPr>
                  <w:tcW w:w="2838" w:type="dxa"/>
                  <w:vAlign w:val="center"/>
                </w:tcPr>
                <w:p w14:paraId="5964B2C9">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收集后</w:t>
                  </w:r>
                  <w:r>
                    <w:rPr>
                      <w:rFonts w:hint="default" w:ascii="Times New Roman" w:hAnsi="Times New Roman" w:cs="Times New Roman"/>
                      <w:color w:val="auto"/>
                      <w:sz w:val="21"/>
                      <w:szCs w:val="21"/>
                    </w:rPr>
                    <w:t>经返回</w:t>
                  </w:r>
                  <w:r>
                    <w:rPr>
                      <w:rFonts w:hint="eastAsia" w:ascii="Times New Roman" w:hAnsi="Times New Roman" w:cs="Times New Roman"/>
                      <w:color w:val="auto"/>
                      <w:sz w:val="21"/>
                      <w:szCs w:val="21"/>
                      <w:lang w:val="en-US" w:eastAsia="zh-CN"/>
                    </w:rPr>
                    <w:t>原料车间</w:t>
                  </w:r>
                  <w:r>
                    <w:rPr>
                      <w:rFonts w:hint="default" w:ascii="Times New Roman" w:hAnsi="Times New Roman" w:cs="Times New Roman"/>
                      <w:color w:val="auto"/>
                      <w:sz w:val="21"/>
                      <w:szCs w:val="21"/>
                    </w:rPr>
                    <w:t>做原料使用</w:t>
                  </w:r>
                </w:p>
              </w:tc>
              <w:tc>
                <w:tcPr>
                  <w:tcW w:w="2670" w:type="dxa"/>
                  <w:vMerge w:val="continue"/>
                  <w:vAlign w:val="center"/>
                </w:tcPr>
                <w:p w14:paraId="2400FCA5">
                  <w:pPr>
                    <w:keepNext w:val="0"/>
                    <w:keepLines w:val="0"/>
                    <w:pageBreakBefore w:val="0"/>
                    <w:widowControl w:val="0"/>
                    <w:suppressLineNumbers w:val="0"/>
                    <w:kinsoku/>
                    <w:wordWrap/>
                    <w:overflowPunct/>
                    <w:topLinePunct w:val="0"/>
                    <w:autoSpaceDE/>
                    <w:autoSpaceDN/>
                    <w:bidi w:val="0"/>
                    <w:snapToGrid w:val="0"/>
                    <w:spacing w:before="95" w:beforeLines="30" w:beforeAutospacing="0" w:after="95" w:afterLines="3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r>
            <w:tr w14:paraId="33CEE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vMerge w:val="continue"/>
                  <w:vAlign w:val="center"/>
                </w:tcPr>
                <w:p w14:paraId="132589BF">
                  <w:pPr>
                    <w:keepNext w:val="0"/>
                    <w:keepLines w:val="0"/>
                    <w:pageBreakBefore w:val="0"/>
                    <w:widowControl w:val="0"/>
                    <w:suppressLineNumbers w:val="0"/>
                    <w:kinsoku/>
                    <w:wordWrap/>
                    <w:overflowPunct/>
                    <w:topLinePunct w:val="0"/>
                    <w:autoSpaceDE/>
                    <w:autoSpaceDN/>
                    <w:bidi w:val="0"/>
                    <w:snapToGrid w:val="0"/>
                    <w:spacing w:before="95" w:beforeLines="30" w:beforeAutospacing="0" w:after="95" w:afterLines="3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c>
                <w:tcPr>
                  <w:tcW w:w="1749" w:type="dxa"/>
                  <w:vAlign w:val="center"/>
                </w:tcPr>
                <w:p w14:paraId="3F5DFE9F">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次品</w:t>
                  </w:r>
                </w:p>
              </w:tc>
              <w:tc>
                <w:tcPr>
                  <w:tcW w:w="2838" w:type="dxa"/>
                  <w:vAlign w:val="center"/>
                </w:tcPr>
                <w:p w14:paraId="60D1EED1">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收集洒水润湿后，</w:t>
                  </w:r>
                  <w:r>
                    <w:rPr>
                      <w:rFonts w:hint="eastAsia" w:cs="Times New Roman"/>
                      <w:color w:val="auto"/>
                      <w:kern w:val="2"/>
                      <w:sz w:val="21"/>
                      <w:szCs w:val="21"/>
                      <w:lang w:val="en-US" w:eastAsia="zh-CN" w:bidi="ar-SA"/>
                    </w:rPr>
                    <w:t>利用对辊机</w:t>
                  </w:r>
                  <w:r>
                    <w:rPr>
                      <w:rFonts w:hint="eastAsia" w:ascii="Times New Roman" w:hAnsi="Times New Roman" w:eastAsia="宋体" w:cs="Times New Roman"/>
                      <w:color w:val="auto"/>
                      <w:kern w:val="2"/>
                      <w:sz w:val="21"/>
                      <w:szCs w:val="21"/>
                      <w:lang w:val="en-US" w:eastAsia="zh-CN" w:bidi="ar-SA"/>
                    </w:rPr>
                    <w:t>破碎后作为原料使用</w:t>
                  </w:r>
                </w:p>
              </w:tc>
              <w:tc>
                <w:tcPr>
                  <w:tcW w:w="2670" w:type="dxa"/>
                  <w:vMerge w:val="continue"/>
                  <w:vAlign w:val="center"/>
                </w:tcPr>
                <w:p w14:paraId="5BEFFA53">
                  <w:pPr>
                    <w:keepNext w:val="0"/>
                    <w:keepLines w:val="0"/>
                    <w:pageBreakBefore w:val="0"/>
                    <w:widowControl w:val="0"/>
                    <w:suppressLineNumbers w:val="0"/>
                    <w:kinsoku/>
                    <w:wordWrap/>
                    <w:overflowPunct/>
                    <w:topLinePunct w:val="0"/>
                    <w:autoSpaceDE/>
                    <w:autoSpaceDN/>
                    <w:bidi w:val="0"/>
                    <w:snapToGrid w:val="0"/>
                    <w:spacing w:before="95" w:beforeLines="30" w:beforeAutospacing="0" w:after="95" w:afterLines="3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r>
            <w:tr w14:paraId="03409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vMerge w:val="continue"/>
                  <w:vAlign w:val="center"/>
                </w:tcPr>
                <w:p w14:paraId="1DDB004B">
                  <w:pPr>
                    <w:keepNext w:val="0"/>
                    <w:keepLines w:val="0"/>
                    <w:pageBreakBefore w:val="0"/>
                    <w:widowControl w:val="0"/>
                    <w:suppressLineNumbers w:val="0"/>
                    <w:kinsoku/>
                    <w:wordWrap/>
                    <w:overflowPunct/>
                    <w:topLinePunct w:val="0"/>
                    <w:autoSpaceDE/>
                    <w:autoSpaceDN/>
                    <w:bidi w:val="0"/>
                    <w:snapToGrid w:val="0"/>
                    <w:spacing w:before="95" w:beforeLines="30" w:beforeAutospacing="0" w:after="95" w:afterLines="3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c>
                <w:tcPr>
                  <w:tcW w:w="1749" w:type="dxa"/>
                  <w:vAlign w:val="center"/>
                </w:tcPr>
                <w:p w14:paraId="7A58A0B3">
                  <w:pPr>
                    <w:widowControl w:val="0"/>
                    <w:bidi w:val="0"/>
                    <w:spacing w:before="25" w:beforeLines="25" w:after="25" w:afterLines="25" w:line="240" w:lineRule="auto"/>
                    <w:ind w:firstLine="0" w:firstLineChars="0"/>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煤渣</w:t>
                  </w:r>
                </w:p>
              </w:tc>
              <w:tc>
                <w:tcPr>
                  <w:tcW w:w="2838" w:type="dxa"/>
                  <w:vAlign w:val="center"/>
                </w:tcPr>
                <w:p w14:paraId="4D8C2CE0">
                  <w:pPr>
                    <w:widowControl w:val="0"/>
                    <w:bidi w:val="0"/>
                    <w:spacing w:before="25" w:beforeLines="25" w:after="25" w:afterLines="25" w:line="24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收集后</w:t>
                  </w:r>
                  <w:r>
                    <w:rPr>
                      <w:rFonts w:hint="default" w:ascii="Times New Roman" w:hAnsi="Times New Roman" w:cs="Times New Roman"/>
                      <w:color w:val="auto"/>
                      <w:sz w:val="21"/>
                      <w:szCs w:val="21"/>
                    </w:rPr>
                    <w:t>经返回</w:t>
                  </w:r>
                  <w:r>
                    <w:rPr>
                      <w:rFonts w:hint="eastAsia" w:ascii="Times New Roman" w:hAnsi="Times New Roman" w:cs="Times New Roman"/>
                      <w:color w:val="auto"/>
                      <w:sz w:val="21"/>
                      <w:szCs w:val="21"/>
                      <w:lang w:val="en-US" w:eastAsia="zh-CN"/>
                    </w:rPr>
                    <w:t>原料车间</w:t>
                  </w:r>
                  <w:r>
                    <w:rPr>
                      <w:rFonts w:hint="default" w:ascii="Times New Roman" w:hAnsi="Times New Roman" w:cs="Times New Roman"/>
                      <w:color w:val="auto"/>
                      <w:sz w:val="21"/>
                      <w:szCs w:val="21"/>
                    </w:rPr>
                    <w:t>做原料使用</w:t>
                  </w:r>
                </w:p>
              </w:tc>
              <w:tc>
                <w:tcPr>
                  <w:tcW w:w="2670" w:type="dxa"/>
                  <w:vMerge w:val="continue"/>
                  <w:vAlign w:val="center"/>
                </w:tcPr>
                <w:p w14:paraId="4C829CF0">
                  <w:pPr>
                    <w:keepNext w:val="0"/>
                    <w:keepLines w:val="0"/>
                    <w:pageBreakBefore w:val="0"/>
                    <w:widowControl w:val="0"/>
                    <w:suppressLineNumbers w:val="0"/>
                    <w:kinsoku/>
                    <w:wordWrap/>
                    <w:overflowPunct/>
                    <w:topLinePunct w:val="0"/>
                    <w:autoSpaceDE/>
                    <w:autoSpaceDN/>
                    <w:bidi w:val="0"/>
                    <w:snapToGrid w:val="0"/>
                    <w:spacing w:before="95" w:beforeLines="30" w:beforeAutospacing="0" w:after="95" w:afterLines="3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r>
            <w:tr w14:paraId="77ACF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vMerge w:val="continue"/>
                  <w:vAlign w:val="center"/>
                </w:tcPr>
                <w:p w14:paraId="51E441CE">
                  <w:pPr>
                    <w:keepNext w:val="0"/>
                    <w:keepLines w:val="0"/>
                    <w:pageBreakBefore w:val="0"/>
                    <w:widowControl w:val="0"/>
                    <w:suppressLineNumbers w:val="0"/>
                    <w:kinsoku/>
                    <w:wordWrap/>
                    <w:overflowPunct/>
                    <w:topLinePunct w:val="0"/>
                    <w:autoSpaceDE/>
                    <w:autoSpaceDN/>
                    <w:bidi w:val="0"/>
                    <w:snapToGrid w:val="0"/>
                    <w:spacing w:before="95" w:beforeLines="30" w:beforeAutospacing="0" w:after="95" w:afterLines="30" w:afterAutospacing="0" w:line="240" w:lineRule="auto"/>
                    <w:ind w:left="0" w:right="0"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c>
                <w:tcPr>
                  <w:tcW w:w="1749" w:type="dxa"/>
                  <w:vAlign w:val="center"/>
                </w:tcPr>
                <w:p w14:paraId="21D6F5AF">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废润滑油</w:t>
                  </w:r>
                </w:p>
              </w:tc>
              <w:tc>
                <w:tcPr>
                  <w:tcW w:w="2838" w:type="dxa"/>
                  <w:vAlign w:val="center"/>
                </w:tcPr>
                <w:p w14:paraId="14AB2E39">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废润滑油</w:t>
                  </w:r>
                  <w:r>
                    <w:rPr>
                      <w:rFonts w:hint="default" w:ascii="Times New Roman" w:hAnsi="Times New Roman" w:cs="Times New Roman"/>
                      <w:color w:val="auto"/>
                      <w:sz w:val="21"/>
                      <w:szCs w:val="21"/>
                    </w:rPr>
                    <w:t>由专用收集桶收集后暂存于</w:t>
                  </w:r>
                  <w:r>
                    <w:rPr>
                      <w:rFonts w:hint="eastAsia" w:cs="Times New Roman"/>
                      <w:color w:val="auto"/>
                      <w:sz w:val="21"/>
                      <w:szCs w:val="21"/>
                      <w:lang w:eastAsia="zh-CN"/>
                    </w:rPr>
                    <w:t>危废贮存库</w:t>
                  </w:r>
                  <w:r>
                    <w:rPr>
                      <w:rFonts w:hint="default" w:ascii="Times New Roman" w:hAnsi="Times New Roman" w:cs="Times New Roman"/>
                      <w:color w:val="auto"/>
                      <w:sz w:val="21"/>
                      <w:szCs w:val="21"/>
                    </w:rPr>
                    <w:t>内</w:t>
                  </w:r>
                  <w:r>
                    <w:rPr>
                      <w:rFonts w:hint="eastAsia" w:cs="Times New Roman"/>
                      <w:color w:val="auto"/>
                      <w:sz w:val="21"/>
                      <w:szCs w:val="21"/>
                      <w:lang w:eastAsia="zh-CN"/>
                    </w:rPr>
                    <w:t>，</w:t>
                  </w:r>
                  <w:r>
                    <w:rPr>
                      <w:rFonts w:hint="eastAsia" w:cs="Times New Roman"/>
                      <w:color w:val="auto"/>
                      <w:sz w:val="21"/>
                      <w:szCs w:val="21"/>
                      <w:lang w:val="en-US" w:eastAsia="zh-CN"/>
                    </w:rPr>
                    <w:t>委托有资质的单位清运处置。</w:t>
                  </w:r>
                </w:p>
              </w:tc>
              <w:tc>
                <w:tcPr>
                  <w:tcW w:w="2670" w:type="dxa"/>
                  <w:vMerge w:val="continue"/>
                  <w:vAlign w:val="center"/>
                </w:tcPr>
                <w:p w14:paraId="0EFAF99A">
                  <w:pPr>
                    <w:keepNext w:val="0"/>
                    <w:keepLines w:val="0"/>
                    <w:pageBreakBefore w:val="0"/>
                    <w:widowControl w:val="0"/>
                    <w:suppressLineNumbers w:val="0"/>
                    <w:kinsoku/>
                    <w:wordWrap/>
                    <w:overflowPunct/>
                    <w:topLinePunct w:val="0"/>
                    <w:autoSpaceDE/>
                    <w:autoSpaceDN/>
                    <w:bidi w:val="0"/>
                    <w:snapToGrid w:val="0"/>
                    <w:spacing w:before="95" w:beforeLines="30" w:beforeAutospacing="0" w:after="95" w:afterLines="3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r>
            <w:tr w14:paraId="4791C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vAlign w:val="center"/>
                </w:tcPr>
                <w:p w14:paraId="491EB1C4">
                  <w:pPr>
                    <w:keepNext w:val="0"/>
                    <w:keepLines w:val="0"/>
                    <w:pageBreakBefore w:val="0"/>
                    <w:widowControl w:val="0"/>
                    <w:suppressLineNumbers w:val="0"/>
                    <w:kinsoku/>
                    <w:wordWrap/>
                    <w:overflowPunct/>
                    <w:topLinePunct w:val="0"/>
                    <w:autoSpaceDE/>
                    <w:autoSpaceDN/>
                    <w:bidi w:val="0"/>
                    <w:snapToGrid w:val="0"/>
                    <w:spacing w:before="95" w:beforeLines="30" w:beforeAutospacing="0" w:after="95" w:afterLines="30" w:afterAutospacing="0"/>
                    <w:ind w:left="0" w:right="0"/>
                    <w:jc w:val="center"/>
                    <w:textAlignment w:val="auto"/>
                    <w:rPr>
                      <w:rFonts w:hint="eastAsia" w:ascii="Times New Roman" w:hAnsi="Times New Roman" w:eastAsia="宋体" w:cs="Times New Roman"/>
                      <w:color w:val="auto"/>
                      <w:lang w:eastAsia="zh-CN"/>
                    </w:rPr>
                  </w:pPr>
                  <w:r>
                    <w:rPr>
                      <w:rFonts w:hint="default" w:ascii="Times New Roman" w:hAnsi="Times New Roman" w:eastAsia="宋体" w:cs="Times New Roman"/>
                      <w:color w:val="auto"/>
                      <w:szCs w:val="21"/>
                    </w:rPr>
                    <w:t>噪声治理</w:t>
                  </w:r>
                </w:p>
              </w:tc>
              <w:tc>
                <w:tcPr>
                  <w:tcW w:w="1749" w:type="dxa"/>
                  <w:vAlign w:val="center"/>
                </w:tcPr>
                <w:p w14:paraId="486EB97F">
                  <w:pPr>
                    <w:keepNext w:val="0"/>
                    <w:keepLines w:val="0"/>
                    <w:pageBreakBefore w:val="0"/>
                    <w:widowControl w:val="0"/>
                    <w:suppressLineNumbers w:val="0"/>
                    <w:kinsoku/>
                    <w:wordWrap/>
                    <w:overflowPunct/>
                    <w:topLinePunct w:val="0"/>
                    <w:autoSpaceDE/>
                    <w:autoSpaceDN/>
                    <w:bidi w:val="0"/>
                    <w:snapToGrid w:val="0"/>
                    <w:spacing w:before="95" w:beforeLines="30" w:beforeAutospacing="0" w:after="95" w:afterLines="30" w:afterAutospacing="0"/>
                    <w:ind w:left="0" w:right="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sz w:val="21"/>
                      <w:szCs w:val="21"/>
                      <w:lang w:val="en-US" w:eastAsia="zh-CN"/>
                    </w:rPr>
                    <w:t>生产设备等</w:t>
                  </w:r>
                </w:p>
              </w:tc>
              <w:tc>
                <w:tcPr>
                  <w:tcW w:w="2838" w:type="dxa"/>
                  <w:vAlign w:val="center"/>
                </w:tcPr>
                <w:p w14:paraId="4F5D220B">
                  <w:pPr>
                    <w:keepNext w:val="0"/>
                    <w:keepLines w:val="0"/>
                    <w:pageBreakBefore w:val="0"/>
                    <w:widowControl w:val="0"/>
                    <w:suppressLineNumbers w:val="0"/>
                    <w:kinsoku/>
                    <w:wordWrap/>
                    <w:overflowPunct/>
                    <w:topLinePunct w:val="0"/>
                    <w:autoSpaceDE/>
                    <w:autoSpaceDN/>
                    <w:bidi w:val="0"/>
                    <w:snapToGrid w:val="0"/>
                    <w:spacing w:before="95" w:beforeLines="30" w:beforeAutospacing="0" w:after="95" w:afterLines="30" w:afterAutospacing="0"/>
                    <w:ind w:left="0" w:right="0"/>
                    <w:jc w:val="center"/>
                    <w:textAlignment w:val="auto"/>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安装减振垫、封闭厂房隔音、风机安装消声器、设置隔音屏障等</w:t>
                  </w:r>
                  <w:r>
                    <w:rPr>
                      <w:rFonts w:hint="eastAsia" w:ascii="Times New Roman" w:hAnsi="Times New Roman" w:eastAsia="宋体" w:cs="Times New Roman"/>
                      <w:color w:val="auto"/>
                      <w:lang w:val="en-US" w:eastAsia="zh-CN"/>
                    </w:rPr>
                    <w:t>。</w:t>
                  </w:r>
                </w:p>
              </w:tc>
              <w:tc>
                <w:tcPr>
                  <w:tcW w:w="2670" w:type="dxa"/>
                  <w:vAlign w:val="center"/>
                </w:tcPr>
                <w:p w14:paraId="2D51EDC2">
                  <w:pPr>
                    <w:keepNext w:val="0"/>
                    <w:keepLines w:val="0"/>
                    <w:pageBreakBefore w:val="0"/>
                    <w:widowControl w:val="0"/>
                    <w:suppressLineNumbers w:val="0"/>
                    <w:kinsoku/>
                    <w:wordWrap/>
                    <w:overflowPunct/>
                    <w:topLinePunct w:val="0"/>
                    <w:autoSpaceDE/>
                    <w:autoSpaceDN/>
                    <w:bidi w:val="0"/>
                    <w:snapToGrid w:val="0"/>
                    <w:spacing w:before="95" w:beforeLines="30" w:beforeAutospacing="0" w:after="95" w:afterLines="30" w:afterAutospacing="0"/>
                    <w:ind w:left="0" w:right="0"/>
                    <w:jc w:val="center"/>
                    <w:textAlignment w:val="auto"/>
                    <w:rPr>
                      <w:rFonts w:hint="eastAsia" w:ascii="Times New Roman" w:hAnsi="Times New Roman" w:eastAsia="宋体" w:cs="Times New Roman"/>
                      <w:color w:val="auto"/>
                      <w:lang w:eastAsia="zh-CN"/>
                    </w:rPr>
                  </w:pPr>
                  <w:r>
                    <w:rPr>
                      <w:rFonts w:hint="default" w:ascii="Times New Roman" w:hAnsi="Times New Roman" w:eastAsia="宋体" w:cs="Times New Roman"/>
                      <w:color w:val="auto"/>
                      <w:szCs w:val="21"/>
                    </w:rPr>
                    <w:t>厂界噪声达到《工业企业厂界环境噪声排放标准》（GB12348-2008）</w:t>
                  </w:r>
                  <w:r>
                    <w:rPr>
                      <w:rFonts w:hint="eastAsia"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类标准</w:t>
                  </w:r>
                </w:p>
              </w:tc>
            </w:tr>
          </w:tbl>
          <w:p w14:paraId="5913C89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0" w:firstLineChars="0"/>
              <w:jc w:val="both"/>
              <w:textAlignment w:val="auto"/>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4.1</w:t>
            </w:r>
            <w:r>
              <w:rPr>
                <w:rFonts w:hint="eastAsia" w:eastAsia="宋体" w:cs="Times New Roman"/>
                <w:b/>
                <w:bCs/>
                <w:color w:val="auto"/>
                <w:kern w:val="2"/>
                <w:sz w:val="21"/>
                <w:szCs w:val="21"/>
                <w:lang w:val="en-US" w:eastAsia="zh-CN" w:bidi="ar-SA"/>
              </w:rPr>
              <w:t>3</w:t>
            </w:r>
            <w:r>
              <w:rPr>
                <w:rFonts w:hint="eastAsia" w:ascii="Times New Roman" w:hAnsi="Times New Roman" w:eastAsia="宋体" w:cs="Times New Roman"/>
                <w:b/>
                <w:bCs/>
                <w:color w:val="auto"/>
                <w:kern w:val="2"/>
                <w:sz w:val="21"/>
                <w:szCs w:val="21"/>
                <w:lang w:val="en-US" w:eastAsia="zh-CN" w:bidi="ar-SA"/>
              </w:rPr>
              <w:t>自行监测方案</w:t>
            </w:r>
          </w:p>
          <w:p w14:paraId="5FDB665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firstLine="420" w:firstLineChars="200"/>
              <w:textAlignment w:val="auto"/>
              <w:rPr>
                <w:rFonts w:hint="default" w:ascii="Times New Roman" w:hAnsi="Times New Roman" w:eastAsia="宋体" w:cs="Times New Roman"/>
                <w:color w:val="auto"/>
                <w:sz w:val="21"/>
                <w:szCs w:val="21"/>
                <w:lang w:val="en-US" w:eastAsia="zh-CN"/>
              </w:rPr>
            </w:pPr>
            <w:r>
              <w:rPr>
                <w:rFonts w:hint="eastAsia" w:eastAsia="宋体" w:cs="Times New Roman"/>
                <w:b w:val="0"/>
                <w:bCs w:val="0"/>
                <w:color w:val="auto"/>
                <w:sz w:val="21"/>
                <w:szCs w:val="21"/>
                <w:lang w:val="en-US" w:eastAsia="zh-CN"/>
              </w:rPr>
              <w:t>参照</w:t>
            </w:r>
            <w:r>
              <w:rPr>
                <w:rFonts w:hint="eastAsia" w:ascii="Times New Roman" w:hAnsi="Times New Roman" w:eastAsia="宋体" w:cs="Times New Roman"/>
                <w:b w:val="0"/>
                <w:bCs w:val="0"/>
                <w:color w:val="auto"/>
                <w:sz w:val="21"/>
                <w:szCs w:val="21"/>
                <w:lang w:val="en-US" w:eastAsia="zh-CN"/>
              </w:rPr>
              <w:t>《排污单位自行监测技术指南 总则》（HJ819-2017）、</w:t>
            </w:r>
            <w:r>
              <w:rPr>
                <w:rFonts w:hint="eastAsia" w:ascii="Times New Roman" w:hAnsi="Times New Roman" w:eastAsia="宋体" w:cs="Times New Roman"/>
                <w:color w:val="auto"/>
                <w:kern w:val="2"/>
                <w:sz w:val="21"/>
                <w:szCs w:val="21"/>
                <w:lang w:val="en-US" w:eastAsia="zh-CN" w:bidi="ar-SA"/>
              </w:rPr>
              <w:t>《排污单位自行监测技术指南 砖瓦工业》（HJ 1254-2022）</w:t>
            </w:r>
            <w:r>
              <w:rPr>
                <w:rFonts w:hint="eastAsia"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《排污单位自行监测技术指南 陶瓷工业》（HT 1255-2022）</w:t>
            </w:r>
            <w:r>
              <w:rPr>
                <w:rFonts w:hint="eastAsia" w:cs="Times New Roman"/>
                <w:color w:val="auto"/>
                <w:kern w:val="2"/>
                <w:sz w:val="21"/>
                <w:szCs w:val="21"/>
                <w:lang w:val="en-US" w:eastAsia="zh-CN" w:bidi="ar-SA"/>
              </w:rPr>
              <w:t>、</w:t>
            </w:r>
            <w:r>
              <w:rPr>
                <w:rFonts w:hint="eastAsia" w:ascii="Times New Roman" w:hAnsi="Times New Roman" w:eastAsia="宋体" w:cs="Times New Roman"/>
                <w:b w:val="0"/>
                <w:bCs w:val="0"/>
                <w:color w:val="auto"/>
                <w:sz w:val="21"/>
                <w:szCs w:val="21"/>
                <w:lang w:val="en-US" w:eastAsia="zh-CN"/>
              </w:rPr>
              <w:t>《排污许可证申请与核发技术规范 工业噪声》（HJ 1301-2023）</w:t>
            </w:r>
            <w:r>
              <w:rPr>
                <w:rFonts w:hint="eastAsia" w:ascii="Times New Roman" w:hAnsi="Times New Roman" w:eastAsia="宋体" w:cs="Times New Roman"/>
                <w:bCs/>
                <w:color w:val="auto"/>
                <w:sz w:val="21"/>
                <w:szCs w:val="21"/>
                <w:lang w:val="en-US" w:eastAsia="zh-CN"/>
              </w:rPr>
              <w:t>制定下表自行监测方案。</w:t>
            </w:r>
          </w:p>
          <w:p w14:paraId="2E0C441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表4-</w:t>
            </w:r>
            <w:r>
              <w:rPr>
                <w:rFonts w:hint="eastAsia" w:cs="Times New Roman"/>
                <w:b/>
                <w:bCs/>
                <w:color w:val="auto"/>
                <w:kern w:val="2"/>
                <w:sz w:val="21"/>
                <w:szCs w:val="21"/>
                <w:lang w:val="en-US" w:eastAsia="zh-CN" w:bidi="ar-SA"/>
              </w:rPr>
              <w:t>21</w:t>
            </w:r>
            <w:r>
              <w:rPr>
                <w:rFonts w:hint="eastAsia" w:ascii="Times New Roman" w:hAnsi="Times New Roman" w:eastAsia="宋体" w:cs="Times New Roman"/>
                <w:b/>
                <w:bCs/>
                <w:color w:val="auto"/>
                <w:kern w:val="2"/>
                <w:sz w:val="21"/>
                <w:szCs w:val="21"/>
                <w:lang w:val="en-US" w:eastAsia="zh-CN" w:bidi="ar-SA"/>
              </w:rPr>
              <w:t xml:space="preserve">  自行监测方案</w:t>
            </w:r>
          </w:p>
          <w:tbl>
            <w:tblPr>
              <w:tblStyle w:val="30"/>
              <w:tblW w:w="49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892"/>
              <w:gridCol w:w="3018"/>
              <w:gridCol w:w="2049"/>
              <w:gridCol w:w="1201"/>
            </w:tblGrid>
            <w:tr w14:paraId="7414B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0" w:type="pct"/>
                  <w:noWrap w:val="0"/>
                  <w:vAlign w:val="center"/>
                </w:tcPr>
                <w:p w14:paraId="4C713C5F">
                  <w:pPr>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default" w:ascii="Times New Roman" w:hAnsi="Times New Roman" w:eastAsia="宋体" w:cs="Times New Roman"/>
                      <w:b/>
                      <w:bCs w:val="0"/>
                      <w:color w:val="auto"/>
                      <w:kern w:val="2"/>
                      <w:sz w:val="21"/>
                      <w:szCs w:val="21"/>
                      <w:vertAlign w:val="baseline"/>
                      <w:lang w:val="en-US" w:eastAsia="zh-CN" w:bidi="ar-SA"/>
                    </w:rPr>
                  </w:pPr>
                  <w:r>
                    <w:rPr>
                      <w:rFonts w:hint="default" w:ascii="Times New Roman" w:hAnsi="Times New Roman" w:eastAsia="宋体" w:cs="Times New Roman"/>
                      <w:b/>
                      <w:bCs w:val="0"/>
                      <w:color w:val="auto"/>
                      <w:kern w:val="2"/>
                      <w:sz w:val="21"/>
                      <w:szCs w:val="21"/>
                      <w:vertAlign w:val="baseline"/>
                      <w:lang w:val="en-US" w:eastAsia="zh-CN" w:bidi="ar-SA"/>
                    </w:rPr>
                    <w:t>序号</w:t>
                  </w:r>
                </w:p>
              </w:tc>
              <w:tc>
                <w:tcPr>
                  <w:tcW w:w="569" w:type="pct"/>
                  <w:noWrap w:val="0"/>
                  <w:vAlign w:val="center"/>
                </w:tcPr>
                <w:p w14:paraId="3AB414E5">
                  <w:pPr>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default" w:ascii="Times New Roman" w:hAnsi="Times New Roman" w:eastAsia="宋体" w:cs="Times New Roman"/>
                      <w:b/>
                      <w:bCs w:val="0"/>
                      <w:color w:val="auto"/>
                      <w:kern w:val="2"/>
                      <w:sz w:val="21"/>
                      <w:szCs w:val="21"/>
                      <w:vertAlign w:val="baseline"/>
                      <w:lang w:val="en-US" w:eastAsia="zh-CN" w:bidi="ar-SA"/>
                    </w:rPr>
                  </w:pPr>
                  <w:r>
                    <w:rPr>
                      <w:rFonts w:hint="eastAsia" w:ascii="Times New Roman" w:hAnsi="Times New Roman" w:eastAsia="宋体" w:cs="Times New Roman"/>
                      <w:b/>
                      <w:bCs w:val="0"/>
                      <w:color w:val="auto"/>
                      <w:kern w:val="2"/>
                      <w:sz w:val="21"/>
                      <w:szCs w:val="21"/>
                      <w:vertAlign w:val="baseline"/>
                      <w:lang w:val="en-US" w:eastAsia="zh-CN" w:bidi="ar-SA"/>
                    </w:rPr>
                    <w:t>类别</w:t>
                  </w:r>
                </w:p>
              </w:tc>
              <w:tc>
                <w:tcPr>
                  <w:tcW w:w="1926" w:type="pct"/>
                  <w:noWrap w:val="0"/>
                  <w:vAlign w:val="center"/>
                </w:tcPr>
                <w:p w14:paraId="40BD6B8F">
                  <w:pPr>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default" w:ascii="Times New Roman" w:hAnsi="Times New Roman" w:eastAsia="宋体" w:cs="Times New Roman"/>
                      <w:b/>
                      <w:bCs w:val="0"/>
                      <w:color w:val="auto"/>
                      <w:kern w:val="2"/>
                      <w:sz w:val="21"/>
                      <w:szCs w:val="21"/>
                      <w:vertAlign w:val="baseline"/>
                      <w:lang w:val="en-US" w:eastAsia="zh-CN" w:bidi="ar-SA"/>
                    </w:rPr>
                  </w:pPr>
                  <w:r>
                    <w:rPr>
                      <w:rFonts w:hint="default" w:ascii="Times New Roman" w:hAnsi="Times New Roman" w:eastAsia="宋体" w:cs="Times New Roman"/>
                      <w:b/>
                      <w:bCs w:val="0"/>
                      <w:color w:val="auto"/>
                      <w:kern w:val="2"/>
                      <w:sz w:val="21"/>
                      <w:szCs w:val="21"/>
                      <w:vertAlign w:val="baseline"/>
                      <w:lang w:val="en-US" w:eastAsia="zh-CN" w:bidi="ar-SA"/>
                    </w:rPr>
                    <w:t>监测点位</w:t>
                  </w:r>
                </w:p>
              </w:tc>
              <w:tc>
                <w:tcPr>
                  <w:tcW w:w="1307" w:type="pct"/>
                  <w:noWrap w:val="0"/>
                  <w:vAlign w:val="center"/>
                </w:tcPr>
                <w:p w14:paraId="0C81B0C5">
                  <w:pPr>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default" w:ascii="Times New Roman" w:hAnsi="Times New Roman" w:eastAsia="宋体" w:cs="Times New Roman"/>
                      <w:b/>
                      <w:bCs w:val="0"/>
                      <w:color w:val="auto"/>
                      <w:kern w:val="2"/>
                      <w:sz w:val="21"/>
                      <w:szCs w:val="21"/>
                      <w:vertAlign w:val="baseline"/>
                      <w:lang w:val="en-US" w:eastAsia="zh-CN" w:bidi="ar-SA"/>
                    </w:rPr>
                  </w:pPr>
                  <w:r>
                    <w:rPr>
                      <w:rFonts w:hint="default" w:ascii="Times New Roman" w:hAnsi="Times New Roman" w:eastAsia="宋体" w:cs="Times New Roman"/>
                      <w:b/>
                      <w:bCs w:val="0"/>
                      <w:color w:val="auto"/>
                      <w:kern w:val="2"/>
                      <w:sz w:val="21"/>
                      <w:szCs w:val="21"/>
                      <w:vertAlign w:val="baseline"/>
                      <w:lang w:val="en-US" w:eastAsia="zh-CN" w:bidi="ar-SA"/>
                    </w:rPr>
                    <w:t>监测因子</w:t>
                  </w:r>
                </w:p>
              </w:tc>
              <w:tc>
                <w:tcPr>
                  <w:tcW w:w="766" w:type="pct"/>
                  <w:noWrap w:val="0"/>
                  <w:vAlign w:val="center"/>
                </w:tcPr>
                <w:p w14:paraId="244C80DC">
                  <w:pPr>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default" w:ascii="Times New Roman" w:hAnsi="Times New Roman" w:eastAsia="宋体" w:cs="Times New Roman"/>
                      <w:b/>
                      <w:bCs w:val="0"/>
                      <w:color w:val="auto"/>
                      <w:kern w:val="2"/>
                      <w:sz w:val="21"/>
                      <w:szCs w:val="21"/>
                      <w:vertAlign w:val="baseline"/>
                      <w:lang w:val="en-US" w:eastAsia="zh-CN" w:bidi="ar-SA"/>
                    </w:rPr>
                  </w:pPr>
                  <w:r>
                    <w:rPr>
                      <w:rFonts w:hint="default" w:ascii="Times New Roman" w:hAnsi="Times New Roman" w:eastAsia="宋体" w:cs="Times New Roman"/>
                      <w:b/>
                      <w:bCs w:val="0"/>
                      <w:color w:val="auto"/>
                      <w:kern w:val="2"/>
                      <w:sz w:val="21"/>
                      <w:szCs w:val="21"/>
                      <w:vertAlign w:val="baseline"/>
                      <w:lang w:val="en-US" w:eastAsia="zh-CN" w:bidi="ar-SA"/>
                    </w:rPr>
                    <w:t>监测频次</w:t>
                  </w:r>
                </w:p>
              </w:tc>
            </w:tr>
            <w:tr w14:paraId="244BB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0" w:type="pct"/>
                  <w:vMerge w:val="restart"/>
                  <w:shd w:val="clear" w:color="auto" w:fill="auto"/>
                  <w:noWrap w:val="0"/>
                  <w:vAlign w:val="center"/>
                </w:tcPr>
                <w:p w14:paraId="76175B6B">
                  <w:pPr>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auto"/>
                      <w:kern w:val="2"/>
                      <w:sz w:val="21"/>
                      <w:szCs w:val="21"/>
                      <w:vertAlign w:val="baseline"/>
                      <w:lang w:val="en-US" w:eastAsia="zh-CN" w:bidi="ar-SA"/>
                    </w:rPr>
                  </w:pPr>
                  <w:r>
                    <w:rPr>
                      <w:rFonts w:hint="eastAsia" w:eastAsia="宋体" w:cs="Times New Roman"/>
                      <w:b w:val="0"/>
                      <w:bCs/>
                      <w:color w:val="auto"/>
                      <w:kern w:val="2"/>
                      <w:sz w:val="21"/>
                      <w:szCs w:val="21"/>
                      <w:vertAlign w:val="baseline"/>
                      <w:lang w:val="en-US" w:eastAsia="zh-CN" w:bidi="ar-SA"/>
                    </w:rPr>
                    <w:t>1</w:t>
                  </w:r>
                </w:p>
              </w:tc>
              <w:tc>
                <w:tcPr>
                  <w:tcW w:w="569" w:type="pct"/>
                  <w:vMerge w:val="restart"/>
                  <w:noWrap w:val="0"/>
                  <w:vAlign w:val="center"/>
                </w:tcPr>
                <w:p w14:paraId="2115F9EA">
                  <w:pPr>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eastAsia"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kern w:val="2"/>
                      <w:sz w:val="21"/>
                      <w:szCs w:val="21"/>
                      <w:vertAlign w:val="baseline"/>
                      <w:lang w:val="en-US" w:eastAsia="zh-CN" w:bidi="ar-SA"/>
                    </w:rPr>
                    <w:t>有组织废气</w:t>
                  </w:r>
                </w:p>
              </w:tc>
              <w:tc>
                <w:tcPr>
                  <w:tcW w:w="1926" w:type="pct"/>
                  <w:vMerge w:val="restart"/>
                  <w:noWrap w:val="0"/>
                  <w:vAlign w:val="center"/>
                </w:tcPr>
                <w:p w14:paraId="2A8DFE66">
                  <w:pPr>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eastAsia"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kern w:val="2"/>
                      <w:sz w:val="21"/>
                      <w:szCs w:val="21"/>
                      <w:vertAlign w:val="baseline"/>
                      <w:lang w:val="en-US" w:eastAsia="zh-CN" w:bidi="ar-SA"/>
                    </w:rPr>
                    <w:t>DA00</w:t>
                  </w:r>
                  <w:r>
                    <w:rPr>
                      <w:rFonts w:hint="eastAsia" w:cs="Times New Roman"/>
                      <w:b w:val="0"/>
                      <w:bCs/>
                      <w:color w:val="auto"/>
                      <w:kern w:val="2"/>
                      <w:sz w:val="21"/>
                      <w:szCs w:val="21"/>
                      <w:vertAlign w:val="baseline"/>
                      <w:lang w:val="en-US" w:eastAsia="zh-CN" w:bidi="ar-SA"/>
                    </w:rPr>
                    <w:t>1</w:t>
                  </w:r>
                  <w:r>
                    <w:rPr>
                      <w:rFonts w:hint="eastAsia" w:ascii="Times New Roman" w:hAnsi="Times New Roman" w:eastAsia="宋体" w:cs="Times New Roman"/>
                      <w:b w:val="0"/>
                      <w:bCs/>
                      <w:color w:val="auto"/>
                      <w:kern w:val="2"/>
                      <w:sz w:val="21"/>
                      <w:szCs w:val="21"/>
                      <w:vertAlign w:val="baseline"/>
                      <w:lang w:val="en-US" w:eastAsia="zh-CN" w:bidi="ar-SA"/>
                    </w:rPr>
                    <w:t>排气筒</w:t>
                  </w:r>
                </w:p>
              </w:tc>
              <w:tc>
                <w:tcPr>
                  <w:tcW w:w="1307" w:type="pct"/>
                  <w:noWrap w:val="0"/>
                  <w:vAlign w:val="center"/>
                </w:tcPr>
                <w:p w14:paraId="2164617B">
                  <w:pPr>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eastAsia"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kern w:val="2"/>
                      <w:sz w:val="21"/>
                      <w:szCs w:val="21"/>
                      <w:vertAlign w:val="baseline"/>
                      <w:lang w:val="en-US" w:eastAsia="zh-CN" w:bidi="ar-SA"/>
                    </w:rPr>
                    <w:t>颗粒物、二氧化硫、氮氧化物</w:t>
                  </w:r>
                </w:p>
              </w:tc>
              <w:tc>
                <w:tcPr>
                  <w:tcW w:w="766" w:type="pct"/>
                  <w:noWrap w:val="0"/>
                  <w:vAlign w:val="center"/>
                </w:tcPr>
                <w:p w14:paraId="1E62680D">
                  <w:pPr>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eastAsia"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kern w:val="2"/>
                      <w:sz w:val="21"/>
                      <w:szCs w:val="21"/>
                      <w:vertAlign w:val="baseline"/>
                      <w:lang w:val="en-US" w:eastAsia="zh-CN" w:bidi="ar-SA"/>
                    </w:rPr>
                    <w:t>自动监测</w:t>
                  </w:r>
                </w:p>
              </w:tc>
            </w:tr>
            <w:tr w14:paraId="7120B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0" w:type="pct"/>
                  <w:vMerge w:val="continue"/>
                  <w:shd w:val="clear" w:color="auto" w:fill="auto"/>
                  <w:noWrap w:val="0"/>
                  <w:vAlign w:val="center"/>
                </w:tcPr>
                <w:p w14:paraId="478547A2">
                  <w:pPr>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leftChars="0" w:right="0" w:rightChars="0" w:firstLine="0" w:firstLineChars="0"/>
                    <w:jc w:val="center"/>
                    <w:textAlignment w:val="auto"/>
                    <w:rPr>
                      <w:rFonts w:hint="eastAsia" w:eastAsia="宋体" w:cs="Times New Roman"/>
                      <w:b w:val="0"/>
                      <w:bCs/>
                      <w:color w:val="auto"/>
                      <w:kern w:val="2"/>
                      <w:sz w:val="21"/>
                      <w:szCs w:val="21"/>
                      <w:vertAlign w:val="baseline"/>
                      <w:lang w:val="en-US" w:eastAsia="zh-CN" w:bidi="ar-SA"/>
                    </w:rPr>
                  </w:pPr>
                </w:p>
              </w:tc>
              <w:tc>
                <w:tcPr>
                  <w:tcW w:w="569" w:type="pct"/>
                  <w:vMerge w:val="continue"/>
                  <w:noWrap w:val="0"/>
                  <w:vAlign w:val="center"/>
                </w:tcPr>
                <w:p w14:paraId="2E3CDAAA">
                  <w:pPr>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eastAsia" w:ascii="Times New Roman" w:hAnsi="Times New Roman" w:eastAsia="宋体" w:cs="Times New Roman"/>
                      <w:b w:val="0"/>
                      <w:bCs/>
                      <w:color w:val="auto"/>
                      <w:kern w:val="2"/>
                      <w:sz w:val="21"/>
                      <w:szCs w:val="21"/>
                      <w:vertAlign w:val="baseline"/>
                      <w:lang w:val="en-US" w:eastAsia="zh-CN" w:bidi="ar-SA"/>
                    </w:rPr>
                  </w:pPr>
                </w:p>
              </w:tc>
              <w:tc>
                <w:tcPr>
                  <w:tcW w:w="1926" w:type="pct"/>
                  <w:vMerge w:val="continue"/>
                  <w:noWrap w:val="0"/>
                  <w:vAlign w:val="center"/>
                </w:tcPr>
                <w:p w14:paraId="6728FC79">
                  <w:pPr>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eastAsia" w:ascii="Times New Roman" w:hAnsi="Times New Roman" w:eastAsia="宋体" w:cs="Times New Roman"/>
                      <w:b w:val="0"/>
                      <w:bCs/>
                      <w:color w:val="auto"/>
                      <w:kern w:val="2"/>
                      <w:sz w:val="21"/>
                      <w:szCs w:val="21"/>
                      <w:vertAlign w:val="baseline"/>
                      <w:lang w:val="en-US" w:eastAsia="zh-CN" w:bidi="ar-SA"/>
                    </w:rPr>
                  </w:pPr>
                </w:p>
              </w:tc>
              <w:tc>
                <w:tcPr>
                  <w:tcW w:w="1307" w:type="pct"/>
                  <w:noWrap w:val="0"/>
                  <w:vAlign w:val="center"/>
                </w:tcPr>
                <w:p w14:paraId="78CFA2A0">
                  <w:pPr>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eastAsia"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kern w:val="2"/>
                      <w:sz w:val="21"/>
                      <w:szCs w:val="21"/>
                      <w:vertAlign w:val="baseline"/>
                      <w:lang w:val="en-US" w:eastAsia="zh-CN" w:bidi="ar-SA"/>
                    </w:rPr>
                    <w:t>氟化物</w:t>
                  </w:r>
                </w:p>
              </w:tc>
              <w:tc>
                <w:tcPr>
                  <w:tcW w:w="766" w:type="pct"/>
                  <w:noWrap w:val="0"/>
                  <w:vAlign w:val="center"/>
                </w:tcPr>
                <w:p w14:paraId="4DA69F92">
                  <w:pPr>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eastAsia"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kern w:val="2"/>
                      <w:sz w:val="21"/>
                      <w:szCs w:val="21"/>
                      <w:vertAlign w:val="baseline"/>
                      <w:lang w:val="en-US" w:eastAsia="zh-CN" w:bidi="ar-SA"/>
                    </w:rPr>
                    <w:t>1次/半年</w:t>
                  </w:r>
                </w:p>
              </w:tc>
            </w:tr>
            <w:tr w14:paraId="235FE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0" w:type="pct"/>
                  <w:shd w:val="clear" w:color="auto" w:fill="auto"/>
                  <w:noWrap w:val="0"/>
                  <w:vAlign w:val="center"/>
                </w:tcPr>
                <w:p w14:paraId="1E021E23">
                  <w:pPr>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auto"/>
                      <w:kern w:val="2"/>
                      <w:sz w:val="21"/>
                      <w:szCs w:val="21"/>
                      <w:vertAlign w:val="baseline"/>
                      <w:lang w:val="en-US" w:eastAsia="zh-CN" w:bidi="ar-SA"/>
                    </w:rPr>
                  </w:pPr>
                  <w:r>
                    <w:rPr>
                      <w:rFonts w:hint="eastAsia" w:eastAsia="宋体" w:cs="Times New Roman"/>
                      <w:b w:val="0"/>
                      <w:bCs/>
                      <w:color w:val="auto"/>
                      <w:kern w:val="2"/>
                      <w:sz w:val="21"/>
                      <w:szCs w:val="21"/>
                      <w:vertAlign w:val="baseline"/>
                      <w:lang w:val="en-US" w:eastAsia="zh-CN" w:bidi="ar-SA"/>
                    </w:rPr>
                    <w:t>2</w:t>
                  </w:r>
                </w:p>
              </w:tc>
              <w:tc>
                <w:tcPr>
                  <w:tcW w:w="569" w:type="pct"/>
                  <w:noWrap w:val="0"/>
                  <w:vAlign w:val="center"/>
                </w:tcPr>
                <w:p w14:paraId="070311EF">
                  <w:pPr>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eastAsia="宋体" w:cs="Times New Roman"/>
                      <w:b w:val="0"/>
                      <w:bCs/>
                      <w:color w:val="auto"/>
                      <w:kern w:val="2"/>
                      <w:sz w:val="21"/>
                      <w:szCs w:val="21"/>
                      <w:vertAlign w:val="baseline"/>
                      <w:lang w:val="en-US" w:eastAsia="zh-CN" w:bidi="ar-SA"/>
                    </w:rPr>
                    <w:t>无组织废气</w:t>
                  </w:r>
                </w:p>
              </w:tc>
              <w:tc>
                <w:tcPr>
                  <w:tcW w:w="1926" w:type="pct"/>
                  <w:noWrap w:val="0"/>
                  <w:vAlign w:val="center"/>
                </w:tcPr>
                <w:p w14:paraId="30B8CFB2">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eastAsia"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lang w:val="en-US" w:eastAsia="zh-CN" w:bidi="ar-SA"/>
                    </w:rPr>
                    <w:t>厂界</w:t>
                  </w:r>
                </w:p>
              </w:tc>
              <w:tc>
                <w:tcPr>
                  <w:tcW w:w="1307" w:type="pct"/>
                  <w:noWrap w:val="0"/>
                  <w:vAlign w:val="center"/>
                </w:tcPr>
                <w:p w14:paraId="13418341">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颗粒物、二氧化硫、氟化物</w:t>
                  </w:r>
                </w:p>
              </w:tc>
              <w:tc>
                <w:tcPr>
                  <w:tcW w:w="766" w:type="pct"/>
                  <w:noWrap w:val="0"/>
                  <w:vAlign w:val="center"/>
                </w:tcPr>
                <w:p w14:paraId="47E9C431">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color w:val="auto"/>
                      <w:kern w:val="2"/>
                      <w:sz w:val="21"/>
                      <w:szCs w:val="21"/>
                      <w:lang w:val="en-US" w:eastAsia="zh-CN" w:bidi="ar-SA"/>
                    </w:rPr>
                    <w:t>1次/年</w:t>
                  </w:r>
                </w:p>
              </w:tc>
            </w:tr>
            <w:tr w14:paraId="46B7A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0" w:type="pct"/>
                  <w:noWrap w:val="0"/>
                  <w:vAlign w:val="center"/>
                </w:tcPr>
                <w:p w14:paraId="296FF4C1">
                  <w:pPr>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3</w:t>
                  </w:r>
                </w:p>
              </w:tc>
              <w:tc>
                <w:tcPr>
                  <w:tcW w:w="569" w:type="pct"/>
                  <w:noWrap w:val="0"/>
                  <w:vAlign w:val="center"/>
                </w:tcPr>
                <w:p w14:paraId="705ED22C">
                  <w:pPr>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kern w:val="2"/>
                      <w:sz w:val="21"/>
                      <w:szCs w:val="21"/>
                      <w:vertAlign w:val="baseline"/>
                      <w:lang w:val="en-US" w:eastAsia="zh-CN" w:bidi="ar-SA"/>
                    </w:rPr>
                    <w:t>厂界噪声</w:t>
                  </w:r>
                </w:p>
              </w:tc>
              <w:tc>
                <w:tcPr>
                  <w:tcW w:w="1926" w:type="pct"/>
                  <w:noWrap w:val="0"/>
                  <w:vAlign w:val="center"/>
                </w:tcPr>
                <w:p w14:paraId="754CE3AD">
                  <w:pPr>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eastAsia" w:ascii="Times New Roman" w:hAnsi="Times New Roman" w:eastAsia="宋体" w:cs="Times New Roman"/>
                      <w:b w:val="0"/>
                      <w:bCs/>
                      <w:color w:val="auto"/>
                      <w:kern w:val="2"/>
                      <w:sz w:val="21"/>
                      <w:szCs w:val="21"/>
                      <w:vertAlign w:val="baseline"/>
                      <w:lang w:val="en-US" w:eastAsia="zh-CN" w:bidi="ar-SA"/>
                    </w:rPr>
                    <w:t>厂界外1m处东西南北各设置一个点，每次昼</w:t>
                  </w:r>
                  <w:r>
                    <w:rPr>
                      <w:rFonts w:hint="eastAsia" w:cs="Times New Roman"/>
                      <w:b w:val="0"/>
                      <w:bCs/>
                      <w:color w:val="auto"/>
                      <w:kern w:val="2"/>
                      <w:sz w:val="21"/>
                      <w:szCs w:val="21"/>
                      <w:vertAlign w:val="baseline"/>
                      <w:lang w:val="en-US" w:eastAsia="zh-CN" w:bidi="ar-SA"/>
                    </w:rPr>
                    <w:t>夜</w:t>
                  </w:r>
                  <w:r>
                    <w:rPr>
                      <w:rFonts w:hint="eastAsia" w:ascii="Times New Roman" w:hAnsi="Times New Roman" w:eastAsia="宋体" w:cs="Times New Roman"/>
                      <w:b w:val="0"/>
                      <w:bCs/>
                      <w:color w:val="auto"/>
                      <w:kern w:val="2"/>
                      <w:sz w:val="21"/>
                      <w:szCs w:val="21"/>
                      <w:vertAlign w:val="baseline"/>
                      <w:lang w:val="en-US" w:eastAsia="zh-CN" w:bidi="ar-SA"/>
                    </w:rPr>
                    <w:t>间各一次。</w:t>
                  </w:r>
                </w:p>
              </w:tc>
              <w:tc>
                <w:tcPr>
                  <w:tcW w:w="1307" w:type="pct"/>
                  <w:noWrap w:val="0"/>
                  <w:vAlign w:val="center"/>
                </w:tcPr>
                <w:p w14:paraId="683FD96A">
                  <w:pPr>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连续等效A声级</w:t>
                  </w:r>
                </w:p>
              </w:tc>
              <w:tc>
                <w:tcPr>
                  <w:tcW w:w="766" w:type="pct"/>
                  <w:noWrap w:val="0"/>
                  <w:vAlign w:val="center"/>
                </w:tcPr>
                <w:p w14:paraId="6D6EBDB7">
                  <w:pPr>
                    <w:keepNext w:val="0"/>
                    <w:keepLines w:val="0"/>
                    <w:pageBreakBefore w:val="0"/>
                    <w:widowControl w:val="0"/>
                    <w:suppressLineNumbers w:val="0"/>
                    <w:kinsoku/>
                    <w:wordWrap/>
                    <w:overflowPunct/>
                    <w:topLinePunct w:val="0"/>
                    <w:autoSpaceDE/>
                    <w:autoSpaceDN/>
                    <w:bidi w:val="0"/>
                    <w:adjustRightInd/>
                    <w:snapToGrid w:val="0"/>
                    <w:spacing w:before="95" w:beforeLines="30" w:beforeAutospacing="0" w:after="95" w:afterLines="30" w:afterAutospacing="0" w:line="240" w:lineRule="auto"/>
                    <w:ind w:left="0" w:right="0"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1次/</w:t>
                  </w:r>
                  <w:r>
                    <w:rPr>
                      <w:rFonts w:hint="eastAsia" w:ascii="Times New Roman" w:hAnsi="Times New Roman" w:eastAsia="宋体" w:cs="Times New Roman"/>
                      <w:b w:val="0"/>
                      <w:bCs/>
                      <w:color w:val="auto"/>
                      <w:kern w:val="2"/>
                      <w:sz w:val="21"/>
                      <w:szCs w:val="21"/>
                      <w:vertAlign w:val="baseline"/>
                      <w:lang w:val="en-US" w:eastAsia="zh-CN" w:bidi="ar-SA"/>
                    </w:rPr>
                    <w:t>季度</w:t>
                  </w:r>
                </w:p>
              </w:tc>
            </w:tr>
          </w:tbl>
          <w:p w14:paraId="197DC33C">
            <w:pPr>
              <w:keepNext w:val="0"/>
              <w:keepLines w:val="0"/>
              <w:pageBreakBefore w:val="0"/>
              <w:widowControl w:val="0"/>
              <w:suppressLineNumbers w:val="0"/>
              <w:kinsoku/>
              <w:wordWrap/>
              <w:overflowPunct/>
              <w:topLinePunct w:val="0"/>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
                <w:bCs w:val="0"/>
                <w:color w:val="auto"/>
                <w:spacing w:val="0"/>
                <w:sz w:val="21"/>
                <w:szCs w:val="21"/>
                <w:lang w:val="en-US" w:eastAsia="zh-CN"/>
              </w:rPr>
            </w:pPr>
            <w:r>
              <w:rPr>
                <w:rFonts w:hint="eastAsia" w:ascii="Times New Roman" w:hAnsi="Times New Roman" w:eastAsia="宋体" w:cs="Times New Roman"/>
                <w:b/>
                <w:bCs w:val="0"/>
                <w:color w:val="auto"/>
                <w:spacing w:val="0"/>
                <w:sz w:val="21"/>
                <w:szCs w:val="21"/>
                <w:lang w:val="en-US" w:eastAsia="zh-CN"/>
              </w:rPr>
              <w:t>4.1</w:t>
            </w:r>
            <w:r>
              <w:rPr>
                <w:rFonts w:hint="eastAsia" w:eastAsia="宋体" w:cs="Times New Roman"/>
                <w:b/>
                <w:bCs w:val="0"/>
                <w:color w:val="auto"/>
                <w:spacing w:val="0"/>
                <w:sz w:val="21"/>
                <w:szCs w:val="21"/>
                <w:lang w:val="en-US" w:eastAsia="zh-CN"/>
              </w:rPr>
              <w:t>4</w:t>
            </w:r>
            <w:r>
              <w:rPr>
                <w:rFonts w:hint="default" w:ascii="Times New Roman" w:hAnsi="Times New Roman" w:eastAsia="宋体" w:cs="Times New Roman"/>
                <w:b/>
                <w:bCs w:val="0"/>
                <w:color w:val="auto"/>
                <w:spacing w:val="0"/>
                <w:sz w:val="21"/>
                <w:szCs w:val="21"/>
                <w:lang w:val="en-US" w:eastAsia="zh-CN"/>
              </w:rPr>
              <w:t>排污许可</w:t>
            </w:r>
          </w:p>
          <w:p w14:paraId="09D9EA4C">
            <w:pPr>
              <w:widowControl w:val="0"/>
              <w:bidi w:val="0"/>
              <w:spacing w:line="360" w:lineRule="auto"/>
              <w:ind w:firstLine="420" w:firstLineChars="200"/>
              <w:jc w:val="both"/>
              <w:rPr>
                <w:rFonts w:hint="eastAsia"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根据《国民经济行业分类》（GB/T 4754-2017），本项目属于C3031粘土砖瓦及建筑砌块制造。对照《固定污染源排污许可分类管理名录（2019年版）》（生态环境部令第11号，2019年12月20日），本项目为</w:t>
            </w:r>
            <w:r>
              <w:rPr>
                <w:rFonts w:hint="eastAsia" w:eastAsia="宋体" w:cs="Times New Roman"/>
                <w:color w:val="auto"/>
                <w:kern w:val="2"/>
                <w:sz w:val="21"/>
                <w:szCs w:val="21"/>
                <w:lang w:val="en-US" w:eastAsia="zh-CN" w:bidi="ar-SA"/>
              </w:rPr>
              <w:t>“二十五、非金属矿物制品业30-砖瓦、石材等建筑材料制造303-粘土砖瓦及建筑砌块制造”，“五十一、通用工序-工业炉窑-除纳入重点排污单位名录的，除以天然气或者电为能源的加热炉、热处理炉、干燥炉（窑）以外的其他工业炉窑”，本项目未纳入《玉溪市环境监管重点单位名录》，暂定为简化</w:t>
            </w:r>
            <w:r>
              <w:rPr>
                <w:rFonts w:hint="default" w:ascii="Times New Roman" w:hAnsi="Times New Roman" w:eastAsia="宋体" w:cs="Times New Roman"/>
                <w:color w:val="auto"/>
                <w:kern w:val="2"/>
                <w:sz w:val="21"/>
                <w:szCs w:val="21"/>
                <w:lang w:val="en-US" w:eastAsia="zh-CN" w:bidi="ar-SA"/>
              </w:rPr>
              <w:t>管理企业</w:t>
            </w:r>
            <w:r>
              <w:rPr>
                <w:rFonts w:hint="eastAsia" w:eastAsia="宋体" w:cs="Times New Roman"/>
                <w:color w:val="auto"/>
                <w:kern w:val="2"/>
                <w:sz w:val="21"/>
                <w:szCs w:val="21"/>
                <w:lang w:val="en-US" w:eastAsia="zh-CN" w:bidi="ar-SA"/>
              </w:rPr>
              <w:t>，</w:t>
            </w:r>
            <w:r>
              <w:rPr>
                <w:rFonts w:hint="eastAsia" w:cs="Times New Roman"/>
                <w:color w:val="auto"/>
                <w:kern w:val="2"/>
                <w:sz w:val="21"/>
                <w:szCs w:val="21"/>
                <w:lang w:val="en-US" w:eastAsia="zh-CN" w:bidi="ar-SA"/>
              </w:rPr>
              <w:t>但</w:t>
            </w:r>
            <w:r>
              <w:rPr>
                <w:rFonts w:hint="eastAsia" w:eastAsia="宋体" w:cs="Times New Roman"/>
                <w:color w:val="auto"/>
                <w:kern w:val="2"/>
                <w:sz w:val="21"/>
                <w:szCs w:val="21"/>
                <w:lang w:val="en-US" w:eastAsia="zh-CN" w:bidi="ar-SA"/>
              </w:rPr>
              <w:t>企业使用煤作为能源，</w:t>
            </w:r>
            <w:r>
              <w:rPr>
                <w:rFonts w:hint="eastAsia" w:cs="Times New Roman"/>
                <w:color w:val="auto"/>
                <w:kern w:val="2"/>
                <w:sz w:val="21"/>
                <w:szCs w:val="21"/>
                <w:lang w:val="en-US" w:eastAsia="zh-CN" w:bidi="ar-SA"/>
              </w:rPr>
              <w:t>待</w:t>
            </w:r>
            <w:r>
              <w:rPr>
                <w:rFonts w:hint="eastAsia" w:eastAsia="宋体" w:cs="Times New Roman"/>
                <w:color w:val="auto"/>
                <w:kern w:val="2"/>
                <w:sz w:val="21"/>
                <w:szCs w:val="21"/>
                <w:lang w:val="en-US" w:eastAsia="zh-CN" w:bidi="ar-SA"/>
              </w:rPr>
              <w:t>纳入《玉溪市环境监管重点单位名录》后，实行排污重点管理。</w:t>
            </w:r>
          </w:p>
          <w:p w14:paraId="7F55C07E">
            <w:pPr>
              <w:widowControl w:val="0"/>
              <w:bidi w:val="0"/>
              <w:spacing w:line="360" w:lineRule="auto"/>
              <w:ind w:firstLine="420" w:firstLineChars="20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本项目取得项目行政批复，应及时</w:t>
            </w:r>
            <w:r>
              <w:rPr>
                <w:rFonts w:hint="eastAsia" w:cs="Times New Roman"/>
                <w:color w:val="auto"/>
                <w:kern w:val="2"/>
                <w:sz w:val="21"/>
                <w:szCs w:val="21"/>
                <w:lang w:val="en-US" w:eastAsia="zh-CN" w:bidi="ar-SA"/>
              </w:rPr>
              <w:t>向玉溪市生态环境局</w:t>
            </w:r>
            <w:r>
              <w:rPr>
                <w:rFonts w:hint="eastAsia" w:eastAsia="宋体" w:cs="Times New Roman"/>
                <w:color w:val="auto"/>
                <w:kern w:val="2"/>
                <w:sz w:val="21"/>
                <w:szCs w:val="21"/>
                <w:lang w:val="en-US" w:eastAsia="zh-CN" w:bidi="ar-SA"/>
              </w:rPr>
              <w:t>申请</w:t>
            </w:r>
            <w:r>
              <w:rPr>
                <w:rFonts w:hint="eastAsia" w:cs="Times New Roman"/>
                <w:color w:val="auto"/>
                <w:kern w:val="2"/>
                <w:sz w:val="21"/>
                <w:szCs w:val="21"/>
                <w:lang w:val="en-US" w:eastAsia="zh-CN" w:bidi="ar-SA"/>
              </w:rPr>
              <w:t>《全国排污许可证》</w:t>
            </w:r>
            <w:r>
              <w:rPr>
                <w:rFonts w:hint="eastAsia" w:ascii="Times New Roman" w:hAnsi="Times New Roman" w:eastAsia="宋体" w:cs="Times New Roman"/>
                <w:color w:val="auto"/>
                <w:kern w:val="2"/>
                <w:sz w:val="21"/>
                <w:szCs w:val="21"/>
                <w:lang w:val="en-US" w:eastAsia="zh-CN" w:bidi="ar-SA"/>
              </w:rPr>
              <w:t>。</w:t>
            </w:r>
          </w:p>
          <w:p w14:paraId="72028A6D">
            <w:pPr>
              <w:widowControl w:val="0"/>
              <w:bidi w:val="0"/>
              <w:spacing w:line="360" w:lineRule="auto"/>
              <w:ind w:firstLine="420" w:firstLineChars="200"/>
              <w:jc w:val="both"/>
              <w:rPr>
                <w:rFonts w:ascii="Times New Roman" w:hAnsi="Times New Roman" w:eastAsia="宋体" w:cs="Times New Roman"/>
                <w:color w:val="auto"/>
                <w:kern w:val="2"/>
                <w:sz w:val="21"/>
                <w:szCs w:val="21"/>
                <w:lang w:val="en-US" w:eastAsia="zh-CN" w:bidi="ar-SA"/>
              </w:rPr>
            </w:pPr>
          </w:p>
          <w:p w14:paraId="7AE299C6">
            <w:pPr>
              <w:widowControl w:val="0"/>
              <w:bidi w:val="0"/>
              <w:spacing w:line="360" w:lineRule="auto"/>
              <w:ind w:firstLine="420" w:firstLineChars="200"/>
              <w:jc w:val="both"/>
              <w:rPr>
                <w:rFonts w:ascii="Times New Roman" w:hAnsi="Times New Roman" w:eastAsia="宋体" w:cs="Times New Roman"/>
                <w:color w:val="auto"/>
                <w:kern w:val="2"/>
                <w:sz w:val="21"/>
                <w:szCs w:val="21"/>
                <w:lang w:val="en-US" w:eastAsia="zh-CN" w:bidi="ar-SA"/>
              </w:rPr>
            </w:pPr>
          </w:p>
          <w:p w14:paraId="3CD4F6C6">
            <w:pPr>
              <w:widowControl w:val="0"/>
              <w:bidi w:val="0"/>
              <w:spacing w:line="360" w:lineRule="auto"/>
              <w:ind w:firstLine="420" w:firstLineChars="200"/>
              <w:jc w:val="both"/>
              <w:rPr>
                <w:rFonts w:ascii="Times New Roman" w:hAnsi="Times New Roman" w:eastAsia="宋体" w:cs="Times New Roman"/>
                <w:color w:val="auto"/>
                <w:kern w:val="2"/>
                <w:sz w:val="21"/>
                <w:szCs w:val="21"/>
                <w:lang w:val="en-US" w:eastAsia="zh-CN" w:bidi="ar-SA"/>
              </w:rPr>
            </w:pPr>
          </w:p>
          <w:p w14:paraId="2F12E985">
            <w:pPr>
              <w:widowControl w:val="0"/>
              <w:bidi w:val="0"/>
              <w:spacing w:line="360" w:lineRule="auto"/>
              <w:ind w:firstLine="420" w:firstLineChars="200"/>
              <w:jc w:val="both"/>
              <w:rPr>
                <w:rFonts w:ascii="Times New Roman" w:hAnsi="Times New Roman" w:eastAsia="宋体" w:cs="Times New Roman"/>
                <w:color w:val="auto"/>
                <w:kern w:val="2"/>
                <w:sz w:val="21"/>
                <w:szCs w:val="21"/>
                <w:lang w:val="en-US" w:eastAsia="zh-CN" w:bidi="ar-SA"/>
              </w:rPr>
            </w:pPr>
          </w:p>
          <w:p w14:paraId="124F2C88">
            <w:pPr>
              <w:pStyle w:val="38"/>
              <w:bidi w:val="0"/>
              <w:ind w:left="0" w:leftChars="0" w:firstLine="0" w:firstLineChars="0"/>
              <w:rPr>
                <w:color w:val="auto"/>
              </w:rPr>
            </w:pPr>
          </w:p>
          <w:p w14:paraId="3A61EB0C">
            <w:pPr>
              <w:pStyle w:val="38"/>
              <w:bidi w:val="0"/>
              <w:ind w:left="0" w:leftChars="0" w:firstLine="0" w:firstLineChars="0"/>
              <w:rPr>
                <w:color w:val="auto"/>
              </w:rPr>
            </w:pPr>
          </w:p>
          <w:p w14:paraId="24047D96">
            <w:pPr>
              <w:pStyle w:val="38"/>
              <w:bidi w:val="0"/>
              <w:ind w:left="0" w:leftChars="0" w:firstLine="0" w:firstLineChars="0"/>
              <w:rPr>
                <w:color w:val="auto"/>
              </w:rPr>
            </w:pPr>
          </w:p>
          <w:p w14:paraId="20B76BB0">
            <w:pPr>
              <w:pStyle w:val="38"/>
              <w:bidi w:val="0"/>
              <w:ind w:left="0" w:leftChars="0" w:firstLine="0" w:firstLineChars="0"/>
              <w:rPr>
                <w:color w:val="auto"/>
              </w:rPr>
            </w:pPr>
          </w:p>
          <w:p w14:paraId="7A0E56DE">
            <w:pPr>
              <w:pStyle w:val="38"/>
              <w:bidi w:val="0"/>
              <w:ind w:left="0" w:leftChars="0" w:firstLine="0" w:firstLineChars="0"/>
              <w:rPr>
                <w:color w:val="auto"/>
              </w:rPr>
            </w:pPr>
          </w:p>
          <w:p w14:paraId="68FE451F">
            <w:pPr>
              <w:pStyle w:val="38"/>
              <w:bidi w:val="0"/>
              <w:ind w:left="0" w:leftChars="0" w:firstLine="0" w:firstLineChars="0"/>
              <w:rPr>
                <w:color w:val="auto"/>
              </w:rPr>
            </w:pPr>
          </w:p>
          <w:p w14:paraId="3ABA49E4">
            <w:pPr>
              <w:pStyle w:val="38"/>
              <w:bidi w:val="0"/>
              <w:ind w:left="0" w:leftChars="0" w:firstLine="0" w:firstLineChars="0"/>
              <w:rPr>
                <w:color w:val="auto"/>
              </w:rPr>
            </w:pPr>
          </w:p>
          <w:p w14:paraId="1733F61A">
            <w:pPr>
              <w:pStyle w:val="38"/>
              <w:bidi w:val="0"/>
              <w:ind w:left="0" w:leftChars="0" w:firstLine="0" w:firstLineChars="0"/>
              <w:rPr>
                <w:color w:val="auto"/>
              </w:rPr>
            </w:pPr>
          </w:p>
          <w:p w14:paraId="1A64BA44">
            <w:pPr>
              <w:pStyle w:val="38"/>
              <w:bidi w:val="0"/>
              <w:ind w:left="0" w:leftChars="0" w:firstLine="0" w:firstLineChars="0"/>
              <w:rPr>
                <w:color w:val="auto"/>
              </w:rPr>
            </w:pPr>
          </w:p>
        </w:tc>
      </w:tr>
    </w:tbl>
    <w:p w14:paraId="463C2BF6">
      <w:pPr>
        <w:adjustRightInd w:val="0"/>
        <w:snapToGrid w:val="0"/>
        <w:spacing w:line="360" w:lineRule="auto"/>
        <w:rPr>
          <w:rFonts w:hint="eastAsia" w:ascii="宋体" w:cs="宋体"/>
          <w:b/>
          <w:color w:val="auto"/>
          <w:kern w:val="0"/>
          <w:sz w:val="28"/>
          <w:szCs w:val="28"/>
        </w:rPr>
        <w:sectPr>
          <w:headerReference r:id="rId10" w:type="default"/>
          <w:pgSz w:w="11907" w:h="16840"/>
          <w:pgMar w:top="1701" w:right="1531" w:bottom="2127" w:left="1531" w:header="851" w:footer="851" w:gutter="0"/>
          <w:cols w:space="720" w:num="1"/>
          <w:docGrid w:linePitch="312" w:charSpace="0"/>
        </w:sectPr>
      </w:pPr>
    </w:p>
    <w:p w14:paraId="5ECD6CB8">
      <w:pPr>
        <w:pStyle w:val="25"/>
        <w:jc w:val="center"/>
        <w:outlineLvl w:val="0"/>
        <w:rPr>
          <w:rFonts w:ascii="黑体" w:hAnsi="黑体" w:eastAsia="黑体"/>
          <w:snapToGrid w:val="0"/>
          <w:color w:val="auto"/>
          <w:sz w:val="30"/>
          <w:szCs w:val="30"/>
        </w:rPr>
      </w:pPr>
      <w:bookmarkStart w:id="13" w:name="_Toc5054"/>
      <w:r>
        <w:rPr>
          <w:rFonts w:hint="eastAsia" w:ascii="黑体" w:hAnsi="黑体" w:eastAsia="黑体"/>
          <w:snapToGrid w:val="0"/>
          <w:color w:val="auto"/>
          <w:sz w:val="30"/>
          <w:szCs w:val="30"/>
        </w:rPr>
        <w:t>五、</w:t>
      </w:r>
      <w:bookmarkStart w:id="14" w:name="_Hlk54167917"/>
      <w:r>
        <w:rPr>
          <w:rFonts w:hint="eastAsia" w:ascii="黑体" w:hAnsi="黑体" w:eastAsia="黑体"/>
          <w:snapToGrid w:val="0"/>
          <w:color w:val="auto"/>
          <w:sz w:val="30"/>
          <w:szCs w:val="30"/>
        </w:rPr>
        <w:t>环境保护措施监督检查清单</w:t>
      </w:r>
      <w:bookmarkEnd w:id="13"/>
      <w:bookmarkEnd w:id="14"/>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50"/>
        <w:gridCol w:w="1605"/>
        <w:gridCol w:w="1950"/>
        <w:gridCol w:w="1938"/>
        <w:gridCol w:w="1857"/>
      </w:tblGrid>
      <w:tr w14:paraId="3C6285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50" w:type="dxa"/>
            <w:tcBorders>
              <w:tl2br w:val="single" w:color="auto" w:sz="4" w:space="0"/>
            </w:tcBorders>
            <w:noWrap w:val="0"/>
            <w:vAlign w:val="top"/>
          </w:tcPr>
          <w:p w14:paraId="3EC2C7D8">
            <w:pPr>
              <w:keepNext w:val="0"/>
              <w:keepLines w:val="0"/>
              <w:pageBreakBefore w:val="0"/>
              <w:widowControl w:val="0"/>
              <w:kinsoku/>
              <w:wordWrap/>
              <w:overflowPunct/>
              <w:topLinePunct w:val="0"/>
              <w:autoSpaceDE/>
              <w:autoSpaceDN/>
              <w:bidi w:val="0"/>
              <w:adjustRightInd w:val="0"/>
              <w:snapToGrid w:val="0"/>
              <w:spacing w:before="95" w:beforeLines="30" w:after="95" w:afterLines="30"/>
              <w:ind w:firstLine="840"/>
              <w:textAlignment w:val="auto"/>
              <w:rPr>
                <w:rFonts w:hint="eastAsia" w:ascii="宋体" w:hAnsi="宋体" w:cs="宋体"/>
                <w:color w:val="auto"/>
                <w:szCs w:val="21"/>
              </w:rPr>
            </w:pPr>
            <w:r>
              <w:rPr>
                <w:rFonts w:hint="eastAsia" w:ascii="宋体" w:hAnsi="宋体" w:cs="宋体"/>
                <w:color w:val="auto"/>
                <w:szCs w:val="21"/>
              </w:rPr>
              <w:t>内容</w:t>
            </w:r>
          </w:p>
          <w:p w14:paraId="261ADEBF">
            <w:pPr>
              <w:keepNext w:val="0"/>
              <w:keepLines w:val="0"/>
              <w:pageBreakBefore w:val="0"/>
              <w:widowControl w:val="0"/>
              <w:kinsoku/>
              <w:wordWrap/>
              <w:overflowPunct/>
              <w:topLinePunct w:val="0"/>
              <w:autoSpaceDE/>
              <w:autoSpaceDN/>
              <w:bidi w:val="0"/>
              <w:adjustRightInd w:val="0"/>
              <w:snapToGrid w:val="0"/>
              <w:spacing w:before="95" w:beforeLines="30" w:after="95" w:afterLines="30"/>
              <w:textAlignment w:val="auto"/>
              <w:rPr>
                <w:rFonts w:hint="eastAsia" w:ascii="宋体" w:hAnsi="宋体" w:cs="宋体"/>
                <w:color w:val="auto"/>
                <w:szCs w:val="21"/>
              </w:rPr>
            </w:pPr>
            <w:r>
              <w:rPr>
                <w:rFonts w:hint="eastAsia" w:ascii="宋体" w:hAnsi="宋体" w:cs="宋体"/>
                <w:color w:val="auto"/>
                <w:szCs w:val="21"/>
              </w:rPr>
              <w:t>要素</w:t>
            </w:r>
          </w:p>
        </w:tc>
        <w:tc>
          <w:tcPr>
            <w:tcW w:w="1605" w:type="dxa"/>
            <w:noWrap w:val="0"/>
            <w:vAlign w:val="center"/>
          </w:tcPr>
          <w:p w14:paraId="15861825">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宋体" w:hAnsi="宋体" w:cs="宋体"/>
                <w:color w:val="auto"/>
                <w:szCs w:val="21"/>
              </w:rPr>
            </w:pPr>
            <w:r>
              <w:rPr>
                <w:rFonts w:hint="eastAsia" w:ascii="宋体" w:hAnsi="宋体" w:cs="宋体"/>
                <w:color w:val="auto"/>
                <w:szCs w:val="21"/>
              </w:rPr>
              <w:t>排放口(编号、</w:t>
            </w:r>
          </w:p>
          <w:p w14:paraId="7C05A6B0">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宋体" w:hAnsi="宋体" w:cs="宋体"/>
                <w:color w:val="auto"/>
                <w:szCs w:val="21"/>
              </w:rPr>
            </w:pPr>
            <w:r>
              <w:rPr>
                <w:rFonts w:hint="eastAsia" w:ascii="宋体" w:hAnsi="宋体" w:cs="宋体"/>
                <w:color w:val="auto"/>
                <w:szCs w:val="21"/>
              </w:rPr>
              <w:t>名称)/污染源</w:t>
            </w:r>
          </w:p>
        </w:tc>
        <w:tc>
          <w:tcPr>
            <w:tcW w:w="1950" w:type="dxa"/>
            <w:noWrap w:val="0"/>
            <w:vAlign w:val="center"/>
          </w:tcPr>
          <w:p w14:paraId="3DA32F04">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宋体" w:hAnsi="宋体" w:cs="宋体"/>
                <w:color w:val="auto"/>
                <w:szCs w:val="21"/>
              </w:rPr>
            </w:pPr>
            <w:r>
              <w:rPr>
                <w:rFonts w:hint="eastAsia" w:ascii="宋体" w:hAnsi="宋体" w:cs="宋体"/>
                <w:color w:val="auto"/>
                <w:szCs w:val="21"/>
              </w:rPr>
              <w:t>污染物项目</w:t>
            </w:r>
          </w:p>
        </w:tc>
        <w:tc>
          <w:tcPr>
            <w:tcW w:w="1938" w:type="dxa"/>
            <w:noWrap w:val="0"/>
            <w:vAlign w:val="center"/>
          </w:tcPr>
          <w:p w14:paraId="2E30AE2E">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宋体" w:hAnsi="宋体" w:cs="宋体"/>
                <w:color w:val="auto"/>
                <w:szCs w:val="21"/>
              </w:rPr>
            </w:pPr>
            <w:r>
              <w:rPr>
                <w:rFonts w:hint="eastAsia" w:ascii="宋体" w:hAnsi="宋体" w:cs="宋体"/>
                <w:color w:val="auto"/>
                <w:szCs w:val="21"/>
              </w:rPr>
              <w:t>环境保护措施</w:t>
            </w:r>
          </w:p>
        </w:tc>
        <w:tc>
          <w:tcPr>
            <w:tcW w:w="1857" w:type="dxa"/>
            <w:noWrap w:val="0"/>
            <w:vAlign w:val="center"/>
          </w:tcPr>
          <w:p w14:paraId="2B7D83A6">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宋体" w:hAnsi="宋体" w:cs="宋体"/>
                <w:color w:val="auto"/>
                <w:szCs w:val="21"/>
              </w:rPr>
            </w:pPr>
            <w:r>
              <w:rPr>
                <w:rFonts w:hint="eastAsia" w:ascii="宋体" w:hAnsi="宋体" w:cs="宋体"/>
                <w:color w:val="auto"/>
                <w:szCs w:val="21"/>
              </w:rPr>
              <w:t>执行标准</w:t>
            </w:r>
          </w:p>
        </w:tc>
      </w:tr>
      <w:tr w14:paraId="2A0602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50" w:type="dxa"/>
            <w:vMerge w:val="restart"/>
            <w:noWrap w:val="0"/>
            <w:vAlign w:val="center"/>
          </w:tcPr>
          <w:p w14:paraId="43D388EA">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宋体" w:hAnsi="宋体" w:cs="宋体"/>
                <w:color w:val="auto"/>
                <w:szCs w:val="21"/>
              </w:rPr>
            </w:pPr>
            <w:r>
              <w:rPr>
                <w:rFonts w:hint="eastAsia" w:ascii="宋体" w:hAnsi="宋体" w:cs="宋体"/>
                <w:color w:val="auto"/>
                <w:szCs w:val="21"/>
              </w:rPr>
              <w:t>大气环境</w:t>
            </w:r>
          </w:p>
        </w:tc>
        <w:tc>
          <w:tcPr>
            <w:tcW w:w="1605" w:type="dxa"/>
            <w:noWrap w:val="0"/>
            <w:vAlign w:val="center"/>
          </w:tcPr>
          <w:p w14:paraId="775A0B87">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烧成废气DA00</w:t>
            </w:r>
            <w:r>
              <w:rPr>
                <w:rFonts w:hint="eastAsia" w:cs="Times New Roman"/>
                <w:color w:val="auto"/>
                <w:lang w:val="en-US" w:eastAsia="zh-CN"/>
              </w:rPr>
              <w:t>1</w:t>
            </w:r>
          </w:p>
        </w:tc>
        <w:tc>
          <w:tcPr>
            <w:tcW w:w="1950" w:type="dxa"/>
            <w:noWrap w:val="0"/>
            <w:vAlign w:val="center"/>
          </w:tcPr>
          <w:p w14:paraId="6DCD6BC0">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颗粒物、二氧化硫、氮氧化物、氟化物</w:t>
            </w:r>
          </w:p>
        </w:tc>
        <w:tc>
          <w:tcPr>
            <w:tcW w:w="1938" w:type="dxa"/>
            <w:noWrap w:val="0"/>
            <w:vAlign w:val="center"/>
          </w:tcPr>
          <w:p w14:paraId="44BB5BF7">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经一套布袋除尘器+脱硫塔处理后</w:t>
            </w:r>
            <w:r>
              <w:rPr>
                <w:rFonts w:hint="eastAsia" w:cs="Times New Roman"/>
                <w:color w:val="auto"/>
                <w:lang w:val="en-US" w:eastAsia="zh-CN"/>
              </w:rPr>
              <w:t>，通过15m高的</w:t>
            </w:r>
            <w:r>
              <w:rPr>
                <w:rFonts w:hint="eastAsia" w:ascii="Times New Roman" w:hAnsi="Times New Roman" w:eastAsia="宋体" w:cs="Times New Roman"/>
                <w:color w:val="auto"/>
                <w:lang w:val="en-US" w:eastAsia="zh-CN"/>
              </w:rPr>
              <w:t>排气筒排放</w:t>
            </w:r>
            <w:r>
              <w:rPr>
                <w:rFonts w:hint="eastAsia" w:cs="Times New Roman"/>
                <w:color w:val="auto"/>
                <w:lang w:val="en-US" w:eastAsia="zh-CN"/>
              </w:rPr>
              <w:t>，排放</w:t>
            </w:r>
            <w:r>
              <w:rPr>
                <w:rFonts w:hint="eastAsia" w:ascii="Times New Roman" w:hAnsi="Times New Roman" w:eastAsia="宋体" w:cs="Times New Roman"/>
                <w:color w:val="auto"/>
                <w:lang w:val="en-US" w:eastAsia="zh-CN"/>
              </w:rPr>
              <w:t>口编码为DA001</w:t>
            </w:r>
          </w:p>
        </w:tc>
        <w:tc>
          <w:tcPr>
            <w:tcW w:w="1857" w:type="dxa"/>
            <w:noWrap w:val="0"/>
            <w:vAlign w:val="center"/>
          </w:tcPr>
          <w:p w14:paraId="10599214">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《砖瓦工业大气污染物排放标准》（GB29620-2013）</w:t>
            </w:r>
            <w:r>
              <w:rPr>
                <w:rFonts w:hint="eastAsia" w:cs="Times New Roman"/>
                <w:color w:val="auto"/>
                <w:lang w:val="en-US" w:eastAsia="zh-CN"/>
              </w:rPr>
              <w:t>及修改单</w:t>
            </w:r>
          </w:p>
        </w:tc>
      </w:tr>
      <w:tr w14:paraId="2B5CC7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550" w:type="dxa"/>
            <w:vMerge w:val="continue"/>
            <w:noWrap w:val="0"/>
            <w:vAlign w:val="center"/>
          </w:tcPr>
          <w:p w14:paraId="40AE2550">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宋体" w:hAnsi="宋体" w:cs="宋体"/>
                <w:color w:val="auto"/>
                <w:szCs w:val="21"/>
              </w:rPr>
            </w:pPr>
          </w:p>
        </w:tc>
        <w:tc>
          <w:tcPr>
            <w:tcW w:w="1605" w:type="dxa"/>
            <w:noWrap w:val="0"/>
            <w:vAlign w:val="center"/>
          </w:tcPr>
          <w:p w14:paraId="69AF9C9C">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eastAsia" w:ascii="Times New Roman" w:hAnsi="Times New Roman" w:eastAsia="宋体" w:cs="Times New Roman"/>
                <w:color w:val="auto"/>
                <w:lang w:val="en-US" w:eastAsia="zh-CN"/>
              </w:rPr>
            </w:pPr>
            <w:r>
              <w:rPr>
                <w:rFonts w:hint="eastAsia" w:ascii="宋体" w:hAnsi="宋体" w:cs="宋体"/>
                <w:b w:val="0"/>
                <w:bCs w:val="0"/>
                <w:color w:val="auto"/>
                <w:kern w:val="2"/>
                <w:sz w:val="21"/>
                <w:szCs w:val="21"/>
                <w:lang w:val="en-US" w:eastAsia="zh-CN" w:bidi="ar-SA"/>
              </w:rPr>
              <w:t>卸料粉尘（T1）</w:t>
            </w:r>
          </w:p>
        </w:tc>
        <w:tc>
          <w:tcPr>
            <w:tcW w:w="1950" w:type="dxa"/>
            <w:noWrap w:val="0"/>
            <w:vAlign w:val="center"/>
          </w:tcPr>
          <w:p w14:paraId="6069849C">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颗粒物</w:t>
            </w:r>
          </w:p>
        </w:tc>
        <w:tc>
          <w:tcPr>
            <w:tcW w:w="1938" w:type="dxa"/>
            <w:noWrap w:val="0"/>
            <w:vAlign w:val="center"/>
          </w:tcPr>
          <w:p w14:paraId="6F42FAD4">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szCs w:val="21"/>
              </w:rPr>
              <w:t>厂房阻隔及洒水降尘</w:t>
            </w:r>
          </w:p>
        </w:tc>
        <w:tc>
          <w:tcPr>
            <w:tcW w:w="1857" w:type="dxa"/>
            <w:vMerge w:val="restart"/>
            <w:noWrap w:val="0"/>
            <w:vAlign w:val="center"/>
          </w:tcPr>
          <w:p w14:paraId="557AC942">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《砖瓦工业大气污染物排放标准》（GB29620-2013）</w:t>
            </w:r>
            <w:r>
              <w:rPr>
                <w:rFonts w:hint="eastAsia" w:cs="Times New Roman"/>
                <w:color w:val="auto"/>
                <w:lang w:val="en-US" w:eastAsia="zh-CN"/>
              </w:rPr>
              <w:t>及修改单</w:t>
            </w:r>
          </w:p>
        </w:tc>
      </w:tr>
      <w:tr w14:paraId="6F9C66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550" w:type="dxa"/>
            <w:vMerge w:val="continue"/>
            <w:noWrap w:val="0"/>
            <w:vAlign w:val="center"/>
          </w:tcPr>
          <w:p w14:paraId="1B1C5E55">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宋体" w:hAnsi="宋体" w:cs="宋体"/>
                <w:color w:val="auto"/>
                <w:szCs w:val="21"/>
              </w:rPr>
            </w:pPr>
          </w:p>
        </w:tc>
        <w:tc>
          <w:tcPr>
            <w:tcW w:w="1605" w:type="dxa"/>
            <w:noWrap w:val="0"/>
            <w:vAlign w:val="center"/>
          </w:tcPr>
          <w:p w14:paraId="266EBDD0">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eastAsia" w:ascii="宋体" w:hAnsi="宋体" w:cs="宋体"/>
                <w:color w:val="auto"/>
                <w:szCs w:val="21"/>
                <w:lang w:val="en-US" w:eastAsia="zh-CN"/>
              </w:rPr>
            </w:pPr>
            <w:r>
              <w:rPr>
                <w:rFonts w:hint="eastAsia" w:ascii="宋体" w:hAnsi="宋体" w:cs="宋体"/>
                <w:b w:val="0"/>
                <w:bCs w:val="0"/>
                <w:color w:val="auto"/>
                <w:kern w:val="2"/>
                <w:sz w:val="21"/>
                <w:szCs w:val="21"/>
                <w:lang w:val="en-US" w:eastAsia="zh-CN" w:bidi="ar-SA"/>
              </w:rPr>
              <w:t>原料车间至陈化车间给料粉尘（T2）</w:t>
            </w:r>
          </w:p>
        </w:tc>
        <w:tc>
          <w:tcPr>
            <w:tcW w:w="1950" w:type="dxa"/>
            <w:noWrap w:val="0"/>
            <w:vAlign w:val="center"/>
          </w:tcPr>
          <w:p w14:paraId="1A0B843E">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颗粒物</w:t>
            </w:r>
          </w:p>
        </w:tc>
        <w:tc>
          <w:tcPr>
            <w:tcW w:w="1938" w:type="dxa"/>
            <w:noWrap w:val="0"/>
            <w:vAlign w:val="center"/>
          </w:tcPr>
          <w:p w14:paraId="17700583">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eastAsia" w:cs="Times New Roman"/>
                <w:color w:val="auto"/>
                <w:lang w:val="en-US" w:eastAsia="zh-CN"/>
              </w:rPr>
            </w:pPr>
            <w:r>
              <w:rPr>
                <w:rFonts w:hint="default" w:ascii="Times New Roman" w:hAnsi="Times New Roman" w:cs="Times New Roman"/>
                <w:color w:val="auto"/>
                <w:szCs w:val="21"/>
              </w:rPr>
              <w:t>厂房阻隔及洒水降尘</w:t>
            </w:r>
          </w:p>
        </w:tc>
        <w:tc>
          <w:tcPr>
            <w:tcW w:w="1857" w:type="dxa"/>
            <w:vMerge w:val="continue"/>
            <w:noWrap w:val="0"/>
            <w:vAlign w:val="center"/>
          </w:tcPr>
          <w:p w14:paraId="537471C7">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Times New Roman" w:hAnsi="Times New Roman" w:eastAsia="宋体" w:cs="Times New Roman"/>
                <w:color w:val="auto"/>
                <w:lang w:val="en-US" w:eastAsia="zh-CN"/>
              </w:rPr>
            </w:pPr>
          </w:p>
        </w:tc>
      </w:tr>
      <w:tr w14:paraId="49C880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550" w:type="dxa"/>
            <w:vMerge w:val="continue"/>
            <w:noWrap w:val="0"/>
            <w:vAlign w:val="center"/>
          </w:tcPr>
          <w:p w14:paraId="55AFBDD6">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宋体" w:hAnsi="宋体" w:cs="宋体"/>
                <w:color w:val="auto"/>
                <w:szCs w:val="21"/>
              </w:rPr>
            </w:pPr>
          </w:p>
        </w:tc>
        <w:tc>
          <w:tcPr>
            <w:tcW w:w="1605" w:type="dxa"/>
            <w:noWrap w:val="0"/>
            <w:vAlign w:val="center"/>
          </w:tcPr>
          <w:p w14:paraId="6921ABCC">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eastAsia" w:ascii="宋体" w:hAnsi="宋体" w:cs="宋体"/>
                <w:color w:val="auto"/>
                <w:szCs w:val="21"/>
                <w:lang w:val="en-US" w:eastAsia="zh-CN"/>
              </w:rPr>
            </w:pPr>
            <w:r>
              <w:rPr>
                <w:rFonts w:hint="eastAsia" w:cs="Times New Roman"/>
                <w:b w:val="0"/>
                <w:bCs w:val="0"/>
                <w:color w:val="auto"/>
                <w:sz w:val="21"/>
                <w:szCs w:val="21"/>
                <w:lang w:val="en-US" w:eastAsia="zh-CN"/>
              </w:rPr>
              <w:t>原料、陈化车间储存粉尘（T3）</w:t>
            </w:r>
          </w:p>
        </w:tc>
        <w:tc>
          <w:tcPr>
            <w:tcW w:w="1950" w:type="dxa"/>
            <w:noWrap w:val="0"/>
            <w:vAlign w:val="center"/>
          </w:tcPr>
          <w:p w14:paraId="62355FE6">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颗粒物</w:t>
            </w:r>
          </w:p>
        </w:tc>
        <w:tc>
          <w:tcPr>
            <w:tcW w:w="1938" w:type="dxa"/>
            <w:noWrap w:val="0"/>
            <w:vAlign w:val="center"/>
          </w:tcPr>
          <w:p w14:paraId="2A0BF196">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eastAsia" w:cs="Times New Roman"/>
                <w:color w:val="auto"/>
                <w:lang w:val="en-US" w:eastAsia="zh-CN"/>
              </w:rPr>
            </w:pPr>
            <w:r>
              <w:rPr>
                <w:rFonts w:hint="default" w:ascii="Times New Roman" w:hAnsi="Times New Roman" w:cs="Times New Roman"/>
                <w:b w:val="0"/>
                <w:bCs w:val="0"/>
                <w:color w:val="auto"/>
                <w:sz w:val="21"/>
                <w:szCs w:val="21"/>
              </w:rPr>
              <w:t>封闭厂房</w:t>
            </w:r>
            <w:r>
              <w:rPr>
                <w:rFonts w:hint="default" w:ascii="Times New Roman" w:hAnsi="Times New Roman" w:cs="Times New Roman"/>
                <w:b w:val="0"/>
                <w:bCs w:val="0"/>
                <w:color w:val="auto"/>
                <w:sz w:val="21"/>
                <w:szCs w:val="21"/>
                <w:lang w:val="en-US" w:eastAsia="zh-CN"/>
              </w:rPr>
              <w:t>阻隔+</w:t>
            </w:r>
            <w:r>
              <w:rPr>
                <w:rFonts w:hint="default" w:ascii="Times New Roman" w:hAnsi="Times New Roman" w:cs="Times New Roman"/>
                <w:b w:val="0"/>
                <w:bCs w:val="0"/>
                <w:color w:val="auto"/>
                <w:sz w:val="21"/>
                <w:szCs w:val="21"/>
              </w:rPr>
              <w:t>洒水降尘后</w:t>
            </w:r>
          </w:p>
        </w:tc>
        <w:tc>
          <w:tcPr>
            <w:tcW w:w="1857" w:type="dxa"/>
            <w:vMerge w:val="continue"/>
            <w:noWrap w:val="0"/>
            <w:vAlign w:val="center"/>
          </w:tcPr>
          <w:p w14:paraId="5CBDBB7C">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Times New Roman" w:hAnsi="Times New Roman" w:eastAsia="宋体" w:cs="Times New Roman"/>
                <w:color w:val="auto"/>
                <w:lang w:val="en-US" w:eastAsia="zh-CN"/>
              </w:rPr>
            </w:pPr>
          </w:p>
        </w:tc>
      </w:tr>
      <w:tr w14:paraId="6D6385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550" w:type="dxa"/>
            <w:vMerge w:val="continue"/>
            <w:noWrap w:val="0"/>
            <w:vAlign w:val="center"/>
          </w:tcPr>
          <w:p w14:paraId="44D90C94">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宋体" w:hAnsi="宋体" w:cs="宋体"/>
                <w:color w:val="auto"/>
                <w:szCs w:val="21"/>
              </w:rPr>
            </w:pPr>
          </w:p>
        </w:tc>
        <w:tc>
          <w:tcPr>
            <w:tcW w:w="1605" w:type="dxa"/>
            <w:noWrap w:val="0"/>
            <w:vAlign w:val="center"/>
          </w:tcPr>
          <w:p w14:paraId="2AB7A6D8">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rPr>
                <w:rFonts w:hint="eastAsia" w:ascii="宋体" w:hAnsi="宋体" w:cs="宋体"/>
                <w:color w:val="auto"/>
                <w:szCs w:val="21"/>
                <w:lang w:val="en-US" w:eastAsia="zh-CN"/>
              </w:rPr>
            </w:pPr>
            <w:r>
              <w:rPr>
                <w:rFonts w:hint="eastAsia" w:ascii="宋体" w:hAnsi="宋体" w:cs="宋体"/>
                <w:b w:val="0"/>
                <w:bCs w:val="0"/>
                <w:color w:val="auto"/>
                <w:kern w:val="2"/>
                <w:sz w:val="21"/>
                <w:szCs w:val="21"/>
                <w:lang w:val="en-US" w:eastAsia="zh-CN" w:bidi="ar-SA"/>
              </w:rPr>
              <w:t>陈化物料输送至搅拌机的给料粉尘（T4）</w:t>
            </w:r>
          </w:p>
        </w:tc>
        <w:tc>
          <w:tcPr>
            <w:tcW w:w="1950" w:type="dxa"/>
            <w:noWrap w:val="0"/>
            <w:vAlign w:val="center"/>
          </w:tcPr>
          <w:p w14:paraId="4A3C0039">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颗粒物</w:t>
            </w:r>
          </w:p>
        </w:tc>
        <w:tc>
          <w:tcPr>
            <w:tcW w:w="1938" w:type="dxa"/>
            <w:noWrap w:val="0"/>
            <w:vAlign w:val="center"/>
          </w:tcPr>
          <w:p w14:paraId="6ACD4C18">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eastAsia" w:cs="Times New Roman"/>
                <w:color w:val="auto"/>
                <w:lang w:val="en-US" w:eastAsia="zh-CN"/>
              </w:rPr>
            </w:pPr>
            <w:r>
              <w:rPr>
                <w:rFonts w:hint="eastAsia" w:cs="Times New Roman"/>
                <w:color w:val="auto"/>
                <w:szCs w:val="21"/>
                <w:lang w:val="en-US" w:eastAsia="zh-CN"/>
              </w:rPr>
              <w:t>输送机全封闭；搅拌机全封闭；给料口洒水降尘+厂房阻隔</w:t>
            </w:r>
          </w:p>
        </w:tc>
        <w:tc>
          <w:tcPr>
            <w:tcW w:w="1857" w:type="dxa"/>
            <w:vMerge w:val="continue"/>
            <w:noWrap w:val="0"/>
            <w:vAlign w:val="center"/>
          </w:tcPr>
          <w:p w14:paraId="2E4E8788">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Times New Roman" w:hAnsi="Times New Roman" w:eastAsia="宋体" w:cs="Times New Roman"/>
                <w:color w:val="auto"/>
                <w:lang w:val="en-US" w:eastAsia="zh-CN"/>
              </w:rPr>
            </w:pPr>
          </w:p>
        </w:tc>
      </w:tr>
      <w:tr w14:paraId="5A2689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550" w:type="dxa"/>
            <w:vMerge w:val="continue"/>
            <w:noWrap w:val="0"/>
            <w:vAlign w:val="center"/>
          </w:tcPr>
          <w:p w14:paraId="40808B38">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宋体" w:hAnsi="宋体" w:cs="宋体"/>
                <w:color w:val="auto"/>
                <w:szCs w:val="21"/>
              </w:rPr>
            </w:pPr>
          </w:p>
        </w:tc>
        <w:tc>
          <w:tcPr>
            <w:tcW w:w="1605" w:type="dxa"/>
            <w:noWrap w:val="0"/>
            <w:vAlign w:val="center"/>
          </w:tcPr>
          <w:p w14:paraId="0D1EB101">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eastAsia" w:ascii="宋体" w:hAnsi="宋体" w:cs="宋体"/>
                <w:color w:val="auto"/>
                <w:szCs w:val="21"/>
                <w:lang w:val="en-US" w:eastAsia="zh-CN"/>
              </w:rPr>
            </w:pPr>
            <w:r>
              <w:rPr>
                <w:rFonts w:hint="default" w:ascii="Times New Roman" w:hAnsi="Times New Roman" w:cs="Times New Roman"/>
                <w:b w:val="0"/>
                <w:bCs w:val="0"/>
                <w:color w:val="auto"/>
                <w:sz w:val="21"/>
                <w:szCs w:val="21"/>
              </w:rPr>
              <w:t>运输车辆动力扬尘</w:t>
            </w:r>
            <w:r>
              <w:rPr>
                <w:rFonts w:hint="default" w:ascii="Times New Roman" w:hAnsi="Times New Roman" w:cs="Times New Roman"/>
                <w:b w:val="0"/>
                <w:bCs w:val="0"/>
                <w:color w:val="auto"/>
                <w:sz w:val="21"/>
                <w:szCs w:val="21"/>
                <w:lang w:eastAsia="zh-CN"/>
              </w:rPr>
              <w:t>（</w:t>
            </w:r>
            <w:r>
              <w:rPr>
                <w:rFonts w:hint="default" w:ascii="Times New Roman" w:hAnsi="Times New Roman" w:cs="Times New Roman"/>
                <w:b w:val="0"/>
                <w:bCs w:val="0"/>
                <w:color w:val="auto"/>
                <w:sz w:val="21"/>
                <w:szCs w:val="21"/>
                <w:lang w:val="en-US" w:eastAsia="zh-CN"/>
              </w:rPr>
              <w:t>T</w:t>
            </w:r>
            <w:r>
              <w:rPr>
                <w:rFonts w:hint="eastAsia" w:ascii="Times New Roman" w:hAnsi="Times New Roman" w:cs="Times New Roman"/>
                <w:b w:val="0"/>
                <w:bCs w:val="0"/>
                <w:color w:val="auto"/>
                <w:sz w:val="21"/>
                <w:szCs w:val="21"/>
                <w:lang w:val="en-US" w:eastAsia="zh-CN"/>
              </w:rPr>
              <w:t>5</w:t>
            </w:r>
            <w:r>
              <w:rPr>
                <w:rFonts w:hint="default" w:ascii="Times New Roman" w:hAnsi="Times New Roman" w:cs="Times New Roman"/>
                <w:b w:val="0"/>
                <w:bCs w:val="0"/>
                <w:color w:val="auto"/>
                <w:sz w:val="21"/>
                <w:szCs w:val="21"/>
                <w:lang w:eastAsia="zh-CN"/>
              </w:rPr>
              <w:t>）</w:t>
            </w:r>
          </w:p>
        </w:tc>
        <w:tc>
          <w:tcPr>
            <w:tcW w:w="1950" w:type="dxa"/>
            <w:noWrap w:val="0"/>
            <w:vAlign w:val="center"/>
          </w:tcPr>
          <w:p w14:paraId="1313EC45">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颗粒物</w:t>
            </w:r>
          </w:p>
        </w:tc>
        <w:tc>
          <w:tcPr>
            <w:tcW w:w="1938" w:type="dxa"/>
            <w:noWrap w:val="0"/>
            <w:vAlign w:val="center"/>
          </w:tcPr>
          <w:p w14:paraId="350D8400">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eastAsia" w:cs="Times New Roman"/>
                <w:color w:val="auto"/>
                <w:lang w:val="en-US" w:eastAsia="zh-CN"/>
              </w:rPr>
            </w:pPr>
            <w:r>
              <w:rPr>
                <w:rFonts w:hint="eastAsia" w:cs="Times New Roman"/>
                <w:color w:val="auto"/>
                <w:szCs w:val="21"/>
                <w:lang w:val="en-US" w:eastAsia="zh-CN"/>
              </w:rPr>
              <w:t>清扫地面，定期</w:t>
            </w:r>
            <w:r>
              <w:rPr>
                <w:rFonts w:hint="default" w:ascii="Times New Roman" w:hAnsi="Times New Roman" w:cs="Times New Roman"/>
                <w:color w:val="auto"/>
                <w:szCs w:val="21"/>
              </w:rPr>
              <w:t>洒水降尘</w:t>
            </w:r>
          </w:p>
        </w:tc>
        <w:tc>
          <w:tcPr>
            <w:tcW w:w="1857" w:type="dxa"/>
            <w:vMerge w:val="continue"/>
            <w:noWrap w:val="0"/>
            <w:vAlign w:val="center"/>
          </w:tcPr>
          <w:p w14:paraId="7DCE82A7">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Times New Roman" w:hAnsi="Times New Roman" w:eastAsia="宋体" w:cs="Times New Roman"/>
                <w:color w:val="auto"/>
                <w:lang w:val="en-US" w:eastAsia="zh-CN"/>
              </w:rPr>
            </w:pPr>
          </w:p>
        </w:tc>
      </w:tr>
      <w:tr w14:paraId="2AB8AA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550" w:type="dxa"/>
            <w:vMerge w:val="continue"/>
            <w:noWrap w:val="0"/>
            <w:vAlign w:val="center"/>
          </w:tcPr>
          <w:p w14:paraId="56832DCF">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宋体" w:hAnsi="宋体" w:cs="宋体"/>
                <w:color w:val="auto"/>
                <w:szCs w:val="21"/>
              </w:rPr>
            </w:pPr>
          </w:p>
        </w:tc>
        <w:tc>
          <w:tcPr>
            <w:tcW w:w="1605" w:type="dxa"/>
            <w:noWrap w:val="0"/>
            <w:vAlign w:val="center"/>
          </w:tcPr>
          <w:p w14:paraId="25823435">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eastAsia" w:ascii="宋体" w:hAnsi="宋体" w:cs="宋体"/>
                <w:color w:val="auto"/>
                <w:szCs w:val="21"/>
                <w:lang w:val="en-US" w:eastAsia="zh-CN"/>
              </w:rPr>
            </w:pPr>
            <w:r>
              <w:rPr>
                <w:rFonts w:hint="eastAsia" w:ascii="宋体" w:hAnsi="宋体" w:cs="宋体"/>
                <w:b w:val="0"/>
                <w:bCs w:val="0"/>
                <w:color w:val="auto"/>
                <w:kern w:val="2"/>
                <w:sz w:val="21"/>
                <w:szCs w:val="21"/>
                <w:lang w:val="en-US" w:eastAsia="zh-CN" w:bidi="ar-SA"/>
              </w:rPr>
              <w:t>对辊破碎、制坯、切条、修坯、晾干工序加工粉尘（T6）</w:t>
            </w:r>
          </w:p>
        </w:tc>
        <w:tc>
          <w:tcPr>
            <w:tcW w:w="1950" w:type="dxa"/>
            <w:noWrap w:val="0"/>
            <w:vAlign w:val="center"/>
          </w:tcPr>
          <w:p w14:paraId="71D4C97D">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颗粒物</w:t>
            </w:r>
          </w:p>
        </w:tc>
        <w:tc>
          <w:tcPr>
            <w:tcW w:w="1938" w:type="dxa"/>
            <w:noWrap w:val="0"/>
            <w:vAlign w:val="center"/>
          </w:tcPr>
          <w:p w14:paraId="2EB50768">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eastAsia" w:cs="Times New Roman"/>
                <w:color w:val="auto"/>
                <w:lang w:val="en-US" w:eastAsia="zh-CN"/>
              </w:rPr>
            </w:pPr>
            <w:r>
              <w:rPr>
                <w:rFonts w:hint="eastAsia" w:cs="Times New Roman"/>
                <w:color w:val="auto"/>
                <w:szCs w:val="21"/>
                <w:lang w:val="en-US" w:eastAsia="zh-CN"/>
              </w:rPr>
              <w:t>湿料加工</w:t>
            </w:r>
          </w:p>
        </w:tc>
        <w:tc>
          <w:tcPr>
            <w:tcW w:w="1857" w:type="dxa"/>
            <w:vMerge w:val="continue"/>
            <w:noWrap w:val="0"/>
            <w:vAlign w:val="center"/>
          </w:tcPr>
          <w:p w14:paraId="13C67C9A">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Times New Roman" w:hAnsi="Times New Roman" w:eastAsia="宋体" w:cs="Times New Roman"/>
                <w:color w:val="auto"/>
                <w:lang w:val="en-US" w:eastAsia="zh-CN"/>
              </w:rPr>
            </w:pPr>
          </w:p>
        </w:tc>
      </w:tr>
      <w:tr w14:paraId="212385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50" w:type="dxa"/>
            <w:vMerge w:val="continue"/>
            <w:noWrap w:val="0"/>
            <w:vAlign w:val="center"/>
          </w:tcPr>
          <w:p w14:paraId="7C1904E4">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宋体" w:hAnsi="宋体" w:cs="宋体"/>
                <w:color w:val="auto"/>
                <w:szCs w:val="21"/>
              </w:rPr>
            </w:pPr>
          </w:p>
        </w:tc>
        <w:tc>
          <w:tcPr>
            <w:tcW w:w="1605" w:type="dxa"/>
            <w:noWrap w:val="0"/>
            <w:vAlign w:val="center"/>
          </w:tcPr>
          <w:p w14:paraId="0064FF8E">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宋体" w:hAnsi="宋体" w:eastAsia="宋体" w:cs="宋体"/>
                <w:color w:val="auto"/>
                <w:szCs w:val="21"/>
                <w:lang w:val="en-US" w:eastAsia="zh-CN"/>
              </w:rPr>
            </w:pPr>
            <w:r>
              <w:rPr>
                <w:rFonts w:hint="eastAsia" w:ascii="宋体" w:hAnsi="宋体" w:cs="宋体"/>
                <w:b w:val="0"/>
                <w:bCs w:val="0"/>
                <w:color w:val="auto"/>
                <w:lang w:val="en-US" w:eastAsia="zh-CN"/>
              </w:rPr>
              <w:t>次品对辊破碎粉尘（T7）</w:t>
            </w:r>
          </w:p>
        </w:tc>
        <w:tc>
          <w:tcPr>
            <w:tcW w:w="1950" w:type="dxa"/>
            <w:noWrap w:val="0"/>
            <w:vAlign w:val="center"/>
          </w:tcPr>
          <w:p w14:paraId="63882B18">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颗粒物</w:t>
            </w:r>
          </w:p>
        </w:tc>
        <w:tc>
          <w:tcPr>
            <w:tcW w:w="1938" w:type="dxa"/>
            <w:noWrap w:val="0"/>
            <w:vAlign w:val="center"/>
          </w:tcPr>
          <w:p w14:paraId="3E806F81">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jc w:val="center"/>
              <w:textAlignment w:val="auto"/>
              <w:rPr>
                <w:rFonts w:hint="default" w:ascii="Times New Roman" w:hAnsi="Times New Roman" w:eastAsia="宋体" w:cs="Times New Roman"/>
                <w:color w:val="auto"/>
                <w:lang w:val="en-US" w:eastAsia="zh-CN"/>
              </w:rPr>
            </w:pPr>
            <w:r>
              <w:rPr>
                <w:rFonts w:hint="eastAsia" w:cs="Times New Roman"/>
                <w:color w:val="auto"/>
                <w:szCs w:val="21"/>
                <w:lang w:val="en-US" w:eastAsia="zh-CN"/>
              </w:rPr>
              <w:t>湿法破碎</w:t>
            </w:r>
          </w:p>
        </w:tc>
        <w:tc>
          <w:tcPr>
            <w:tcW w:w="1857" w:type="dxa"/>
            <w:vMerge w:val="continue"/>
            <w:noWrap w:val="0"/>
            <w:vAlign w:val="center"/>
          </w:tcPr>
          <w:p w14:paraId="2327D949">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Times New Roman" w:hAnsi="Times New Roman" w:eastAsia="宋体" w:cs="Times New Roman"/>
                <w:color w:val="auto"/>
                <w:lang w:val="en-US" w:eastAsia="zh-CN"/>
              </w:rPr>
            </w:pPr>
          </w:p>
        </w:tc>
      </w:tr>
      <w:tr w14:paraId="534311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50" w:type="dxa"/>
            <w:vMerge w:val="restart"/>
            <w:noWrap w:val="0"/>
            <w:vAlign w:val="center"/>
          </w:tcPr>
          <w:p w14:paraId="29444B95">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宋体" w:hAnsi="宋体" w:cs="宋体"/>
                <w:color w:val="auto"/>
                <w:szCs w:val="21"/>
              </w:rPr>
            </w:pPr>
            <w:r>
              <w:rPr>
                <w:rFonts w:hint="eastAsia" w:ascii="宋体" w:hAnsi="宋体" w:cs="宋体"/>
                <w:color w:val="auto"/>
                <w:szCs w:val="21"/>
              </w:rPr>
              <w:t>地表水环境</w:t>
            </w:r>
          </w:p>
        </w:tc>
        <w:tc>
          <w:tcPr>
            <w:tcW w:w="1605" w:type="dxa"/>
            <w:noWrap w:val="0"/>
            <w:vAlign w:val="center"/>
          </w:tcPr>
          <w:p w14:paraId="65E75489">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宋体" w:hAnsi="宋体" w:eastAsia="宋体" w:cs="宋体"/>
                <w:color w:val="auto"/>
                <w:szCs w:val="21"/>
                <w:lang w:val="en-US" w:eastAsia="zh-CN"/>
              </w:rPr>
            </w:pPr>
            <w:r>
              <w:rPr>
                <w:rFonts w:hint="eastAsia" w:ascii="宋体" w:hAnsi="宋体" w:cs="宋体"/>
                <w:color w:val="auto"/>
                <w:szCs w:val="21"/>
                <w:lang w:val="en-US" w:eastAsia="zh-CN"/>
              </w:rPr>
              <w:t>初期雨水</w:t>
            </w:r>
          </w:p>
        </w:tc>
        <w:tc>
          <w:tcPr>
            <w:tcW w:w="1950" w:type="dxa"/>
            <w:noWrap w:val="0"/>
            <w:vAlign w:val="center"/>
          </w:tcPr>
          <w:p w14:paraId="7FC9E506">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SS等</w:t>
            </w:r>
          </w:p>
        </w:tc>
        <w:tc>
          <w:tcPr>
            <w:tcW w:w="1938" w:type="dxa"/>
            <w:noWrap w:val="0"/>
            <w:vAlign w:val="center"/>
          </w:tcPr>
          <w:p w14:paraId="0F077300">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经300m³初期雨水收集池收集后，回用于生产</w:t>
            </w:r>
          </w:p>
        </w:tc>
        <w:tc>
          <w:tcPr>
            <w:tcW w:w="1857" w:type="dxa"/>
            <w:noWrap w:val="0"/>
            <w:vAlign w:val="center"/>
          </w:tcPr>
          <w:p w14:paraId="316B22BF">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w:t>
            </w:r>
          </w:p>
        </w:tc>
      </w:tr>
      <w:tr w14:paraId="6B4677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50" w:type="dxa"/>
            <w:vMerge w:val="continue"/>
            <w:noWrap w:val="0"/>
            <w:vAlign w:val="center"/>
          </w:tcPr>
          <w:p w14:paraId="2718F4EC">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宋体" w:hAnsi="宋体" w:cs="宋体"/>
                <w:color w:val="auto"/>
                <w:szCs w:val="21"/>
              </w:rPr>
            </w:pPr>
          </w:p>
        </w:tc>
        <w:tc>
          <w:tcPr>
            <w:tcW w:w="1605" w:type="dxa"/>
            <w:noWrap w:val="0"/>
            <w:vAlign w:val="center"/>
          </w:tcPr>
          <w:p w14:paraId="3DEE0107">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宋体" w:hAnsi="宋体" w:cs="宋体"/>
                <w:color w:val="auto"/>
                <w:szCs w:val="21"/>
                <w:lang w:val="en-US" w:eastAsia="zh-CN"/>
              </w:rPr>
            </w:pPr>
            <w:r>
              <w:rPr>
                <w:rFonts w:hint="eastAsia" w:ascii="宋体" w:hAnsi="宋体" w:cs="宋体"/>
                <w:color w:val="auto"/>
                <w:szCs w:val="21"/>
                <w:lang w:val="en-US" w:eastAsia="zh-CN"/>
              </w:rPr>
              <w:t>生活污水</w:t>
            </w:r>
          </w:p>
        </w:tc>
        <w:tc>
          <w:tcPr>
            <w:tcW w:w="1950" w:type="dxa"/>
            <w:noWrap w:val="0"/>
            <w:vAlign w:val="center"/>
          </w:tcPr>
          <w:p w14:paraId="1A6D1CAA">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Times New Roman" w:hAnsi="Times New Roman" w:eastAsia="宋体" w:cs="Times New Roman"/>
                <w:color w:val="auto"/>
                <w:lang w:val="en-US" w:eastAsia="zh-CN"/>
              </w:rPr>
            </w:pPr>
            <w:r>
              <w:rPr>
                <w:rFonts w:cs="Times New Roman"/>
                <w:color w:val="auto"/>
                <w:sz w:val="21"/>
                <w:szCs w:val="21"/>
              </w:rPr>
              <w:t>SS、BOD</w:t>
            </w:r>
            <w:r>
              <w:rPr>
                <w:rFonts w:cs="Times New Roman"/>
                <w:color w:val="auto"/>
                <w:sz w:val="21"/>
                <w:szCs w:val="21"/>
                <w:vertAlign w:val="subscript"/>
              </w:rPr>
              <w:t>5</w:t>
            </w:r>
            <w:r>
              <w:rPr>
                <w:rFonts w:cs="Times New Roman"/>
                <w:color w:val="auto"/>
                <w:sz w:val="21"/>
                <w:szCs w:val="21"/>
              </w:rPr>
              <w:t>、COD</w:t>
            </w:r>
            <w:r>
              <w:rPr>
                <w:rFonts w:cs="Times New Roman"/>
                <w:color w:val="auto"/>
                <w:sz w:val="21"/>
                <w:szCs w:val="21"/>
                <w:vertAlign w:val="subscript"/>
              </w:rPr>
              <w:t>Cr</w:t>
            </w:r>
            <w:r>
              <w:rPr>
                <w:rFonts w:cs="Times New Roman"/>
                <w:color w:val="auto"/>
                <w:sz w:val="21"/>
                <w:szCs w:val="21"/>
              </w:rPr>
              <w:t>、NH</w:t>
            </w:r>
            <w:r>
              <w:rPr>
                <w:rFonts w:cs="Times New Roman"/>
                <w:color w:val="auto"/>
                <w:sz w:val="21"/>
                <w:szCs w:val="21"/>
                <w:vertAlign w:val="subscript"/>
              </w:rPr>
              <w:t>3</w:t>
            </w:r>
            <w:r>
              <w:rPr>
                <w:rFonts w:cs="Times New Roman"/>
                <w:color w:val="auto"/>
                <w:sz w:val="21"/>
                <w:szCs w:val="21"/>
              </w:rPr>
              <w:t>-N、</w:t>
            </w:r>
            <w:r>
              <w:rPr>
                <w:rFonts w:hint="eastAsia" w:cs="Times New Roman"/>
                <w:color w:val="auto"/>
                <w:sz w:val="21"/>
                <w:szCs w:val="21"/>
                <w:lang w:val="en-US" w:eastAsia="zh-CN"/>
              </w:rPr>
              <w:t>TP等。</w:t>
            </w:r>
          </w:p>
        </w:tc>
        <w:tc>
          <w:tcPr>
            <w:tcW w:w="1938" w:type="dxa"/>
            <w:noWrap w:val="0"/>
            <w:vAlign w:val="center"/>
          </w:tcPr>
          <w:p w14:paraId="0A457C72">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cs="Times New Roman"/>
                <w:color w:val="auto"/>
                <w:lang w:val="en-US" w:eastAsia="zh-CN"/>
              </w:rPr>
            </w:pPr>
            <w:r>
              <w:rPr>
                <w:rFonts w:hint="eastAsia" w:cs="Times New Roman"/>
                <w:b w:val="0"/>
                <w:bCs/>
                <w:color w:val="auto"/>
                <w:sz w:val="21"/>
                <w:szCs w:val="21"/>
                <w:lang w:val="en-US" w:eastAsia="zh-CN"/>
              </w:rPr>
              <w:t>生活污水经10m³化粪池预处理</w:t>
            </w:r>
            <w:r>
              <w:rPr>
                <w:rFonts w:hint="eastAsia"/>
                <w:b w:val="0"/>
                <w:bCs/>
                <w:color w:val="auto"/>
                <w:sz w:val="21"/>
                <w:szCs w:val="21"/>
                <w:lang w:eastAsia="zh-CN"/>
              </w:rPr>
              <w:t>后，</w:t>
            </w:r>
            <w:r>
              <w:rPr>
                <w:rFonts w:hint="eastAsia"/>
                <w:b w:val="0"/>
                <w:bCs/>
                <w:color w:val="auto"/>
                <w:sz w:val="21"/>
                <w:szCs w:val="21"/>
                <w:lang w:val="en-US" w:eastAsia="zh-CN"/>
              </w:rPr>
              <w:t>委托环卫车辆运送至华宁北控环保水务有限公司管理运营的华宁县城污水处理厂处理</w:t>
            </w:r>
          </w:p>
        </w:tc>
        <w:tc>
          <w:tcPr>
            <w:tcW w:w="1857" w:type="dxa"/>
            <w:noWrap w:val="0"/>
            <w:vAlign w:val="center"/>
          </w:tcPr>
          <w:p w14:paraId="3B9D944F">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cs="Times New Roman"/>
                <w:color w:val="auto"/>
                <w:lang w:val="en-US" w:eastAsia="zh-CN"/>
              </w:rPr>
            </w:pPr>
            <w:r>
              <w:rPr>
                <w:rFonts w:hint="eastAsia" w:cs="Times New Roman"/>
                <w:color w:val="auto"/>
                <w:lang w:val="en-US" w:eastAsia="zh-CN"/>
              </w:rPr>
              <w:t>/</w:t>
            </w:r>
          </w:p>
        </w:tc>
      </w:tr>
      <w:tr w14:paraId="46608C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50" w:type="dxa"/>
            <w:vMerge w:val="continue"/>
            <w:noWrap w:val="0"/>
            <w:vAlign w:val="center"/>
          </w:tcPr>
          <w:p w14:paraId="6C71299B">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宋体" w:hAnsi="宋体" w:cs="宋体"/>
                <w:color w:val="auto"/>
                <w:szCs w:val="21"/>
              </w:rPr>
            </w:pPr>
          </w:p>
        </w:tc>
        <w:tc>
          <w:tcPr>
            <w:tcW w:w="1605" w:type="dxa"/>
            <w:shd w:val="clear" w:color="auto" w:fill="auto"/>
            <w:noWrap w:val="0"/>
            <w:vAlign w:val="center"/>
          </w:tcPr>
          <w:p w14:paraId="7A175556">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default" w:ascii="宋体" w:hAnsi="宋体" w:eastAsia="宋体" w:cs="宋体"/>
                <w:color w:val="auto"/>
                <w:kern w:val="2"/>
                <w:sz w:val="21"/>
                <w:szCs w:val="21"/>
                <w:lang w:val="en-US" w:eastAsia="zh-CN" w:bidi="ar-SA"/>
              </w:rPr>
            </w:pPr>
            <w:r>
              <w:rPr>
                <w:rFonts w:hint="eastAsia" w:ascii="宋体" w:hAnsi="宋体" w:cs="宋体"/>
                <w:color w:val="auto"/>
                <w:szCs w:val="21"/>
                <w:lang w:val="en-US" w:eastAsia="zh-CN"/>
              </w:rPr>
              <w:t>脱硫废水</w:t>
            </w:r>
          </w:p>
        </w:tc>
        <w:tc>
          <w:tcPr>
            <w:tcW w:w="1950" w:type="dxa"/>
            <w:shd w:val="clear" w:color="auto" w:fill="auto"/>
            <w:noWrap w:val="0"/>
            <w:vAlign w:val="center"/>
          </w:tcPr>
          <w:p w14:paraId="54528A7E">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SS等</w:t>
            </w:r>
          </w:p>
        </w:tc>
        <w:tc>
          <w:tcPr>
            <w:tcW w:w="1938" w:type="dxa"/>
            <w:shd w:val="clear" w:color="auto" w:fill="auto"/>
            <w:noWrap w:val="0"/>
            <w:vAlign w:val="center"/>
          </w:tcPr>
          <w:p w14:paraId="761DB037">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循环使用</w:t>
            </w:r>
          </w:p>
        </w:tc>
        <w:tc>
          <w:tcPr>
            <w:tcW w:w="1857" w:type="dxa"/>
            <w:shd w:val="clear" w:color="auto" w:fill="auto"/>
            <w:noWrap w:val="0"/>
            <w:vAlign w:val="center"/>
          </w:tcPr>
          <w:p w14:paraId="184044E5">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w:t>
            </w:r>
          </w:p>
        </w:tc>
      </w:tr>
      <w:tr w14:paraId="0D2D1E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50" w:type="dxa"/>
            <w:noWrap w:val="0"/>
            <w:vAlign w:val="center"/>
          </w:tcPr>
          <w:p w14:paraId="394DF4C6">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宋体" w:hAnsi="宋体" w:cs="宋体"/>
                <w:color w:val="auto"/>
                <w:szCs w:val="21"/>
              </w:rPr>
            </w:pPr>
            <w:r>
              <w:rPr>
                <w:rFonts w:hint="eastAsia" w:ascii="宋体" w:hAnsi="宋体" w:cs="宋体"/>
                <w:color w:val="auto"/>
                <w:szCs w:val="21"/>
              </w:rPr>
              <w:t>声环境</w:t>
            </w:r>
          </w:p>
        </w:tc>
        <w:tc>
          <w:tcPr>
            <w:tcW w:w="1605" w:type="dxa"/>
            <w:noWrap w:val="0"/>
            <w:vAlign w:val="center"/>
          </w:tcPr>
          <w:p w14:paraId="72C87CD5">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宋体" w:hAnsi="宋体" w:cs="宋体"/>
                <w:color w:val="auto"/>
                <w:szCs w:val="21"/>
              </w:rPr>
            </w:pPr>
            <w:r>
              <w:rPr>
                <w:rFonts w:hint="eastAsia"/>
                <w:color w:val="auto"/>
                <w:szCs w:val="21"/>
              </w:rPr>
              <w:t>生产设备噪声</w:t>
            </w:r>
          </w:p>
        </w:tc>
        <w:tc>
          <w:tcPr>
            <w:tcW w:w="1950" w:type="dxa"/>
            <w:noWrap w:val="0"/>
            <w:vAlign w:val="center"/>
          </w:tcPr>
          <w:p w14:paraId="1FF2F43A">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宋体" w:hAnsi="宋体" w:cs="宋体"/>
                <w:color w:val="auto"/>
                <w:szCs w:val="21"/>
              </w:rPr>
            </w:pPr>
            <w:r>
              <w:rPr>
                <w:rFonts w:hint="eastAsia" w:ascii="Times New Roman" w:hAnsi="Times New Roman" w:eastAsia="宋体" w:cs="Times New Roman"/>
                <w:color w:val="auto"/>
                <w:lang w:val="en-US" w:eastAsia="zh-CN"/>
              </w:rPr>
              <w:t>Leq（A）</w:t>
            </w:r>
          </w:p>
        </w:tc>
        <w:tc>
          <w:tcPr>
            <w:tcW w:w="1938" w:type="dxa"/>
            <w:noWrap w:val="0"/>
            <w:vAlign w:val="center"/>
          </w:tcPr>
          <w:p w14:paraId="76FAE9BC">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宋体" w:hAnsi="宋体" w:cs="宋体"/>
                <w:color w:val="auto"/>
                <w:szCs w:val="21"/>
              </w:rPr>
            </w:pPr>
            <w:r>
              <w:rPr>
                <w:rFonts w:hint="eastAsia" w:ascii="Times New Roman" w:hAnsi="Times New Roman" w:eastAsia="宋体" w:cs="Times New Roman"/>
                <w:color w:val="auto"/>
                <w:lang w:val="en-US" w:eastAsia="zh-CN"/>
              </w:rPr>
              <w:t>安装减振垫、封闭厂房隔音、风机安装消声器、</w:t>
            </w:r>
            <w:r>
              <w:rPr>
                <w:rFonts w:hint="eastAsia" w:cs="Times New Roman"/>
                <w:color w:val="auto"/>
                <w:lang w:val="en-US" w:eastAsia="zh-CN"/>
              </w:rPr>
              <w:t>厂区东侧</w:t>
            </w:r>
            <w:r>
              <w:rPr>
                <w:rFonts w:hint="eastAsia" w:ascii="Times New Roman" w:hAnsi="Times New Roman" w:eastAsia="宋体" w:cs="Times New Roman"/>
                <w:color w:val="auto"/>
                <w:lang w:val="en-US" w:eastAsia="zh-CN"/>
              </w:rPr>
              <w:t>设置隔音屏障等。</w:t>
            </w:r>
          </w:p>
        </w:tc>
        <w:tc>
          <w:tcPr>
            <w:tcW w:w="1857" w:type="dxa"/>
            <w:noWrap w:val="0"/>
            <w:vAlign w:val="center"/>
          </w:tcPr>
          <w:p w14:paraId="715EC9E8">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宋体" w:hAnsi="宋体" w:cs="宋体"/>
                <w:color w:val="auto"/>
                <w:szCs w:val="21"/>
              </w:rPr>
            </w:pPr>
            <w:r>
              <w:rPr>
                <w:rFonts w:hint="eastAsia" w:ascii="Times New Roman" w:hAnsi="Times New Roman" w:eastAsia="宋体" w:cs="Times New Roman"/>
                <w:color w:val="auto"/>
                <w:lang w:val="en-US" w:eastAsia="zh-CN"/>
              </w:rPr>
              <w:t>《工业企业厂界环境噪声排放标准》（GB12348-2008）2类标准</w:t>
            </w:r>
          </w:p>
        </w:tc>
      </w:tr>
      <w:tr w14:paraId="25EC2A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50" w:type="dxa"/>
            <w:noWrap w:val="0"/>
            <w:vAlign w:val="center"/>
          </w:tcPr>
          <w:p w14:paraId="21F9FDF2">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宋体" w:hAnsi="宋体" w:cs="宋体"/>
                <w:color w:val="auto"/>
                <w:szCs w:val="21"/>
              </w:rPr>
            </w:pPr>
            <w:r>
              <w:rPr>
                <w:rFonts w:hint="eastAsia" w:ascii="宋体" w:hAnsi="宋体" w:cs="宋体"/>
                <w:color w:val="auto"/>
                <w:szCs w:val="21"/>
              </w:rPr>
              <w:t>电磁辐射</w:t>
            </w:r>
          </w:p>
        </w:tc>
        <w:tc>
          <w:tcPr>
            <w:tcW w:w="1605" w:type="dxa"/>
            <w:noWrap w:val="0"/>
            <w:vAlign w:val="center"/>
          </w:tcPr>
          <w:p w14:paraId="7ED1CD3B">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宋体" w:hAnsi="宋体" w:cs="宋体"/>
                <w:color w:val="auto"/>
                <w:szCs w:val="21"/>
              </w:rPr>
            </w:pPr>
            <w:r>
              <w:rPr>
                <w:rFonts w:hint="eastAsia" w:ascii="宋体" w:hAnsi="宋体" w:cs="宋体"/>
                <w:color w:val="auto"/>
                <w:szCs w:val="21"/>
                <w:lang w:val="en-US" w:eastAsia="zh-CN"/>
              </w:rPr>
              <w:t>/</w:t>
            </w:r>
          </w:p>
        </w:tc>
        <w:tc>
          <w:tcPr>
            <w:tcW w:w="1950" w:type="dxa"/>
            <w:noWrap w:val="0"/>
            <w:vAlign w:val="center"/>
          </w:tcPr>
          <w:p w14:paraId="42C68AE0">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宋体" w:hAnsi="宋体" w:cs="宋体"/>
                <w:color w:val="auto"/>
                <w:szCs w:val="21"/>
              </w:rPr>
            </w:pPr>
            <w:r>
              <w:rPr>
                <w:rFonts w:hint="eastAsia" w:ascii="宋体" w:hAnsi="宋体" w:cs="宋体"/>
                <w:color w:val="auto"/>
                <w:szCs w:val="21"/>
                <w:lang w:val="en-US" w:eastAsia="zh-CN"/>
              </w:rPr>
              <w:t>/</w:t>
            </w:r>
          </w:p>
        </w:tc>
        <w:tc>
          <w:tcPr>
            <w:tcW w:w="1938" w:type="dxa"/>
            <w:noWrap w:val="0"/>
            <w:vAlign w:val="center"/>
          </w:tcPr>
          <w:p w14:paraId="6C8486B5">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宋体" w:hAnsi="宋体" w:cs="宋体"/>
                <w:color w:val="auto"/>
                <w:szCs w:val="21"/>
              </w:rPr>
            </w:pPr>
            <w:r>
              <w:rPr>
                <w:rFonts w:hint="eastAsia" w:ascii="宋体" w:hAnsi="宋体" w:cs="宋体"/>
                <w:color w:val="auto"/>
                <w:szCs w:val="21"/>
                <w:lang w:val="en-US" w:eastAsia="zh-CN"/>
              </w:rPr>
              <w:t>/</w:t>
            </w:r>
          </w:p>
        </w:tc>
        <w:tc>
          <w:tcPr>
            <w:tcW w:w="1857" w:type="dxa"/>
            <w:noWrap w:val="0"/>
            <w:vAlign w:val="center"/>
          </w:tcPr>
          <w:p w14:paraId="106CE3A9">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宋体" w:hAnsi="宋体" w:cs="宋体"/>
                <w:color w:val="auto"/>
                <w:szCs w:val="21"/>
              </w:rPr>
            </w:pPr>
            <w:r>
              <w:rPr>
                <w:rFonts w:hint="eastAsia" w:ascii="宋体" w:hAnsi="宋体" w:cs="宋体"/>
                <w:color w:val="auto"/>
                <w:szCs w:val="21"/>
                <w:lang w:val="en-US" w:eastAsia="zh-CN"/>
              </w:rPr>
              <w:t>/</w:t>
            </w:r>
          </w:p>
        </w:tc>
      </w:tr>
      <w:tr w14:paraId="3795E7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6" w:hRule="atLeast"/>
          <w:jc w:val="center"/>
        </w:trPr>
        <w:tc>
          <w:tcPr>
            <w:tcW w:w="1550" w:type="dxa"/>
            <w:noWrap w:val="0"/>
            <w:vAlign w:val="center"/>
          </w:tcPr>
          <w:p w14:paraId="7A2DD43F">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宋体" w:hAnsi="宋体" w:cs="宋体"/>
                <w:color w:val="auto"/>
                <w:szCs w:val="21"/>
              </w:rPr>
            </w:pPr>
            <w:r>
              <w:rPr>
                <w:rFonts w:hint="eastAsia" w:ascii="宋体" w:hAnsi="宋体" w:cs="宋体"/>
                <w:color w:val="auto"/>
                <w:szCs w:val="21"/>
              </w:rPr>
              <w:t>固体废物</w:t>
            </w:r>
          </w:p>
        </w:tc>
        <w:tc>
          <w:tcPr>
            <w:tcW w:w="7350" w:type="dxa"/>
            <w:gridSpan w:val="4"/>
            <w:noWrap w:val="0"/>
            <w:vAlign w:val="center"/>
          </w:tcPr>
          <w:p w14:paraId="446D6868">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宋体" w:hAnsi="宋体" w:cs="宋体"/>
                <w:color w:val="auto"/>
                <w:szCs w:val="21"/>
              </w:rPr>
            </w:pPr>
            <w:r>
              <w:rPr>
                <w:rFonts w:hint="eastAsia" w:ascii="宋体" w:hAnsi="宋体" w:cs="宋体"/>
                <w:color w:val="auto"/>
                <w:szCs w:val="21"/>
                <w:lang w:val="en-US" w:eastAsia="zh-CN"/>
              </w:rPr>
              <w:t>次品收集后洒水润湿，</w:t>
            </w:r>
            <w:r>
              <w:rPr>
                <w:rFonts w:hint="eastAsia" w:cs="Times New Roman"/>
                <w:color w:val="auto"/>
                <w:kern w:val="2"/>
                <w:sz w:val="21"/>
                <w:szCs w:val="21"/>
                <w:lang w:val="en-US" w:eastAsia="zh-CN" w:bidi="ar-SA"/>
              </w:rPr>
              <w:t>经对辊机破碎后作为原料使用</w:t>
            </w:r>
            <w:r>
              <w:rPr>
                <w:rFonts w:hint="eastAsia" w:ascii="宋体" w:hAnsi="宋体" w:cs="宋体"/>
                <w:color w:val="auto"/>
                <w:szCs w:val="21"/>
                <w:lang w:val="en-US" w:eastAsia="zh-CN"/>
              </w:rPr>
              <w:t>；</w:t>
            </w:r>
            <w:r>
              <w:rPr>
                <w:rFonts w:hint="eastAsia" w:cs="Times New Roman"/>
                <w:color w:val="auto"/>
                <w:kern w:val="2"/>
                <w:sz w:val="21"/>
                <w:szCs w:val="21"/>
                <w:lang w:val="en-US" w:eastAsia="zh-CN" w:bidi="ar-SA"/>
              </w:rPr>
              <w:t>脱硫渣清出后暂存于陈化库，委托免烧砖单位清运处置；</w:t>
            </w:r>
            <w:r>
              <w:rPr>
                <w:rFonts w:hint="eastAsia" w:ascii="宋体" w:hAnsi="宋体" w:cs="宋体"/>
                <w:color w:val="auto"/>
                <w:szCs w:val="21"/>
                <w:lang w:val="en-US" w:eastAsia="zh-CN"/>
              </w:rPr>
              <w:t>除尘灰清出后作为原料使用；</w:t>
            </w:r>
            <w:r>
              <w:rPr>
                <w:rFonts w:hint="eastAsia" w:cs="Times New Roman"/>
                <w:color w:val="auto"/>
                <w:kern w:val="2"/>
                <w:sz w:val="21"/>
                <w:szCs w:val="21"/>
                <w:lang w:val="en-US" w:eastAsia="zh-CN" w:bidi="ar-SA"/>
              </w:rPr>
              <w:t>煤渣经收集后暂存于原料车间，作为原料使用</w:t>
            </w:r>
            <w:r>
              <w:rPr>
                <w:rFonts w:hint="eastAsia" w:ascii="宋体" w:hAnsi="宋体" w:cs="宋体"/>
                <w:color w:val="auto"/>
                <w:szCs w:val="21"/>
                <w:lang w:val="en-US" w:eastAsia="zh-CN"/>
              </w:rPr>
              <w:t>；</w:t>
            </w:r>
            <w:r>
              <w:rPr>
                <w:rFonts w:hint="default" w:ascii="Times New Roman" w:hAnsi="Times New Roman" w:cs="Times New Roman"/>
                <w:b w:val="0"/>
                <w:bCs w:val="0"/>
                <w:color w:val="auto"/>
                <w:sz w:val="21"/>
                <w:szCs w:val="21"/>
                <w:lang w:eastAsia="zh-CN"/>
              </w:rPr>
              <w:t>切条及修坯废料</w:t>
            </w:r>
            <w:r>
              <w:rPr>
                <w:rFonts w:hint="default" w:ascii="Times New Roman" w:hAnsi="Times New Roman" w:cs="Times New Roman"/>
                <w:color w:val="auto"/>
                <w:sz w:val="21"/>
                <w:szCs w:val="21"/>
                <w:lang w:eastAsia="zh-CN"/>
              </w:rPr>
              <w:t>收集后</w:t>
            </w:r>
            <w:r>
              <w:rPr>
                <w:rFonts w:hint="default" w:ascii="Times New Roman" w:hAnsi="Times New Roman" w:cs="Times New Roman"/>
                <w:color w:val="auto"/>
                <w:sz w:val="21"/>
                <w:szCs w:val="21"/>
              </w:rPr>
              <w:t>经返回</w:t>
            </w:r>
            <w:r>
              <w:rPr>
                <w:rFonts w:hint="eastAsia" w:ascii="Times New Roman" w:hAnsi="Times New Roman" w:cs="Times New Roman"/>
                <w:color w:val="auto"/>
                <w:sz w:val="21"/>
                <w:szCs w:val="21"/>
                <w:lang w:val="en-US" w:eastAsia="zh-CN"/>
              </w:rPr>
              <w:t>搅拌工序</w:t>
            </w:r>
            <w:r>
              <w:rPr>
                <w:rFonts w:hint="default" w:ascii="Times New Roman" w:hAnsi="Times New Roman" w:cs="Times New Roman"/>
                <w:color w:val="auto"/>
                <w:sz w:val="21"/>
                <w:szCs w:val="21"/>
              </w:rPr>
              <w:t>做原料使用</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lang w:eastAsia="zh-CN"/>
              </w:rPr>
              <w:t>废润滑油</w:t>
            </w:r>
            <w:r>
              <w:rPr>
                <w:rFonts w:hint="default" w:ascii="Times New Roman" w:hAnsi="Times New Roman" w:cs="Times New Roman"/>
                <w:color w:val="auto"/>
                <w:sz w:val="21"/>
                <w:szCs w:val="21"/>
              </w:rPr>
              <w:t>由专用收集桶收集后暂存于</w:t>
            </w:r>
            <w:r>
              <w:rPr>
                <w:rFonts w:hint="eastAsia" w:cs="Times New Roman"/>
                <w:color w:val="auto"/>
                <w:sz w:val="21"/>
                <w:szCs w:val="21"/>
                <w:lang w:eastAsia="zh-CN"/>
              </w:rPr>
              <w:t>危废贮存库</w:t>
            </w:r>
            <w:r>
              <w:rPr>
                <w:rFonts w:hint="default" w:ascii="Times New Roman" w:hAnsi="Times New Roman" w:cs="Times New Roman"/>
                <w:color w:val="auto"/>
                <w:sz w:val="21"/>
                <w:szCs w:val="21"/>
              </w:rPr>
              <w:t>内，</w:t>
            </w:r>
            <w:r>
              <w:rPr>
                <w:rFonts w:hint="eastAsia" w:cs="Times New Roman"/>
                <w:color w:val="auto"/>
                <w:sz w:val="21"/>
                <w:szCs w:val="21"/>
                <w:lang w:val="en-US" w:eastAsia="zh-CN"/>
              </w:rPr>
              <w:t>委托有资质的单位清运处置；生活垃圾</w:t>
            </w:r>
            <w:r>
              <w:rPr>
                <w:rFonts w:hint="eastAsia" w:cs="Times New Roman"/>
                <w:color w:val="auto"/>
                <w:kern w:val="2"/>
                <w:sz w:val="21"/>
                <w:szCs w:val="21"/>
                <w:lang w:val="en-US" w:eastAsia="zh-CN" w:bidi="ar-SA"/>
              </w:rPr>
              <w:t>委托环卫部门清运处置</w:t>
            </w:r>
            <w:r>
              <w:rPr>
                <w:rFonts w:hint="eastAsia" w:ascii="宋体" w:hAnsi="宋体" w:cs="宋体"/>
                <w:color w:val="auto"/>
                <w:szCs w:val="21"/>
                <w:lang w:val="en-US" w:eastAsia="zh-CN"/>
              </w:rPr>
              <w:t>。</w:t>
            </w:r>
          </w:p>
        </w:tc>
      </w:tr>
      <w:tr w14:paraId="5C8CED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50" w:type="dxa"/>
            <w:noWrap w:val="0"/>
            <w:vAlign w:val="center"/>
          </w:tcPr>
          <w:p w14:paraId="79CC6395">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宋体" w:hAnsi="宋体" w:cs="宋体"/>
                <w:color w:val="auto"/>
                <w:szCs w:val="21"/>
              </w:rPr>
            </w:pPr>
            <w:r>
              <w:rPr>
                <w:rFonts w:hint="eastAsia" w:ascii="宋体" w:hAnsi="宋体" w:cs="宋体"/>
                <w:color w:val="auto"/>
                <w:szCs w:val="21"/>
              </w:rPr>
              <w:t>土壤及地下水</w:t>
            </w:r>
          </w:p>
          <w:p w14:paraId="1E75FB14">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宋体" w:hAnsi="宋体" w:cs="宋体"/>
                <w:color w:val="auto"/>
                <w:szCs w:val="21"/>
              </w:rPr>
            </w:pPr>
            <w:r>
              <w:rPr>
                <w:rFonts w:hint="eastAsia" w:ascii="宋体" w:hAnsi="宋体" w:cs="宋体"/>
                <w:color w:val="auto"/>
                <w:szCs w:val="21"/>
              </w:rPr>
              <w:t>污染防治措施</w:t>
            </w:r>
          </w:p>
        </w:tc>
        <w:tc>
          <w:tcPr>
            <w:tcW w:w="7350" w:type="dxa"/>
            <w:gridSpan w:val="4"/>
            <w:noWrap w:val="0"/>
            <w:vAlign w:val="center"/>
          </w:tcPr>
          <w:p w14:paraId="4AA1AE87">
            <w:pPr>
              <w:keepNext w:val="0"/>
              <w:keepLines w:val="0"/>
              <w:pageBreakBefore w:val="0"/>
              <w:widowControl w:val="0"/>
              <w:kinsoku/>
              <w:wordWrap/>
              <w:overflowPunct/>
              <w:topLinePunct w:val="0"/>
              <w:autoSpaceDE/>
              <w:autoSpaceDN/>
              <w:bidi w:val="0"/>
              <w:adjustRightInd w:val="0"/>
              <w:snapToGrid w:val="0"/>
              <w:spacing w:before="95" w:beforeLines="30" w:after="95" w:afterLines="30" w:line="240" w:lineRule="auto"/>
              <w:ind w:right="0" w:firstLine="420" w:firstLineChars="200"/>
              <w:jc w:val="both"/>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脱硫塔循环水池</w:t>
            </w:r>
            <w:r>
              <w:rPr>
                <w:rFonts w:hint="eastAsia" w:cs="Times New Roman"/>
                <w:color w:val="auto"/>
                <w:sz w:val="21"/>
                <w:szCs w:val="21"/>
                <w:lang w:val="en-US" w:eastAsia="zh-CN"/>
              </w:rPr>
              <w:t>、原料车间</w:t>
            </w:r>
            <w:r>
              <w:rPr>
                <w:rFonts w:hint="eastAsia" w:ascii="Times New Roman" w:hAnsi="Times New Roman" w:eastAsia="宋体" w:cs="Times New Roman"/>
                <w:color w:val="auto"/>
                <w:sz w:val="21"/>
                <w:szCs w:val="21"/>
                <w:lang w:val="en-US" w:eastAsia="zh-CN"/>
              </w:rPr>
              <w:t>进行</w:t>
            </w:r>
            <w:r>
              <w:rPr>
                <w:rFonts w:hint="eastAsia" w:ascii="Times New Roman" w:hAnsi="Times New Roman" w:eastAsia="宋体" w:cs="Times New Roman"/>
                <w:color w:val="auto"/>
                <w:sz w:val="21"/>
                <w:szCs w:val="21"/>
                <w:lang w:eastAsia="zh-CN"/>
              </w:rPr>
              <w:t>重点防渗，</w:t>
            </w:r>
            <w:r>
              <w:rPr>
                <w:rFonts w:hint="eastAsia" w:ascii="Times New Roman" w:hAnsi="Times New Roman" w:eastAsia="宋体" w:cs="Times New Roman"/>
                <w:color w:val="auto"/>
                <w:sz w:val="21"/>
                <w:szCs w:val="21"/>
              </w:rPr>
              <w:t>执行</w:t>
            </w:r>
            <w:r>
              <w:rPr>
                <w:rFonts w:hint="eastAsia" w:ascii="Times New Roman" w:hAnsi="Times New Roman" w:eastAsia="宋体" w:cs="Times New Roman"/>
                <w:color w:val="auto"/>
                <w:sz w:val="21"/>
                <w:szCs w:val="21"/>
                <w:lang w:val="en-US" w:eastAsia="zh-CN"/>
              </w:rPr>
              <w:t>《环境影响评价技术导则 地下水环境》（HJ 610-2016）中技术要求</w:t>
            </w:r>
            <w:r>
              <w:rPr>
                <w:rFonts w:ascii="Times New Roman" w:hAnsi="Times New Roman" w:eastAsia="宋体" w:cs="Times New Roman"/>
                <w:color w:val="auto"/>
                <w:kern w:val="24"/>
                <w:sz w:val="21"/>
                <w:szCs w:val="21"/>
              </w:rPr>
              <w:t>等效黏土防渗层厚度Mb≥</w:t>
            </w:r>
            <w:r>
              <w:rPr>
                <w:rFonts w:hint="eastAsia" w:ascii="Times New Roman" w:hAnsi="Times New Roman" w:eastAsia="宋体" w:cs="Times New Roman"/>
                <w:color w:val="auto"/>
                <w:kern w:val="24"/>
                <w:sz w:val="21"/>
                <w:szCs w:val="21"/>
                <w:lang w:val="en-US" w:eastAsia="zh-CN"/>
              </w:rPr>
              <w:t>6.0</w:t>
            </w:r>
            <w:r>
              <w:rPr>
                <w:rFonts w:ascii="Times New Roman" w:hAnsi="Times New Roman" w:eastAsia="宋体" w:cs="Times New Roman"/>
                <w:color w:val="auto"/>
                <w:kern w:val="24"/>
                <w:sz w:val="21"/>
                <w:szCs w:val="21"/>
              </w:rPr>
              <w:t>m，渗透系数K≤1.0×10</w:t>
            </w:r>
            <w:r>
              <w:rPr>
                <w:rFonts w:ascii="Times New Roman" w:hAnsi="Times New Roman" w:eastAsia="宋体" w:cs="Times New Roman"/>
                <w:color w:val="auto"/>
                <w:kern w:val="24"/>
                <w:sz w:val="21"/>
                <w:szCs w:val="21"/>
                <w:vertAlign w:val="superscript"/>
              </w:rPr>
              <w:t>-7</w:t>
            </w:r>
            <w:r>
              <w:rPr>
                <w:rFonts w:ascii="Times New Roman" w:hAnsi="Times New Roman" w:eastAsia="宋体" w:cs="Times New Roman"/>
                <w:color w:val="auto"/>
                <w:kern w:val="24"/>
                <w:sz w:val="21"/>
                <w:szCs w:val="21"/>
              </w:rPr>
              <w:t>cm/s</w:t>
            </w:r>
            <w:r>
              <w:rPr>
                <w:rFonts w:hint="eastAsia" w:ascii="Times New Roman" w:hAnsi="Times New Roman" w:eastAsia="宋体" w:cs="Times New Roman"/>
                <w:color w:val="auto"/>
                <w:sz w:val="21"/>
                <w:szCs w:val="21"/>
                <w:lang w:val="en-US" w:eastAsia="zh-CN"/>
              </w:rPr>
              <w:t>。</w:t>
            </w:r>
          </w:p>
          <w:p w14:paraId="68DFE90F">
            <w:pPr>
              <w:keepNext w:val="0"/>
              <w:keepLines w:val="0"/>
              <w:pageBreakBefore w:val="0"/>
              <w:widowControl w:val="0"/>
              <w:kinsoku/>
              <w:wordWrap/>
              <w:overflowPunct/>
              <w:topLinePunct w:val="0"/>
              <w:autoSpaceDE/>
              <w:autoSpaceDN/>
              <w:bidi w:val="0"/>
              <w:adjustRightInd w:val="0"/>
              <w:snapToGrid w:val="0"/>
              <w:spacing w:before="95" w:beforeLines="30" w:after="95" w:afterLines="30"/>
              <w:ind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危废贮存库</w:t>
            </w:r>
            <w:r>
              <w:rPr>
                <w:rFonts w:hint="eastAsia" w:ascii="Times New Roman" w:hAnsi="Times New Roman" w:eastAsia="宋体" w:cs="Times New Roman"/>
                <w:color w:val="auto"/>
                <w:sz w:val="21"/>
                <w:szCs w:val="21"/>
                <w:lang w:val="en-US" w:eastAsia="zh-CN"/>
              </w:rPr>
              <w:t>执行</w:t>
            </w:r>
            <w:r>
              <w:rPr>
                <w:rFonts w:hint="default" w:ascii="Times New Roman" w:hAnsi="Times New Roman" w:eastAsia="宋体" w:cs="Times New Roman"/>
                <w:color w:val="auto"/>
                <w:sz w:val="21"/>
                <w:szCs w:val="21"/>
                <w:lang w:eastAsia="zh-CN"/>
              </w:rPr>
              <w:t>《危险废物贮存污染控制标准》（GB18597-2023），</w:t>
            </w:r>
            <w:r>
              <w:rPr>
                <w:rFonts w:hint="default" w:ascii="Times New Roman" w:hAnsi="Times New Roman" w:eastAsia="宋体" w:cs="Times New Roman"/>
                <w:color w:val="auto"/>
                <w:sz w:val="21"/>
                <w:szCs w:val="21"/>
                <w:lang w:val="en-US" w:eastAsia="zh-CN"/>
              </w:rPr>
              <w:t>为重点防渗区，</w:t>
            </w:r>
            <w:r>
              <w:rPr>
                <w:rFonts w:hint="default" w:ascii="Times New Roman" w:hAnsi="Times New Roman" w:eastAsia="宋体" w:cs="Times New Roman"/>
                <w:b w:val="0"/>
                <w:bCs w:val="0"/>
                <w:color w:val="auto"/>
                <w:sz w:val="21"/>
                <w:szCs w:val="21"/>
                <w:highlight w:val="none"/>
                <w:lang w:val="en-US" w:eastAsia="zh-CN"/>
              </w:rPr>
              <w:t>在混凝土场地防渗基础上，再铺设一层</w:t>
            </w:r>
            <w:r>
              <w:rPr>
                <w:rFonts w:hint="eastAsia" w:cs="Times New Roman"/>
                <w:b w:val="0"/>
                <w:bCs w:val="0"/>
                <w:color w:val="auto"/>
                <w:sz w:val="21"/>
                <w:szCs w:val="21"/>
                <w:highlight w:val="none"/>
                <w:lang w:val="en-US" w:eastAsia="zh-CN"/>
              </w:rPr>
              <w:t>人工防渗层</w:t>
            </w:r>
            <w:r>
              <w:rPr>
                <w:rFonts w:hint="default" w:ascii="Times New Roman" w:hAnsi="Times New Roman" w:eastAsia="宋体" w:cs="Times New Roman"/>
                <w:b w:val="0"/>
                <w:bCs w:val="0"/>
                <w:color w:val="auto"/>
                <w:sz w:val="21"/>
                <w:szCs w:val="21"/>
                <w:highlight w:val="none"/>
                <w:lang w:val="en-US" w:eastAsia="zh-CN"/>
              </w:rPr>
              <w:t>，确保重点防渗区地面防渗能力相当于6.0m厚黏土层、渗透系数≤10</w:t>
            </w:r>
            <w:r>
              <w:rPr>
                <w:rFonts w:hint="default" w:ascii="Times New Roman" w:hAnsi="Times New Roman" w:eastAsia="宋体" w:cs="Times New Roman"/>
                <w:b w:val="0"/>
                <w:bCs w:val="0"/>
                <w:color w:val="auto"/>
                <w:sz w:val="21"/>
                <w:szCs w:val="21"/>
                <w:highlight w:val="none"/>
                <w:vertAlign w:val="superscript"/>
                <w:lang w:val="en-US" w:eastAsia="zh-CN"/>
              </w:rPr>
              <w:t>-10</w:t>
            </w:r>
            <w:r>
              <w:rPr>
                <w:rFonts w:hint="default" w:ascii="Times New Roman" w:hAnsi="Times New Roman" w:eastAsia="宋体" w:cs="Times New Roman"/>
                <w:b w:val="0"/>
                <w:bCs w:val="0"/>
                <w:color w:val="auto"/>
                <w:sz w:val="21"/>
                <w:szCs w:val="21"/>
                <w:highlight w:val="none"/>
                <w:lang w:val="en-US" w:eastAsia="zh-CN"/>
              </w:rPr>
              <w:t>cm/s的防渗能力</w:t>
            </w:r>
            <w:r>
              <w:rPr>
                <w:rFonts w:hint="eastAsia" w:cs="Times New Roman"/>
                <w:b w:val="0"/>
                <w:bCs w:val="0"/>
                <w:color w:val="auto"/>
                <w:sz w:val="21"/>
                <w:szCs w:val="21"/>
                <w:highlight w:val="none"/>
                <w:lang w:val="en-US" w:eastAsia="zh-CN"/>
              </w:rPr>
              <w:t>。</w:t>
            </w:r>
          </w:p>
          <w:p w14:paraId="2C5621B1">
            <w:pPr>
              <w:keepNext w:val="0"/>
              <w:keepLines w:val="0"/>
              <w:pageBreakBefore w:val="0"/>
              <w:widowControl w:val="0"/>
              <w:kinsoku/>
              <w:wordWrap/>
              <w:overflowPunct/>
              <w:topLinePunct w:val="0"/>
              <w:autoSpaceDE/>
              <w:autoSpaceDN/>
              <w:bidi w:val="0"/>
              <w:adjustRightInd w:val="0"/>
              <w:snapToGrid w:val="0"/>
              <w:spacing w:before="95" w:beforeLines="30" w:after="95" w:afterLines="30"/>
              <w:ind w:firstLine="420" w:firstLineChars="200"/>
              <w:jc w:val="both"/>
              <w:textAlignment w:val="auto"/>
              <w:rPr>
                <w:rFonts w:hint="eastAsia" w:ascii="宋体" w:hAnsi="宋体" w:cs="宋体"/>
                <w:color w:val="auto"/>
                <w:szCs w:val="21"/>
              </w:rPr>
            </w:pPr>
            <w:r>
              <w:rPr>
                <w:rFonts w:hint="eastAsia" w:ascii="Times New Roman" w:hAnsi="Times New Roman" w:eastAsia="宋体" w:cs="Times New Roman"/>
                <w:color w:val="auto"/>
                <w:kern w:val="2"/>
                <w:sz w:val="21"/>
                <w:szCs w:val="21"/>
                <w:lang w:val="en-US" w:eastAsia="zh-CN" w:bidi="ar-SA"/>
              </w:rPr>
              <w:t>其余场地实施简单防渗，</w:t>
            </w:r>
            <w:r>
              <w:rPr>
                <w:rFonts w:hint="default" w:ascii="Times New Roman" w:hAnsi="Times New Roman" w:eastAsia="宋体" w:cs="Times New Roman"/>
                <w:color w:val="auto"/>
                <w:kern w:val="2"/>
                <w:sz w:val="21"/>
                <w:szCs w:val="21"/>
                <w:lang w:val="en-US" w:eastAsia="zh-CN" w:bidi="ar-SA"/>
              </w:rPr>
              <w:t>防渗技术要求为地面硬化</w:t>
            </w:r>
            <w:r>
              <w:rPr>
                <w:rFonts w:hint="eastAsia" w:ascii="Times New Roman" w:hAnsi="Times New Roman" w:eastAsia="宋体" w:cs="Times New Roman"/>
                <w:color w:val="auto"/>
                <w:kern w:val="2"/>
                <w:sz w:val="21"/>
                <w:szCs w:val="21"/>
                <w:lang w:val="en-US" w:eastAsia="zh-CN" w:bidi="ar-SA"/>
              </w:rPr>
              <w:t>。</w:t>
            </w:r>
          </w:p>
        </w:tc>
      </w:tr>
      <w:tr w14:paraId="6CF24E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1550" w:type="dxa"/>
            <w:noWrap w:val="0"/>
            <w:vAlign w:val="center"/>
          </w:tcPr>
          <w:p w14:paraId="497B5226">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宋体" w:hAnsi="宋体" w:cs="宋体"/>
                <w:color w:val="auto"/>
                <w:szCs w:val="21"/>
              </w:rPr>
            </w:pPr>
            <w:r>
              <w:rPr>
                <w:rFonts w:hint="eastAsia" w:ascii="宋体" w:hAnsi="宋体" w:cs="宋体"/>
                <w:color w:val="auto"/>
                <w:szCs w:val="21"/>
              </w:rPr>
              <w:t>生态保护措施</w:t>
            </w:r>
          </w:p>
        </w:tc>
        <w:tc>
          <w:tcPr>
            <w:tcW w:w="7350" w:type="dxa"/>
            <w:gridSpan w:val="4"/>
            <w:noWrap w:val="0"/>
            <w:vAlign w:val="center"/>
          </w:tcPr>
          <w:p w14:paraId="5967E2AC">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宋体" w:hAnsi="宋体" w:eastAsia="宋体" w:cs="宋体"/>
                <w:color w:val="auto"/>
                <w:szCs w:val="21"/>
                <w:lang w:val="en-US" w:eastAsia="zh-CN"/>
              </w:rPr>
            </w:pPr>
            <w:r>
              <w:rPr>
                <w:rFonts w:hint="eastAsia" w:ascii="宋体" w:hAnsi="宋体" w:cs="宋体"/>
                <w:color w:val="auto"/>
                <w:szCs w:val="21"/>
                <w:lang w:val="en-US" w:eastAsia="zh-CN"/>
              </w:rPr>
              <w:t>无</w:t>
            </w:r>
          </w:p>
        </w:tc>
      </w:tr>
      <w:tr w14:paraId="0DEC5E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50" w:type="dxa"/>
            <w:noWrap w:val="0"/>
            <w:vAlign w:val="center"/>
          </w:tcPr>
          <w:p w14:paraId="0E79D4F0">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ascii="宋体" w:hAnsi="宋体" w:cs="宋体"/>
                <w:color w:val="auto"/>
                <w:spacing w:val="-8"/>
                <w:szCs w:val="21"/>
              </w:rPr>
            </w:pPr>
            <w:r>
              <w:rPr>
                <w:rFonts w:hint="eastAsia" w:ascii="宋体" w:hAnsi="宋体" w:cs="宋体"/>
                <w:color w:val="auto"/>
                <w:spacing w:val="-8"/>
                <w:szCs w:val="21"/>
              </w:rPr>
              <w:t>环境风险</w:t>
            </w:r>
          </w:p>
          <w:p w14:paraId="68C51283">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宋体" w:hAnsi="宋体" w:cs="宋体"/>
                <w:color w:val="auto"/>
                <w:spacing w:val="-8"/>
                <w:szCs w:val="21"/>
              </w:rPr>
            </w:pPr>
            <w:r>
              <w:rPr>
                <w:rFonts w:hint="eastAsia" w:ascii="宋体" w:hAnsi="宋体" w:cs="宋体"/>
                <w:color w:val="auto"/>
                <w:spacing w:val="-8"/>
                <w:szCs w:val="21"/>
              </w:rPr>
              <w:t>防范措施</w:t>
            </w:r>
          </w:p>
        </w:tc>
        <w:tc>
          <w:tcPr>
            <w:tcW w:w="7350" w:type="dxa"/>
            <w:gridSpan w:val="4"/>
            <w:noWrap w:val="0"/>
            <w:vAlign w:val="center"/>
          </w:tcPr>
          <w:p w14:paraId="173D9795">
            <w:pPr>
              <w:keepNext w:val="0"/>
              <w:keepLines w:val="0"/>
              <w:pageBreakBefore w:val="0"/>
              <w:widowControl w:val="0"/>
              <w:suppressLineNumbers w:val="0"/>
              <w:kinsoku/>
              <w:wordWrap/>
              <w:overflowPunct/>
              <w:topLinePunct w:val="0"/>
              <w:autoSpaceDE/>
              <w:autoSpaceDN/>
              <w:bidi w:val="0"/>
              <w:snapToGrid w:val="0"/>
              <w:spacing w:before="95" w:beforeLines="30" w:beforeAutospacing="0" w:after="95" w:afterLines="30" w:afterAutospacing="0" w:line="240" w:lineRule="auto"/>
              <w:ind w:left="0" w:leftChars="0" w:right="0" w:rightChars="0" w:firstLine="0" w:firstLineChars="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①废矿物油泄漏风险防范措施</w:t>
            </w:r>
          </w:p>
          <w:p w14:paraId="4B26E0E3">
            <w:pPr>
              <w:keepNext w:val="0"/>
              <w:keepLines w:val="0"/>
              <w:pageBreakBefore w:val="0"/>
              <w:widowControl w:val="0"/>
              <w:suppressLineNumbers w:val="0"/>
              <w:kinsoku/>
              <w:wordWrap/>
              <w:overflowPunct/>
              <w:topLinePunct w:val="0"/>
              <w:autoSpaceDE/>
              <w:autoSpaceDN/>
              <w:bidi w:val="0"/>
              <w:snapToGrid w:val="0"/>
              <w:spacing w:before="95" w:beforeLines="30" w:beforeAutospacing="0" w:after="95" w:afterLines="30" w:afterAutospacing="0" w:line="240" w:lineRule="auto"/>
              <w:ind w:left="0" w:leftChars="0" w:right="0" w:rightChars="0" w:firstLine="0" w:firstLineChars="0"/>
              <w:jc w:val="both"/>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a、</w:t>
            </w:r>
            <w:r>
              <w:rPr>
                <w:rFonts w:hint="eastAsia" w:cs="宋体"/>
                <w:color w:val="auto"/>
                <w:sz w:val="21"/>
                <w:szCs w:val="21"/>
                <w:lang w:val="en-US" w:eastAsia="zh-CN"/>
              </w:rPr>
              <w:t>危废贮存库</w:t>
            </w:r>
            <w:r>
              <w:rPr>
                <w:rFonts w:hint="eastAsia" w:ascii="Times New Roman" w:hAnsi="Times New Roman" w:eastAsia="宋体" w:cs="宋体"/>
                <w:color w:val="auto"/>
                <w:sz w:val="21"/>
                <w:szCs w:val="21"/>
                <w:lang w:val="en-US" w:eastAsia="zh-CN"/>
              </w:rPr>
              <w:t>附近严禁烟火，并张贴禁火标识；</w:t>
            </w:r>
          </w:p>
          <w:p w14:paraId="115D5E2A">
            <w:pPr>
              <w:keepNext w:val="0"/>
              <w:keepLines w:val="0"/>
              <w:pageBreakBefore w:val="0"/>
              <w:widowControl w:val="0"/>
              <w:suppressLineNumbers w:val="0"/>
              <w:kinsoku/>
              <w:wordWrap/>
              <w:overflowPunct/>
              <w:topLinePunct w:val="0"/>
              <w:autoSpaceDE/>
              <w:autoSpaceDN/>
              <w:bidi w:val="0"/>
              <w:snapToGrid w:val="0"/>
              <w:spacing w:before="95" w:beforeLines="30" w:beforeAutospacing="0" w:after="95" w:afterLines="30" w:afterAutospacing="0" w:line="240" w:lineRule="auto"/>
              <w:ind w:left="0" w:leftChars="0" w:right="0" w:rightChars="0" w:firstLine="0" w:firstLineChars="0"/>
              <w:jc w:val="both"/>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b、当</w:t>
            </w:r>
            <w:r>
              <w:rPr>
                <w:rFonts w:hint="eastAsia" w:cs="宋体"/>
                <w:color w:val="auto"/>
                <w:sz w:val="21"/>
                <w:szCs w:val="21"/>
                <w:lang w:val="en-US" w:eastAsia="zh-CN"/>
              </w:rPr>
              <w:t>发生</w:t>
            </w:r>
            <w:r>
              <w:rPr>
                <w:rFonts w:hint="eastAsia" w:ascii="Times New Roman" w:hAnsi="Times New Roman" w:eastAsia="宋体" w:cs="宋体"/>
                <w:color w:val="auto"/>
                <w:sz w:val="21"/>
                <w:szCs w:val="21"/>
                <w:lang w:val="en-US" w:eastAsia="zh-CN"/>
              </w:rPr>
              <w:t>泄漏时，及时寻找泄漏点并阻隔泄漏点，防止进一步泄漏，同时采取加强通风；</w:t>
            </w:r>
          </w:p>
          <w:p w14:paraId="7A464A89">
            <w:pPr>
              <w:keepNext w:val="0"/>
              <w:keepLines w:val="0"/>
              <w:pageBreakBefore w:val="0"/>
              <w:widowControl w:val="0"/>
              <w:suppressLineNumbers w:val="0"/>
              <w:kinsoku/>
              <w:wordWrap/>
              <w:overflowPunct/>
              <w:topLinePunct w:val="0"/>
              <w:autoSpaceDE/>
              <w:autoSpaceDN/>
              <w:bidi w:val="0"/>
              <w:snapToGrid w:val="0"/>
              <w:spacing w:before="95" w:beforeLines="30" w:beforeAutospacing="0" w:after="95" w:afterLines="30" w:afterAutospacing="0" w:line="240" w:lineRule="auto"/>
              <w:ind w:left="0" w:leftChars="0" w:right="0" w:rightChars="0" w:firstLine="0" w:firstLineChars="0"/>
              <w:jc w:val="both"/>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c、火灾发生时，及时扑灭大火；</w:t>
            </w:r>
          </w:p>
          <w:p w14:paraId="4E1DCEC6">
            <w:pPr>
              <w:keepNext w:val="0"/>
              <w:keepLines w:val="0"/>
              <w:pageBreakBefore w:val="0"/>
              <w:widowControl w:val="0"/>
              <w:kinsoku/>
              <w:wordWrap/>
              <w:overflowPunct/>
              <w:topLinePunct w:val="0"/>
              <w:autoSpaceDE/>
              <w:autoSpaceDN/>
              <w:bidi w:val="0"/>
              <w:adjustRightInd w:val="0"/>
              <w:snapToGrid w:val="0"/>
              <w:spacing w:before="95" w:beforeLines="30" w:after="95" w:afterLines="30"/>
              <w:jc w:val="both"/>
              <w:textAlignment w:val="auto"/>
              <w:rPr>
                <w:rFonts w:hint="eastAsia" w:ascii="宋体" w:hAnsi="宋体" w:cs="宋体"/>
                <w:color w:val="auto"/>
                <w:szCs w:val="21"/>
              </w:rPr>
            </w:pPr>
            <w:r>
              <w:rPr>
                <w:rFonts w:hint="eastAsia" w:ascii="Times New Roman" w:hAnsi="Times New Roman" w:eastAsia="宋体" w:cs="宋体"/>
                <w:color w:val="auto"/>
                <w:sz w:val="21"/>
                <w:szCs w:val="21"/>
                <w:lang w:val="en-US" w:eastAsia="zh-CN"/>
              </w:rPr>
              <w:t>d、运营期间需定期检查废润滑油储存桶运行状态，发现异常及时处理。</w:t>
            </w:r>
          </w:p>
        </w:tc>
      </w:tr>
      <w:tr w14:paraId="27D8A2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50" w:type="dxa"/>
            <w:noWrap w:val="0"/>
            <w:vAlign w:val="center"/>
          </w:tcPr>
          <w:p w14:paraId="07CFF061">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ascii="宋体" w:hAnsi="宋体" w:cs="宋体"/>
                <w:color w:val="auto"/>
                <w:spacing w:val="-8"/>
                <w:szCs w:val="21"/>
              </w:rPr>
            </w:pPr>
            <w:r>
              <w:rPr>
                <w:rFonts w:hint="eastAsia" w:ascii="宋体" w:hAnsi="宋体" w:cs="宋体"/>
                <w:color w:val="auto"/>
                <w:spacing w:val="-8"/>
                <w:szCs w:val="21"/>
              </w:rPr>
              <w:t>其他环境</w:t>
            </w:r>
          </w:p>
          <w:p w14:paraId="01C19B54">
            <w:pPr>
              <w:keepNext w:val="0"/>
              <w:keepLines w:val="0"/>
              <w:pageBreakBefore w:val="0"/>
              <w:widowControl w:val="0"/>
              <w:kinsoku/>
              <w:wordWrap/>
              <w:overflowPunct/>
              <w:topLinePunct w:val="0"/>
              <w:autoSpaceDE/>
              <w:autoSpaceDN/>
              <w:bidi w:val="0"/>
              <w:adjustRightInd w:val="0"/>
              <w:snapToGrid w:val="0"/>
              <w:spacing w:before="95" w:beforeLines="30" w:after="95" w:afterLines="30"/>
              <w:jc w:val="center"/>
              <w:textAlignment w:val="auto"/>
              <w:rPr>
                <w:rFonts w:hint="eastAsia" w:ascii="宋体" w:hAnsi="宋体" w:cs="宋体"/>
                <w:color w:val="auto"/>
                <w:spacing w:val="-8"/>
                <w:szCs w:val="21"/>
              </w:rPr>
            </w:pPr>
            <w:r>
              <w:rPr>
                <w:rFonts w:hint="eastAsia" w:ascii="宋体" w:hAnsi="宋体" w:cs="宋体"/>
                <w:color w:val="auto"/>
                <w:spacing w:val="-8"/>
                <w:szCs w:val="21"/>
              </w:rPr>
              <w:t>管理要求</w:t>
            </w:r>
          </w:p>
        </w:tc>
        <w:tc>
          <w:tcPr>
            <w:tcW w:w="7350" w:type="dxa"/>
            <w:gridSpan w:val="4"/>
            <w:noWrap w:val="0"/>
            <w:vAlign w:val="center"/>
          </w:tcPr>
          <w:p w14:paraId="09ADD42F">
            <w:pPr>
              <w:keepNext w:val="0"/>
              <w:keepLines w:val="0"/>
              <w:pageBreakBefore w:val="0"/>
              <w:widowControl w:val="0"/>
              <w:kinsoku/>
              <w:wordWrap/>
              <w:overflowPunct/>
              <w:topLinePunct w:val="0"/>
              <w:autoSpaceDE/>
              <w:autoSpaceDN/>
              <w:bidi w:val="0"/>
              <w:snapToGrid w:val="0"/>
              <w:spacing w:before="95" w:beforeLines="30" w:after="95" w:afterLines="30" w:line="240" w:lineRule="auto"/>
              <w:ind w:firstLine="420" w:firstLineChars="20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①严格执行环境保护设施应与主体同时设计、同时施工、同时投入使用的环保“三同时”。</w:t>
            </w:r>
          </w:p>
          <w:p w14:paraId="229A763D">
            <w:pPr>
              <w:keepNext w:val="0"/>
              <w:keepLines w:val="0"/>
              <w:pageBreakBefore w:val="0"/>
              <w:widowControl w:val="0"/>
              <w:kinsoku/>
              <w:wordWrap/>
              <w:overflowPunct/>
              <w:topLinePunct w:val="0"/>
              <w:autoSpaceDE/>
              <w:autoSpaceDN/>
              <w:bidi w:val="0"/>
              <w:adjustRightInd w:val="0"/>
              <w:snapToGrid w:val="0"/>
              <w:spacing w:before="95" w:beforeLines="30" w:after="95" w:afterLines="30"/>
              <w:ind w:firstLine="420" w:firstLineChars="200"/>
              <w:textAlignment w:val="auto"/>
              <w:rPr>
                <w:rFonts w:hint="eastAsia" w:ascii="宋体" w:hAnsi="宋体" w:cs="宋体"/>
                <w:color w:val="auto"/>
                <w:szCs w:val="21"/>
              </w:rPr>
            </w:pPr>
            <w:r>
              <w:rPr>
                <w:rFonts w:hint="default" w:ascii="Times New Roman" w:hAnsi="Times New Roman" w:eastAsia="宋体" w:cs="Times New Roman"/>
                <w:color w:val="auto"/>
                <w:kern w:val="2"/>
                <w:sz w:val="21"/>
                <w:szCs w:val="21"/>
                <w:lang w:val="en-US" w:eastAsia="zh-CN" w:bidi="ar-SA"/>
              </w:rPr>
              <w:t>②按照《建设项目竣工环境保护验收暂行办法》要求开展竣工环境保护验收工作。</w:t>
            </w:r>
          </w:p>
        </w:tc>
      </w:tr>
    </w:tbl>
    <w:p w14:paraId="2C3D5F21">
      <w:pPr>
        <w:pStyle w:val="25"/>
        <w:jc w:val="center"/>
        <w:outlineLvl w:val="0"/>
        <w:rPr>
          <w:rFonts w:ascii="黑体" w:hAnsi="黑体" w:eastAsia="黑体"/>
          <w:snapToGrid w:val="0"/>
          <w:color w:val="auto"/>
          <w:sz w:val="30"/>
          <w:szCs w:val="30"/>
        </w:rPr>
      </w:pPr>
      <w:r>
        <w:rPr>
          <w:snapToGrid w:val="0"/>
          <w:color w:val="auto"/>
        </w:rPr>
        <w:br w:type="page"/>
      </w:r>
      <w:bookmarkStart w:id="15" w:name="_Toc16211"/>
      <w:r>
        <w:rPr>
          <w:rFonts w:hint="eastAsia" w:ascii="黑体" w:hAnsi="黑体" w:eastAsia="黑体"/>
          <w:snapToGrid w:val="0"/>
          <w:color w:val="auto"/>
          <w:sz w:val="30"/>
          <w:szCs w:val="30"/>
        </w:rPr>
        <w:t>六、结论</w:t>
      </w:r>
      <w:bookmarkEnd w:id="15"/>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5B7059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3B5F7002">
            <w:pPr>
              <w:spacing w:line="360" w:lineRule="auto"/>
              <w:ind w:firstLine="420" w:firstLineChars="20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项目</w:t>
            </w:r>
            <w:r>
              <w:rPr>
                <w:rFonts w:hint="default" w:ascii="Times New Roman" w:hAnsi="Times New Roman" w:eastAsia="宋体" w:cs="Times New Roman"/>
                <w:color w:val="auto"/>
                <w:szCs w:val="21"/>
              </w:rPr>
              <w:t>符合国家和地方相关产业政策；不涉及自然保护区、饮用水源保护区、生态红线、基本农田等环境敏感区域，平面布局较合理，符合生态保护红线、环境质量底线、资源利用上线的控制要求。</w:t>
            </w:r>
          </w:p>
          <w:p w14:paraId="4383B087">
            <w:pPr>
              <w:spacing w:line="360" w:lineRule="auto"/>
              <w:ind w:firstLine="420" w:firstLineChars="20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单位在严格按照环评提出的要求，切实落实相应的污染防治对策及生态保护措施，严格执行建设项目竣工环境保护验收，并加强环保设施管理和维护，确保环保设施的正常高效运行的基础上，可做到噪声和废气达标排放；固体废弃物100%合理处置，项目运营过程中对所在区域的环境质量影响较小，不改变所在区域的环境功能，对环境保护目标不会产生显著影响，项目的建设与周围环境是相容的。</w:t>
            </w:r>
          </w:p>
          <w:p w14:paraId="6D3787E6">
            <w:pPr>
              <w:spacing w:line="360" w:lineRule="auto"/>
              <w:ind w:firstLine="420" w:firstLineChars="200"/>
              <w:jc w:val="both"/>
              <w:rPr>
                <w:rFonts w:ascii="宋体" w:cs="宋体"/>
                <w:color w:val="auto"/>
                <w:sz w:val="24"/>
              </w:rPr>
            </w:pPr>
            <w:r>
              <w:rPr>
                <w:rFonts w:hint="default" w:ascii="Times New Roman" w:hAnsi="Times New Roman" w:eastAsia="宋体" w:cs="Times New Roman"/>
                <w:color w:val="auto"/>
                <w:szCs w:val="21"/>
              </w:rPr>
              <w:t>经营单位需在今后的运营过程中严格按本环境影响报告表中提出的对策措施进行管理经营，严格执行“三同时”制度，加强企业的环境管理，确保污染物的达标排放。评价认为，在确保各项污染治理措施“三同时”和外排污染物达标的前提下，可减缓项目建设对环境带来的不利影响，使工程建设与环境保护协调发展。从环境保护角度，项目建设是可行的。</w:t>
            </w:r>
          </w:p>
        </w:tc>
      </w:tr>
    </w:tbl>
    <w:p w14:paraId="1799D5B0">
      <w:pPr>
        <w:rPr>
          <w:rFonts w:ascii="宋体"/>
          <w:color w:val="auto"/>
        </w:rPr>
        <w:sectPr>
          <w:pgSz w:w="11906" w:h="16838"/>
          <w:pgMar w:top="1701" w:right="1531" w:bottom="1701" w:left="1531" w:header="851" w:footer="851" w:gutter="0"/>
          <w:cols w:space="720" w:num="1"/>
          <w:docGrid w:linePitch="312" w:charSpace="0"/>
        </w:sectPr>
      </w:pPr>
    </w:p>
    <w:p w14:paraId="62A300B0">
      <w:pPr>
        <w:pStyle w:val="25"/>
        <w:adjustRightInd w:val="0"/>
        <w:snapToGrid w:val="0"/>
        <w:spacing w:before="0" w:beforeAutospacing="0" w:after="0" w:afterAutospacing="0" w:line="648" w:lineRule="auto"/>
        <w:outlineLvl w:val="9"/>
        <w:rPr>
          <w:rFonts w:ascii="黑体" w:hAnsi="黑体" w:eastAsia="黑体"/>
          <w:snapToGrid w:val="0"/>
          <w:color w:val="auto"/>
          <w:sz w:val="32"/>
          <w:szCs w:val="32"/>
        </w:rPr>
      </w:pPr>
      <w:r>
        <w:rPr>
          <w:rFonts w:hint="eastAsia" w:ascii="黑体" w:hAnsi="黑体" w:eastAsia="黑体"/>
          <w:snapToGrid w:val="0"/>
          <w:color w:val="auto"/>
          <w:sz w:val="32"/>
          <w:szCs w:val="32"/>
        </w:rPr>
        <w:t>附表</w:t>
      </w:r>
    </w:p>
    <w:p w14:paraId="04DEA821">
      <w:pPr>
        <w:pStyle w:val="25"/>
        <w:adjustRightInd w:val="0"/>
        <w:snapToGrid w:val="0"/>
        <w:spacing w:before="0" w:beforeAutospacing="0" w:after="0" w:afterAutospacing="0" w:line="552" w:lineRule="auto"/>
        <w:jc w:val="center"/>
        <w:outlineLvl w:val="9"/>
        <w:rPr>
          <w:rFonts w:hint="eastAsia" w:ascii="方正小标宋_GBK" w:hAnsi="黑体" w:eastAsia="方正小标宋_GBK"/>
          <w:snapToGrid w:val="0"/>
          <w:color w:val="auto"/>
          <w:sz w:val="38"/>
          <w:szCs w:val="38"/>
          <w:lang w:eastAsia="zh-CN"/>
        </w:rPr>
      </w:pPr>
      <w:r>
        <w:rPr>
          <w:rFonts w:hint="eastAsia" w:ascii="方正小标宋_GBK" w:hAnsi="黑体" w:eastAsia="方正小标宋_GBK"/>
          <w:snapToGrid w:val="0"/>
          <w:color w:val="auto"/>
          <w:sz w:val="38"/>
          <w:szCs w:val="38"/>
        </w:rPr>
        <w:t>建设项目污染物排放量汇总表</w:t>
      </w:r>
    </w:p>
    <w:tbl>
      <w:tblPr>
        <w:tblStyle w:val="29"/>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618"/>
        <w:gridCol w:w="1500"/>
        <w:gridCol w:w="1276"/>
        <w:gridCol w:w="1701"/>
        <w:gridCol w:w="1559"/>
        <w:gridCol w:w="1545"/>
        <w:gridCol w:w="1490"/>
        <w:gridCol w:w="1511"/>
      </w:tblGrid>
      <w:tr w14:paraId="1B473B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14:paraId="51D1FB81">
            <w:pPr>
              <w:pStyle w:val="60"/>
              <w:spacing w:beforeLines="0" w:afterLines="0" w:line="240" w:lineRule="auto"/>
              <w:jc w:val="right"/>
              <w:rPr>
                <w:rFonts w:hint="eastAsia" w:ascii="黑体" w:hAnsi="黑体" w:eastAsia="黑体" w:cs="宋体"/>
                <w:snapToGrid w:val="0"/>
                <w:color w:val="auto"/>
                <w:spacing w:val="-6"/>
                <w:kern w:val="21"/>
                <w:szCs w:val="21"/>
              </w:rPr>
            </w:pPr>
            <w:r>
              <w:rPr>
                <w:rFonts w:hint="eastAsia" w:ascii="黑体" w:hAnsi="黑体" w:eastAsia="黑体" w:cs="宋体"/>
                <w:snapToGrid w:val="0"/>
                <w:color w:val="auto"/>
                <w:spacing w:val="-6"/>
                <w:kern w:val="21"/>
                <w:szCs w:val="21"/>
              </w:rPr>
              <w:t>项目</w:t>
            </w:r>
          </w:p>
          <w:p w14:paraId="3D118F81">
            <w:pPr>
              <w:pStyle w:val="60"/>
              <w:spacing w:beforeLines="0" w:afterLines="0" w:line="240" w:lineRule="auto"/>
              <w:jc w:val="left"/>
              <w:rPr>
                <w:rFonts w:hint="eastAsia" w:ascii="黑体" w:hAnsi="黑体" w:eastAsia="黑体" w:cs="宋体"/>
                <w:snapToGrid w:val="0"/>
                <w:color w:val="auto"/>
                <w:spacing w:val="-6"/>
                <w:kern w:val="21"/>
                <w:szCs w:val="21"/>
              </w:rPr>
            </w:pPr>
            <w:r>
              <w:rPr>
                <w:rFonts w:hint="eastAsia" w:ascii="黑体" w:hAnsi="黑体" w:eastAsia="黑体" w:cs="宋体"/>
                <w:snapToGrid w:val="0"/>
                <w:color w:val="auto"/>
                <w:spacing w:val="-6"/>
                <w:kern w:val="21"/>
                <w:szCs w:val="21"/>
              </w:rPr>
              <w:t>分类</w:t>
            </w:r>
          </w:p>
        </w:tc>
        <w:tc>
          <w:tcPr>
            <w:tcW w:w="1618" w:type="dxa"/>
            <w:noWrap w:val="0"/>
            <w:tcMar>
              <w:left w:w="28" w:type="dxa"/>
              <w:right w:w="28" w:type="dxa"/>
            </w:tcMar>
            <w:vAlign w:val="center"/>
          </w:tcPr>
          <w:p w14:paraId="06F3666F">
            <w:pPr>
              <w:pStyle w:val="60"/>
              <w:spacing w:beforeLines="0" w:afterLines="0" w:line="240" w:lineRule="auto"/>
              <w:rPr>
                <w:rFonts w:hint="eastAsia" w:ascii="黑体" w:hAnsi="黑体" w:eastAsia="黑体" w:cs="宋体"/>
                <w:snapToGrid w:val="0"/>
                <w:color w:val="auto"/>
                <w:spacing w:val="-6"/>
                <w:kern w:val="21"/>
                <w:szCs w:val="21"/>
              </w:rPr>
            </w:pPr>
            <w:r>
              <w:rPr>
                <w:rFonts w:hint="eastAsia" w:ascii="黑体" w:hAnsi="黑体" w:eastAsia="黑体" w:cs="宋体"/>
                <w:snapToGrid w:val="0"/>
                <w:color w:val="auto"/>
                <w:spacing w:val="-6"/>
                <w:kern w:val="21"/>
                <w:szCs w:val="21"/>
              </w:rPr>
              <w:t>污染物名称</w:t>
            </w:r>
          </w:p>
        </w:tc>
        <w:tc>
          <w:tcPr>
            <w:tcW w:w="1500" w:type="dxa"/>
            <w:noWrap w:val="0"/>
            <w:tcMar>
              <w:left w:w="28" w:type="dxa"/>
              <w:right w:w="28" w:type="dxa"/>
            </w:tcMar>
            <w:vAlign w:val="center"/>
          </w:tcPr>
          <w:p w14:paraId="38345A36">
            <w:pPr>
              <w:pStyle w:val="60"/>
              <w:spacing w:beforeLines="0" w:afterLines="0" w:line="240" w:lineRule="auto"/>
              <w:rPr>
                <w:rFonts w:hint="eastAsia" w:ascii="黑体" w:hAnsi="黑体" w:eastAsia="黑体"/>
                <w:snapToGrid w:val="0"/>
                <w:color w:val="auto"/>
                <w:spacing w:val="-6"/>
                <w:kern w:val="21"/>
                <w:szCs w:val="21"/>
              </w:rPr>
            </w:pPr>
            <w:r>
              <w:rPr>
                <w:rFonts w:ascii="黑体" w:hAnsi="黑体" w:eastAsia="黑体"/>
                <w:snapToGrid w:val="0"/>
                <w:color w:val="auto"/>
                <w:spacing w:val="-6"/>
                <w:kern w:val="21"/>
                <w:szCs w:val="21"/>
              </w:rPr>
              <w:t>现有工程</w:t>
            </w:r>
          </w:p>
          <w:p w14:paraId="1A696E6A">
            <w:pPr>
              <w:pStyle w:val="60"/>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排放量（固</w:t>
            </w:r>
            <w:r>
              <w:rPr>
                <w:rFonts w:hint="eastAsia" w:ascii="黑体" w:hAnsi="黑体" w:eastAsia="黑体"/>
                <w:snapToGrid w:val="0"/>
                <w:color w:val="auto"/>
                <w:spacing w:val="-6"/>
                <w:kern w:val="21"/>
                <w:szCs w:val="21"/>
              </w:rPr>
              <w:t>体</w:t>
            </w:r>
            <w:r>
              <w:rPr>
                <w:rFonts w:ascii="黑体" w:hAnsi="黑体" w:eastAsia="黑体"/>
                <w:snapToGrid w:val="0"/>
                <w:color w:val="auto"/>
                <w:spacing w:val="-6"/>
                <w:kern w:val="21"/>
                <w:szCs w:val="21"/>
              </w:rPr>
              <w:t>废</w:t>
            </w:r>
            <w:r>
              <w:rPr>
                <w:rFonts w:hint="eastAsia" w:ascii="黑体" w:hAnsi="黑体" w:eastAsia="黑体"/>
                <w:snapToGrid w:val="0"/>
                <w:color w:val="auto"/>
                <w:spacing w:val="-6"/>
                <w:kern w:val="21"/>
                <w:szCs w:val="21"/>
              </w:rPr>
              <w:t>物</w:t>
            </w:r>
            <w:r>
              <w:rPr>
                <w:rFonts w:ascii="黑体" w:hAnsi="黑体" w:eastAsia="黑体"/>
                <w:snapToGrid w:val="0"/>
                <w:color w:val="auto"/>
                <w:spacing w:val="-6"/>
                <w:kern w:val="21"/>
                <w:szCs w:val="21"/>
              </w:rPr>
              <w:t>产生量）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1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①</w:t>
            </w:r>
            <w:r>
              <w:rPr>
                <w:rFonts w:ascii="黑体" w:hAnsi="黑体" w:eastAsia="黑体"/>
                <w:snapToGrid w:val="0"/>
                <w:color w:val="auto"/>
                <w:spacing w:val="-6"/>
                <w:kern w:val="21"/>
                <w:szCs w:val="21"/>
              </w:rPr>
              <w:fldChar w:fldCharType="end"/>
            </w:r>
          </w:p>
        </w:tc>
        <w:tc>
          <w:tcPr>
            <w:tcW w:w="1276" w:type="dxa"/>
            <w:noWrap w:val="0"/>
            <w:tcMar>
              <w:left w:w="28" w:type="dxa"/>
              <w:right w:w="28" w:type="dxa"/>
            </w:tcMar>
            <w:vAlign w:val="center"/>
          </w:tcPr>
          <w:p w14:paraId="3776DFED">
            <w:pPr>
              <w:pStyle w:val="60"/>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现有工程</w:t>
            </w:r>
          </w:p>
          <w:p w14:paraId="2468E615">
            <w:pPr>
              <w:pStyle w:val="60"/>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许可排放量</w:t>
            </w:r>
          </w:p>
          <w:p w14:paraId="1AF3E6CE">
            <w:pPr>
              <w:pStyle w:val="60"/>
              <w:spacing w:beforeLines="0" w:afterLines="0"/>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2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snapToGrid w:val="0"/>
                <w:color w:val="auto"/>
                <w:spacing w:val="-6"/>
                <w:kern w:val="21"/>
                <w:szCs w:val="21"/>
              </w:rPr>
              <w:t>②</w:t>
            </w:r>
            <w:r>
              <w:rPr>
                <w:rFonts w:ascii="黑体" w:hAnsi="黑体" w:eastAsia="黑体"/>
                <w:snapToGrid w:val="0"/>
                <w:color w:val="auto"/>
                <w:spacing w:val="-6"/>
                <w:kern w:val="21"/>
                <w:szCs w:val="21"/>
              </w:rPr>
              <w:fldChar w:fldCharType="end"/>
            </w:r>
          </w:p>
        </w:tc>
        <w:tc>
          <w:tcPr>
            <w:tcW w:w="1701" w:type="dxa"/>
            <w:noWrap w:val="0"/>
            <w:tcMar>
              <w:left w:w="28" w:type="dxa"/>
              <w:right w:w="28" w:type="dxa"/>
            </w:tcMar>
            <w:vAlign w:val="center"/>
          </w:tcPr>
          <w:p w14:paraId="6DF69CFB">
            <w:pPr>
              <w:pStyle w:val="60"/>
              <w:spacing w:beforeLines="0" w:afterLines="0" w:line="240" w:lineRule="auto"/>
              <w:rPr>
                <w:rFonts w:hint="eastAsia" w:ascii="黑体" w:hAnsi="黑体" w:eastAsia="黑体"/>
                <w:snapToGrid w:val="0"/>
                <w:color w:val="auto"/>
                <w:spacing w:val="-6"/>
                <w:kern w:val="21"/>
                <w:szCs w:val="21"/>
              </w:rPr>
            </w:pPr>
            <w:r>
              <w:rPr>
                <w:rFonts w:ascii="黑体" w:hAnsi="黑体" w:eastAsia="黑体"/>
                <w:snapToGrid w:val="0"/>
                <w:color w:val="auto"/>
                <w:spacing w:val="-6"/>
                <w:kern w:val="21"/>
                <w:szCs w:val="21"/>
              </w:rPr>
              <w:t>在建工程</w:t>
            </w:r>
          </w:p>
          <w:p w14:paraId="514DA64F">
            <w:pPr>
              <w:pStyle w:val="60"/>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排放量（固</w:t>
            </w:r>
            <w:r>
              <w:rPr>
                <w:rFonts w:hint="eastAsia" w:ascii="黑体" w:hAnsi="黑体" w:eastAsia="黑体"/>
                <w:snapToGrid w:val="0"/>
                <w:color w:val="auto"/>
                <w:spacing w:val="-6"/>
                <w:kern w:val="21"/>
                <w:szCs w:val="21"/>
              </w:rPr>
              <w:t>体</w:t>
            </w:r>
            <w:r>
              <w:rPr>
                <w:rFonts w:ascii="黑体" w:hAnsi="黑体" w:eastAsia="黑体"/>
                <w:snapToGrid w:val="0"/>
                <w:color w:val="auto"/>
                <w:spacing w:val="-6"/>
                <w:kern w:val="21"/>
                <w:szCs w:val="21"/>
              </w:rPr>
              <w:t>废</w:t>
            </w:r>
            <w:r>
              <w:rPr>
                <w:rFonts w:hint="eastAsia" w:ascii="黑体" w:hAnsi="黑体" w:eastAsia="黑体"/>
                <w:snapToGrid w:val="0"/>
                <w:color w:val="auto"/>
                <w:spacing w:val="-6"/>
                <w:kern w:val="21"/>
                <w:szCs w:val="21"/>
              </w:rPr>
              <w:t>物</w:t>
            </w:r>
            <w:r>
              <w:rPr>
                <w:rFonts w:ascii="黑体" w:hAnsi="黑体" w:eastAsia="黑体"/>
                <w:snapToGrid w:val="0"/>
                <w:color w:val="auto"/>
                <w:spacing w:val="-6"/>
                <w:kern w:val="21"/>
                <w:szCs w:val="21"/>
              </w:rPr>
              <w:t>产生量）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3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③</w:t>
            </w:r>
            <w:r>
              <w:rPr>
                <w:rFonts w:ascii="黑体" w:hAnsi="黑体" w:eastAsia="黑体"/>
                <w:snapToGrid w:val="0"/>
                <w:color w:val="auto"/>
                <w:spacing w:val="-6"/>
                <w:kern w:val="21"/>
                <w:szCs w:val="21"/>
              </w:rPr>
              <w:fldChar w:fldCharType="end"/>
            </w:r>
          </w:p>
        </w:tc>
        <w:tc>
          <w:tcPr>
            <w:tcW w:w="1559" w:type="dxa"/>
            <w:noWrap w:val="0"/>
            <w:tcMar>
              <w:left w:w="28" w:type="dxa"/>
              <w:right w:w="28" w:type="dxa"/>
            </w:tcMar>
            <w:vAlign w:val="center"/>
          </w:tcPr>
          <w:p w14:paraId="00862E98">
            <w:pPr>
              <w:pStyle w:val="60"/>
              <w:spacing w:beforeLines="0" w:afterLines="0" w:line="240" w:lineRule="auto"/>
              <w:rPr>
                <w:rFonts w:hint="eastAsia" w:ascii="黑体" w:hAnsi="黑体" w:eastAsia="黑体"/>
                <w:snapToGrid w:val="0"/>
                <w:color w:val="auto"/>
                <w:spacing w:val="-6"/>
                <w:kern w:val="21"/>
                <w:szCs w:val="21"/>
              </w:rPr>
            </w:pPr>
            <w:r>
              <w:rPr>
                <w:rFonts w:ascii="黑体" w:hAnsi="黑体" w:eastAsia="黑体"/>
                <w:snapToGrid w:val="0"/>
                <w:color w:val="auto"/>
                <w:spacing w:val="-6"/>
                <w:kern w:val="21"/>
                <w:szCs w:val="21"/>
              </w:rPr>
              <w:t>本项目</w:t>
            </w:r>
          </w:p>
          <w:p w14:paraId="55998D81">
            <w:pPr>
              <w:pStyle w:val="60"/>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排放量（固</w:t>
            </w:r>
            <w:r>
              <w:rPr>
                <w:rFonts w:hint="eastAsia" w:ascii="黑体" w:hAnsi="黑体" w:eastAsia="黑体"/>
                <w:snapToGrid w:val="0"/>
                <w:color w:val="auto"/>
                <w:spacing w:val="-6"/>
                <w:kern w:val="21"/>
                <w:szCs w:val="21"/>
              </w:rPr>
              <w:t>体</w:t>
            </w:r>
            <w:r>
              <w:rPr>
                <w:rFonts w:ascii="黑体" w:hAnsi="黑体" w:eastAsia="黑体"/>
                <w:snapToGrid w:val="0"/>
                <w:color w:val="auto"/>
                <w:spacing w:val="-6"/>
                <w:kern w:val="21"/>
                <w:szCs w:val="21"/>
              </w:rPr>
              <w:t>废</w:t>
            </w:r>
            <w:r>
              <w:rPr>
                <w:rFonts w:hint="eastAsia" w:ascii="黑体" w:hAnsi="黑体" w:eastAsia="黑体"/>
                <w:snapToGrid w:val="0"/>
                <w:color w:val="auto"/>
                <w:spacing w:val="-6"/>
                <w:kern w:val="21"/>
                <w:szCs w:val="21"/>
              </w:rPr>
              <w:t>物</w:t>
            </w:r>
            <w:r>
              <w:rPr>
                <w:rFonts w:ascii="黑体" w:hAnsi="黑体" w:eastAsia="黑体"/>
                <w:snapToGrid w:val="0"/>
                <w:color w:val="auto"/>
                <w:spacing w:val="-6"/>
                <w:kern w:val="21"/>
                <w:szCs w:val="21"/>
              </w:rPr>
              <w:t>产生量）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4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④</w:t>
            </w:r>
            <w:r>
              <w:rPr>
                <w:rFonts w:ascii="黑体" w:hAnsi="黑体" w:eastAsia="黑体"/>
                <w:snapToGrid w:val="0"/>
                <w:color w:val="auto"/>
                <w:spacing w:val="-6"/>
                <w:kern w:val="21"/>
                <w:szCs w:val="21"/>
              </w:rPr>
              <w:fldChar w:fldCharType="end"/>
            </w:r>
          </w:p>
        </w:tc>
        <w:tc>
          <w:tcPr>
            <w:tcW w:w="1545" w:type="dxa"/>
            <w:noWrap w:val="0"/>
            <w:tcMar>
              <w:left w:w="28" w:type="dxa"/>
              <w:right w:w="28" w:type="dxa"/>
            </w:tcMar>
            <w:vAlign w:val="center"/>
          </w:tcPr>
          <w:p w14:paraId="75230071">
            <w:pPr>
              <w:pStyle w:val="60"/>
              <w:spacing w:beforeLines="0" w:afterLines="0" w:line="240" w:lineRule="auto"/>
              <w:rPr>
                <w:rFonts w:hint="eastAsia" w:ascii="黑体" w:hAnsi="黑体" w:eastAsia="黑体"/>
                <w:snapToGrid w:val="0"/>
                <w:color w:val="auto"/>
                <w:spacing w:val="-16"/>
                <w:kern w:val="21"/>
                <w:szCs w:val="21"/>
              </w:rPr>
            </w:pPr>
            <w:r>
              <w:rPr>
                <w:rFonts w:ascii="黑体" w:hAnsi="黑体" w:eastAsia="黑体"/>
                <w:snapToGrid w:val="0"/>
                <w:color w:val="auto"/>
                <w:spacing w:val="-16"/>
                <w:kern w:val="21"/>
                <w:szCs w:val="21"/>
              </w:rPr>
              <w:t>以新带老削减量</w:t>
            </w:r>
          </w:p>
          <w:p w14:paraId="0409025B">
            <w:pPr>
              <w:pStyle w:val="60"/>
              <w:spacing w:beforeLines="0" w:afterLines="0" w:line="240" w:lineRule="auto"/>
              <w:rPr>
                <w:rFonts w:ascii="黑体" w:hAnsi="黑体" w:eastAsia="黑体"/>
                <w:snapToGrid w:val="0"/>
                <w:color w:val="auto"/>
                <w:spacing w:val="-16"/>
                <w:kern w:val="21"/>
                <w:szCs w:val="21"/>
              </w:rPr>
            </w:pPr>
            <w:r>
              <w:rPr>
                <w:rFonts w:ascii="黑体" w:hAnsi="黑体" w:eastAsia="黑体"/>
                <w:snapToGrid w:val="0"/>
                <w:color w:val="auto"/>
                <w:spacing w:val="-16"/>
                <w:kern w:val="21"/>
                <w:szCs w:val="21"/>
              </w:rPr>
              <w:t>（新建项目不填）</w:t>
            </w:r>
            <w:r>
              <w:rPr>
                <w:rFonts w:ascii="黑体" w:hAnsi="黑体" w:eastAsia="黑体"/>
                <w:snapToGrid w:val="0"/>
                <w:color w:val="auto"/>
                <w:spacing w:val="-16"/>
                <w:kern w:val="21"/>
                <w:szCs w:val="21"/>
              </w:rPr>
              <w:fldChar w:fldCharType="begin"/>
            </w:r>
            <w:r>
              <w:rPr>
                <w:rFonts w:ascii="黑体" w:hAnsi="黑体" w:eastAsia="黑体"/>
                <w:snapToGrid w:val="0"/>
                <w:color w:val="auto"/>
                <w:spacing w:val="-16"/>
                <w:kern w:val="21"/>
                <w:szCs w:val="21"/>
              </w:rPr>
              <w:instrText xml:space="preserve"> = 5 \* GB3 \* MERGEFORMAT </w:instrText>
            </w:r>
            <w:r>
              <w:rPr>
                <w:rFonts w:ascii="黑体" w:hAnsi="黑体" w:eastAsia="黑体"/>
                <w:snapToGrid w:val="0"/>
                <w:color w:val="auto"/>
                <w:spacing w:val="-16"/>
                <w:kern w:val="21"/>
                <w:szCs w:val="21"/>
              </w:rPr>
              <w:fldChar w:fldCharType="separate"/>
            </w:r>
            <w:r>
              <w:rPr>
                <w:rFonts w:hint="eastAsia" w:ascii="黑体" w:hAnsi="黑体" w:eastAsia="黑体" w:cs="宋体"/>
                <w:color w:val="auto"/>
                <w:kern w:val="2"/>
                <w:szCs w:val="21"/>
              </w:rPr>
              <w:t>⑤</w:t>
            </w:r>
            <w:r>
              <w:rPr>
                <w:rFonts w:ascii="黑体" w:hAnsi="黑体" w:eastAsia="黑体"/>
                <w:snapToGrid w:val="0"/>
                <w:color w:val="auto"/>
                <w:spacing w:val="-16"/>
                <w:kern w:val="21"/>
                <w:szCs w:val="21"/>
              </w:rPr>
              <w:fldChar w:fldCharType="end"/>
            </w:r>
          </w:p>
        </w:tc>
        <w:tc>
          <w:tcPr>
            <w:tcW w:w="1490" w:type="dxa"/>
            <w:noWrap w:val="0"/>
            <w:tcMar>
              <w:left w:w="28" w:type="dxa"/>
              <w:right w:w="28" w:type="dxa"/>
            </w:tcMar>
            <w:vAlign w:val="center"/>
          </w:tcPr>
          <w:p w14:paraId="56D1D656">
            <w:pPr>
              <w:pStyle w:val="60"/>
              <w:spacing w:beforeLines="0" w:afterLines="0" w:line="240" w:lineRule="auto"/>
              <w:rPr>
                <w:rFonts w:hint="eastAsia" w:ascii="黑体" w:hAnsi="黑体" w:eastAsia="黑体"/>
                <w:snapToGrid w:val="0"/>
                <w:color w:val="auto"/>
                <w:spacing w:val="-16"/>
                <w:kern w:val="21"/>
                <w:szCs w:val="21"/>
              </w:rPr>
            </w:pPr>
            <w:r>
              <w:rPr>
                <w:rFonts w:ascii="黑体" w:hAnsi="黑体" w:eastAsia="黑体"/>
                <w:snapToGrid w:val="0"/>
                <w:color w:val="auto"/>
                <w:spacing w:val="-16"/>
                <w:kern w:val="21"/>
                <w:szCs w:val="21"/>
              </w:rPr>
              <w:t>本项目建成后</w:t>
            </w:r>
          </w:p>
          <w:p w14:paraId="10FD4D36">
            <w:pPr>
              <w:pStyle w:val="60"/>
              <w:spacing w:beforeLines="0" w:afterLines="0" w:line="240" w:lineRule="auto"/>
              <w:rPr>
                <w:rFonts w:ascii="黑体" w:hAnsi="黑体" w:eastAsia="黑体"/>
                <w:snapToGrid w:val="0"/>
                <w:color w:val="auto"/>
                <w:spacing w:val="-16"/>
                <w:kern w:val="21"/>
                <w:szCs w:val="21"/>
              </w:rPr>
            </w:pPr>
            <w:r>
              <w:rPr>
                <w:rFonts w:hint="eastAsia" w:ascii="黑体" w:hAnsi="黑体" w:eastAsia="黑体"/>
                <w:snapToGrid w:val="0"/>
                <w:color w:val="auto"/>
                <w:spacing w:val="-16"/>
                <w:kern w:val="21"/>
                <w:szCs w:val="21"/>
              </w:rPr>
              <w:t>全厂</w:t>
            </w:r>
            <w:r>
              <w:rPr>
                <w:rFonts w:ascii="黑体" w:hAnsi="黑体" w:eastAsia="黑体"/>
                <w:snapToGrid w:val="0"/>
                <w:color w:val="auto"/>
                <w:spacing w:val="-16"/>
                <w:kern w:val="21"/>
                <w:szCs w:val="21"/>
              </w:rPr>
              <w:t>排放量（固</w:t>
            </w:r>
            <w:r>
              <w:rPr>
                <w:rFonts w:hint="eastAsia" w:ascii="黑体" w:hAnsi="黑体" w:eastAsia="黑体"/>
                <w:snapToGrid w:val="0"/>
                <w:color w:val="auto"/>
                <w:spacing w:val="-16"/>
                <w:kern w:val="21"/>
                <w:szCs w:val="21"/>
              </w:rPr>
              <w:t>体</w:t>
            </w:r>
            <w:r>
              <w:rPr>
                <w:rFonts w:ascii="黑体" w:hAnsi="黑体" w:eastAsia="黑体"/>
                <w:snapToGrid w:val="0"/>
                <w:color w:val="auto"/>
                <w:spacing w:val="-16"/>
                <w:kern w:val="21"/>
                <w:szCs w:val="21"/>
              </w:rPr>
              <w:t>废</w:t>
            </w:r>
            <w:r>
              <w:rPr>
                <w:rFonts w:hint="eastAsia" w:ascii="黑体" w:hAnsi="黑体" w:eastAsia="黑体"/>
                <w:snapToGrid w:val="0"/>
                <w:color w:val="auto"/>
                <w:spacing w:val="-16"/>
                <w:kern w:val="21"/>
                <w:szCs w:val="21"/>
              </w:rPr>
              <w:t>物</w:t>
            </w:r>
            <w:r>
              <w:rPr>
                <w:rFonts w:ascii="黑体" w:hAnsi="黑体" w:eastAsia="黑体"/>
                <w:snapToGrid w:val="0"/>
                <w:color w:val="auto"/>
                <w:spacing w:val="-16"/>
                <w:kern w:val="21"/>
                <w:szCs w:val="21"/>
              </w:rPr>
              <w:t>产生量）</w:t>
            </w:r>
            <w:r>
              <w:rPr>
                <w:rFonts w:ascii="黑体" w:hAnsi="黑体" w:eastAsia="黑体"/>
                <w:snapToGrid w:val="0"/>
                <w:color w:val="auto"/>
                <w:spacing w:val="-16"/>
                <w:kern w:val="21"/>
                <w:szCs w:val="21"/>
              </w:rPr>
              <w:fldChar w:fldCharType="begin"/>
            </w:r>
            <w:r>
              <w:rPr>
                <w:rFonts w:ascii="黑体" w:hAnsi="黑体" w:eastAsia="黑体"/>
                <w:snapToGrid w:val="0"/>
                <w:color w:val="auto"/>
                <w:spacing w:val="-16"/>
                <w:kern w:val="21"/>
                <w:szCs w:val="21"/>
              </w:rPr>
              <w:instrText xml:space="preserve"> = 6 \* GB3 \* MERGEFORMAT </w:instrText>
            </w:r>
            <w:r>
              <w:rPr>
                <w:rFonts w:ascii="黑体" w:hAnsi="黑体" w:eastAsia="黑体"/>
                <w:snapToGrid w:val="0"/>
                <w:color w:val="auto"/>
                <w:spacing w:val="-16"/>
                <w:kern w:val="21"/>
                <w:szCs w:val="21"/>
              </w:rPr>
              <w:fldChar w:fldCharType="separate"/>
            </w:r>
            <w:r>
              <w:rPr>
                <w:rFonts w:hint="eastAsia" w:ascii="黑体" w:hAnsi="黑体" w:eastAsia="黑体" w:cs="宋体"/>
                <w:color w:val="auto"/>
                <w:kern w:val="2"/>
                <w:szCs w:val="21"/>
              </w:rPr>
              <w:t>⑥</w:t>
            </w:r>
            <w:r>
              <w:rPr>
                <w:rFonts w:ascii="黑体" w:hAnsi="黑体" w:eastAsia="黑体"/>
                <w:snapToGrid w:val="0"/>
                <w:color w:val="auto"/>
                <w:spacing w:val="-16"/>
                <w:kern w:val="21"/>
                <w:szCs w:val="21"/>
              </w:rPr>
              <w:fldChar w:fldCharType="end"/>
            </w:r>
          </w:p>
        </w:tc>
        <w:tc>
          <w:tcPr>
            <w:tcW w:w="1511" w:type="dxa"/>
            <w:noWrap w:val="0"/>
            <w:tcMar>
              <w:left w:w="28" w:type="dxa"/>
              <w:right w:w="28" w:type="dxa"/>
            </w:tcMar>
            <w:vAlign w:val="center"/>
          </w:tcPr>
          <w:p w14:paraId="51B7DAA0">
            <w:pPr>
              <w:pStyle w:val="60"/>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变化量</w:t>
            </w:r>
          </w:p>
          <w:p w14:paraId="72A970E2">
            <w:pPr>
              <w:pStyle w:val="60"/>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7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⑦</w:t>
            </w:r>
            <w:r>
              <w:rPr>
                <w:rFonts w:ascii="黑体" w:hAnsi="黑体" w:eastAsia="黑体"/>
                <w:snapToGrid w:val="0"/>
                <w:color w:val="auto"/>
                <w:spacing w:val="-6"/>
                <w:kern w:val="21"/>
                <w:szCs w:val="21"/>
              </w:rPr>
              <w:fldChar w:fldCharType="end"/>
            </w:r>
          </w:p>
        </w:tc>
      </w:tr>
      <w:tr w14:paraId="1F8AE0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14:paraId="7010EAA7">
            <w:pPr>
              <w:pStyle w:val="60"/>
              <w:spacing w:beforeLines="0" w:afterLines="0" w:line="240" w:lineRule="auto"/>
              <w:rPr>
                <w:rFonts w:hint="eastAsia" w:hAnsi="宋体" w:cs="宋体"/>
                <w:snapToGrid w:val="0"/>
                <w:color w:val="auto"/>
                <w:kern w:val="21"/>
                <w:szCs w:val="21"/>
              </w:rPr>
            </w:pPr>
            <w:r>
              <w:rPr>
                <w:rFonts w:hint="eastAsia" w:hAnsi="宋体" w:cs="宋体"/>
                <w:snapToGrid w:val="0"/>
                <w:color w:val="auto"/>
                <w:kern w:val="21"/>
                <w:szCs w:val="21"/>
              </w:rPr>
              <w:t>废气</w:t>
            </w:r>
          </w:p>
        </w:tc>
        <w:tc>
          <w:tcPr>
            <w:tcW w:w="1618" w:type="dxa"/>
            <w:noWrap w:val="0"/>
            <w:vAlign w:val="center"/>
          </w:tcPr>
          <w:p w14:paraId="2A3699D3">
            <w:pPr>
              <w:pStyle w:val="60"/>
              <w:spacing w:beforeLines="0" w:afterLines="0" w:line="240" w:lineRule="auto"/>
              <w:rPr>
                <w:rFonts w:hint="eastAsia"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颗粒物</w:t>
            </w:r>
          </w:p>
        </w:tc>
        <w:tc>
          <w:tcPr>
            <w:tcW w:w="1500" w:type="dxa"/>
            <w:shd w:val="clear" w:color="auto" w:fill="auto"/>
            <w:noWrap w:val="0"/>
            <w:vAlign w:val="center"/>
          </w:tcPr>
          <w:p w14:paraId="1FE982F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29.00</w:t>
            </w:r>
            <w:r>
              <w:rPr>
                <w:rFonts w:hint="eastAsia" w:ascii="Times New Roman" w:hAnsi="Times New Roman" w:eastAsia="宋体" w:cs="Times New Roman"/>
                <w:color w:val="auto"/>
                <w:kern w:val="2"/>
                <w:sz w:val="21"/>
                <w:szCs w:val="21"/>
                <w:lang w:val="en-US" w:eastAsia="zh-CN" w:bidi="ar-SA"/>
              </w:rPr>
              <w:t>t/a</w:t>
            </w:r>
          </w:p>
        </w:tc>
        <w:tc>
          <w:tcPr>
            <w:tcW w:w="1276" w:type="dxa"/>
            <w:noWrap w:val="0"/>
            <w:vAlign w:val="center"/>
          </w:tcPr>
          <w:p w14:paraId="27C7213D">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1701" w:type="dxa"/>
            <w:shd w:val="clear" w:color="auto" w:fill="auto"/>
            <w:noWrap w:val="0"/>
            <w:vAlign w:val="center"/>
          </w:tcPr>
          <w:p w14:paraId="1629E5DA">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1559" w:type="dxa"/>
            <w:shd w:val="clear" w:color="auto" w:fill="auto"/>
            <w:noWrap w:val="0"/>
            <w:vAlign w:val="center"/>
          </w:tcPr>
          <w:p w14:paraId="61ED0BA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1.04</w:t>
            </w:r>
            <w:r>
              <w:rPr>
                <w:rFonts w:hint="eastAsia" w:ascii="Times New Roman" w:hAnsi="Times New Roman" w:eastAsia="宋体" w:cs="Times New Roman"/>
                <w:color w:val="auto"/>
                <w:kern w:val="2"/>
                <w:sz w:val="21"/>
                <w:szCs w:val="21"/>
                <w:lang w:val="en-US" w:eastAsia="zh-CN" w:bidi="ar-SA"/>
              </w:rPr>
              <w:t>t/a</w:t>
            </w:r>
          </w:p>
        </w:tc>
        <w:tc>
          <w:tcPr>
            <w:tcW w:w="1545" w:type="dxa"/>
            <w:shd w:val="clear" w:color="auto" w:fill="auto"/>
            <w:noWrap w:val="0"/>
            <w:vAlign w:val="center"/>
          </w:tcPr>
          <w:p w14:paraId="6C2D424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29.00</w:t>
            </w:r>
            <w:r>
              <w:rPr>
                <w:rFonts w:hint="eastAsia" w:ascii="Times New Roman" w:hAnsi="Times New Roman" w:eastAsia="宋体" w:cs="Times New Roman"/>
                <w:color w:val="auto"/>
                <w:kern w:val="2"/>
                <w:sz w:val="21"/>
                <w:szCs w:val="21"/>
                <w:lang w:val="en-US" w:eastAsia="zh-CN" w:bidi="ar-SA"/>
              </w:rPr>
              <w:t>t/a</w:t>
            </w:r>
          </w:p>
        </w:tc>
        <w:tc>
          <w:tcPr>
            <w:tcW w:w="1490" w:type="dxa"/>
            <w:noWrap w:val="0"/>
            <w:vAlign w:val="center"/>
          </w:tcPr>
          <w:p w14:paraId="073A532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1.04</w:t>
            </w:r>
            <w:r>
              <w:rPr>
                <w:rFonts w:hint="eastAsia" w:ascii="Times New Roman" w:hAnsi="Times New Roman" w:eastAsia="宋体" w:cs="Times New Roman"/>
                <w:color w:val="auto"/>
                <w:kern w:val="2"/>
                <w:sz w:val="21"/>
                <w:szCs w:val="21"/>
                <w:lang w:val="en-US" w:eastAsia="zh-CN" w:bidi="ar-SA"/>
              </w:rPr>
              <w:t>t/a</w:t>
            </w:r>
          </w:p>
        </w:tc>
        <w:tc>
          <w:tcPr>
            <w:tcW w:w="1511" w:type="dxa"/>
            <w:noWrap w:val="0"/>
            <w:vAlign w:val="center"/>
          </w:tcPr>
          <w:p w14:paraId="04A62DA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-27.96</w:t>
            </w:r>
            <w:r>
              <w:rPr>
                <w:rFonts w:hint="eastAsia" w:ascii="Times New Roman" w:hAnsi="Times New Roman" w:eastAsia="宋体" w:cs="Times New Roman"/>
                <w:color w:val="auto"/>
                <w:kern w:val="2"/>
                <w:sz w:val="21"/>
                <w:szCs w:val="21"/>
                <w:lang w:val="en-US" w:eastAsia="zh-CN" w:bidi="ar-SA"/>
              </w:rPr>
              <w:t>t/a</w:t>
            </w:r>
          </w:p>
        </w:tc>
      </w:tr>
      <w:tr w14:paraId="696A85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20C3FCE2">
            <w:pPr>
              <w:pStyle w:val="60"/>
              <w:spacing w:beforeLines="0" w:afterLines="0" w:line="240" w:lineRule="auto"/>
              <w:rPr>
                <w:rFonts w:hint="eastAsia" w:hAnsi="宋体" w:cs="宋体"/>
                <w:snapToGrid w:val="0"/>
                <w:color w:val="auto"/>
                <w:kern w:val="21"/>
                <w:szCs w:val="21"/>
              </w:rPr>
            </w:pPr>
          </w:p>
        </w:tc>
        <w:tc>
          <w:tcPr>
            <w:tcW w:w="1618" w:type="dxa"/>
            <w:noWrap w:val="0"/>
            <w:vAlign w:val="center"/>
          </w:tcPr>
          <w:p w14:paraId="25773B2E">
            <w:pPr>
              <w:pStyle w:val="60"/>
              <w:spacing w:beforeLines="0" w:afterLines="0" w:line="240" w:lineRule="auto"/>
              <w:rPr>
                <w:rFonts w:hint="eastAsia"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二氧化硫</w:t>
            </w:r>
          </w:p>
        </w:tc>
        <w:tc>
          <w:tcPr>
            <w:tcW w:w="1500" w:type="dxa"/>
            <w:shd w:val="clear" w:color="auto" w:fill="auto"/>
            <w:noWrap w:val="0"/>
            <w:vAlign w:val="center"/>
          </w:tcPr>
          <w:p w14:paraId="6B805FE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18.8</w:t>
            </w:r>
            <w:r>
              <w:rPr>
                <w:rFonts w:hint="eastAsia" w:ascii="Times New Roman" w:hAnsi="Times New Roman" w:eastAsia="宋体" w:cs="Times New Roman"/>
                <w:color w:val="auto"/>
                <w:kern w:val="2"/>
                <w:sz w:val="21"/>
                <w:szCs w:val="21"/>
                <w:lang w:val="en-US" w:eastAsia="zh-CN" w:bidi="ar-SA"/>
              </w:rPr>
              <w:t>t/a</w:t>
            </w:r>
          </w:p>
        </w:tc>
        <w:tc>
          <w:tcPr>
            <w:tcW w:w="1276" w:type="dxa"/>
            <w:noWrap w:val="0"/>
            <w:vAlign w:val="center"/>
          </w:tcPr>
          <w:p w14:paraId="359953C1">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1701" w:type="dxa"/>
            <w:shd w:val="clear" w:color="auto" w:fill="auto"/>
            <w:noWrap w:val="0"/>
            <w:vAlign w:val="center"/>
          </w:tcPr>
          <w:p w14:paraId="1FA9DB66">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1559" w:type="dxa"/>
            <w:shd w:val="clear" w:color="auto" w:fill="auto"/>
            <w:noWrap w:val="0"/>
            <w:vAlign w:val="center"/>
          </w:tcPr>
          <w:p w14:paraId="6DC61EF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r>
              <w:rPr>
                <w:rFonts w:hint="eastAsia" w:cs="Times New Roman"/>
                <w:color w:val="auto"/>
                <w:kern w:val="2"/>
                <w:sz w:val="21"/>
                <w:szCs w:val="21"/>
                <w:lang w:val="en-US" w:eastAsia="zh-CN" w:bidi="ar-SA"/>
              </w:rPr>
              <w:t>1</w:t>
            </w:r>
            <w:r>
              <w:rPr>
                <w:rFonts w:hint="eastAsia" w:ascii="Times New Roman" w:hAnsi="Times New Roman" w:eastAsia="宋体" w:cs="Times New Roman"/>
                <w:color w:val="auto"/>
                <w:kern w:val="2"/>
                <w:sz w:val="21"/>
                <w:szCs w:val="21"/>
                <w:lang w:val="en-US" w:eastAsia="zh-CN" w:bidi="ar-SA"/>
              </w:rPr>
              <w:t>t/a</w:t>
            </w:r>
          </w:p>
        </w:tc>
        <w:tc>
          <w:tcPr>
            <w:tcW w:w="1545" w:type="dxa"/>
            <w:shd w:val="clear" w:color="auto" w:fill="auto"/>
            <w:noWrap w:val="0"/>
            <w:vAlign w:val="center"/>
          </w:tcPr>
          <w:p w14:paraId="367D0DF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18.8</w:t>
            </w:r>
            <w:r>
              <w:rPr>
                <w:rFonts w:hint="eastAsia" w:ascii="Times New Roman" w:hAnsi="Times New Roman" w:eastAsia="宋体" w:cs="Times New Roman"/>
                <w:color w:val="auto"/>
                <w:kern w:val="2"/>
                <w:sz w:val="21"/>
                <w:szCs w:val="21"/>
                <w:lang w:val="en-US" w:eastAsia="zh-CN" w:bidi="ar-SA"/>
              </w:rPr>
              <w:t>t/a</w:t>
            </w:r>
          </w:p>
        </w:tc>
        <w:tc>
          <w:tcPr>
            <w:tcW w:w="1490" w:type="dxa"/>
            <w:noWrap w:val="0"/>
            <w:vAlign w:val="center"/>
          </w:tcPr>
          <w:p w14:paraId="74D6FE3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w:t>
            </w:r>
            <w:r>
              <w:rPr>
                <w:rFonts w:hint="eastAsia" w:cs="Times New Roman"/>
                <w:color w:val="auto"/>
                <w:kern w:val="2"/>
                <w:sz w:val="21"/>
                <w:szCs w:val="21"/>
                <w:lang w:val="en-US" w:eastAsia="zh-CN" w:bidi="ar-SA"/>
              </w:rPr>
              <w:t>1</w:t>
            </w:r>
            <w:r>
              <w:rPr>
                <w:rFonts w:hint="eastAsia" w:ascii="Times New Roman" w:hAnsi="Times New Roman" w:eastAsia="宋体" w:cs="Times New Roman"/>
                <w:color w:val="auto"/>
                <w:kern w:val="2"/>
                <w:sz w:val="21"/>
                <w:szCs w:val="21"/>
                <w:lang w:val="en-US" w:eastAsia="zh-CN" w:bidi="ar-SA"/>
              </w:rPr>
              <w:t>t/a</w:t>
            </w:r>
          </w:p>
        </w:tc>
        <w:tc>
          <w:tcPr>
            <w:tcW w:w="1511" w:type="dxa"/>
            <w:noWrap w:val="0"/>
            <w:vAlign w:val="center"/>
          </w:tcPr>
          <w:p w14:paraId="7A75DF2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-17.7</w:t>
            </w:r>
            <w:r>
              <w:rPr>
                <w:rFonts w:hint="eastAsia" w:ascii="Times New Roman" w:hAnsi="Times New Roman" w:eastAsia="宋体" w:cs="Times New Roman"/>
                <w:color w:val="auto"/>
                <w:kern w:val="2"/>
                <w:sz w:val="21"/>
                <w:szCs w:val="21"/>
                <w:lang w:val="en-US" w:eastAsia="zh-CN" w:bidi="ar-SA"/>
              </w:rPr>
              <w:t>t/a</w:t>
            </w:r>
          </w:p>
        </w:tc>
      </w:tr>
      <w:tr w14:paraId="1DF04E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51F886DE">
            <w:pPr>
              <w:pStyle w:val="60"/>
              <w:spacing w:beforeLines="0" w:afterLines="0" w:line="240" w:lineRule="auto"/>
              <w:rPr>
                <w:rFonts w:hint="eastAsia" w:hAnsi="宋体" w:cs="宋体"/>
                <w:snapToGrid w:val="0"/>
                <w:color w:val="auto"/>
                <w:kern w:val="21"/>
                <w:szCs w:val="21"/>
              </w:rPr>
            </w:pPr>
          </w:p>
        </w:tc>
        <w:tc>
          <w:tcPr>
            <w:tcW w:w="1618" w:type="dxa"/>
            <w:noWrap w:val="0"/>
            <w:vAlign w:val="center"/>
          </w:tcPr>
          <w:p w14:paraId="51B3293B">
            <w:pPr>
              <w:pStyle w:val="60"/>
              <w:spacing w:beforeLines="0" w:afterLines="0" w:line="240" w:lineRule="auto"/>
              <w:rPr>
                <w:rFonts w:hint="eastAsia"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氮氧化物</w:t>
            </w:r>
          </w:p>
        </w:tc>
        <w:tc>
          <w:tcPr>
            <w:tcW w:w="1500" w:type="dxa"/>
            <w:shd w:val="clear" w:color="auto" w:fill="auto"/>
            <w:noWrap w:val="0"/>
            <w:vAlign w:val="center"/>
          </w:tcPr>
          <w:p w14:paraId="53183C5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5.348</w:t>
            </w:r>
            <w:r>
              <w:rPr>
                <w:rFonts w:hint="eastAsia" w:ascii="Times New Roman" w:hAnsi="Times New Roman" w:eastAsia="宋体" w:cs="Times New Roman"/>
                <w:color w:val="auto"/>
                <w:kern w:val="2"/>
                <w:sz w:val="21"/>
                <w:szCs w:val="21"/>
                <w:lang w:val="en-US" w:eastAsia="zh-CN" w:bidi="ar-SA"/>
              </w:rPr>
              <w:t>t/a</w:t>
            </w:r>
          </w:p>
        </w:tc>
        <w:tc>
          <w:tcPr>
            <w:tcW w:w="1276" w:type="dxa"/>
            <w:noWrap w:val="0"/>
            <w:vAlign w:val="center"/>
          </w:tcPr>
          <w:p w14:paraId="40BC7311">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1701" w:type="dxa"/>
            <w:shd w:val="clear" w:color="auto" w:fill="auto"/>
            <w:noWrap w:val="0"/>
            <w:vAlign w:val="center"/>
          </w:tcPr>
          <w:p w14:paraId="660A9959">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1559" w:type="dxa"/>
            <w:shd w:val="clear" w:color="auto" w:fill="auto"/>
            <w:noWrap w:val="0"/>
            <w:vAlign w:val="center"/>
          </w:tcPr>
          <w:p w14:paraId="17F5603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黑体"/>
                <w:color w:val="auto"/>
                <w:sz w:val="21"/>
                <w:szCs w:val="21"/>
                <w:lang w:val="en-US" w:eastAsia="zh-CN"/>
              </w:rPr>
              <w:t>3.97</w:t>
            </w:r>
            <w:r>
              <w:rPr>
                <w:rFonts w:hint="eastAsia" w:ascii="Times New Roman" w:hAnsi="Times New Roman" w:eastAsia="宋体" w:cs="Times New Roman"/>
                <w:color w:val="auto"/>
                <w:kern w:val="2"/>
                <w:sz w:val="21"/>
                <w:szCs w:val="21"/>
                <w:lang w:val="en-US" w:eastAsia="zh-CN" w:bidi="ar-SA"/>
              </w:rPr>
              <w:t>t/a</w:t>
            </w:r>
          </w:p>
        </w:tc>
        <w:tc>
          <w:tcPr>
            <w:tcW w:w="1545" w:type="dxa"/>
            <w:shd w:val="clear" w:color="auto" w:fill="auto"/>
            <w:noWrap w:val="0"/>
            <w:vAlign w:val="center"/>
          </w:tcPr>
          <w:p w14:paraId="3EC30A4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5.348</w:t>
            </w:r>
            <w:r>
              <w:rPr>
                <w:rFonts w:hint="eastAsia" w:ascii="Times New Roman" w:hAnsi="Times New Roman" w:eastAsia="宋体" w:cs="Times New Roman"/>
                <w:color w:val="auto"/>
                <w:kern w:val="2"/>
                <w:sz w:val="21"/>
                <w:szCs w:val="21"/>
                <w:lang w:val="en-US" w:eastAsia="zh-CN" w:bidi="ar-SA"/>
              </w:rPr>
              <w:t>t/a</w:t>
            </w:r>
          </w:p>
        </w:tc>
        <w:tc>
          <w:tcPr>
            <w:tcW w:w="1490" w:type="dxa"/>
            <w:noWrap w:val="0"/>
            <w:vAlign w:val="center"/>
          </w:tcPr>
          <w:p w14:paraId="766D22B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黑体"/>
                <w:color w:val="auto"/>
                <w:sz w:val="21"/>
                <w:szCs w:val="21"/>
                <w:lang w:val="en-US" w:eastAsia="zh-CN"/>
              </w:rPr>
              <w:t>3.97</w:t>
            </w:r>
            <w:r>
              <w:rPr>
                <w:rFonts w:hint="eastAsia" w:ascii="Times New Roman" w:hAnsi="Times New Roman" w:eastAsia="宋体" w:cs="Times New Roman"/>
                <w:color w:val="auto"/>
                <w:kern w:val="2"/>
                <w:sz w:val="21"/>
                <w:szCs w:val="21"/>
                <w:lang w:val="en-US" w:eastAsia="zh-CN" w:bidi="ar-SA"/>
              </w:rPr>
              <w:t>t/a</w:t>
            </w:r>
          </w:p>
        </w:tc>
        <w:tc>
          <w:tcPr>
            <w:tcW w:w="1511" w:type="dxa"/>
            <w:noWrap w:val="0"/>
            <w:vAlign w:val="center"/>
          </w:tcPr>
          <w:p w14:paraId="1D8C90A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黑体"/>
                <w:color w:val="auto"/>
                <w:sz w:val="21"/>
                <w:szCs w:val="21"/>
                <w:lang w:val="en-US" w:eastAsia="zh-CN"/>
              </w:rPr>
              <w:t>-1.378</w:t>
            </w:r>
            <w:r>
              <w:rPr>
                <w:rFonts w:hint="eastAsia" w:ascii="Times New Roman" w:hAnsi="Times New Roman" w:eastAsia="宋体" w:cs="Times New Roman"/>
                <w:color w:val="auto"/>
                <w:kern w:val="2"/>
                <w:sz w:val="21"/>
                <w:szCs w:val="21"/>
                <w:lang w:val="en-US" w:eastAsia="zh-CN" w:bidi="ar-SA"/>
              </w:rPr>
              <w:t>t/a</w:t>
            </w:r>
          </w:p>
        </w:tc>
      </w:tr>
      <w:tr w14:paraId="44AE2F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0B6F4F29">
            <w:pPr>
              <w:pStyle w:val="60"/>
              <w:spacing w:beforeLines="0" w:afterLines="0" w:line="240" w:lineRule="auto"/>
              <w:rPr>
                <w:rFonts w:hint="eastAsia" w:hAnsi="宋体" w:cs="宋体"/>
                <w:snapToGrid w:val="0"/>
                <w:color w:val="auto"/>
                <w:kern w:val="21"/>
                <w:szCs w:val="21"/>
              </w:rPr>
            </w:pPr>
          </w:p>
        </w:tc>
        <w:tc>
          <w:tcPr>
            <w:tcW w:w="1618" w:type="dxa"/>
            <w:noWrap w:val="0"/>
            <w:vAlign w:val="center"/>
          </w:tcPr>
          <w:p w14:paraId="172DD509">
            <w:pPr>
              <w:pStyle w:val="60"/>
              <w:spacing w:beforeLines="0" w:afterLines="0" w:line="240" w:lineRule="auto"/>
              <w:rPr>
                <w:rFonts w:hint="default" w:hAnsi="宋体" w:cs="宋体"/>
                <w:snapToGrid w:val="0"/>
                <w:color w:val="auto"/>
                <w:kern w:val="21"/>
                <w:szCs w:val="21"/>
                <w:lang w:val="en-US" w:eastAsia="zh-CN"/>
              </w:rPr>
            </w:pPr>
            <w:r>
              <w:rPr>
                <w:rFonts w:hint="eastAsia" w:hAnsi="宋体" w:cs="宋体"/>
                <w:snapToGrid w:val="0"/>
                <w:color w:val="auto"/>
                <w:kern w:val="21"/>
                <w:szCs w:val="21"/>
                <w:lang w:val="en-US" w:eastAsia="zh-CN"/>
              </w:rPr>
              <w:t>氟化物</w:t>
            </w:r>
          </w:p>
        </w:tc>
        <w:tc>
          <w:tcPr>
            <w:tcW w:w="1500" w:type="dxa"/>
            <w:shd w:val="clear" w:color="auto" w:fill="auto"/>
            <w:noWrap w:val="0"/>
            <w:vAlign w:val="center"/>
          </w:tcPr>
          <w:p w14:paraId="2AC47F9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0.807t/a</w:t>
            </w:r>
          </w:p>
        </w:tc>
        <w:tc>
          <w:tcPr>
            <w:tcW w:w="1276" w:type="dxa"/>
            <w:noWrap w:val="0"/>
            <w:vAlign w:val="center"/>
          </w:tcPr>
          <w:p w14:paraId="4B9131C2">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1701" w:type="dxa"/>
            <w:shd w:val="clear" w:color="auto" w:fill="auto"/>
            <w:noWrap w:val="0"/>
            <w:vAlign w:val="center"/>
          </w:tcPr>
          <w:p w14:paraId="4A5CC4D9">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1559" w:type="dxa"/>
            <w:shd w:val="clear" w:color="auto" w:fill="auto"/>
            <w:noWrap w:val="0"/>
            <w:vAlign w:val="center"/>
          </w:tcPr>
          <w:p w14:paraId="34F4F58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0.04</w:t>
            </w:r>
            <w:r>
              <w:rPr>
                <w:rFonts w:hint="eastAsia" w:ascii="Times New Roman" w:hAnsi="Times New Roman" w:eastAsia="宋体" w:cs="Times New Roman"/>
                <w:color w:val="auto"/>
                <w:kern w:val="2"/>
                <w:sz w:val="21"/>
                <w:szCs w:val="21"/>
                <w:vertAlign w:val="baseline"/>
                <w:lang w:val="en-US" w:eastAsia="zh-CN" w:bidi="ar-SA"/>
              </w:rPr>
              <w:t>t/a</w:t>
            </w:r>
          </w:p>
        </w:tc>
        <w:tc>
          <w:tcPr>
            <w:tcW w:w="1545" w:type="dxa"/>
            <w:shd w:val="clear" w:color="auto" w:fill="auto"/>
            <w:noWrap w:val="0"/>
            <w:vAlign w:val="center"/>
          </w:tcPr>
          <w:p w14:paraId="3EBEFCE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0.807t/a</w:t>
            </w:r>
          </w:p>
        </w:tc>
        <w:tc>
          <w:tcPr>
            <w:tcW w:w="1490" w:type="dxa"/>
            <w:noWrap w:val="0"/>
            <w:vAlign w:val="center"/>
          </w:tcPr>
          <w:p w14:paraId="69EEB08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0.04</w:t>
            </w:r>
            <w:r>
              <w:rPr>
                <w:rFonts w:hint="eastAsia" w:ascii="Times New Roman" w:hAnsi="Times New Roman" w:eastAsia="宋体" w:cs="Times New Roman"/>
                <w:color w:val="auto"/>
                <w:kern w:val="2"/>
                <w:sz w:val="21"/>
                <w:szCs w:val="21"/>
                <w:vertAlign w:val="baseline"/>
                <w:lang w:val="en-US" w:eastAsia="zh-CN" w:bidi="ar-SA"/>
              </w:rPr>
              <w:t>t/a</w:t>
            </w:r>
          </w:p>
        </w:tc>
        <w:tc>
          <w:tcPr>
            <w:tcW w:w="1511" w:type="dxa"/>
            <w:noWrap w:val="0"/>
            <w:vAlign w:val="center"/>
          </w:tcPr>
          <w:p w14:paraId="4B28CE8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-0.767</w:t>
            </w:r>
            <w:r>
              <w:rPr>
                <w:rFonts w:hint="eastAsia" w:ascii="Times New Roman" w:hAnsi="Times New Roman" w:eastAsia="宋体" w:cs="Times New Roman"/>
                <w:color w:val="auto"/>
                <w:kern w:val="2"/>
                <w:sz w:val="21"/>
                <w:szCs w:val="21"/>
                <w:vertAlign w:val="baseline"/>
                <w:lang w:val="en-US" w:eastAsia="zh-CN" w:bidi="ar-SA"/>
              </w:rPr>
              <w:t>t/a</w:t>
            </w:r>
          </w:p>
        </w:tc>
      </w:tr>
      <w:tr w14:paraId="628F87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noWrap w:val="0"/>
            <w:vAlign w:val="center"/>
          </w:tcPr>
          <w:p w14:paraId="42084505">
            <w:pPr>
              <w:pStyle w:val="60"/>
              <w:spacing w:beforeLines="0" w:afterLines="0" w:line="240" w:lineRule="auto"/>
              <w:rPr>
                <w:rFonts w:hint="eastAsia" w:hAnsi="宋体" w:cs="宋体"/>
                <w:snapToGrid w:val="0"/>
                <w:color w:val="auto"/>
                <w:kern w:val="21"/>
                <w:szCs w:val="21"/>
              </w:rPr>
            </w:pPr>
            <w:r>
              <w:rPr>
                <w:rFonts w:hint="eastAsia" w:hAnsi="宋体" w:cs="宋体"/>
                <w:snapToGrid w:val="0"/>
                <w:color w:val="auto"/>
                <w:kern w:val="21"/>
                <w:szCs w:val="21"/>
              </w:rPr>
              <w:t>废水</w:t>
            </w:r>
          </w:p>
        </w:tc>
        <w:tc>
          <w:tcPr>
            <w:tcW w:w="1618" w:type="dxa"/>
            <w:noWrap w:val="0"/>
            <w:vAlign w:val="center"/>
          </w:tcPr>
          <w:p w14:paraId="53166AC7">
            <w:pPr>
              <w:pStyle w:val="60"/>
              <w:spacing w:beforeLines="0" w:afterLines="0" w:line="240" w:lineRule="auto"/>
              <w:rPr>
                <w:rFonts w:hint="eastAsia"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水量</w:t>
            </w:r>
          </w:p>
        </w:tc>
        <w:tc>
          <w:tcPr>
            <w:tcW w:w="1500" w:type="dxa"/>
            <w:noWrap w:val="0"/>
            <w:vAlign w:val="center"/>
          </w:tcPr>
          <w:p w14:paraId="16F37B62">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1276" w:type="dxa"/>
            <w:noWrap w:val="0"/>
            <w:vAlign w:val="center"/>
          </w:tcPr>
          <w:p w14:paraId="52B642CC">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1701" w:type="dxa"/>
            <w:noWrap w:val="0"/>
            <w:vAlign w:val="center"/>
          </w:tcPr>
          <w:p w14:paraId="49C18B26">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1559" w:type="dxa"/>
            <w:noWrap w:val="0"/>
            <w:vAlign w:val="center"/>
          </w:tcPr>
          <w:p w14:paraId="1C194DC3">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c>
          <w:tcPr>
            <w:tcW w:w="1545" w:type="dxa"/>
            <w:noWrap w:val="0"/>
            <w:vAlign w:val="center"/>
          </w:tcPr>
          <w:p w14:paraId="48D13C1E">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c>
          <w:tcPr>
            <w:tcW w:w="1490" w:type="dxa"/>
            <w:noWrap w:val="0"/>
            <w:vAlign w:val="center"/>
          </w:tcPr>
          <w:p w14:paraId="78958F7F">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c>
          <w:tcPr>
            <w:tcW w:w="1511" w:type="dxa"/>
            <w:noWrap w:val="0"/>
            <w:vAlign w:val="center"/>
          </w:tcPr>
          <w:p w14:paraId="6AA862B4">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r>
      <w:tr w14:paraId="69B9E3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206" w:type="dxa"/>
            <w:gridSpan w:val="2"/>
            <w:noWrap w:val="0"/>
            <w:vAlign w:val="center"/>
          </w:tcPr>
          <w:p w14:paraId="5854BEA3">
            <w:pPr>
              <w:pStyle w:val="60"/>
              <w:spacing w:beforeLines="0" w:afterLines="0" w:line="240" w:lineRule="auto"/>
              <w:rPr>
                <w:rFonts w:hint="default" w:hAnsi="宋体" w:cs="宋体"/>
                <w:snapToGrid w:val="0"/>
                <w:color w:val="auto"/>
                <w:kern w:val="21"/>
                <w:szCs w:val="21"/>
                <w:lang w:val="en-US" w:eastAsia="zh-CN"/>
              </w:rPr>
            </w:pPr>
            <w:r>
              <w:rPr>
                <w:rFonts w:hint="eastAsia" w:hAnsi="宋体" w:cs="宋体"/>
                <w:snapToGrid w:val="0"/>
                <w:color w:val="auto"/>
                <w:kern w:val="21"/>
                <w:szCs w:val="21"/>
                <w:lang w:val="en-US" w:eastAsia="zh-CN"/>
              </w:rPr>
              <w:t>生活垃圾</w:t>
            </w:r>
          </w:p>
        </w:tc>
        <w:tc>
          <w:tcPr>
            <w:tcW w:w="1500" w:type="dxa"/>
            <w:noWrap w:val="0"/>
            <w:vAlign w:val="center"/>
          </w:tcPr>
          <w:p w14:paraId="33EDAC68">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7.5</w:t>
            </w:r>
            <w:r>
              <w:rPr>
                <w:rFonts w:hint="eastAsia" w:ascii="Times New Roman" w:hAnsi="Times New Roman" w:eastAsia="宋体" w:cs="Times New Roman"/>
                <w:color w:val="auto"/>
                <w:kern w:val="2"/>
                <w:sz w:val="21"/>
                <w:szCs w:val="21"/>
                <w:lang w:val="en-US" w:eastAsia="zh-CN" w:bidi="ar-SA"/>
              </w:rPr>
              <w:t>t/a</w:t>
            </w:r>
          </w:p>
        </w:tc>
        <w:tc>
          <w:tcPr>
            <w:tcW w:w="1276" w:type="dxa"/>
            <w:noWrap w:val="0"/>
            <w:vAlign w:val="center"/>
          </w:tcPr>
          <w:p w14:paraId="67C68F52">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1701" w:type="dxa"/>
            <w:noWrap w:val="0"/>
            <w:vAlign w:val="center"/>
          </w:tcPr>
          <w:p w14:paraId="11B8A792">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1559" w:type="dxa"/>
            <w:noWrap w:val="0"/>
            <w:vAlign w:val="center"/>
          </w:tcPr>
          <w:p w14:paraId="681BA17C">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7.5</w:t>
            </w:r>
            <w:r>
              <w:rPr>
                <w:rFonts w:hint="eastAsia" w:ascii="Times New Roman" w:hAnsi="Times New Roman" w:eastAsia="宋体" w:cs="Times New Roman"/>
                <w:color w:val="auto"/>
                <w:kern w:val="2"/>
                <w:sz w:val="21"/>
                <w:szCs w:val="21"/>
                <w:lang w:val="en-US" w:eastAsia="zh-CN" w:bidi="ar-SA"/>
              </w:rPr>
              <w:t>t/a</w:t>
            </w:r>
          </w:p>
        </w:tc>
        <w:tc>
          <w:tcPr>
            <w:tcW w:w="1545" w:type="dxa"/>
            <w:noWrap w:val="0"/>
            <w:vAlign w:val="center"/>
          </w:tcPr>
          <w:p w14:paraId="3726C868">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c>
          <w:tcPr>
            <w:tcW w:w="1490" w:type="dxa"/>
            <w:noWrap w:val="0"/>
            <w:vAlign w:val="center"/>
          </w:tcPr>
          <w:p w14:paraId="26B1FE86">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7.5</w:t>
            </w:r>
            <w:r>
              <w:rPr>
                <w:rFonts w:hint="eastAsia" w:ascii="Times New Roman" w:hAnsi="Times New Roman" w:eastAsia="宋体" w:cs="Times New Roman"/>
                <w:color w:val="auto"/>
                <w:kern w:val="2"/>
                <w:sz w:val="21"/>
                <w:szCs w:val="21"/>
                <w:lang w:val="en-US" w:eastAsia="zh-CN" w:bidi="ar-SA"/>
              </w:rPr>
              <w:t>t/a</w:t>
            </w:r>
          </w:p>
        </w:tc>
        <w:tc>
          <w:tcPr>
            <w:tcW w:w="1511" w:type="dxa"/>
            <w:noWrap w:val="0"/>
            <w:vAlign w:val="center"/>
          </w:tcPr>
          <w:p w14:paraId="1218D179">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w:t>
            </w:r>
            <w:r>
              <w:rPr>
                <w:rFonts w:hint="eastAsia" w:ascii="Times New Roman" w:hAnsi="Times New Roman" w:eastAsia="宋体" w:cs="Times New Roman"/>
                <w:color w:val="auto"/>
                <w:kern w:val="2"/>
                <w:sz w:val="21"/>
                <w:szCs w:val="21"/>
                <w:lang w:val="en-US" w:eastAsia="zh-CN" w:bidi="ar-SA"/>
              </w:rPr>
              <w:t>t/a</w:t>
            </w:r>
          </w:p>
        </w:tc>
      </w:tr>
      <w:tr w14:paraId="12F7D1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14:paraId="11F3FF96">
            <w:pPr>
              <w:pStyle w:val="60"/>
              <w:spacing w:beforeLines="0" w:afterLines="0" w:line="240" w:lineRule="auto"/>
              <w:rPr>
                <w:rFonts w:hAnsi="宋体" w:cs="宋体"/>
                <w:snapToGrid w:val="0"/>
                <w:color w:val="auto"/>
                <w:kern w:val="21"/>
                <w:szCs w:val="21"/>
              </w:rPr>
            </w:pPr>
            <w:r>
              <w:rPr>
                <w:rFonts w:hint="eastAsia" w:hAnsi="宋体" w:cs="宋体"/>
                <w:snapToGrid w:val="0"/>
                <w:color w:val="auto"/>
                <w:kern w:val="21"/>
                <w:szCs w:val="21"/>
              </w:rPr>
              <w:t>一般工业</w:t>
            </w:r>
          </w:p>
          <w:p w14:paraId="79D9C9C1">
            <w:pPr>
              <w:pStyle w:val="60"/>
              <w:spacing w:beforeLines="0" w:afterLines="0" w:line="240" w:lineRule="auto"/>
              <w:rPr>
                <w:rFonts w:hint="eastAsia" w:hAnsi="宋体" w:cs="宋体"/>
                <w:snapToGrid w:val="0"/>
                <w:color w:val="auto"/>
                <w:kern w:val="21"/>
                <w:szCs w:val="21"/>
              </w:rPr>
            </w:pPr>
            <w:r>
              <w:rPr>
                <w:rFonts w:hint="eastAsia" w:hAnsi="宋体" w:cs="宋体"/>
                <w:snapToGrid w:val="0"/>
                <w:color w:val="auto"/>
                <w:kern w:val="21"/>
                <w:szCs w:val="21"/>
              </w:rPr>
              <w:t>固体废物</w:t>
            </w:r>
          </w:p>
        </w:tc>
        <w:tc>
          <w:tcPr>
            <w:tcW w:w="1618" w:type="dxa"/>
            <w:noWrap w:val="0"/>
            <w:vAlign w:val="center"/>
          </w:tcPr>
          <w:p w14:paraId="5919992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hAnsi="宋体" w:eastAsia="宋体" w:cs="宋体"/>
                <w:snapToGrid w:val="0"/>
                <w:color w:val="auto"/>
                <w:kern w:val="21"/>
                <w:szCs w:val="21"/>
                <w:lang w:val="en-US" w:eastAsia="zh-CN"/>
              </w:rPr>
            </w:pPr>
            <w:r>
              <w:rPr>
                <w:rFonts w:hint="eastAsia" w:hAnsi="宋体" w:cs="宋体"/>
                <w:snapToGrid w:val="0"/>
                <w:color w:val="auto"/>
                <w:kern w:val="21"/>
                <w:szCs w:val="21"/>
                <w:lang w:val="en-US" w:eastAsia="zh-CN"/>
              </w:rPr>
              <w:t>切条、修坯废料</w:t>
            </w:r>
          </w:p>
        </w:tc>
        <w:tc>
          <w:tcPr>
            <w:tcW w:w="1500" w:type="dxa"/>
            <w:noWrap w:val="0"/>
            <w:vAlign w:val="center"/>
          </w:tcPr>
          <w:p w14:paraId="0DE8F175">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77</w:t>
            </w:r>
            <w:r>
              <w:rPr>
                <w:rFonts w:hint="eastAsia" w:ascii="Times New Roman" w:hAnsi="Times New Roman" w:eastAsia="宋体" w:cs="Times New Roman"/>
                <w:color w:val="auto"/>
                <w:kern w:val="2"/>
                <w:sz w:val="21"/>
                <w:szCs w:val="21"/>
                <w:lang w:val="en-US" w:eastAsia="zh-CN" w:bidi="ar-SA"/>
              </w:rPr>
              <w:t>5t/a</w:t>
            </w:r>
          </w:p>
        </w:tc>
        <w:tc>
          <w:tcPr>
            <w:tcW w:w="1276" w:type="dxa"/>
            <w:noWrap w:val="0"/>
            <w:vAlign w:val="center"/>
          </w:tcPr>
          <w:p w14:paraId="173F34BB">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1701" w:type="dxa"/>
            <w:noWrap w:val="0"/>
            <w:vAlign w:val="center"/>
          </w:tcPr>
          <w:p w14:paraId="09B44644">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1559" w:type="dxa"/>
            <w:noWrap w:val="0"/>
            <w:vAlign w:val="center"/>
          </w:tcPr>
          <w:p w14:paraId="503EFAE4">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77</w:t>
            </w:r>
            <w:r>
              <w:rPr>
                <w:rFonts w:hint="eastAsia" w:ascii="Times New Roman" w:hAnsi="Times New Roman" w:eastAsia="宋体" w:cs="Times New Roman"/>
                <w:color w:val="auto"/>
                <w:kern w:val="2"/>
                <w:sz w:val="21"/>
                <w:szCs w:val="21"/>
                <w:lang w:val="en-US" w:eastAsia="zh-CN" w:bidi="ar-SA"/>
              </w:rPr>
              <w:t>5t/a</w:t>
            </w:r>
          </w:p>
        </w:tc>
        <w:tc>
          <w:tcPr>
            <w:tcW w:w="1545" w:type="dxa"/>
            <w:noWrap w:val="0"/>
            <w:vAlign w:val="center"/>
          </w:tcPr>
          <w:p w14:paraId="7D44580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c>
          <w:tcPr>
            <w:tcW w:w="1490" w:type="dxa"/>
            <w:noWrap w:val="0"/>
            <w:vAlign w:val="center"/>
          </w:tcPr>
          <w:p w14:paraId="02970872">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77</w:t>
            </w:r>
            <w:r>
              <w:rPr>
                <w:rFonts w:hint="eastAsia" w:ascii="Times New Roman" w:hAnsi="Times New Roman" w:eastAsia="宋体" w:cs="Times New Roman"/>
                <w:color w:val="auto"/>
                <w:kern w:val="2"/>
                <w:sz w:val="21"/>
                <w:szCs w:val="21"/>
                <w:lang w:val="en-US" w:eastAsia="zh-CN" w:bidi="ar-SA"/>
              </w:rPr>
              <w:t>5t/a</w:t>
            </w:r>
          </w:p>
        </w:tc>
        <w:tc>
          <w:tcPr>
            <w:tcW w:w="1511" w:type="dxa"/>
            <w:noWrap w:val="0"/>
            <w:vAlign w:val="center"/>
          </w:tcPr>
          <w:p w14:paraId="7975F23C">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w:t>
            </w:r>
            <w:r>
              <w:rPr>
                <w:rFonts w:hint="eastAsia" w:ascii="Times New Roman" w:hAnsi="Times New Roman" w:eastAsia="宋体" w:cs="Times New Roman"/>
                <w:color w:val="auto"/>
                <w:kern w:val="2"/>
                <w:sz w:val="21"/>
                <w:szCs w:val="21"/>
                <w:lang w:val="en-US" w:eastAsia="zh-CN" w:bidi="ar-SA"/>
              </w:rPr>
              <w:t>t/a</w:t>
            </w:r>
          </w:p>
        </w:tc>
      </w:tr>
      <w:tr w14:paraId="647869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49669974">
            <w:pPr>
              <w:pStyle w:val="60"/>
              <w:spacing w:beforeLines="0" w:afterLines="0" w:line="240" w:lineRule="auto"/>
              <w:rPr>
                <w:rFonts w:hint="eastAsia" w:hAnsi="宋体" w:cs="宋体"/>
                <w:snapToGrid w:val="0"/>
                <w:color w:val="auto"/>
                <w:kern w:val="21"/>
                <w:szCs w:val="21"/>
              </w:rPr>
            </w:pPr>
          </w:p>
        </w:tc>
        <w:tc>
          <w:tcPr>
            <w:tcW w:w="1618" w:type="dxa"/>
            <w:noWrap w:val="0"/>
            <w:vAlign w:val="center"/>
          </w:tcPr>
          <w:p w14:paraId="69ED3163">
            <w:pPr>
              <w:widowControl w:val="0"/>
              <w:bidi w:val="0"/>
              <w:spacing w:before="25" w:beforeLines="25" w:after="25" w:afterLines="25" w:line="240" w:lineRule="auto"/>
              <w:ind w:firstLine="0" w:firstLineChars="0"/>
              <w:jc w:val="center"/>
              <w:rPr>
                <w:rFonts w:hAnsi="宋体" w:cs="宋体"/>
                <w:snapToGrid w:val="0"/>
                <w:color w:val="auto"/>
                <w:kern w:val="21"/>
                <w:szCs w:val="21"/>
              </w:rPr>
            </w:pPr>
            <w:r>
              <w:rPr>
                <w:rFonts w:hint="eastAsia" w:cs="Times New Roman"/>
                <w:color w:val="auto"/>
                <w:kern w:val="2"/>
                <w:sz w:val="21"/>
                <w:szCs w:val="21"/>
                <w:lang w:val="en-US" w:eastAsia="zh-CN" w:bidi="ar-SA"/>
              </w:rPr>
              <w:t>脱硫渣</w:t>
            </w:r>
          </w:p>
        </w:tc>
        <w:tc>
          <w:tcPr>
            <w:tcW w:w="1500" w:type="dxa"/>
            <w:noWrap w:val="0"/>
            <w:vAlign w:val="center"/>
          </w:tcPr>
          <w:p w14:paraId="2747A78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1276" w:type="dxa"/>
            <w:noWrap w:val="0"/>
            <w:vAlign w:val="center"/>
          </w:tcPr>
          <w:p w14:paraId="1BABA9B5">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1701" w:type="dxa"/>
            <w:noWrap w:val="0"/>
            <w:vAlign w:val="center"/>
          </w:tcPr>
          <w:p w14:paraId="7CD0020F">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1559" w:type="dxa"/>
            <w:noWrap w:val="0"/>
            <w:vAlign w:val="center"/>
          </w:tcPr>
          <w:p w14:paraId="4D32A391">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35.7</w:t>
            </w:r>
            <w:r>
              <w:rPr>
                <w:rFonts w:hint="eastAsia" w:ascii="Times New Roman" w:hAnsi="Times New Roman" w:eastAsia="宋体" w:cs="Times New Roman"/>
                <w:color w:val="auto"/>
                <w:kern w:val="2"/>
                <w:sz w:val="21"/>
                <w:szCs w:val="21"/>
                <w:lang w:val="en-US" w:eastAsia="zh-CN" w:bidi="ar-SA"/>
              </w:rPr>
              <w:t>t/a</w:t>
            </w:r>
          </w:p>
        </w:tc>
        <w:tc>
          <w:tcPr>
            <w:tcW w:w="1545" w:type="dxa"/>
            <w:noWrap w:val="0"/>
            <w:vAlign w:val="center"/>
          </w:tcPr>
          <w:p w14:paraId="764C434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490" w:type="dxa"/>
            <w:noWrap w:val="0"/>
            <w:vAlign w:val="center"/>
          </w:tcPr>
          <w:p w14:paraId="4EFAB9F7">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35.7</w:t>
            </w:r>
            <w:r>
              <w:rPr>
                <w:rFonts w:hint="eastAsia" w:ascii="Times New Roman" w:hAnsi="Times New Roman" w:eastAsia="宋体" w:cs="Times New Roman"/>
                <w:color w:val="auto"/>
                <w:kern w:val="2"/>
                <w:sz w:val="21"/>
                <w:szCs w:val="21"/>
                <w:lang w:val="en-US" w:eastAsia="zh-CN" w:bidi="ar-SA"/>
              </w:rPr>
              <w:t>t/a</w:t>
            </w:r>
          </w:p>
        </w:tc>
        <w:tc>
          <w:tcPr>
            <w:tcW w:w="1511" w:type="dxa"/>
            <w:noWrap w:val="0"/>
            <w:vAlign w:val="center"/>
          </w:tcPr>
          <w:p w14:paraId="58FF77B7">
            <w:pPr>
              <w:widowControl w:val="0"/>
              <w:bidi w:val="0"/>
              <w:spacing w:before="25" w:beforeLines="25" w:after="25" w:afterLines="25"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+35.7</w:t>
            </w:r>
            <w:r>
              <w:rPr>
                <w:rFonts w:hint="eastAsia" w:ascii="Times New Roman" w:hAnsi="Times New Roman" w:eastAsia="宋体" w:cs="Times New Roman"/>
                <w:color w:val="auto"/>
                <w:kern w:val="2"/>
                <w:sz w:val="21"/>
                <w:szCs w:val="21"/>
                <w:lang w:val="en-US" w:eastAsia="zh-CN" w:bidi="ar-SA"/>
              </w:rPr>
              <w:t>t/a</w:t>
            </w:r>
          </w:p>
        </w:tc>
      </w:tr>
      <w:tr w14:paraId="39FEF5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5BF96939">
            <w:pPr>
              <w:pStyle w:val="60"/>
              <w:spacing w:beforeLines="0" w:afterLines="0" w:line="240" w:lineRule="auto"/>
              <w:rPr>
                <w:rFonts w:hint="eastAsia" w:hAnsi="宋体" w:cs="宋体"/>
                <w:snapToGrid w:val="0"/>
                <w:color w:val="auto"/>
                <w:kern w:val="21"/>
                <w:szCs w:val="21"/>
              </w:rPr>
            </w:pPr>
          </w:p>
        </w:tc>
        <w:tc>
          <w:tcPr>
            <w:tcW w:w="1618" w:type="dxa"/>
            <w:noWrap w:val="0"/>
            <w:vAlign w:val="center"/>
          </w:tcPr>
          <w:p w14:paraId="11CC3464">
            <w:pPr>
              <w:widowControl w:val="0"/>
              <w:bidi w:val="0"/>
              <w:spacing w:before="25" w:beforeLines="25" w:after="25" w:afterLines="25" w:line="240" w:lineRule="auto"/>
              <w:ind w:firstLine="0" w:firstLineChars="0"/>
              <w:jc w:val="center"/>
              <w:rPr>
                <w:rFonts w:hAnsi="宋体" w:cs="宋体"/>
                <w:snapToGrid w:val="0"/>
                <w:color w:val="auto"/>
                <w:kern w:val="21"/>
                <w:szCs w:val="21"/>
              </w:rPr>
            </w:pPr>
            <w:r>
              <w:rPr>
                <w:rFonts w:hint="eastAsia" w:cs="Times New Roman"/>
                <w:color w:val="auto"/>
                <w:kern w:val="2"/>
                <w:sz w:val="21"/>
                <w:szCs w:val="21"/>
                <w:lang w:val="en-US" w:eastAsia="zh-CN" w:bidi="ar-SA"/>
              </w:rPr>
              <w:t>除尘灰</w:t>
            </w:r>
          </w:p>
        </w:tc>
        <w:tc>
          <w:tcPr>
            <w:tcW w:w="1500" w:type="dxa"/>
            <w:noWrap w:val="0"/>
            <w:vAlign w:val="center"/>
          </w:tcPr>
          <w:p w14:paraId="68FC3339">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1276" w:type="dxa"/>
            <w:noWrap w:val="0"/>
            <w:vAlign w:val="center"/>
          </w:tcPr>
          <w:p w14:paraId="5538D9C3">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1701" w:type="dxa"/>
            <w:noWrap w:val="0"/>
            <w:vAlign w:val="center"/>
          </w:tcPr>
          <w:p w14:paraId="628DB1DF">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1559" w:type="dxa"/>
            <w:noWrap w:val="0"/>
            <w:vAlign w:val="center"/>
          </w:tcPr>
          <w:p w14:paraId="35C19F54">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21.31</w:t>
            </w:r>
            <w:r>
              <w:rPr>
                <w:rFonts w:hint="eastAsia" w:ascii="Times New Roman" w:hAnsi="Times New Roman" w:eastAsia="宋体" w:cs="Times New Roman"/>
                <w:color w:val="auto"/>
                <w:kern w:val="2"/>
                <w:sz w:val="21"/>
                <w:szCs w:val="21"/>
                <w:lang w:val="en-US" w:eastAsia="zh-CN" w:bidi="ar-SA"/>
              </w:rPr>
              <w:t>t/a</w:t>
            </w:r>
          </w:p>
        </w:tc>
        <w:tc>
          <w:tcPr>
            <w:tcW w:w="1545" w:type="dxa"/>
            <w:noWrap w:val="0"/>
            <w:vAlign w:val="center"/>
          </w:tcPr>
          <w:p w14:paraId="40929E62">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490" w:type="dxa"/>
            <w:noWrap w:val="0"/>
            <w:vAlign w:val="center"/>
          </w:tcPr>
          <w:p w14:paraId="24EA00AB">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21.31</w:t>
            </w:r>
            <w:r>
              <w:rPr>
                <w:rFonts w:hint="eastAsia" w:ascii="Times New Roman" w:hAnsi="Times New Roman" w:eastAsia="宋体" w:cs="Times New Roman"/>
                <w:color w:val="auto"/>
                <w:kern w:val="2"/>
                <w:sz w:val="21"/>
                <w:szCs w:val="21"/>
                <w:lang w:val="en-US" w:eastAsia="zh-CN" w:bidi="ar-SA"/>
              </w:rPr>
              <w:t>t/a</w:t>
            </w:r>
          </w:p>
        </w:tc>
        <w:tc>
          <w:tcPr>
            <w:tcW w:w="1511" w:type="dxa"/>
            <w:noWrap w:val="0"/>
            <w:vAlign w:val="center"/>
          </w:tcPr>
          <w:p w14:paraId="2DF642D6">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+21.31</w:t>
            </w:r>
            <w:r>
              <w:rPr>
                <w:rFonts w:hint="eastAsia" w:ascii="Times New Roman" w:hAnsi="Times New Roman" w:eastAsia="宋体" w:cs="Times New Roman"/>
                <w:color w:val="auto"/>
                <w:kern w:val="2"/>
                <w:sz w:val="21"/>
                <w:szCs w:val="21"/>
                <w:lang w:val="en-US" w:eastAsia="zh-CN" w:bidi="ar-SA"/>
              </w:rPr>
              <w:t>t/a</w:t>
            </w:r>
          </w:p>
        </w:tc>
      </w:tr>
      <w:tr w14:paraId="3C9C55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1CF3E4AB">
            <w:pPr>
              <w:pStyle w:val="60"/>
              <w:spacing w:beforeLines="0" w:afterLines="0" w:line="240" w:lineRule="auto"/>
              <w:rPr>
                <w:rFonts w:hint="eastAsia" w:hAnsi="宋体" w:cs="宋体"/>
                <w:snapToGrid w:val="0"/>
                <w:color w:val="auto"/>
                <w:kern w:val="21"/>
                <w:szCs w:val="21"/>
              </w:rPr>
            </w:pPr>
          </w:p>
        </w:tc>
        <w:tc>
          <w:tcPr>
            <w:tcW w:w="1618" w:type="dxa"/>
            <w:noWrap w:val="0"/>
            <w:vAlign w:val="center"/>
          </w:tcPr>
          <w:p w14:paraId="3AB9DDFF">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lang w:val="en-US" w:eastAsia="zh-CN" w:bidi="ar-SA"/>
              </w:rPr>
              <w:t>次品</w:t>
            </w:r>
          </w:p>
        </w:tc>
        <w:tc>
          <w:tcPr>
            <w:tcW w:w="1500" w:type="dxa"/>
            <w:noWrap w:val="0"/>
            <w:vAlign w:val="center"/>
          </w:tcPr>
          <w:p w14:paraId="545B9D0F">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300</w:t>
            </w:r>
            <w:r>
              <w:rPr>
                <w:rFonts w:hint="eastAsia" w:ascii="Times New Roman" w:hAnsi="Times New Roman" w:eastAsia="宋体" w:cs="Times New Roman"/>
                <w:color w:val="auto"/>
                <w:kern w:val="2"/>
                <w:sz w:val="21"/>
                <w:szCs w:val="21"/>
                <w:lang w:val="en-US" w:eastAsia="zh-CN" w:bidi="ar-SA"/>
              </w:rPr>
              <w:t>t/a</w:t>
            </w:r>
          </w:p>
        </w:tc>
        <w:tc>
          <w:tcPr>
            <w:tcW w:w="1276" w:type="dxa"/>
            <w:noWrap w:val="0"/>
            <w:vAlign w:val="center"/>
          </w:tcPr>
          <w:p w14:paraId="046377A6">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701" w:type="dxa"/>
            <w:noWrap w:val="0"/>
            <w:vAlign w:val="center"/>
          </w:tcPr>
          <w:p w14:paraId="7BA48434">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559" w:type="dxa"/>
            <w:noWrap w:val="0"/>
            <w:vAlign w:val="center"/>
          </w:tcPr>
          <w:p w14:paraId="424C1B60">
            <w:pPr>
              <w:widowControl w:val="0"/>
              <w:bidi w:val="0"/>
              <w:spacing w:before="25" w:beforeLines="25" w:after="25" w:afterLines="25" w:line="240" w:lineRule="auto"/>
              <w:ind w:firstLine="0" w:firstLineChars="0"/>
              <w:jc w:val="center"/>
              <w:rPr>
                <w:rFonts w:hint="eastAsia" w:cs="Times New Roman"/>
                <w:color w:val="auto"/>
                <w:kern w:val="2"/>
                <w:sz w:val="21"/>
                <w:szCs w:val="21"/>
                <w:lang w:val="en-US" w:eastAsia="zh-CN" w:bidi="ar-SA"/>
              </w:rPr>
            </w:pPr>
            <w:r>
              <w:rPr>
                <w:rFonts w:hint="eastAsia"/>
                <w:color w:val="auto"/>
                <w:sz w:val="21"/>
                <w:szCs w:val="21"/>
                <w:lang w:val="en-US" w:eastAsia="zh-CN"/>
              </w:rPr>
              <w:t>155</w:t>
            </w:r>
            <w:r>
              <w:rPr>
                <w:rFonts w:hint="eastAsia" w:ascii="Times New Roman" w:hAnsi="Times New Roman" w:eastAsia="宋体" w:cs="Times New Roman"/>
                <w:color w:val="auto"/>
                <w:kern w:val="2"/>
                <w:sz w:val="21"/>
                <w:szCs w:val="21"/>
                <w:lang w:val="en-US" w:eastAsia="zh-CN" w:bidi="ar-SA"/>
              </w:rPr>
              <w:t>t/a</w:t>
            </w:r>
          </w:p>
        </w:tc>
        <w:tc>
          <w:tcPr>
            <w:tcW w:w="1545" w:type="dxa"/>
            <w:noWrap w:val="0"/>
            <w:vAlign w:val="center"/>
          </w:tcPr>
          <w:p w14:paraId="1F749057">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300</w:t>
            </w:r>
            <w:r>
              <w:rPr>
                <w:rFonts w:hint="eastAsia" w:ascii="Times New Roman" w:hAnsi="Times New Roman" w:eastAsia="宋体" w:cs="Times New Roman"/>
                <w:color w:val="auto"/>
                <w:kern w:val="2"/>
                <w:sz w:val="21"/>
                <w:szCs w:val="21"/>
                <w:lang w:val="en-US" w:eastAsia="zh-CN" w:bidi="ar-SA"/>
              </w:rPr>
              <w:t>t/a</w:t>
            </w:r>
          </w:p>
        </w:tc>
        <w:tc>
          <w:tcPr>
            <w:tcW w:w="1490" w:type="dxa"/>
            <w:noWrap w:val="0"/>
            <w:vAlign w:val="center"/>
          </w:tcPr>
          <w:p w14:paraId="6281C333">
            <w:pPr>
              <w:widowControl w:val="0"/>
              <w:bidi w:val="0"/>
              <w:spacing w:before="25" w:beforeLines="25" w:after="25" w:afterLines="25" w:line="240" w:lineRule="auto"/>
              <w:ind w:firstLine="0" w:firstLineChars="0"/>
              <w:jc w:val="center"/>
              <w:rPr>
                <w:rFonts w:hint="eastAsia" w:cs="Times New Roman"/>
                <w:color w:val="auto"/>
                <w:kern w:val="2"/>
                <w:sz w:val="21"/>
                <w:szCs w:val="21"/>
                <w:lang w:val="en-US" w:eastAsia="zh-CN" w:bidi="ar-SA"/>
              </w:rPr>
            </w:pPr>
            <w:r>
              <w:rPr>
                <w:rFonts w:hint="eastAsia"/>
                <w:color w:val="auto"/>
                <w:sz w:val="21"/>
                <w:szCs w:val="21"/>
                <w:lang w:val="en-US" w:eastAsia="zh-CN"/>
              </w:rPr>
              <w:t>155</w:t>
            </w:r>
            <w:r>
              <w:rPr>
                <w:rFonts w:hint="eastAsia" w:ascii="Times New Roman" w:hAnsi="Times New Roman" w:eastAsia="宋体" w:cs="Times New Roman"/>
                <w:color w:val="auto"/>
                <w:kern w:val="2"/>
                <w:sz w:val="21"/>
                <w:szCs w:val="21"/>
                <w:lang w:val="en-US" w:eastAsia="zh-CN" w:bidi="ar-SA"/>
              </w:rPr>
              <w:t>t/a</w:t>
            </w:r>
          </w:p>
        </w:tc>
        <w:tc>
          <w:tcPr>
            <w:tcW w:w="1511" w:type="dxa"/>
            <w:noWrap w:val="0"/>
            <w:vAlign w:val="center"/>
          </w:tcPr>
          <w:p w14:paraId="2444FDB6">
            <w:pPr>
              <w:widowControl w:val="0"/>
              <w:bidi w:val="0"/>
              <w:spacing w:before="25" w:beforeLines="25" w:after="25" w:afterLines="25" w:line="240" w:lineRule="auto"/>
              <w:ind w:firstLine="0" w:firstLineChars="0"/>
              <w:jc w:val="center"/>
              <w:rPr>
                <w:rFonts w:hint="eastAsia" w:cs="Times New Roman"/>
                <w:color w:val="auto"/>
                <w:kern w:val="2"/>
                <w:sz w:val="21"/>
                <w:szCs w:val="21"/>
                <w:lang w:val="en-US" w:eastAsia="zh-CN" w:bidi="ar-SA"/>
              </w:rPr>
            </w:pPr>
            <w:r>
              <w:rPr>
                <w:rFonts w:hint="eastAsia"/>
                <w:color w:val="auto"/>
                <w:sz w:val="21"/>
                <w:szCs w:val="21"/>
                <w:lang w:val="en-US" w:eastAsia="zh-CN"/>
              </w:rPr>
              <w:t>-145</w:t>
            </w:r>
            <w:r>
              <w:rPr>
                <w:rFonts w:hint="eastAsia" w:ascii="Times New Roman" w:hAnsi="Times New Roman" w:eastAsia="宋体" w:cs="Times New Roman"/>
                <w:color w:val="auto"/>
                <w:kern w:val="2"/>
                <w:sz w:val="21"/>
                <w:szCs w:val="21"/>
                <w:lang w:val="en-US" w:eastAsia="zh-CN" w:bidi="ar-SA"/>
              </w:rPr>
              <w:t>t/a</w:t>
            </w:r>
          </w:p>
        </w:tc>
      </w:tr>
      <w:tr w14:paraId="79E345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296BF77A">
            <w:pPr>
              <w:pStyle w:val="60"/>
              <w:spacing w:beforeLines="0" w:afterLines="0" w:line="240" w:lineRule="auto"/>
              <w:rPr>
                <w:rFonts w:hint="eastAsia" w:hAnsi="宋体" w:cs="宋体"/>
                <w:snapToGrid w:val="0"/>
                <w:color w:val="auto"/>
                <w:kern w:val="21"/>
                <w:szCs w:val="21"/>
              </w:rPr>
            </w:pPr>
          </w:p>
        </w:tc>
        <w:tc>
          <w:tcPr>
            <w:tcW w:w="1618" w:type="dxa"/>
            <w:noWrap w:val="0"/>
            <w:vAlign w:val="center"/>
          </w:tcPr>
          <w:p w14:paraId="175BA73C">
            <w:pPr>
              <w:widowControl w:val="0"/>
              <w:bidi w:val="0"/>
              <w:spacing w:before="25" w:beforeLines="25" w:after="25" w:afterLines="25" w:line="240" w:lineRule="auto"/>
              <w:ind w:firstLine="0" w:firstLineChars="0"/>
              <w:jc w:val="center"/>
              <w:rPr>
                <w:rFonts w:hAnsi="宋体" w:cs="宋体"/>
                <w:snapToGrid w:val="0"/>
                <w:color w:val="auto"/>
                <w:kern w:val="21"/>
                <w:szCs w:val="21"/>
              </w:rPr>
            </w:pPr>
            <w:r>
              <w:rPr>
                <w:rFonts w:hint="eastAsia" w:cs="Times New Roman"/>
                <w:color w:val="auto"/>
                <w:kern w:val="2"/>
                <w:sz w:val="21"/>
                <w:szCs w:val="21"/>
                <w:lang w:val="en-US" w:eastAsia="zh-CN" w:bidi="ar-SA"/>
              </w:rPr>
              <w:t>煤渣</w:t>
            </w:r>
          </w:p>
        </w:tc>
        <w:tc>
          <w:tcPr>
            <w:tcW w:w="1500" w:type="dxa"/>
            <w:noWrap w:val="0"/>
            <w:vAlign w:val="center"/>
          </w:tcPr>
          <w:p w14:paraId="78669F82">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120</w:t>
            </w:r>
            <w:r>
              <w:rPr>
                <w:rFonts w:hint="eastAsia" w:ascii="Times New Roman" w:hAnsi="Times New Roman" w:eastAsia="宋体" w:cs="Times New Roman"/>
                <w:color w:val="auto"/>
                <w:kern w:val="2"/>
                <w:sz w:val="21"/>
                <w:szCs w:val="21"/>
                <w:lang w:val="en-US" w:eastAsia="zh-CN" w:bidi="ar-SA"/>
              </w:rPr>
              <w:t>t/a</w:t>
            </w:r>
          </w:p>
        </w:tc>
        <w:tc>
          <w:tcPr>
            <w:tcW w:w="1276" w:type="dxa"/>
            <w:noWrap w:val="0"/>
            <w:vAlign w:val="center"/>
          </w:tcPr>
          <w:p w14:paraId="14326809">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1701" w:type="dxa"/>
            <w:noWrap w:val="0"/>
            <w:vAlign w:val="center"/>
          </w:tcPr>
          <w:p w14:paraId="34D2BBC6">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1559" w:type="dxa"/>
            <w:noWrap w:val="0"/>
            <w:vAlign w:val="center"/>
          </w:tcPr>
          <w:p w14:paraId="21D37555">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85.83</w:t>
            </w:r>
            <w:r>
              <w:rPr>
                <w:rFonts w:hint="eastAsia" w:ascii="Times New Roman" w:hAnsi="Times New Roman" w:eastAsia="宋体" w:cs="Times New Roman"/>
                <w:color w:val="auto"/>
                <w:kern w:val="2"/>
                <w:sz w:val="21"/>
                <w:szCs w:val="21"/>
                <w:lang w:val="en-US" w:eastAsia="zh-CN" w:bidi="ar-SA"/>
              </w:rPr>
              <w:t>t/a</w:t>
            </w:r>
          </w:p>
        </w:tc>
        <w:tc>
          <w:tcPr>
            <w:tcW w:w="1545" w:type="dxa"/>
            <w:noWrap w:val="0"/>
            <w:vAlign w:val="center"/>
          </w:tcPr>
          <w:p w14:paraId="1E82C5DF">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120</w:t>
            </w:r>
            <w:r>
              <w:rPr>
                <w:rFonts w:hint="eastAsia" w:ascii="Times New Roman" w:hAnsi="Times New Roman" w:eastAsia="宋体" w:cs="Times New Roman"/>
                <w:color w:val="auto"/>
                <w:kern w:val="2"/>
                <w:sz w:val="21"/>
                <w:szCs w:val="21"/>
                <w:lang w:val="en-US" w:eastAsia="zh-CN" w:bidi="ar-SA"/>
              </w:rPr>
              <w:t>t/a</w:t>
            </w:r>
          </w:p>
        </w:tc>
        <w:tc>
          <w:tcPr>
            <w:tcW w:w="1490" w:type="dxa"/>
            <w:noWrap w:val="0"/>
            <w:vAlign w:val="center"/>
          </w:tcPr>
          <w:p w14:paraId="2FE9D16E">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85.83</w:t>
            </w:r>
            <w:r>
              <w:rPr>
                <w:rFonts w:hint="eastAsia" w:ascii="Times New Roman" w:hAnsi="Times New Roman" w:eastAsia="宋体" w:cs="Times New Roman"/>
                <w:color w:val="auto"/>
                <w:kern w:val="2"/>
                <w:sz w:val="21"/>
                <w:szCs w:val="21"/>
                <w:lang w:val="en-US" w:eastAsia="zh-CN" w:bidi="ar-SA"/>
              </w:rPr>
              <w:t>t/a</w:t>
            </w:r>
          </w:p>
        </w:tc>
        <w:tc>
          <w:tcPr>
            <w:tcW w:w="1511" w:type="dxa"/>
            <w:noWrap w:val="0"/>
            <w:vAlign w:val="center"/>
          </w:tcPr>
          <w:p w14:paraId="38D03B6B">
            <w:pPr>
              <w:widowControl w:val="0"/>
              <w:bidi w:val="0"/>
              <w:spacing w:before="25" w:beforeLines="25" w:after="25" w:afterLines="25"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-34.17</w:t>
            </w:r>
            <w:r>
              <w:rPr>
                <w:rFonts w:hint="eastAsia" w:ascii="Times New Roman" w:hAnsi="Times New Roman" w:eastAsia="宋体" w:cs="Times New Roman"/>
                <w:color w:val="auto"/>
                <w:kern w:val="2"/>
                <w:sz w:val="21"/>
                <w:szCs w:val="21"/>
                <w:lang w:val="en-US" w:eastAsia="zh-CN" w:bidi="ar-SA"/>
              </w:rPr>
              <w:t>t/a</w:t>
            </w:r>
          </w:p>
        </w:tc>
      </w:tr>
      <w:tr w14:paraId="7F7B15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noWrap w:val="0"/>
            <w:vAlign w:val="center"/>
          </w:tcPr>
          <w:p w14:paraId="75620B4A">
            <w:pPr>
              <w:pStyle w:val="60"/>
              <w:spacing w:beforeLines="0" w:afterLines="0" w:line="240" w:lineRule="auto"/>
              <w:rPr>
                <w:rFonts w:hint="eastAsia" w:hAnsi="宋体" w:cs="宋体"/>
                <w:snapToGrid w:val="0"/>
                <w:color w:val="auto"/>
                <w:kern w:val="21"/>
                <w:szCs w:val="21"/>
              </w:rPr>
            </w:pPr>
            <w:r>
              <w:rPr>
                <w:rFonts w:hint="eastAsia" w:hAnsi="宋体" w:cs="宋体"/>
                <w:snapToGrid w:val="0"/>
                <w:color w:val="auto"/>
                <w:kern w:val="21"/>
                <w:szCs w:val="21"/>
              </w:rPr>
              <w:t>危险废物</w:t>
            </w:r>
          </w:p>
        </w:tc>
        <w:tc>
          <w:tcPr>
            <w:tcW w:w="1618" w:type="dxa"/>
            <w:noWrap w:val="0"/>
            <w:vAlign w:val="center"/>
          </w:tcPr>
          <w:p w14:paraId="7A48E308">
            <w:pPr>
              <w:pStyle w:val="60"/>
              <w:spacing w:beforeLines="0" w:afterLines="0" w:line="240" w:lineRule="auto"/>
              <w:rPr>
                <w:rFonts w:hint="eastAsia" w:hAnsi="宋体" w:cs="宋体"/>
                <w:snapToGrid w:val="0"/>
                <w:color w:val="auto"/>
                <w:kern w:val="21"/>
                <w:szCs w:val="21"/>
              </w:rPr>
            </w:pPr>
            <w:r>
              <w:rPr>
                <w:rFonts w:hint="eastAsia" w:hAnsi="宋体" w:cs="宋体"/>
                <w:snapToGrid w:val="0"/>
                <w:color w:val="auto"/>
                <w:kern w:val="21"/>
                <w:szCs w:val="21"/>
                <w:lang w:val="en-US" w:eastAsia="zh-CN"/>
              </w:rPr>
              <w:t>废润滑油</w:t>
            </w:r>
          </w:p>
        </w:tc>
        <w:tc>
          <w:tcPr>
            <w:tcW w:w="1500" w:type="dxa"/>
            <w:noWrap w:val="0"/>
            <w:vAlign w:val="center"/>
          </w:tcPr>
          <w:p w14:paraId="151EA7E6">
            <w:pPr>
              <w:widowControl w:val="0"/>
              <w:bidi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0.2</w:t>
            </w:r>
            <w:r>
              <w:rPr>
                <w:rFonts w:hint="eastAsia" w:ascii="Times New Roman" w:hAnsi="Times New Roman" w:eastAsia="宋体" w:cs="Times New Roman"/>
                <w:color w:val="auto"/>
                <w:kern w:val="2"/>
                <w:sz w:val="21"/>
                <w:szCs w:val="21"/>
                <w:lang w:val="en-US" w:eastAsia="zh-CN" w:bidi="ar-SA"/>
              </w:rPr>
              <w:t>t/a</w:t>
            </w:r>
          </w:p>
        </w:tc>
        <w:tc>
          <w:tcPr>
            <w:tcW w:w="1276" w:type="dxa"/>
            <w:noWrap w:val="0"/>
            <w:vAlign w:val="center"/>
          </w:tcPr>
          <w:p w14:paraId="74DE649D">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1701" w:type="dxa"/>
            <w:noWrap w:val="0"/>
            <w:vAlign w:val="center"/>
          </w:tcPr>
          <w:p w14:paraId="77A24953">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1559" w:type="dxa"/>
            <w:noWrap w:val="0"/>
            <w:vAlign w:val="center"/>
          </w:tcPr>
          <w:p w14:paraId="5C7EEA2C">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0.2t/a</w:t>
            </w:r>
          </w:p>
        </w:tc>
        <w:tc>
          <w:tcPr>
            <w:tcW w:w="1545" w:type="dxa"/>
            <w:noWrap w:val="0"/>
            <w:vAlign w:val="center"/>
          </w:tcPr>
          <w:p w14:paraId="436041FC">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p>
        </w:tc>
        <w:tc>
          <w:tcPr>
            <w:tcW w:w="1490" w:type="dxa"/>
            <w:noWrap w:val="0"/>
            <w:vAlign w:val="center"/>
          </w:tcPr>
          <w:p w14:paraId="0F54D579">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w:t>
            </w:r>
            <w:r>
              <w:rPr>
                <w:rFonts w:hint="eastAsia" w:cs="Times New Roman"/>
                <w:color w:val="auto"/>
                <w:kern w:val="2"/>
                <w:sz w:val="21"/>
                <w:szCs w:val="21"/>
                <w:lang w:val="en-US" w:eastAsia="zh-CN" w:bidi="ar-SA"/>
              </w:rPr>
              <w:t>2</w:t>
            </w:r>
            <w:r>
              <w:rPr>
                <w:rFonts w:hint="eastAsia" w:ascii="Times New Roman" w:hAnsi="Times New Roman" w:eastAsia="宋体" w:cs="Times New Roman"/>
                <w:color w:val="auto"/>
                <w:kern w:val="2"/>
                <w:sz w:val="21"/>
                <w:szCs w:val="21"/>
                <w:lang w:val="en-US" w:eastAsia="zh-CN" w:bidi="ar-SA"/>
              </w:rPr>
              <w:t>t/a</w:t>
            </w:r>
          </w:p>
        </w:tc>
        <w:tc>
          <w:tcPr>
            <w:tcW w:w="1511" w:type="dxa"/>
            <w:noWrap w:val="0"/>
            <w:vAlign w:val="center"/>
          </w:tcPr>
          <w:p w14:paraId="5892201A">
            <w:pPr>
              <w:widowControl w:val="0"/>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w:t>
            </w:r>
            <w:r>
              <w:rPr>
                <w:rFonts w:hint="eastAsia" w:ascii="Times New Roman" w:hAnsi="Times New Roman" w:eastAsia="宋体" w:cs="Times New Roman"/>
                <w:color w:val="auto"/>
                <w:kern w:val="2"/>
                <w:sz w:val="21"/>
                <w:szCs w:val="21"/>
                <w:lang w:val="en-US" w:eastAsia="zh-CN" w:bidi="ar-SA"/>
              </w:rPr>
              <w:t>t/a</w:t>
            </w:r>
          </w:p>
        </w:tc>
      </w:tr>
    </w:tbl>
    <w:p w14:paraId="70769C63">
      <w:pPr>
        <w:pStyle w:val="60"/>
        <w:spacing w:before="192" w:beforeLines="80" w:after="24"/>
        <w:jc w:val="left"/>
        <w:rPr>
          <w:rFonts w:hint="eastAsia" w:hAnsi="宋体"/>
          <w:snapToGrid w:val="0"/>
          <w:color w:val="auto"/>
          <w:spacing w:val="-6"/>
          <w:kern w:val="21"/>
          <w:szCs w:val="21"/>
        </w:r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p w14:paraId="41A65DF3">
      <w:pPr>
        <w:rPr>
          <w:rFonts w:ascii="宋体" w:hAnsi="宋体" w:eastAsia="黑体"/>
          <w:color w:val="auto"/>
        </w:rPr>
      </w:pPr>
    </w:p>
    <w:p w14:paraId="7CAA11F7">
      <w:pPr>
        <w:rPr>
          <w:color w:val="auto"/>
        </w:rPr>
      </w:pPr>
    </w:p>
    <w:sectPr>
      <w:headerReference r:id="rId11" w:type="default"/>
      <w:footerReference r:id="rId12"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3EDEE0F-A4CC-4CAF-8AE6-754298466BA5}"/>
  </w:font>
  <w:font w:name="黑体">
    <w:panose1 w:val="02010609060101010101"/>
    <w:charset w:val="86"/>
    <w:family w:val="auto"/>
    <w:pitch w:val="default"/>
    <w:sig w:usb0="800002BF" w:usb1="38CF7CFA" w:usb2="00000016" w:usb3="00000000" w:csb0="00040001" w:csb1="00000000"/>
    <w:embedRegular r:id="rId2" w:fontKey="{30D2B383-754C-49EA-A49C-502D8F6875C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3" w:fontKey="{6F5FD2C3-CA75-4B78-A1E2-A1AAE2ED1FE2}"/>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楷体_GB2312">
    <w:panose1 w:val="02010609030101010101"/>
    <w:charset w:val="86"/>
    <w:family w:val="modern"/>
    <w:pitch w:val="default"/>
    <w:sig w:usb0="00000001" w:usb1="080E0000" w:usb2="00000000" w:usb3="00000000" w:csb0="00040000" w:csb1="00000000"/>
    <w:embedRegular r:id="rId4" w:fontKey="{9BE14070-0599-4B35-A111-C290B7DF4325}"/>
  </w:font>
  <w:font w:name="仿宋_GB2312">
    <w:panose1 w:val="02010609030101010101"/>
    <w:charset w:val="86"/>
    <w:family w:val="modern"/>
    <w:pitch w:val="default"/>
    <w:sig w:usb0="00000001" w:usb1="080E0000" w:usb2="00000000" w:usb3="00000000" w:csb0="00040000" w:csb1="00000000"/>
    <w:embedRegular r:id="rId5" w:fontKey="{8BDC898D-50A8-484D-A6E3-91AC2C7AFABC}"/>
  </w:font>
  <w:font w:name="方正小标宋_GBK">
    <w:panose1 w:val="03000509000000000000"/>
    <w:charset w:val="86"/>
    <w:family w:val="script"/>
    <w:pitch w:val="default"/>
    <w:sig w:usb0="00000001" w:usb1="080E0000" w:usb2="00000000" w:usb3="00000000" w:csb0="00040000" w:csb1="00000000"/>
    <w:embedRegular r:id="rId6" w:fontKey="{25ABA531-D818-4253-B66E-2FA3A2528820}"/>
  </w:font>
  <w:font w:name="华文仿宋">
    <w:panose1 w:val="02010600040101010101"/>
    <w:charset w:val="86"/>
    <w:family w:val="auto"/>
    <w:pitch w:val="default"/>
    <w:sig w:usb0="00000287" w:usb1="080F0000" w:usb2="00000000" w:usb3="00000000" w:csb0="0004009F" w:csb1="DFD70000"/>
    <w:embedRegular r:id="rId7" w:fontKey="{DC9DCC44-EEA0-42F0-B576-06604E9462B5}"/>
  </w:font>
  <w:font w:name="仿宋">
    <w:panose1 w:val="02010609060101010101"/>
    <w:charset w:val="86"/>
    <w:family w:val="auto"/>
    <w:pitch w:val="default"/>
    <w:sig w:usb0="800002BF" w:usb1="38CF7CFA" w:usb2="00000016" w:usb3="00000000" w:csb0="00040001" w:csb1="00000000"/>
    <w:embedRegular r:id="rId8" w:fontKey="{BB82F1C9-05D7-45B5-81AB-FBD73DA5047D}"/>
  </w:font>
  <w:font w:name="Wingdings 2">
    <w:panose1 w:val="05020102010507070707"/>
    <w:charset w:val="02"/>
    <w:family w:val="roman"/>
    <w:pitch w:val="default"/>
    <w:sig w:usb0="00000000" w:usb1="00000000" w:usb2="00000000" w:usb3="00000000" w:csb0="80000000" w:csb1="00000000"/>
    <w:embedRegular r:id="rId9" w:fontKey="{D1EA9F05-A6D2-4B7E-A5BB-5371A498C4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E07EC">
    <w:pPr>
      <w:pStyle w:val="1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C444C">
    <w:pPr>
      <w:pStyle w:val="19"/>
      <w:framePr w:wrap="around" w:vAnchor="text" w:hAnchor="margin" w:xAlign="center" w:y="1"/>
      <w:rPr>
        <w:rStyle w:val="33"/>
      </w:rPr>
    </w:pPr>
    <w:r>
      <w:fldChar w:fldCharType="begin"/>
    </w:r>
    <w:r>
      <w:rPr>
        <w:rStyle w:val="33"/>
      </w:rPr>
      <w:instrText xml:space="preserve">PAGE  </w:instrText>
    </w:r>
    <w:r>
      <w:fldChar w:fldCharType="end"/>
    </w:r>
  </w:p>
  <w:p w14:paraId="3773197A">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BAF44">
    <w:pPr>
      <w:pStyle w:val="19"/>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45CF6">
    <w:pPr>
      <w:pStyle w:val="19"/>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8BB2C">
    <w:pPr>
      <w:pStyle w:val="19"/>
      <w:framePr w:wrap="around" w:vAnchor="text" w:hAnchor="margin" w:xAlign="outside" w:y="1"/>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Style w:val="33"/>
        <w:rFonts w:ascii="宋体" w:hAnsi="宋体"/>
        <w:sz w:val="26"/>
        <w:szCs w:val="26"/>
      </w:rPr>
      <w:fldChar w:fldCharType="begin"/>
    </w:r>
    <w:r>
      <w:rPr>
        <w:rStyle w:val="33"/>
        <w:rFonts w:ascii="宋体" w:hAnsi="宋体"/>
        <w:sz w:val="26"/>
        <w:szCs w:val="26"/>
      </w:rPr>
      <w:instrText xml:space="preserve">PAGE  </w:instrText>
    </w:r>
    <w:r>
      <w:rPr>
        <w:rStyle w:val="33"/>
        <w:rFonts w:ascii="宋体" w:hAnsi="宋体"/>
        <w:sz w:val="26"/>
        <w:szCs w:val="26"/>
      </w:rPr>
      <w:fldChar w:fldCharType="separate"/>
    </w:r>
    <w:r>
      <w:rPr>
        <w:rStyle w:val="33"/>
        <w:rFonts w:ascii="宋体" w:hAnsi="宋体"/>
        <w:sz w:val="26"/>
        <w:szCs w:val="26"/>
      </w:rPr>
      <w:t>9</w:t>
    </w:r>
    <w:r>
      <w:rPr>
        <w:rStyle w:val="33"/>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p w14:paraId="25488FEC">
    <w:pPr>
      <w:pStyle w:val="19"/>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C8B7D">
    <w:pPr>
      <w:pStyle w:val="19"/>
      <w:framePr w:wrap="around" w:vAnchor="text" w:hAnchor="margin" w:xAlign="outside" w:y="1"/>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Style w:val="33"/>
        <w:rFonts w:ascii="宋体" w:hAnsi="宋体"/>
        <w:sz w:val="26"/>
        <w:szCs w:val="26"/>
      </w:rPr>
      <w:fldChar w:fldCharType="begin"/>
    </w:r>
    <w:r>
      <w:rPr>
        <w:rStyle w:val="33"/>
        <w:rFonts w:ascii="宋体" w:hAnsi="宋体"/>
        <w:sz w:val="26"/>
        <w:szCs w:val="26"/>
      </w:rPr>
      <w:instrText xml:space="preserve">PAGE  </w:instrText>
    </w:r>
    <w:r>
      <w:rPr>
        <w:rStyle w:val="33"/>
        <w:rFonts w:ascii="宋体" w:hAnsi="宋体"/>
        <w:sz w:val="26"/>
        <w:szCs w:val="26"/>
      </w:rPr>
      <w:fldChar w:fldCharType="separate"/>
    </w:r>
    <w:r>
      <w:rPr>
        <w:rStyle w:val="33"/>
        <w:rFonts w:ascii="宋体" w:hAnsi="宋体"/>
        <w:sz w:val="26"/>
        <w:szCs w:val="26"/>
      </w:rPr>
      <w:t>11</w:t>
    </w:r>
    <w:r>
      <w:rPr>
        <w:rStyle w:val="33"/>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p w14:paraId="0F13D197">
    <w:pPr>
      <w:pStyle w:val="19"/>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99959">
    <w:pPr>
      <w:pStyle w:val="2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9DB68">
    <w:pPr>
      <w:pStyle w:val="2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24E62">
    <w:pPr>
      <w:pStyle w:val="2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22E30">
    <w:pPr>
      <w:pStyle w:val="2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6593B2"/>
    <w:multiLevelType w:val="singleLevel"/>
    <w:tmpl w:val="FF6593B2"/>
    <w:lvl w:ilvl="0" w:tentative="0">
      <w:start w:val="2"/>
      <w:numFmt w:val="decimal"/>
      <w:suff w:val="nothing"/>
      <w:lvlText w:val="%1、"/>
      <w:lvlJc w:val="left"/>
    </w:lvl>
  </w:abstractNum>
  <w:abstractNum w:abstractNumId="1">
    <w:nsid w:val="1EA87252"/>
    <w:multiLevelType w:val="singleLevel"/>
    <w:tmpl w:val="1EA87252"/>
    <w:lvl w:ilvl="0" w:tentative="0">
      <w:start w:val="14"/>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dlYzg4MzdlNzIwZjE1MDBlYzI5MzE0ZDU0OTg3ZTQifQ=="/>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525"/>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4A4B87"/>
    <w:rsid w:val="015D1E09"/>
    <w:rsid w:val="01AE0AB4"/>
    <w:rsid w:val="022278B2"/>
    <w:rsid w:val="025A5167"/>
    <w:rsid w:val="02697903"/>
    <w:rsid w:val="02817E0E"/>
    <w:rsid w:val="02F96569"/>
    <w:rsid w:val="030C7E14"/>
    <w:rsid w:val="03EA7B21"/>
    <w:rsid w:val="04365896"/>
    <w:rsid w:val="05731573"/>
    <w:rsid w:val="05F83EAE"/>
    <w:rsid w:val="063E7D85"/>
    <w:rsid w:val="07293586"/>
    <w:rsid w:val="07295285"/>
    <w:rsid w:val="07636392"/>
    <w:rsid w:val="07770C56"/>
    <w:rsid w:val="092217DD"/>
    <w:rsid w:val="093A7294"/>
    <w:rsid w:val="09937256"/>
    <w:rsid w:val="09A40B2C"/>
    <w:rsid w:val="09B916DC"/>
    <w:rsid w:val="09BC0ECD"/>
    <w:rsid w:val="0A263993"/>
    <w:rsid w:val="0A2D3AC2"/>
    <w:rsid w:val="0AA755DF"/>
    <w:rsid w:val="0AC81B8A"/>
    <w:rsid w:val="0AD73A23"/>
    <w:rsid w:val="0B120D44"/>
    <w:rsid w:val="0B321545"/>
    <w:rsid w:val="0BD27BF6"/>
    <w:rsid w:val="0BDC76C8"/>
    <w:rsid w:val="0BF65AA0"/>
    <w:rsid w:val="0C3B3C7D"/>
    <w:rsid w:val="0C63006A"/>
    <w:rsid w:val="0C794FB2"/>
    <w:rsid w:val="0CAB2EAE"/>
    <w:rsid w:val="0CC223BD"/>
    <w:rsid w:val="0CF92660"/>
    <w:rsid w:val="0D621C7D"/>
    <w:rsid w:val="0DE55B1C"/>
    <w:rsid w:val="0E104ED2"/>
    <w:rsid w:val="0E66682D"/>
    <w:rsid w:val="0E73034D"/>
    <w:rsid w:val="0E7D78A0"/>
    <w:rsid w:val="0EC10BE9"/>
    <w:rsid w:val="0F13775A"/>
    <w:rsid w:val="0F2E2063"/>
    <w:rsid w:val="0F5F45FE"/>
    <w:rsid w:val="0F9A112B"/>
    <w:rsid w:val="0FF43D34"/>
    <w:rsid w:val="106D2F64"/>
    <w:rsid w:val="10B63710"/>
    <w:rsid w:val="10F10820"/>
    <w:rsid w:val="10F34100"/>
    <w:rsid w:val="111C2F7A"/>
    <w:rsid w:val="113373E5"/>
    <w:rsid w:val="113C55C4"/>
    <w:rsid w:val="11665CA1"/>
    <w:rsid w:val="11765AAC"/>
    <w:rsid w:val="11A3532F"/>
    <w:rsid w:val="11DB1C68"/>
    <w:rsid w:val="13610307"/>
    <w:rsid w:val="136D1E3B"/>
    <w:rsid w:val="138360D8"/>
    <w:rsid w:val="13951726"/>
    <w:rsid w:val="14135073"/>
    <w:rsid w:val="1437162A"/>
    <w:rsid w:val="14396509"/>
    <w:rsid w:val="14827D32"/>
    <w:rsid w:val="14BB40A6"/>
    <w:rsid w:val="14DD2C3C"/>
    <w:rsid w:val="15CD27F0"/>
    <w:rsid w:val="16087E1D"/>
    <w:rsid w:val="16293FF0"/>
    <w:rsid w:val="16775FC6"/>
    <w:rsid w:val="172D60A8"/>
    <w:rsid w:val="17701D14"/>
    <w:rsid w:val="17735226"/>
    <w:rsid w:val="181051F5"/>
    <w:rsid w:val="189D2246"/>
    <w:rsid w:val="189F624C"/>
    <w:rsid w:val="189F6B77"/>
    <w:rsid w:val="1A1C66C0"/>
    <w:rsid w:val="1A42393B"/>
    <w:rsid w:val="1AA56945"/>
    <w:rsid w:val="1AAD45DE"/>
    <w:rsid w:val="1AC87809"/>
    <w:rsid w:val="1B046F80"/>
    <w:rsid w:val="1B3267B5"/>
    <w:rsid w:val="1B40161D"/>
    <w:rsid w:val="1B441859"/>
    <w:rsid w:val="1B6606B1"/>
    <w:rsid w:val="1BAB598B"/>
    <w:rsid w:val="1BFB0FF6"/>
    <w:rsid w:val="1C016820"/>
    <w:rsid w:val="1C5E7925"/>
    <w:rsid w:val="1CFD070F"/>
    <w:rsid w:val="1D5F6196"/>
    <w:rsid w:val="1D6132A5"/>
    <w:rsid w:val="1D8E56D5"/>
    <w:rsid w:val="1DCB682D"/>
    <w:rsid w:val="1E527A92"/>
    <w:rsid w:val="1E7A43DA"/>
    <w:rsid w:val="1F0868D2"/>
    <w:rsid w:val="1F1C3BAF"/>
    <w:rsid w:val="1F886A96"/>
    <w:rsid w:val="1FE7539E"/>
    <w:rsid w:val="20671BE0"/>
    <w:rsid w:val="20963CB8"/>
    <w:rsid w:val="20A81A1B"/>
    <w:rsid w:val="20B07FB6"/>
    <w:rsid w:val="20B646FB"/>
    <w:rsid w:val="213B74B1"/>
    <w:rsid w:val="215A2310"/>
    <w:rsid w:val="21DE318A"/>
    <w:rsid w:val="21EB0A73"/>
    <w:rsid w:val="21EF5B80"/>
    <w:rsid w:val="22576990"/>
    <w:rsid w:val="22F47480"/>
    <w:rsid w:val="2355768F"/>
    <w:rsid w:val="23DE1C48"/>
    <w:rsid w:val="240210CD"/>
    <w:rsid w:val="24BF09F7"/>
    <w:rsid w:val="24CE6D99"/>
    <w:rsid w:val="252D53FE"/>
    <w:rsid w:val="2550422F"/>
    <w:rsid w:val="255E4BC9"/>
    <w:rsid w:val="25EC2D81"/>
    <w:rsid w:val="2669761A"/>
    <w:rsid w:val="26722306"/>
    <w:rsid w:val="26CE3DCE"/>
    <w:rsid w:val="277057A2"/>
    <w:rsid w:val="27783970"/>
    <w:rsid w:val="28935359"/>
    <w:rsid w:val="28C429A0"/>
    <w:rsid w:val="29206EB8"/>
    <w:rsid w:val="29335C90"/>
    <w:rsid w:val="29595666"/>
    <w:rsid w:val="29874881"/>
    <w:rsid w:val="29E325E0"/>
    <w:rsid w:val="29F305EA"/>
    <w:rsid w:val="2A452503"/>
    <w:rsid w:val="2A6A080D"/>
    <w:rsid w:val="2A866380"/>
    <w:rsid w:val="2B4C75AE"/>
    <w:rsid w:val="2BA936A8"/>
    <w:rsid w:val="2C002162"/>
    <w:rsid w:val="2C315A5A"/>
    <w:rsid w:val="2C4B1C25"/>
    <w:rsid w:val="2CF26D5D"/>
    <w:rsid w:val="2D653489"/>
    <w:rsid w:val="2D9E56F5"/>
    <w:rsid w:val="2E0300D2"/>
    <w:rsid w:val="2E667F96"/>
    <w:rsid w:val="2E7C7C4D"/>
    <w:rsid w:val="2E8226AB"/>
    <w:rsid w:val="2E840E29"/>
    <w:rsid w:val="2F1D77C3"/>
    <w:rsid w:val="2F74341E"/>
    <w:rsid w:val="2FB067A8"/>
    <w:rsid w:val="2FD065E6"/>
    <w:rsid w:val="2FD96870"/>
    <w:rsid w:val="301714A3"/>
    <w:rsid w:val="30580BC9"/>
    <w:rsid w:val="3070298B"/>
    <w:rsid w:val="311E2ED7"/>
    <w:rsid w:val="315619EE"/>
    <w:rsid w:val="315C449C"/>
    <w:rsid w:val="318D643A"/>
    <w:rsid w:val="31B82709"/>
    <w:rsid w:val="31D05482"/>
    <w:rsid w:val="31D245A1"/>
    <w:rsid w:val="32400B34"/>
    <w:rsid w:val="3244724D"/>
    <w:rsid w:val="329E6876"/>
    <w:rsid w:val="333015F2"/>
    <w:rsid w:val="334B6320"/>
    <w:rsid w:val="33D934D4"/>
    <w:rsid w:val="33FE2F6A"/>
    <w:rsid w:val="340E07E5"/>
    <w:rsid w:val="34235BF7"/>
    <w:rsid w:val="345B51C3"/>
    <w:rsid w:val="349D74AE"/>
    <w:rsid w:val="34E0501C"/>
    <w:rsid w:val="35036486"/>
    <w:rsid w:val="358C5FA8"/>
    <w:rsid w:val="35C15DF1"/>
    <w:rsid w:val="36074A7F"/>
    <w:rsid w:val="366D4DD8"/>
    <w:rsid w:val="36923549"/>
    <w:rsid w:val="36AE1CBE"/>
    <w:rsid w:val="36B75FBF"/>
    <w:rsid w:val="36BD0C45"/>
    <w:rsid w:val="37405B09"/>
    <w:rsid w:val="377A726D"/>
    <w:rsid w:val="37E00298"/>
    <w:rsid w:val="37FA49C9"/>
    <w:rsid w:val="3899103A"/>
    <w:rsid w:val="38B302F9"/>
    <w:rsid w:val="38F12CD3"/>
    <w:rsid w:val="38F94775"/>
    <w:rsid w:val="392971ED"/>
    <w:rsid w:val="39325651"/>
    <w:rsid w:val="3A176FF5"/>
    <w:rsid w:val="3A872856"/>
    <w:rsid w:val="3AC91C01"/>
    <w:rsid w:val="3B3763D1"/>
    <w:rsid w:val="3B4C2CC3"/>
    <w:rsid w:val="3BA07762"/>
    <w:rsid w:val="3C291261"/>
    <w:rsid w:val="3C2F6E1E"/>
    <w:rsid w:val="3C4F64BA"/>
    <w:rsid w:val="3C5303B1"/>
    <w:rsid w:val="3C6615BE"/>
    <w:rsid w:val="3CDA245A"/>
    <w:rsid w:val="3CF47AC1"/>
    <w:rsid w:val="3D1E06B7"/>
    <w:rsid w:val="3D3A338D"/>
    <w:rsid w:val="3EDA0523"/>
    <w:rsid w:val="40324B88"/>
    <w:rsid w:val="407A6407"/>
    <w:rsid w:val="40AF537D"/>
    <w:rsid w:val="41C75F27"/>
    <w:rsid w:val="4200449D"/>
    <w:rsid w:val="423A3BCC"/>
    <w:rsid w:val="424E57D2"/>
    <w:rsid w:val="42B26C49"/>
    <w:rsid w:val="42B73B63"/>
    <w:rsid w:val="433A6FE6"/>
    <w:rsid w:val="434075BC"/>
    <w:rsid w:val="43480868"/>
    <w:rsid w:val="434F5A51"/>
    <w:rsid w:val="4350713C"/>
    <w:rsid w:val="436653E0"/>
    <w:rsid w:val="43C4431A"/>
    <w:rsid w:val="43D146B8"/>
    <w:rsid w:val="44B951CC"/>
    <w:rsid w:val="44CD14E0"/>
    <w:rsid w:val="44F20B0B"/>
    <w:rsid w:val="452E5F4C"/>
    <w:rsid w:val="454F1D39"/>
    <w:rsid w:val="45612018"/>
    <w:rsid w:val="458946E9"/>
    <w:rsid w:val="45A47C0E"/>
    <w:rsid w:val="45AD2F03"/>
    <w:rsid w:val="45BF4EBF"/>
    <w:rsid w:val="45E40A63"/>
    <w:rsid w:val="46064DF1"/>
    <w:rsid w:val="46577FD6"/>
    <w:rsid w:val="46A611A1"/>
    <w:rsid w:val="46D955A7"/>
    <w:rsid w:val="47133957"/>
    <w:rsid w:val="479928B9"/>
    <w:rsid w:val="47A07E0C"/>
    <w:rsid w:val="47FA3B67"/>
    <w:rsid w:val="4870272E"/>
    <w:rsid w:val="4892452C"/>
    <w:rsid w:val="491903E3"/>
    <w:rsid w:val="49DC7715"/>
    <w:rsid w:val="49F303F1"/>
    <w:rsid w:val="4A023139"/>
    <w:rsid w:val="4A3846F3"/>
    <w:rsid w:val="4A4D3827"/>
    <w:rsid w:val="4A6C5B9A"/>
    <w:rsid w:val="4A7B576F"/>
    <w:rsid w:val="4AF561A9"/>
    <w:rsid w:val="4B82403E"/>
    <w:rsid w:val="4C4A0649"/>
    <w:rsid w:val="4C6A38FC"/>
    <w:rsid w:val="4C7E5ECA"/>
    <w:rsid w:val="4C876AA5"/>
    <w:rsid w:val="4D0E00FB"/>
    <w:rsid w:val="4D176606"/>
    <w:rsid w:val="4DE02688"/>
    <w:rsid w:val="4DEC4FB0"/>
    <w:rsid w:val="4E075D8A"/>
    <w:rsid w:val="4E546F35"/>
    <w:rsid w:val="4E5C6303"/>
    <w:rsid w:val="4EC00FAD"/>
    <w:rsid w:val="4F691FBD"/>
    <w:rsid w:val="4F9843DC"/>
    <w:rsid w:val="4FBD4F42"/>
    <w:rsid w:val="4FC62A8C"/>
    <w:rsid w:val="4FE20F0D"/>
    <w:rsid w:val="4FE51552"/>
    <w:rsid w:val="501C6CBB"/>
    <w:rsid w:val="50504C4B"/>
    <w:rsid w:val="50561799"/>
    <w:rsid w:val="505F38BC"/>
    <w:rsid w:val="509C6E7C"/>
    <w:rsid w:val="5162104E"/>
    <w:rsid w:val="51DB378B"/>
    <w:rsid w:val="527A1553"/>
    <w:rsid w:val="53933738"/>
    <w:rsid w:val="53A039CC"/>
    <w:rsid w:val="53A1505A"/>
    <w:rsid w:val="53FE45C8"/>
    <w:rsid w:val="54063E08"/>
    <w:rsid w:val="5409288A"/>
    <w:rsid w:val="543437E8"/>
    <w:rsid w:val="54712E19"/>
    <w:rsid w:val="54F73313"/>
    <w:rsid w:val="54F80955"/>
    <w:rsid w:val="54FC530D"/>
    <w:rsid w:val="555170A7"/>
    <w:rsid w:val="5587536D"/>
    <w:rsid w:val="559B174B"/>
    <w:rsid w:val="55BF0815"/>
    <w:rsid w:val="55CE0CF4"/>
    <w:rsid w:val="56B22A9C"/>
    <w:rsid w:val="578E252E"/>
    <w:rsid w:val="57B72A76"/>
    <w:rsid w:val="57C3426C"/>
    <w:rsid w:val="57CE1F93"/>
    <w:rsid w:val="588743D1"/>
    <w:rsid w:val="5887701A"/>
    <w:rsid w:val="58AD2632"/>
    <w:rsid w:val="58CA64DB"/>
    <w:rsid w:val="591B0458"/>
    <w:rsid w:val="59777F29"/>
    <w:rsid w:val="59C0439F"/>
    <w:rsid w:val="59F44785"/>
    <w:rsid w:val="5ABE2233"/>
    <w:rsid w:val="5AC21003"/>
    <w:rsid w:val="5B6F05E7"/>
    <w:rsid w:val="5BDB5BD0"/>
    <w:rsid w:val="5BDF5D95"/>
    <w:rsid w:val="5BFE7528"/>
    <w:rsid w:val="5C2C3BC2"/>
    <w:rsid w:val="5CAF6E35"/>
    <w:rsid w:val="5D720147"/>
    <w:rsid w:val="5E137718"/>
    <w:rsid w:val="5E2467F1"/>
    <w:rsid w:val="5F1A2B43"/>
    <w:rsid w:val="5FB837BB"/>
    <w:rsid w:val="5FE61E6C"/>
    <w:rsid w:val="60AA0076"/>
    <w:rsid w:val="60CC405A"/>
    <w:rsid w:val="61990244"/>
    <w:rsid w:val="61E215D8"/>
    <w:rsid w:val="621B3775"/>
    <w:rsid w:val="62364782"/>
    <w:rsid w:val="629554C5"/>
    <w:rsid w:val="629C04CF"/>
    <w:rsid w:val="629E0F43"/>
    <w:rsid w:val="63427402"/>
    <w:rsid w:val="63615A5B"/>
    <w:rsid w:val="6394356A"/>
    <w:rsid w:val="639F1C85"/>
    <w:rsid w:val="63C61B2C"/>
    <w:rsid w:val="63D40BE9"/>
    <w:rsid w:val="64102431"/>
    <w:rsid w:val="64654742"/>
    <w:rsid w:val="64A5243A"/>
    <w:rsid w:val="64F531DE"/>
    <w:rsid w:val="6522029E"/>
    <w:rsid w:val="65306D61"/>
    <w:rsid w:val="65373578"/>
    <w:rsid w:val="65BF3BAF"/>
    <w:rsid w:val="65F42258"/>
    <w:rsid w:val="664B75F5"/>
    <w:rsid w:val="667C6F9A"/>
    <w:rsid w:val="66BD5811"/>
    <w:rsid w:val="671F124A"/>
    <w:rsid w:val="677A33C6"/>
    <w:rsid w:val="67E20CA8"/>
    <w:rsid w:val="67F7578E"/>
    <w:rsid w:val="681F6961"/>
    <w:rsid w:val="6843080A"/>
    <w:rsid w:val="685F1C87"/>
    <w:rsid w:val="68610A2F"/>
    <w:rsid w:val="68805514"/>
    <w:rsid w:val="68832DE0"/>
    <w:rsid w:val="688A22C6"/>
    <w:rsid w:val="68B91791"/>
    <w:rsid w:val="691F3669"/>
    <w:rsid w:val="69316E2F"/>
    <w:rsid w:val="694E2071"/>
    <w:rsid w:val="695F296E"/>
    <w:rsid w:val="69766163"/>
    <w:rsid w:val="697A3B33"/>
    <w:rsid w:val="69D44760"/>
    <w:rsid w:val="6A520EC7"/>
    <w:rsid w:val="6AF87E20"/>
    <w:rsid w:val="6B322639"/>
    <w:rsid w:val="6C1D02A5"/>
    <w:rsid w:val="6C636C38"/>
    <w:rsid w:val="6CAD78AB"/>
    <w:rsid w:val="6DB34098"/>
    <w:rsid w:val="6DB545B6"/>
    <w:rsid w:val="6DE02FB4"/>
    <w:rsid w:val="6E514CED"/>
    <w:rsid w:val="6E8C1058"/>
    <w:rsid w:val="6EB563D5"/>
    <w:rsid w:val="6ED92677"/>
    <w:rsid w:val="6F225983"/>
    <w:rsid w:val="6FFC5590"/>
    <w:rsid w:val="70007817"/>
    <w:rsid w:val="706D1DD0"/>
    <w:rsid w:val="70856B87"/>
    <w:rsid w:val="70D527EE"/>
    <w:rsid w:val="713A2590"/>
    <w:rsid w:val="715B5300"/>
    <w:rsid w:val="71C8156C"/>
    <w:rsid w:val="71C872F5"/>
    <w:rsid w:val="71D27F8A"/>
    <w:rsid w:val="72553024"/>
    <w:rsid w:val="73026209"/>
    <w:rsid w:val="730D6DE4"/>
    <w:rsid w:val="73122968"/>
    <w:rsid w:val="731F5D5E"/>
    <w:rsid w:val="735A7977"/>
    <w:rsid w:val="73992D6C"/>
    <w:rsid w:val="73C51AD5"/>
    <w:rsid w:val="73E674DD"/>
    <w:rsid w:val="73FE3A7A"/>
    <w:rsid w:val="741E793C"/>
    <w:rsid w:val="7457432F"/>
    <w:rsid w:val="745E3944"/>
    <w:rsid w:val="74AF2DDE"/>
    <w:rsid w:val="7635099D"/>
    <w:rsid w:val="775E6551"/>
    <w:rsid w:val="77762421"/>
    <w:rsid w:val="778429EE"/>
    <w:rsid w:val="77B56B1F"/>
    <w:rsid w:val="780F09F4"/>
    <w:rsid w:val="78A90480"/>
    <w:rsid w:val="79CF2ADB"/>
    <w:rsid w:val="7A081EDB"/>
    <w:rsid w:val="7A364017"/>
    <w:rsid w:val="7A517AAB"/>
    <w:rsid w:val="7A8265E1"/>
    <w:rsid w:val="7B331A8D"/>
    <w:rsid w:val="7B686D42"/>
    <w:rsid w:val="7B715CAD"/>
    <w:rsid w:val="7B841746"/>
    <w:rsid w:val="7BA1291B"/>
    <w:rsid w:val="7C0D2637"/>
    <w:rsid w:val="7C4C279C"/>
    <w:rsid w:val="7C6C5AC7"/>
    <w:rsid w:val="7CC6544B"/>
    <w:rsid w:val="7D0239FF"/>
    <w:rsid w:val="7D5E40CD"/>
    <w:rsid w:val="7DAE4327"/>
    <w:rsid w:val="7DCD56F2"/>
    <w:rsid w:val="7E436567"/>
    <w:rsid w:val="7F001CE7"/>
    <w:rsid w:val="7F070B04"/>
    <w:rsid w:val="7F914C74"/>
    <w:rsid w:val="7FB42B4D"/>
    <w:rsid w:val="7FC75237"/>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iPriority="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qFormat="1" w:unhideWhenUsed="0" w:uiPriority="0" w:semiHidden="0" w:name="List 2" w:locked="1"/>
    <w:lsdException w:qFormat="1" w:uiPriority="99"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qFormat="1" w:unhideWhenUsed="0" w:uiPriority="0" w:semiHidden="0" w:name="Body Text 3" w:locked="1"/>
    <w:lsdException w:qFormat="1" w:uiPriority="99"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99"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unhideWhenUsed/>
    <w:qFormat/>
    <w:locked/>
    <w:uiPriority w:val="0"/>
    <w:pPr>
      <w:spacing w:beforeAutospacing="1" w:afterAutospacing="1" w:line="360" w:lineRule="auto"/>
      <w:jc w:val="left"/>
      <w:outlineLvl w:val="1"/>
    </w:pPr>
    <w:rPr>
      <w:rFonts w:hint="eastAsia" w:ascii="宋体" w:hAnsi="宋体" w:eastAsia="宋体" w:cs="宋体"/>
      <w:b/>
      <w:kern w:val="0"/>
      <w:sz w:val="24"/>
      <w:szCs w:val="36"/>
      <w:lang w:bidi="ar"/>
    </w:rPr>
  </w:style>
  <w:style w:type="paragraph" w:styleId="4">
    <w:name w:val="heading 3"/>
    <w:basedOn w:val="1"/>
    <w:next w:val="1"/>
    <w:semiHidden/>
    <w:unhideWhenUsed/>
    <w:qFormat/>
    <w:locked/>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31">
    <w:name w:val="Default Paragraph Font"/>
    <w:semiHidden/>
    <w:qFormat/>
    <w:uiPriority w:val="0"/>
  </w:style>
  <w:style w:type="table" w:default="1" w:styleId="29">
    <w:name w:val="Normal Table"/>
    <w:semiHidden/>
    <w:qFormat/>
    <w:uiPriority w:val="0"/>
    <w:tblPr>
      <w:tblCellMar>
        <w:top w:w="0" w:type="dxa"/>
        <w:left w:w="108" w:type="dxa"/>
        <w:bottom w:w="0" w:type="dxa"/>
        <w:right w:w="108" w:type="dxa"/>
      </w:tblCellMar>
    </w:tblPr>
  </w:style>
  <w:style w:type="paragraph" w:styleId="5">
    <w:name w:val="List 3"/>
    <w:basedOn w:val="1"/>
    <w:autoRedefine/>
    <w:unhideWhenUsed/>
    <w:qFormat/>
    <w:locked/>
    <w:uiPriority w:val="99"/>
    <w:pPr>
      <w:ind w:left="1260" w:hanging="420"/>
    </w:pPr>
  </w:style>
  <w:style w:type="paragraph" w:styleId="6">
    <w:name w:val="Normal Indent"/>
    <w:basedOn w:val="1"/>
    <w:next w:val="7"/>
    <w:autoRedefine/>
    <w:qFormat/>
    <w:locked/>
    <w:uiPriority w:val="0"/>
    <w:pPr>
      <w:spacing w:line="240" w:lineRule="auto"/>
      <w:ind w:firstLine="420"/>
    </w:pPr>
    <w:rPr>
      <w:rFonts w:ascii="宋体" w:hAnsi="宋体" w:cs="Times New Roman"/>
      <w:kern w:val="2"/>
      <w:sz w:val="21"/>
    </w:rPr>
  </w:style>
  <w:style w:type="paragraph" w:customStyle="1" w:styleId="7">
    <w:name w:val="表头"/>
    <w:basedOn w:val="8"/>
    <w:autoRedefine/>
    <w:qFormat/>
    <w:uiPriority w:val="0"/>
    <w:pPr>
      <w:tabs>
        <w:tab w:val="left" w:pos="3780"/>
      </w:tabs>
      <w:spacing w:line="360" w:lineRule="auto"/>
      <w:jc w:val="left"/>
    </w:pPr>
    <w:rPr>
      <w:sz w:val="24"/>
      <w:szCs w:val="24"/>
    </w:rPr>
  </w:style>
  <w:style w:type="paragraph" w:styleId="8">
    <w:name w:val="List"/>
    <w:basedOn w:val="1"/>
    <w:autoRedefine/>
    <w:qFormat/>
    <w:locked/>
    <w:uiPriority w:val="0"/>
    <w:pPr>
      <w:snapToGrid w:val="0"/>
      <w:spacing w:line="240" w:lineRule="atLeast"/>
      <w:ind w:left="0" w:leftChars="0" w:firstLine="0" w:firstLineChars="0"/>
      <w:jc w:val="center"/>
    </w:pPr>
    <w:rPr>
      <w:sz w:val="21"/>
    </w:rPr>
  </w:style>
  <w:style w:type="paragraph" w:styleId="9">
    <w:name w:val="annotation text"/>
    <w:basedOn w:val="1"/>
    <w:link w:val="47"/>
    <w:autoRedefine/>
    <w:semiHidden/>
    <w:qFormat/>
    <w:uiPriority w:val="0"/>
    <w:pPr>
      <w:jc w:val="left"/>
    </w:pPr>
    <w:rPr>
      <w:kern w:val="0"/>
      <w:sz w:val="24"/>
      <w:szCs w:val="20"/>
    </w:rPr>
  </w:style>
  <w:style w:type="paragraph" w:styleId="10">
    <w:name w:val="Body Text 3"/>
    <w:basedOn w:val="1"/>
    <w:autoRedefine/>
    <w:qFormat/>
    <w:locked/>
    <w:uiPriority w:val="0"/>
    <w:pPr>
      <w:jc w:val="center"/>
    </w:pPr>
    <w:rPr>
      <w:rFonts w:ascii="Times New Roman" w:hAnsi="Times New Roman" w:eastAsia="宋体" w:cs="Times New Roman"/>
      <w:sz w:val="18"/>
      <w:szCs w:val="24"/>
    </w:rPr>
  </w:style>
  <w:style w:type="paragraph" w:styleId="11">
    <w:name w:val="Body Text"/>
    <w:basedOn w:val="1"/>
    <w:next w:val="1"/>
    <w:link w:val="48"/>
    <w:autoRedefine/>
    <w:qFormat/>
    <w:uiPriority w:val="0"/>
    <w:pPr>
      <w:widowControl/>
      <w:snapToGrid w:val="0"/>
      <w:spacing w:before="60" w:after="160" w:line="259" w:lineRule="auto"/>
      <w:ind w:right="113"/>
    </w:pPr>
    <w:rPr>
      <w:kern w:val="0"/>
      <w:sz w:val="18"/>
      <w:szCs w:val="20"/>
    </w:rPr>
  </w:style>
  <w:style w:type="paragraph" w:styleId="12">
    <w:name w:val="Body Text Indent"/>
    <w:basedOn w:val="1"/>
    <w:link w:val="49"/>
    <w:autoRedefine/>
    <w:qFormat/>
    <w:uiPriority w:val="0"/>
    <w:pPr>
      <w:spacing w:after="120"/>
      <w:ind w:left="420" w:leftChars="200"/>
    </w:pPr>
    <w:rPr>
      <w:kern w:val="0"/>
      <w:sz w:val="24"/>
      <w:szCs w:val="20"/>
    </w:rPr>
  </w:style>
  <w:style w:type="paragraph" w:styleId="13">
    <w:name w:val="List 2"/>
    <w:basedOn w:val="1"/>
    <w:autoRedefine/>
    <w:qFormat/>
    <w:locked/>
    <w:uiPriority w:val="0"/>
    <w:pPr>
      <w:ind w:left="100" w:leftChars="200" w:hanging="200" w:hangingChars="200"/>
    </w:pPr>
  </w:style>
  <w:style w:type="paragraph" w:styleId="14">
    <w:name w:val="Block Text"/>
    <w:basedOn w:val="1"/>
    <w:autoRedefine/>
    <w:qFormat/>
    <w:locked/>
    <w:uiPriority w:val="0"/>
  </w:style>
  <w:style w:type="paragraph" w:styleId="15">
    <w:name w:val="Plain Text"/>
    <w:basedOn w:val="1"/>
    <w:next w:val="1"/>
    <w:autoRedefine/>
    <w:qFormat/>
    <w:locked/>
    <w:uiPriority w:val="99"/>
    <w:pPr>
      <w:spacing w:line="240" w:lineRule="atLeast"/>
    </w:pPr>
    <w:rPr>
      <w:rFonts w:ascii="宋体" w:hAnsi="Courier New" w:cs="Times New Roman"/>
      <w:sz w:val="28"/>
      <w:szCs w:val="28"/>
    </w:rPr>
  </w:style>
  <w:style w:type="paragraph" w:styleId="16">
    <w:name w:val="Date"/>
    <w:basedOn w:val="1"/>
    <w:next w:val="1"/>
    <w:link w:val="50"/>
    <w:autoRedefine/>
    <w:qFormat/>
    <w:uiPriority w:val="0"/>
    <w:pPr>
      <w:ind w:left="100" w:leftChars="2500"/>
    </w:pPr>
    <w:rPr>
      <w:kern w:val="0"/>
      <w:sz w:val="24"/>
      <w:szCs w:val="20"/>
    </w:rPr>
  </w:style>
  <w:style w:type="paragraph" w:styleId="17">
    <w:name w:val="Body Text Indent 2"/>
    <w:basedOn w:val="1"/>
    <w:unhideWhenUsed/>
    <w:qFormat/>
    <w:locked/>
    <w:uiPriority w:val="99"/>
    <w:pPr>
      <w:spacing w:line="360" w:lineRule="auto"/>
      <w:ind w:firstLine="480" w:firstLineChars="200"/>
    </w:pPr>
    <w:rPr>
      <w:color w:val="FF0000"/>
      <w:sz w:val="24"/>
      <w:szCs w:val="22"/>
    </w:rPr>
  </w:style>
  <w:style w:type="paragraph" w:styleId="18">
    <w:name w:val="Balloon Text"/>
    <w:basedOn w:val="1"/>
    <w:link w:val="51"/>
    <w:autoRedefine/>
    <w:semiHidden/>
    <w:qFormat/>
    <w:uiPriority w:val="0"/>
    <w:rPr>
      <w:kern w:val="0"/>
      <w:sz w:val="18"/>
      <w:szCs w:val="20"/>
    </w:rPr>
  </w:style>
  <w:style w:type="paragraph" w:styleId="19">
    <w:name w:val="footer"/>
    <w:basedOn w:val="1"/>
    <w:next w:val="1"/>
    <w:link w:val="52"/>
    <w:autoRedefine/>
    <w:qFormat/>
    <w:uiPriority w:val="99"/>
    <w:pPr>
      <w:tabs>
        <w:tab w:val="center" w:pos="4153"/>
        <w:tab w:val="right" w:pos="8306"/>
      </w:tabs>
      <w:snapToGrid w:val="0"/>
      <w:jc w:val="left"/>
    </w:pPr>
    <w:rPr>
      <w:kern w:val="0"/>
      <w:sz w:val="18"/>
      <w:szCs w:val="20"/>
    </w:rPr>
  </w:style>
  <w:style w:type="paragraph" w:styleId="20">
    <w:name w:val="header"/>
    <w:basedOn w:val="1"/>
    <w:next w:val="14"/>
    <w:link w:val="94"/>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21">
    <w:name w:val="toc 1"/>
    <w:basedOn w:val="1"/>
    <w:next w:val="1"/>
    <w:autoRedefine/>
    <w:qFormat/>
    <w:locked/>
    <w:uiPriority w:val="0"/>
  </w:style>
  <w:style w:type="paragraph" w:styleId="22">
    <w:name w:val="index heading"/>
    <w:basedOn w:val="1"/>
    <w:next w:val="23"/>
    <w:autoRedefine/>
    <w:qFormat/>
    <w:locked/>
    <w:uiPriority w:val="0"/>
    <w:pPr>
      <w:spacing w:before="120" w:beforeLines="0" w:after="120" w:afterLines="0"/>
      <w:jc w:val="left"/>
    </w:pPr>
    <w:rPr>
      <w:b/>
      <w:bCs/>
      <w:i/>
      <w:iCs/>
      <w:sz w:val="20"/>
      <w:szCs w:val="20"/>
    </w:rPr>
  </w:style>
  <w:style w:type="paragraph" w:styleId="23">
    <w:name w:val="index 1"/>
    <w:basedOn w:val="1"/>
    <w:next w:val="1"/>
    <w:autoRedefine/>
    <w:qFormat/>
    <w:locked/>
    <w:uiPriority w:val="0"/>
    <w:pPr>
      <w:ind w:left="210" w:hanging="210"/>
      <w:jc w:val="left"/>
    </w:pPr>
    <w:rPr>
      <w:sz w:val="20"/>
      <w:szCs w:val="20"/>
    </w:rPr>
  </w:style>
  <w:style w:type="paragraph" w:styleId="24">
    <w:name w:val="table of figures"/>
    <w:basedOn w:val="1"/>
    <w:next w:val="1"/>
    <w:autoRedefine/>
    <w:qFormat/>
    <w:locked/>
    <w:uiPriority w:val="0"/>
    <w:pPr>
      <w:ind w:left="200" w:leftChars="200" w:hanging="200" w:hangingChars="200"/>
    </w:pPr>
  </w:style>
  <w:style w:type="paragraph" w:styleId="25">
    <w:name w:val="Normal (Web)"/>
    <w:basedOn w:val="1"/>
    <w:link w:val="54"/>
    <w:autoRedefine/>
    <w:qFormat/>
    <w:uiPriority w:val="0"/>
    <w:pPr>
      <w:widowControl/>
      <w:spacing w:before="100" w:beforeAutospacing="1" w:after="100" w:afterAutospacing="1"/>
      <w:jc w:val="left"/>
    </w:pPr>
    <w:rPr>
      <w:rFonts w:ascii="宋体" w:hAnsi="宋体"/>
      <w:kern w:val="0"/>
      <w:sz w:val="24"/>
      <w:szCs w:val="20"/>
    </w:rPr>
  </w:style>
  <w:style w:type="paragraph" w:styleId="26">
    <w:name w:val="annotation subject"/>
    <w:basedOn w:val="9"/>
    <w:next w:val="9"/>
    <w:link w:val="55"/>
    <w:autoRedefine/>
    <w:semiHidden/>
    <w:qFormat/>
    <w:uiPriority w:val="0"/>
    <w:rPr>
      <w:b/>
      <w:sz w:val="24"/>
      <w:szCs w:val="20"/>
    </w:rPr>
  </w:style>
  <w:style w:type="paragraph" w:styleId="27">
    <w:name w:val="Body Text First Indent"/>
    <w:basedOn w:val="11"/>
    <w:next w:val="1"/>
    <w:autoRedefine/>
    <w:semiHidden/>
    <w:qFormat/>
    <w:locked/>
    <w:uiPriority w:val="0"/>
    <w:pPr>
      <w:ind w:firstLine="420" w:firstLineChars="100"/>
    </w:pPr>
    <w:rPr>
      <w:rFonts w:cs="宋体"/>
      <w:kern w:val="0"/>
      <w:position w:val="0"/>
    </w:rPr>
  </w:style>
  <w:style w:type="paragraph" w:styleId="28">
    <w:name w:val="Body Text First Indent 2"/>
    <w:basedOn w:val="1"/>
    <w:next w:val="27"/>
    <w:qFormat/>
    <w:locked/>
    <w:uiPriority w:val="0"/>
    <w:pPr>
      <w:ind w:firstLine="420" w:firstLineChars="200"/>
    </w:pPr>
  </w:style>
  <w:style w:type="table" w:styleId="30">
    <w:name w:val="Table Grid"/>
    <w:basedOn w:val="29"/>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locked/>
    <w:uiPriority w:val="0"/>
    <w:rPr>
      <w:b/>
    </w:rPr>
  </w:style>
  <w:style w:type="character" w:styleId="33">
    <w:name w:val="page number"/>
    <w:basedOn w:val="31"/>
    <w:autoRedefine/>
    <w:qFormat/>
    <w:locked/>
    <w:uiPriority w:val="0"/>
  </w:style>
  <w:style w:type="character" w:styleId="34">
    <w:name w:val="FollowedHyperlink"/>
    <w:basedOn w:val="31"/>
    <w:qFormat/>
    <w:locked/>
    <w:uiPriority w:val="0"/>
    <w:rPr>
      <w:color w:val="000000"/>
      <w:u w:val="none"/>
    </w:rPr>
  </w:style>
  <w:style w:type="character" w:styleId="35">
    <w:name w:val="Hyperlink"/>
    <w:basedOn w:val="31"/>
    <w:qFormat/>
    <w:locked/>
    <w:uiPriority w:val="0"/>
    <w:rPr>
      <w:color w:val="000000"/>
      <w:u w:val="none"/>
    </w:rPr>
  </w:style>
  <w:style w:type="character" w:styleId="36">
    <w:name w:val="annotation reference"/>
    <w:autoRedefine/>
    <w:semiHidden/>
    <w:qFormat/>
    <w:uiPriority w:val="0"/>
    <w:rPr>
      <w:sz w:val="21"/>
    </w:rPr>
  </w:style>
  <w:style w:type="paragraph" w:customStyle="1" w:styleId="37">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rPr>
  </w:style>
  <w:style w:type="paragraph" w:customStyle="1" w:styleId="38">
    <w:name w:val="初稿正文"/>
    <w:basedOn w:val="1"/>
    <w:link w:val="72"/>
    <w:autoRedefine/>
    <w:qFormat/>
    <w:uiPriority w:val="0"/>
    <w:pPr>
      <w:spacing w:line="360" w:lineRule="auto"/>
      <w:ind w:firstLine="720" w:firstLineChars="200"/>
    </w:pPr>
    <w:rPr>
      <w:rFonts w:ascii="Times New Roman" w:hAnsi="Times New Roman" w:eastAsia="宋体" w:cs="Times New Roman"/>
      <w:color w:val="FF0000"/>
      <w:szCs w:val="21"/>
    </w:rPr>
  </w:style>
  <w:style w:type="paragraph" w:customStyle="1" w:styleId="39">
    <w:name w:val="表格正文"/>
    <w:basedOn w:val="38"/>
    <w:autoRedefine/>
    <w:qFormat/>
    <w:uiPriority w:val="0"/>
    <w:pPr>
      <w:spacing w:before="25" w:beforeLines="25" w:after="25" w:afterLines="25" w:line="240" w:lineRule="auto"/>
      <w:ind w:firstLine="0" w:firstLineChars="0"/>
      <w:jc w:val="center"/>
    </w:pPr>
    <w:rPr>
      <w:rFonts w:hint="eastAsia"/>
    </w:rPr>
  </w:style>
  <w:style w:type="paragraph" w:customStyle="1" w:styleId="40">
    <w:name w:val="正文标题"/>
    <w:basedOn w:val="38"/>
    <w:autoRedefine/>
    <w:qFormat/>
    <w:uiPriority w:val="0"/>
    <w:pPr>
      <w:ind w:firstLine="0" w:firstLineChars="0"/>
    </w:pPr>
    <w:rPr>
      <w:b/>
    </w:rPr>
  </w:style>
  <w:style w:type="paragraph" w:customStyle="1" w:styleId="41">
    <w:name w:val="表格标题"/>
    <w:basedOn w:val="38"/>
    <w:next w:val="1"/>
    <w:link w:val="86"/>
    <w:autoRedefine/>
    <w:qFormat/>
    <w:uiPriority w:val="0"/>
    <w:pPr>
      <w:spacing w:line="360" w:lineRule="auto"/>
      <w:jc w:val="center"/>
    </w:pPr>
    <w:rPr>
      <w:rFonts w:ascii="Times New Roman" w:hAnsi="Times New Roman" w:eastAsia="宋体" w:cs="Times New Roman"/>
      <w:b/>
      <w:bCs/>
      <w:color w:val="FF0000"/>
      <w:szCs w:val="21"/>
    </w:rPr>
  </w:style>
  <w:style w:type="paragraph" w:customStyle="1" w:styleId="42">
    <w:name w:val="Default"/>
    <w:basedOn w:val="43"/>
    <w:next w:val="5"/>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3">
    <w:name w:val="纯文本1"/>
    <w:basedOn w:val="1"/>
    <w:autoRedefine/>
    <w:qFormat/>
    <w:uiPriority w:val="0"/>
    <w:pPr>
      <w:adjustRightInd w:val="0"/>
    </w:pPr>
    <w:rPr>
      <w:rFonts w:ascii="宋体" w:hAnsi="Courier New"/>
    </w:rPr>
  </w:style>
  <w:style w:type="character" w:customStyle="1" w:styleId="44">
    <w:name w:val="初稿正文 Char"/>
    <w:link w:val="38"/>
    <w:autoRedefine/>
    <w:qFormat/>
    <w:uiPriority w:val="0"/>
    <w:rPr>
      <w:rFonts w:ascii="Times New Roman" w:hAnsi="Times New Roman" w:eastAsia="宋体" w:cs="Times New Roman"/>
      <w:color w:val="FF0000"/>
      <w:szCs w:val="21"/>
    </w:rPr>
  </w:style>
  <w:style w:type="paragraph" w:customStyle="1" w:styleId="45">
    <w:name w:val="标题名"/>
    <w:basedOn w:val="38"/>
    <w:autoRedefine/>
    <w:qFormat/>
    <w:uiPriority w:val="0"/>
    <w:pPr>
      <w:ind w:firstLine="0" w:firstLineChars="0"/>
      <w:jc w:val="left"/>
    </w:pPr>
    <w:rPr>
      <w:rFonts w:hint="eastAsia" w:ascii="Times New Roman" w:hAnsi="Times New Roman" w:eastAsia="宋体" w:cs="Times New Roman"/>
      <w:b/>
      <w:bCs/>
    </w:rPr>
  </w:style>
  <w:style w:type="paragraph" w:customStyle="1" w:styleId="46">
    <w:name w:val="明显引用1"/>
    <w:next w:val="1"/>
    <w:autoRedefine/>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character" w:customStyle="1" w:styleId="47">
    <w:name w:val="批注文字 Char"/>
    <w:link w:val="9"/>
    <w:autoRedefine/>
    <w:qFormat/>
    <w:locked/>
    <w:uiPriority w:val="0"/>
    <w:rPr>
      <w:rFonts w:ascii="Times New Roman" w:hAnsi="Times New Roman" w:eastAsia="宋体"/>
      <w:sz w:val="24"/>
    </w:rPr>
  </w:style>
  <w:style w:type="character" w:customStyle="1" w:styleId="48">
    <w:name w:val="正文文本 Char"/>
    <w:link w:val="11"/>
    <w:autoRedefine/>
    <w:qFormat/>
    <w:locked/>
    <w:uiPriority w:val="0"/>
    <w:rPr>
      <w:sz w:val="18"/>
    </w:rPr>
  </w:style>
  <w:style w:type="character" w:customStyle="1" w:styleId="49">
    <w:name w:val="正文文本缩进 Char"/>
    <w:link w:val="12"/>
    <w:autoRedefine/>
    <w:semiHidden/>
    <w:qFormat/>
    <w:locked/>
    <w:uiPriority w:val="0"/>
    <w:rPr>
      <w:rFonts w:ascii="Times New Roman" w:hAnsi="Times New Roman" w:eastAsia="宋体"/>
      <w:sz w:val="24"/>
    </w:rPr>
  </w:style>
  <w:style w:type="character" w:customStyle="1" w:styleId="50">
    <w:name w:val="日期 Char"/>
    <w:link w:val="16"/>
    <w:autoRedefine/>
    <w:qFormat/>
    <w:locked/>
    <w:uiPriority w:val="0"/>
    <w:rPr>
      <w:rFonts w:ascii="Times New Roman" w:hAnsi="Times New Roman" w:eastAsia="宋体"/>
      <w:sz w:val="24"/>
    </w:rPr>
  </w:style>
  <w:style w:type="character" w:customStyle="1" w:styleId="51">
    <w:name w:val="批注框文本 Char"/>
    <w:link w:val="18"/>
    <w:autoRedefine/>
    <w:semiHidden/>
    <w:qFormat/>
    <w:locked/>
    <w:uiPriority w:val="0"/>
    <w:rPr>
      <w:rFonts w:ascii="Times New Roman" w:hAnsi="Times New Roman" w:eastAsia="宋体"/>
      <w:sz w:val="18"/>
    </w:rPr>
  </w:style>
  <w:style w:type="character" w:customStyle="1" w:styleId="52">
    <w:name w:val="页脚 Char"/>
    <w:link w:val="19"/>
    <w:autoRedefine/>
    <w:qFormat/>
    <w:locked/>
    <w:uiPriority w:val="99"/>
    <w:rPr>
      <w:sz w:val="18"/>
    </w:rPr>
  </w:style>
  <w:style w:type="character" w:customStyle="1" w:styleId="53">
    <w:name w:val="页眉 Char"/>
    <w:link w:val="20"/>
    <w:autoRedefine/>
    <w:qFormat/>
    <w:locked/>
    <w:uiPriority w:val="0"/>
    <w:rPr>
      <w:sz w:val="18"/>
    </w:rPr>
  </w:style>
  <w:style w:type="character" w:customStyle="1" w:styleId="54">
    <w:name w:val="普通(网站) Char"/>
    <w:link w:val="25"/>
    <w:autoRedefine/>
    <w:qFormat/>
    <w:locked/>
    <w:uiPriority w:val="0"/>
    <w:rPr>
      <w:rFonts w:ascii="宋体" w:hAnsi="宋体" w:eastAsia="宋体"/>
      <w:sz w:val="24"/>
    </w:rPr>
  </w:style>
  <w:style w:type="character" w:customStyle="1" w:styleId="55">
    <w:name w:val="批注主题 Char"/>
    <w:link w:val="26"/>
    <w:autoRedefine/>
    <w:semiHidden/>
    <w:qFormat/>
    <w:locked/>
    <w:uiPriority w:val="0"/>
    <w:rPr>
      <w:rFonts w:ascii="Times New Roman" w:hAnsi="Times New Roman" w:eastAsia="宋体"/>
      <w:b/>
      <w:kern w:val="2"/>
      <w:sz w:val="24"/>
    </w:rPr>
  </w:style>
  <w:style w:type="paragraph" w:customStyle="1" w:styleId="56">
    <w:name w:val="正文1"/>
    <w:basedOn w:val="1"/>
    <w:autoRedefine/>
    <w:qFormat/>
    <w:uiPriority w:val="0"/>
  </w:style>
  <w:style w:type="character" w:customStyle="1" w:styleId="57">
    <w:name w:val="页脚 字符"/>
    <w:basedOn w:val="31"/>
    <w:autoRedefine/>
    <w:qFormat/>
    <w:uiPriority w:val="99"/>
  </w:style>
  <w:style w:type="character" w:customStyle="1" w:styleId="58">
    <w:name w:val="正文文本 字符1"/>
    <w:autoRedefine/>
    <w:semiHidden/>
    <w:qFormat/>
    <w:uiPriority w:val="0"/>
    <w:rPr>
      <w:rFonts w:ascii="Times New Roman" w:hAnsi="Times New Roman" w:eastAsia="宋体"/>
      <w:sz w:val="24"/>
    </w:rPr>
  </w:style>
  <w:style w:type="character" w:customStyle="1" w:styleId="59">
    <w:name w:val="表格 Char"/>
    <w:link w:val="60"/>
    <w:autoRedefine/>
    <w:qFormat/>
    <w:locked/>
    <w:uiPriority w:val="0"/>
    <w:rPr>
      <w:rFonts w:ascii="宋体"/>
      <w:sz w:val="21"/>
    </w:rPr>
  </w:style>
  <w:style w:type="paragraph" w:customStyle="1" w:styleId="60">
    <w:name w:val="表格"/>
    <w:basedOn w:val="1"/>
    <w:link w:val="59"/>
    <w:autoRedefine/>
    <w:qFormat/>
    <w:uiPriority w:val="0"/>
    <w:pPr>
      <w:adjustRightInd w:val="0"/>
      <w:snapToGrid w:val="0"/>
      <w:spacing w:beforeLines="10" w:afterLines="10" w:line="259" w:lineRule="auto"/>
      <w:jc w:val="center"/>
    </w:pPr>
    <w:rPr>
      <w:rFonts w:ascii="宋体"/>
      <w:kern w:val="0"/>
      <w:szCs w:val="20"/>
    </w:rPr>
  </w:style>
  <w:style w:type="character" w:customStyle="1" w:styleId="61">
    <w:name w:val="日期 字符"/>
    <w:autoRedefine/>
    <w:semiHidden/>
    <w:qFormat/>
    <w:uiPriority w:val="0"/>
    <w:rPr>
      <w:rFonts w:ascii="Times New Roman" w:hAnsi="Times New Roman" w:eastAsia="宋体"/>
      <w:sz w:val="24"/>
    </w:rPr>
  </w:style>
  <w:style w:type="character" w:customStyle="1" w:styleId="62">
    <w:name w:val="批注文字 字符1"/>
    <w:autoRedefine/>
    <w:semiHidden/>
    <w:qFormat/>
    <w:uiPriority w:val="0"/>
    <w:rPr>
      <w:rFonts w:ascii="Times New Roman" w:hAnsi="Times New Roman" w:eastAsia="宋体"/>
      <w:sz w:val="24"/>
    </w:rPr>
  </w:style>
  <w:style w:type="paragraph" w:customStyle="1" w:styleId="63">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4">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65">
    <w:name w:val="样式 标题 1 + 四号 段前: 0 磅 段后: 0 磅 行距: 1.5 倍行距"/>
    <w:basedOn w:val="66"/>
    <w:next w:val="67"/>
    <w:autoRedefine/>
    <w:qFormat/>
    <w:uiPriority w:val="0"/>
    <w:pPr>
      <w:spacing w:line="360" w:lineRule="auto"/>
      <w:jc w:val="center"/>
    </w:pPr>
    <w:rPr>
      <w:sz w:val="28"/>
    </w:rPr>
  </w:style>
  <w:style w:type="paragraph" w:customStyle="1" w:styleId="66">
    <w:name w:val="1正文"/>
    <w:basedOn w:val="1"/>
    <w:autoRedefine/>
    <w:qFormat/>
    <w:uiPriority w:val="0"/>
    <w:pPr>
      <w:spacing w:line="500" w:lineRule="exact"/>
      <w:ind w:firstLine="588" w:firstLineChars="196"/>
    </w:pPr>
    <w:rPr>
      <w:rFonts w:eastAsia="楷体_GB2312"/>
      <w:sz w:val="30"/>
      <w:szCs w:val="30"/>
    </w:rPr>
  </w:style>
  <w:style w:type="paragraph" w:customStyle="1" w:styleId="67">
    <w:name w:val="文本正文"/>
    <w:basedOn w:val="1"/>
    <w:autoRedefine/>
    <w:qFormat/>
    <w:uiPriority w:val="0"/>
    <w:pPr>
      <w:snapToGrid w:val="0"/>
      <w:spacing w:line="360" w:lineRule="auto"/>
      <w:ind w:firstLine="510"/>
      <w:jc w:val="left"/>
    </w:pPr>
    <w:rPr>
      <w:spacing w:val="4"/>
      <w:kern w:val="24"/>
      <w:szCs w:val="24"/>
      <w:lang w:val="zh-CN"/>
    </w:rPr>
  </w:style>
  <w:style w:type="paragraph" w:customStyle="1" w:styleId="68">
    <w:name w:val="表格文字"/>
    <w:basedOn w:val="69"/>
    <w:next w:val="1"/>
    <w:autoRedefine/>
    <w:qFormat/>
    <w:uiPriority w:val="0"/>
    <w:pPr>
      <w:tabs>
        <w:tab w:val="left" w:pos="3780"/>
      </w:tabs>
      <w:spacing w:line="240" w:lineRule="auto"/>
      <w:ind w:firstLine="0" w:firstLineChars="0"/>
      <w:jc w:val="center"/>
    </w:pPr>
    <w:rPr>
      <w:color w:val="000000"/>
      <w:sz w:val="21"/>
      <w:szCs w:val="22"/>
    </w:rPr>
  </w:style>
  <w:style w:type="paragraph" w:customStyle="1" w:styleId="69">
    <w:name w:val="样式1"/>
    <w:basedOn w:val="1"/>
    <w:autoRedefine/>
    <w:qFormat/>
    <w:uiPriority w:val="0"/>
    <w:pPr>
      <w:ind w:firstLine="510"/>
    </w:pPr>
    <w:rPr>
      <w:rFonts w:ascii="Times New Roman" w:hAnsi="Times New Roman" w:eastAsia="宋体" w:cs="Times New Roman"/>
      <w:szCs w:val="20"/>
    </w:rPr>
  </w:style>
  <w:style w:type="paragraph" w:customStyle="1" w:styleId="70">
    <w:name w:val="Normal Indent1"/>
    <w:basedOn w:val="1"/>
    <w:autoRedefine/>
    <w:qFormat/>
    <w:uiPriority w:val="0"/>
    <w:pPr>
      <w:ind w:firstLine="420" w:firstLineChars="200"/>
    </w:pPr>
  </w:style>
  <w:style w:type="paragraph" w:customStyle="1" w:styleId="71">
    <w:name w:val="报告"/>
    <w:basedOn w:val="1"/>
    <w:autoRedefine/>
    <w:qFormat/>
    <w:uiPriority w:val="0"/>
    <w:pPr>
      <w:adjustRightInd w:val="0"/>
      <w:ind w:firstLine="505"/>
      <w:textAlignment w:val="baseline"/>
    </w:pPr>
    <w:rPr>
      <w:rFonts w:ascii="Calibri" w:hAnsi="Calibri" w:cs="Calibri"/>
      <w:kern w:val="0"/>
      <w:szCs w:val="21"/>
    </w:rPr>
  </w:style>
  <w:style w:type="character" w:customStyle="1" w:styleId="72">
    <w:name w:val="初稿正文 Char1"/>
    <w:link w:val="38"/>
    <w:autoRedefine/>
    <w:qFormat/>
    <w:uiPriority w:val="0"/>
    <w:rPr>
      <w:rFonts w:ascii="Times New Roman" w:hAnsi="Times New Roman" w:eastAsia="宋体" w:cs="Times New Roman"/>
      <w:color w:val="FF0000"/>
      <w:szCs w:val="21"/>
    </w:rPr>
  </w:style>
  <w:style w:type="paragraph" w:customStyle="1" w:styleId="73">
    <w:name w:val="WPSOffice手动目录 1"/>
    <w:autoRedefine/>
    <w:qFormat/>
    <w:uiPriority w:val="0"/>
    <w:pPr>
      <w:ind w:leftChars="0"/>
    </w:pPr>
    <w:rPr>
      <w:rFonts w:ascii="Times New Roman" w:hAnsi="Times New Roman" w:eastAsia="宋体" w:cs="Times New Roman"/>
      <w:sz w:val="20"/>
      <w:szCs w:val="20"/>
    </w:rPr>
  </w:style>
  <w:style w:type="paragraph" w:customStyle="1" w:styleId="74">
    <w:name w:val="报告表格"/>
    <w:basedOn w:val="1"/>
    <w:autoRedefine/>
    <w:qFormat/>
    <w:uiPriority w:val="0"/>
    <w:pPr>
      <w:kinsoku w:val="0"/>
      <w:overflowPunct w:val="0"/>
      <w:autoSpaceDE w:val="0"/>
      <w:autoSpaceDN w:val="0"/>
      <w:adjustRightInd w:val="0"/>
      <w:spacing w:line="240" w:lineRule="auto"/>
      <w:ind w:firstLine="0" w:firstLineChars="0"/>
      <w:jc w:val="center"/>
      <w:textAlignment w:val="baseline"/>
    </w:pPr>
    <w:rPr>
      <w:rFonts w:cs="Times New Roman"/>
      <w:sz w:val="21"/>
      <w:szCs w:val="21"/>
    </w:rPr>
  </w:style>
  <w:style w:type="paragraph" w:customStyle="1" w:styleId="75">
    <w:name w:val="hp表格五号"/>
    <w:basedOn w:val="1"/>
    <w:autoRedefine/>
    <w:qFormat/>
    <w:uiPriority w:val="0"/>
    <w:pPr>
      <w:widowControl/>
      <w:adjustRightInd w:val="0"/>
      <w:snapToGrid w:val="0"/>
      <w:spacing w:line="240" w:lineRule="atLeast"/>
      <w:ind w:firstLine="0" w:firstLineChars="0"/>
      <w:jc w:val="center"/>
    </w:pPr>
    <w:rPr>
      <w:kern w:val="0"/>
    </w:rPr>
  </w:style>
  <w:style w:type="paragraph" w:customStyle="1" w:styleId="76">
    <w:name w:val="hp表格小五"/>
    <w:autoRedefine/>
    <w:qFormat/>
    <w:uiPriority w:val="0"/>
    <w:pPr>
      <w:adjustRightInd w:val="0"/>
      <w:snapToGrid w:val="0"/>
      <w:spacing w:line="240" w:lineRule="atLeast"/>
      <w:jc w:val="center"/>
    </w:pPr>
    <w:rPr>
      <w:rFonts w:ascii="Times New Roman" w:hAnsi="Times New Roman" w:eastAsia="宋体" w:cs="Times New Roman"/>
      <w:sz w:val="18"/>
      <w:szCs w:val="18"/>
      <w:lang w:val="en-US" w:eastAsia="zh-CN" w:bidi="ar-SA"/>
    </w:rPr>
  </w:style>
  <w:style w:type="paragraph" w:customStyle="1" w:styleId="77">
    <w:name w:val="Table Paragraph"/>
    <w:basedOn w:val="1"/>
    <w:autoRedefine/>
    <w:qFormat/>
    <w:uiPriority w:val="1"/>
    <w:pPr>
      <w:autoSpaceDE w:val="0"/>
      <w:autoSpaceDN w:val="0"/>
      <w:spacing w:before="59" w:line="240" w:lineRule="auto"/>
      <w:ind w:firstLine="0" w:firstLineChars="0"/>
      <w:jc w:val="center"/>
    </w:pPr>
    <w:rPr>
      <w:rFonts w:cs="Times New Roman"/>
      <w:sz w:val="22"/>
      <w:szCs w:val="22"/>
    </w:rPr>
  </w:style>
  <w:style w:type="paragraph" w:customStyle="1" w:styleId="78">
    <w:name w:val="无间隔1"/>
    <w:autoRedefine/>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79">
    <w:name w:val="font41"/>
    <w:basedOn w:val="31"/>
    <w:autoRedefine/>
    <w:qFormat/>
    <w:uiPriority w:val="0"/>
    <w:rPr>
      <w:rFonts w:hint="default" w:ascii="Times New Roman" w:hAnsi="Times New Roman" w:cs="Times New Roman"/>
      <w:color w:val="000000"/>
      <w:sz w:val="24"/>
      <w:szCs w:val="24"/>
      <w:u w:val="none"/>
    </w:rPr>
  </w:style>
  <w:style w:type="character" w:customStyle="1" w:styleId="80">
    <w:name w:val="font21"/>
    <w:basedOn w:val="31"/>
    <w:autoRedefine/>
    <w:qFormat/>
    <w:uiPriority w:val="0"/>
    <w:rPr>
      <w:rFonts w:hint="eastAsia" w:ascii="宋体" w:hAnsi="宋体" w:eastAsia="宋体" w:cs="宋体"/>
      <w:color w:val="000000"/>
      <w:sz w:val="24"/>
      <w:szCs w:val="24"/>
      <w:u w:val="none"/>
    </w:rPr>
  </w:style>
  <w:style w:type="paragraph" w:styleId="81">
    <w:name w:val="List Paragraph"/>
    <w:basedOn w:val="1"/>
    <w:autoRedefine/>
    <w:qFormat/>
    <w:uiPriority w:val="0"/>
    <w:pPr>
      <w:widowControl w:val="0"/>
      <w:adjustRightInd/>
      <w:snapToGrid/>
      <w:spacing w:after="0" w:afterLines="0"/>
      <w:ind w:firstLine="420" w:firstLineChars="200"/>
      <w:jc w:val="both"/>
    </w:pPr>
    <w:rPr>
      <w:rFonts w:ascii="Times New Roman" w:hAnsi="Times New Roman" w:eastAsia="宋体" w:cs="Times New Roman"/>
      <w:kern w:val="2"/>
      <w:sz w:val="21"/>
      <w:szCs w:val="20"/>
      <w:lang w:val="en-US" w:eastAsia="zh-CN" w:bidi="ar-SA"/>
    </w:rPr>
  </w:style>
  <w:style w:type="paragraph" w:customStyle="1" w:styleId="82">
    <w:name w:val="【正文】"/>
    <w:basedOn w:val="1"/>
    <w:qFormat/>
    <w:uiPriority w:val="0"/>
    <w:pPr>
      <w:spacing w:line="360" w:lineRule="auto"/>
      <w:ind w:firstLine="200" w:firstLineChars="200"/>
      <w:jc w:val="left"/>
    </w:pPr>
    <w:rPr>
      <w:rFonts w:ascii="Times New Roman" w:hAnsi="Times New Roman"/>
      <w:sz w:val="24"/>
    </w:rPr>
  </w:style>
  <w:style w:type="paragraph" w:customStyle="1" w:styleId="83">
    <w:name w:val="一级标题"/>
    <w:basedOn w:val="1"/>
    <w:autoRedefine/>
    <w:qFormat/>
    <w:uiPriority w:val="0"/>
    <w:pPr>
      <w:widowControl/>
      <w:ind w:firstLine="0" w:firstLineChars="0"/>
      <w:jc w:val="left"/>
    </w:pPr>
    <w:rPr>
      <w:rFonts w:cs="Times New Roman"/>
      <w:b/>
    </w:rPr>
  </w:style>
  <w:style w:type="paragraph" w:customStyle="1" w:styleId="84">
    <w:name w:val="正文01"/>
    <w:basedOn w:val="1"/>
    <w:autoRedefine/>
    <w:qFormat/>
    <w:uiPriority w:val="0"/>
    <w:pPr>
      <w:spacing w:before="60" w:line="460" w:lineRule="exact"/>
      <w:ind w:firstLine="539"/>
    </w:pPr>
    <w:rPr>
      <w:sz w:val="27"/>
      <w:szCs w:val="20"/>
    </w:rPr>
  </w:style>
  <w:style w:type="paragraph" w:customStyle="1" w:styleId="85">
    <w:name w:val="表格内容"/>
    <w:basedOn w:val="41"/>
    <w:qFormat/>
    <w:uiPriority w:val="0"/>
    <w:pPr>
      <w:jc w:val="center"/>
    </w:pPr>
    <w:rPr>
      <w:rFonts w:ascii="Times New Roman" w:hAnsi="Times New Roman" w:eastAsia="宋体"/>
      <w:b w:val="0"/>
    </w:rPr>
  </w:style>
  <w:style w:type="character" w:customStyle="1" w:styleId="86">
    <w:name w:val="表格标题 Char"/>
    <w:link w:val="41"/>
    <w:qFormat/>
    <w:uiPriority w:val="0"/>
    <w:rPr>
      <w:rFonts w:ascii="Times New Roman" w:hAnsi="Times New Roman" w:eastAsia="宋体" w:cs="Times New Roman"/>
      <w:b/>
      <w:bCs/>
      <w:color w:val="FF0000"/>
      <w:szCs w:val="21"/>
    </w:rPr>
  </w:style>
  <w:style w:type="paragraph" w:customStyle="1" w:styleId="87">
    <w:name w:val="Body text|1"/>
    <w:basedOn w:val="1"/>
    <w:autoRedefine/>
    <w:qFormat/>
    <w:uiPriority w:val="0"/>
    <w:pPr>
      <w:keepNext w:val="0"/>
      <w:keepLines w:val="0"/>
      <w:widowControl w:val="0"/>
      <w:suppressLineNumbers w:val="0"/>
      <w:spacing w:before="0" w:beforeAutospacing="0" w:after="0" w:afterAutospacing="0" w:line="444" w:lineRule="auto"/>
      <w:ind w:left="0" w:right="0" w:firstLine="100"/>
      <w:jc w:val="left"/>
    </w:pPr>
    <w:rPr>
      <w:rFonts w:hint="eastAsia" w:ascii="宋体" w:hAnsi="宋体" w:eastAsia="宋体" w:cs="宋体"/>
      <w:color w:val="auto"/>
      <w:kern w:val="0"/>
      <w:sz w:val="22"/>
      <w:szCs w:val="22"/>
      <w:lang w:val="en-US" w:eastAsia="zh-CN" w:bidi="ar"/>
    </w:rPr>
  </w:style>
  <w:style w:type="character" w:customStyle="1" w:styleId="88">
    <w:name w:val="15"/>
    <w:basedOn w:val="31"/>
    <w:qFormat/>
    <w:uiPriority w:val="0"/>
    <w:rPr>
      <w:rFonts w:hint="default" w:ascii="Times New Roman" w:hAnsi="Times New Roman" w:cs="Times New Roman"/>
      <w:color w:val="333333"/>
    </w:rPr>
  </w:style>
  <w:style w:type="character" w:customStyle="1" w:styleId="89">
    <w:name w:val="cur1"/>
    <w:basedOn w:val="31"/>
    <w:qFormat/>
    <w:uiPriority w:val="0"/>
    <w:rPr>
      <w:color w:val="FFFFFF"/>
      <w:shd w:val="clear" w:fill="0C79CC"/>
    </w:rPr>
  </w:style>
  <w:style w:type="character" w:customStyle="1" w:styleId="90">
    <w:name w:val="16"/>
    <w:basedOn w:val="31"/>
    <w:qFormat/>
    <w:uiPriority w:val="0"/>
    <w:rPr>
      <w:rFonts w:hint="default" w:ascii="Times New Roman" w:hAnsi="Times New Roman" w:cs="Times New Roman"/>
    </w:rPr>
  </w:style>
  <w:style w:type="character" w:customStyle="1" w:styleId="91">
    <w:name w:val="radio-btn"/>
    <w:basedOn w:val="31"/>
    <w:qFormat/>
    <w:uiPriority w:val="0"/>
  </w:style>
  <w:style w:type="character" w:customStyle="1" w:styleId="92">
    <w:name w:val="lable"/>
    <w:basedOn w:val="31"/>
    <w:qFormat/>
    <w:uiPriority w:val="0"/>
  </w:style>
  <w:style w:type="character" w:customStyle="1" w:styleId="93">
    <w:name w:val="hover34"/>
    <w:basedOn w:val="31"/>
    <w:qFormat/>
    <w:uiPriority w:val="0"/>
  </w:style>
  <w:style w:type="character" w:customStyle="1" w:styleId="94">
    <w:name w:val="页眉 字符"/>
    <w:basedOn w:val="31"/>
    <w:link w:val="20"/>
    <w:qFormat/>
    <w:uiPriority w:val="0"/>
    <w:rPr>
      <w:rFonts w:hint="default" w:ascii="Calibri" w:hAnsi="Calibri" w:cs="Calibri"/>
    </w:rPr>
  </w:style>
  <w:style w:type="paragraph" w:customStyle="1" w:styleId="95">
    <w:name w:val="表格 内容"/>
    <w:basedOn w:val="1"/>
    <w:next w:val="1"/>
    <w:qFormat/>
    <w:uiPriority w:val="0"/>
    <w:pPr>
      <w:spacing w:line="240" w:lineRule="auto"/>
      <w:ind w:firstLine="0" w:firstLineChars="0"/>
      <w:jc w:val="center"/>
    </w:pPr>
    <w:rPr>
      <w:rFonts w:eastAsia="宋体" w:asciiTheme="minorAscii" w:hAnsiTheme="minorAscii"/>
      <w:sz w:val="21"/>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0" Type="http://schemas.openxmlformats.org/officeDocument/2006/relationships/fontTable" Target="fontTable.xml"/><Relationship Id="rId5" Type="http://schemas.openxmlformats.org/officeDocument/2006/relationships/footer" Target="footer2.xml"/><Relationship Id="rId49" Type="http://schemas.openxmlformats.org/officeDocument/2006/relationships/numbering" Target="numbering.xml"/><Relationship Id="rId48" Type="http://schemas.openxmlformats.org/officeDocument/2006/relationships/image" Target="media/image32.jpeg"/><Relationship Id="rId47" Type="http://schemas.openxmlformats.org/officeDocument/2006/relationships/image" Target="media/image31.jpeg"/><Relationship Id="rId46" Type="http://schemas.openxmlformats.org/officeDocument/2006/relationships/image" Target="media/image30.jpeg"/><Relationship Id="rId45" Type="http://schemas.openxmlformats.org/officeDocument/2006/relationships/image" Target="media/image29.png"/><Relationship Id="rId44" Type="http://schemas.openxmlformats.org/officeDocument/2006/relationships/image" Target="media/image28.wmf"/><Relationship Id="rId43" Type="http://schemas.openxmlformats.org/officeDocument/2006/relationships/oleObject" Target="embeddings/oleObject3.bin"/><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footer" Target="footer1.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jpe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wmf"/><Relationship Id="rId17" Type="http://schemas.openxmlformats.org/officeDocument/2006/relationships/oleObject" Target="embeddings/oleObject2.bin"/><Relationship Id="rId16" Type="http://schemas.openxmlformats.org/officeDocument/2006/relationships/image" Target="media/image2.wmf"/><Relationship Id="rId15" Type="http://schemas.openxmlformats.org/officeDocument/2006/relationships/oleObject" Target="embeddings/oleObject1.bin"/><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wdzx97</Template>
  <Company>微软中国</Company>
  <Pages>106</Pages>
  <Words>30863</Words>
  <Characters>32676</Characters>
  <Lines>13</Lines>
  <Paragraphs>3</Paragraphs>
  <TotalTime>228</TotalTime>
  <ScaleCrop>false</ScaleCrop>
  <LinksUpToDate>false</LinksUpToDate>
  <CharactersWithSpaces>32796</CharactersWithSpaces>
  <Application>WPS Office_12.8.2.17838_F1E327BC-269C-435d-A152-05C5408002CA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Administrator</cp:lastModifiedBy>
  <cp:lastPrinted>2025-01-22T06:33:00Z</cp:lastPrinted>
  <dcterms:modified xsi:type="dcterms:W3CDTF">2026-03-03T03:07:00Z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2052-12.8.2.17838</vt:lpwstr>
  </property>
  <property fmtid="{D5CDD505-2E9C-101B-9397-08002B2CF9AE}" pid="3" name="ICV">
    <vt:lpwstr>ED22CF422C724C008BB834FB341CC59E_13</vt:lpwstr>
  </property>
  <property fmtid="{D5CDD505-2E9C-101B-9397-08002B2CF9AE}" pid="4" name="KSOTemplateDocerSaveRecord">
    <vt:lpwstr>eyJoZGlkIjoiOTNhNTNhYWIyYjc2NDMwYjM5NzAzYTI2Nzk1NzQ0NTkiLCJ1c2VySWQiOiIzNjQyNjQ4NzUifQ==</vt:lpwstr>
  </property>
</Properties>
</file>