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玉溪市支持人工智能产业发展</w:t>
      </w:r>
      <w:r>
        <w:rPr>
          <w:rFonts w:hint="default" w:ascii="Times New Roman" w:hAnsi="Times New Roman" w:eastAsia="方正小标宋_GBK" w:cs="Times New Roman"/>
          <w:sz w:val="44"/>
          <w:szCs w:val="44"/>
          <w:lang w:val="en-US" w:eastAsia="zh-CN"/>
        </w:rPr>
        <w:t>若干</w:t>
      </w:r>
      <w:r>
        <w:rPr>
          <w:rFonts w:hint="default" w:ascii="Times New Roman" w:hAnsi="Times New Roman" w:eastAsia="方正小标宋_GBK" w:cs="Times New Roman"/>
          <w:sz w:val="44"/>
          <w:szCs w:val="44"/>
        </w:rPr>
        <w:t>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5" w:name="_GoBack"/>
      <w:bookmarkEnd w:id="5"/>
      <w:r>
        <w:rPr>
          <w:rFonts w:hint="default" w:ascii="Times New Roman" w:hAnsi="Times New Roman" w:eastAsia="方正仿宋_GBK" w:cs="Times New Roman"/>
          <w:color w:val="000000" w:themeColor="text1"/>
          <w:sz w:val="32"/>
          <w:szCs w:val="32"/>
          <w14:textFill>
            <w14:solidFill>
              <w14:schemeClr w14:val="tx1"/>
            </w14:solidFill>
          </w14:textFill>
        </w:rPr>
        <w:t>为深入推进玉溪市人工智能产业高质量发展，加快人工智能与实体经济深度融合，引领带动产业结构调整和转型升级，打造</w:t>
      </w:r>
      <w:r>
        <w:rPr>
          <w:rFonts w:hint="eastAsia" w:eastAsia="方正仿宋_GBK" w:cs="Times New Roman"/>
          <w:color w:val="000000" w:themeColor="text1"/>
          <w:sz w:val="32"/>
          <w:szCs w:val="32"/>
          <w:lang w:val="en-US" w:eastAsia="zh-CN"/>
          <w14:textFill>
            <w14:solidFill>
              <w14:schemeClr w14:val="tx1"/>
            </w14:solidFill>
          </w14:textFill>
        </w:rPr>
        <w:t>以科技创新为基础的新质生产力</w:t>
      </w:r>
      <w:r>
        <w:rPr>
          <w:rFonts w:hint="default" w:ascii="Times New Roman" w:hAnsi="Times New Roman" w:eastAsia="方正仿宋_GBK" w:cs="Times New Roman"/>
          <w:color w:val="000000" w:themeColor="text1"/>
          <w:sz w:val="32"/>
          <w:szCs w:val="32"/>
          <w14:textFill>
            <w14:solidFill>
              <w14:schemeClr w14:val="tx1"/>
            </w14:solidFill>
          </w14:textFill>
        </w:rPr>
        <w:t>，结合</w:t>
      </w:r>
      <w:r>
        <w:rPr>
          <w:rFonts w:hint="eastAsia" w:eastAsia="方正仿宋_GBK" w:cs="Times New Roman"/>
          <w:color w:val="000000" w:themeColor="text1"/>
          <w:sz w:val="32"/>
          <w:szCs w:val="32"/>
          <w:lang w:val="en-US" w:eastAsia="zh-CN"/>
          <w14:textFill>
            <w14:solidFill>
              <w14:schemeClr w14:val="tx1"/>
            </w14:solidFill>
          </w14:textFill>
        </w:rPr>
        <w:t>我</w:t>
      </w:r>
      <w:r>
        <w:rPr>
          <w:rFonts w:hint="default" w:ascii="Times New Roman" w:hAnsi="Times New Roman" w:eastAsia="方正仿宋_GBK" w:cs="Times New Roman"/>
          <w:color w:val="000000" w:themeColor="text1"/>
          <w:sz w:val="32"/>
          <w:szCs w:val="32"/>
          <w14:textFill>
            <w14:solidFill>
              <w14:schemeClr w14:val="tx1"/>
            </w14:solidFill>
          </w14:textFill>
        </w:rPr>
        <w:t>市</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发展</w:t>
      </w:r>
      <w:r>
        <w:rPr>
          <w:rFonts w:hint="default" w:ascii="Times New Roman" w:hAnsi="Times New Roman" w:eastAsia="方正仿宋_GBK" w:cs="Times New Roman"/>
          <w:color w:val="000000" w:themeColor="text1"/>
          <w:sz w:val="32"/>
          <w:szCs w:val="32"/>
          <w14:textFill>
            <w14:solidFill>
              <w14:schemeClr w14:val="tx1"/>
            </w14:solidFill>
          </w14:textFill>
        </w:rPr>
        <w:t>实际，制定本措施。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黑体_GBK" w:cs="Times New Roman"/>
          <w:color w:val="000000" w:themeColor="text1"/>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一、</w:t>
      </w:r>
      <w:r>
        <w:rPr>
          <w:rFonts w:hint="default" w:ascii="Times New Roman" w:hAnsi="Times New Roman" w:eastAsia="方正黑体_GBK" w:cs="Times New Roman"/>
          <w:color w:val="000000" w:themeColor="text1"/>
          <w:sz w:val="32"/>
          <w:szCs w:val="32"/>
          <w14:textFill>
            <w14:solidFill>
              <w14:schemeClr w14:val="tx1"/>
            </w14:solidFill>
          </w14:textFill>
        </w:rPr>
        <w:t>强化算力设施支撑，</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实施</w:t>
      </w:r>
      <w:r>
        <w:rPr>
          <w:rFonts w:hint="default" w:ascii="Times New Roman" w:hAnsi="Times New Roman" w:eastAsia="方正黑体_GBK" w:cs="Times New Roman"/>
          <w:color w:val="000000" w:themeColor="text1"/>
          <w:sz w:val="32"/>
          <w:szCs w:val="32"/>
          <w14:textFill>
            <w14:solidFill>
              <w14:schemeClr w14:val="tx1"/>
            </w14:solidFill>
          </w14:textFill>
        </w:rPr>
        <w:t>精准算力补贴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楷体_GBK"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t>一</w:t>
      </w:r>
      <w:r>
        <w:rPr>
          <w:rFonts w:hint="default" w:ascii="Times New Roman" w:hAnsi="Times New Roman" w:eastAsia="方正楷体_GBK"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方正楷体_GBK" w:cs="Times New Roman"/>
          <w:b w:val="0"/>
          <w:bCs/>
          <w:color w:val="000000" w:themeColor="text1"/>
          <w:sz w:val="32"/>
          <w:szCs w:val="32"/>
          <w14:textFill>
            <w14:solidFill>
              <w14:schemeClr w14:val="tx1"/>
            </w14:solidFill>
          </w14:textFill>
        </w:rPr>
        <w:t>优化智算中心建设布局</w:t>
      </w:r>
      <w:r>
        <w:rPr>
          <w:rFonts w:hint="default" w:ascii="Times New Roman" w:hAnsi="Times New Roman" w:eastAsia="方正楷体_GBK"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鼓励企业依托玉溪市现有数据中心资源，科学谋划智算中心布局，构建多层次、高品质的算力服务体系。</w:t>
      </w:r>
      <w:bookmarkStart w:id="0" w:name="OLE_LINK5"/>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新建智算中心项目须严格恪守绿色集约发展理念，落实以下能效要求：中小型智算中心（</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100-3000个</w:t>
      </w:r>
      <w:r>
        <w:rPr>
          <w:rFonts w:hint="eastAsia"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标准机</w:t>
      </w: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架</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）设计及运行PUE均不得高于1.3；边缘智算中心（≤100个</w:t>
      </w: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标准机架</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）PUE不得高于1.3。</w:t>
      </w:r>
      <w:bookmarkEnd w:id="0"/>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各相关县（市、区）、园区依法依规对符合条件的智算中心项目，在供电、供水等</w:t>
      </w: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能源要素方面</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给予支持保障。</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〔牵头单位：市数据局；配合单位：高新区管委会、各产业园区〕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pPr>
      <w:bookmarkStart w:id="1" w:name="OLE_LINK1"/>
      <w:r>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t>（二）设立专项算力补贴。</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设立年度总额500万元的算力补贴资金，降低人工智能企业算力支出成本。在政策有效期内，采取</w:t>
      </w: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先用后补、年度清算</w:t>
      </w: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的方式，对年度购买</w:t>
      </w: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本地算力服务</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总额达到30万元（含）以上的企业，按实际支出费用最高30%给予补助，每户企业每年最高不超过50万元。</w:t>
      </w:r>
      <w:bookmarkEnd w:id="1"/>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〔牵头单位：市数据局；配合单位：高新区管委会、各产业园区〕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方正黑体_GBK" w:cs="Times New Roman"/>
          <w:color w:val="000000" w:themeColor="text1"/>
          <w:sz w:val="32"/>
          <w:szCs w:val="32"/>
          <w14:textFill>
            <w14:solidFill>
              <w14:schemeClr w14:val="tx1"/>
            </w14:solidFill>
          </w14:textFill>
        </w:rPr>
        <w:t>支持技术研发创新，健全创新平台体系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t>（三）支持创新平台梯度建设。</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聚焦生物医药、新材料、新能源电池、人工智能等玉溪重点产业发展需求，构建国家、省、市三级创新平台培育体系。对新创建的省级重点实验室、技术创新中心等</w:t>
      </w:r>
      <w:r>
        <w:rPr>
          <w:rFonts w:hint="default" w:ascii="Times New Roman" w:hAnsi="Times New Roman" w:eastAsia="方正仿宋_GBK" w:cs="Times New Roman"/>
          <w:b w:val="0"/>
          <w:strike w:val="0"/>
          <w:dstrike w:val="0"/>
          <w:color w:val="000000" w:themeColor="text1"/>
          <w:kern w:val="0"/>
          <w:sz w:val="32"/>
          <w:szCs w:val="32"/>
          <w:lang w:val="en-US" w:eastAsia="zh-CN" w:bidi="ar"/>
          <w14:textFill>
            <w14:solidFill>
              <w14:schemeClr w14:val="tx1"/>
            </w14:solidFill>
          </w14:textFill>
        </w:rPr>
        <w:t>创新</w:t>
      </w:r>
      <w:r>
        <w:rPr>
          <w:rFonts w:hint="default" w:ascii="Times New Roman" w:hAnsi="Times New Roman" w:eastAsia="方正仿宋_GBK" w:cs="Times New Roman"/>
          <w:b w:val="0"/>
          <w:strike w:val="0"/>
          <w:color w:val="000000" w:themeColor="text1"/>
          <w:kern w:val="0"/>
          <w:sz w:val="32"/>
          <w:szCs w:val="32"/>
          <w:lang w:val="en-US" w:eastAsia="zh-CN" w:bidi="ar"/>
          <w14:textFill>
            <w14:solidFill>
              <w14:schemeClr w14:val="tx1"/>
            </w14:solidFill>
          </w14:textFill>
        </w:rPr>
        <w:t>平台，给予</w:t>
      </w:r>
      <w:r>
        <w:rPr>
          <w:rFonts w:hint="default" w:ascii="Times New Roman" w:hAnsi="Times New Roman" w:eastAsia="方正仿宋_GBK" w:cs="Times New Roman"/>
          <w:b w:val="0"/>
          <w:strike w:val="0"/>
          <w:dstrike w:val="0"/>
          <w:color w:val="000000" w:themeColor="text1"/>
          <w:kern w:val="0"/>
          <w:sz w:val="32"/>
          <w:szCs w:val="32"/>
          <w:lang w:val="en-US" w:eastAsia="zh-CN" w:bidi="ar"/>
          <w14:textFill>
            <w14:solidFill>
              <w14:schemeClr w14:val="tx1"/>
            </w14:solidFill>
          </w14:textFill>
        </w:rPr>
        <w:t>最高</w:t>
      </w:r>
      <w:r>
        <w:rPr>
          <w:rFonts w:hint="default" w:ascii="Times New Roman" w:hAnsi="Times New Roman" w:eastAsia="方正仿宋_GBK" w:cs="Times New Roman"/>
          <w:b w:val="0"/>
          <w:strike w:val="0"/>
          <w:color w:val="000000" w:themeColor="text1"/>
          <w:kern w:val="0"/>
          <w:sz w:val="32"/>
          <w:szCs w:val="32"/>
          <w:lang w:val="en-US" w:eastAsia="zh-CN" w:bidi="ar"/>
          <w14:textFill>
            <w14:solidFill>
              <w14:schemeClr w14:val="tx1"/>
            </w14:solidFill>
          </w14:textFill>
        </w:rPr>
        <w:t>50万元经费支持；对新创建的国家级同类创新平台，给予</w:t>
      </w:r>
      <w:r>
        <w:rPr>
          <w:rFonts w:hint="default" w:ascii="Times New Roman" w:hAnsi="Times New Roman" w:eastAsia="方正仿宋_GBK" w:cs="Times New Roman"/>
          <w:b w:val="0"/>
          <w:strike w:val="0"/>
          <w:dstrike w:val="0"/>
          <w:color w:val="000000" w:themeColor="text1"/>
          <w:kern w:val="0"/>
          <w:sz w:val="32"/>
          <w:szCs w:val="32"/>
          <w:lang w:val="en-US" w:eastAsia="zh-CN" w:bidi="ar"/>
          <w14:textFill>
            <w14:solidFill>
              <w14:schemeClr w14:val="tx1"/>
            </w14:solidFill>
          </w14:textFill>
        </w:rPr>
        <w:t>最高</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100万元经费支持，资金重点用于科研团队建设、核心技术攻关等。</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〔牵头单位：市科学技术局〕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b w:val="0"/>
          <w:bCs/>
          <w:strike w:val="0"/>
          <w:dstrike w:val="0"/>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楷体_GBK" w:cs="Times New Roman"/>
          <w:b w:val="0"/>
          <w:bCs/>
          <w:strike w:val="0"/>
          <w:dstrike w:val="0"/>
          <w:color w:val="000000" w:themeColor="text1"/>
          <w:kern w:val="0"/>
          <w:sz w:val="32"/>
          <w:szCs w:val="32"/>
          <w:lang w:val="en-US" w:eastAsia="zh-CN" w:bidi="ar"/>
          <w14:textFill>
            <w14:solidFill>
              <w14:schemeClr w14:val="tx1"/>
            </w14:solidFill>
          </w14:textFill>
        </w:rPr>
        <w:t>（</w:t>
      </w:r>
      <w:r>
        <w:rPr>
          <w:rFonts w:hint="eastAsia" w:ascii="Times New Roman" w:hAnsi="Times New Roman" w:eastAsia="方正楷体_GBK" w:cs="Times New Roman"/>
          <w:b w:val="0"/>
          <w:bCs/>
          <w:strike w:val="0"/>
          <w:dstrike w:val="0"/>
          <w:color w:val="000000" w:themeColor="text1"/>
          <w:kern w:val="0"/>
          <w:sz w:val="32"/>
          <w:szCs w:val="32"/>
          <w:lang w:val="en-US" w:eastAsia="zh-CN" w:bidi="ar"/>
          <w14:textFill>
            <w14:solidFill>
              <w14:schemeClr w14:val="tx1"/>
            </w14:solidFill>
          </w14:textFill>
        </w:rPr>
        <w:t>四</w:t>
      </w:r>
      <w:r>
        <w:rPr>
          <w:rFonts w:hint="default" w:ascii="Times New Roman" w:hAnsi="Times New Roman" w:eastAsia="方正楷体_GBK" w:cs="Times New Roman"/>
          <w:b w:val="0"/>
          <w:bCs/>
          <w:strike w:val="0"/>
          <w:dstrike w:val="0"/>
          <w:color w:val="000000" w:themeColor="text1"/>
          <w:kern w:val="0"/>
          <w:sz w:val="32"/>
          <w:szCs w:val="32"/>
          <w:lang w:val="en-US" w:eastAsia="zh-CN" w:bidi="ar"/>
          <w14:textFill>
            <w14:solidFill>
              <w14:schemeClr w14:val="tx1"/>
            </w14:solidFill>
          </w14:textFill>
        </w:rPr>
        <w:t>）加强知识产权保护。</w:t>
      </w:r>
      <w:r>
        <w:rPr>
          <w:rFonts w:hint="default" w:ascii="Times New Roman" w:hAnsi="Times New Roman" w:eastAsia="方正仿宋_GBK" w:cs="Times New Roman"/>
          <w:b w:val="0"/>
          <w:strike w:val="0"/>
          <w:dstrike w:val="0"/>
          <w:color w:val="000000" w:themeColor="text1"/>
          <w:kern w:val="0"/>
          <w:sz w:val="32"/>
          <w:szCs w:val="32"/>
          <w:lang w:val="en-US" w:eastAsia="zh-CN" w:bidi="ar"/>
          <w14:textFill>
            <w14:solidFill>
              <w14:schemeClr w14:val="tx1"/>
            </w14:solidFill>
          </w14:textFill>
        </w:rPr>
        <w:t>鼓励引导人工智能骨干企业强化自主创新，聚焦智能终端制造、数实融合应用等领域，围绕</w:t>
      </w:r>
      <w:r>
        <w:rPr>
          <w:rFonts w:hint="eastAsia" w:ascii="Times New Roman" w:hAnsi="Times New Roman" w:eastAsia="方正仿宋_GBK" w:cs="Times New Roman"/>
          <w:b w:val="0"/>
          <w:strike w:val="0"/>
          <w:dstrike w:val="0"/>
          <w:color w:val="000000" w:themeColor="text1"/>
          <w:kern w:val="0"/>
          <w:sz w:val="32"/>
          <w:szCs w:val="32"/>
          <w:lang w:val="en-US" w:eastAsia="zh-CN" w:bidi="ar"/>
          <w14:textFill>
            <w14:solidFill>
              <w14:schemeClr w14:val="tx1"/>
            </w14:solidFill>
          </w14:textFill>
        </w:rPr>
        <w:t>基础建设、</w:t>
      </w:r>
      <w:r>
        <w:rPr>
          <w:rFonts w:hint="default" w:ascii="Times New Roman" w:hAnsi="Times New Roman" w:eastAsia="方正仿宋_GBK" w:cs="Times New Roman"/>
          <w:b w:val="0"/>
          <w:strike w:val="0"/>
          <w:dstrike w:val="0"/>
          <w:color w:val="000000" w:themeColor="text1"/>
          <w:kern w:val="0"/>
          <w:sz w:val="32"/>
          <w:szCs w:val="32"/>
          <w:lang w:val="en-US" w:eastAsia="zh-CN" w:bidi="ar"/>
          <w14:textFill>
            <w14:solidFill>
              <w14:schemeClr w14:val="tx1"/>
            </w14:solidFill>
          </w14:textFill>
        </w:rPr>
        <w:t>数据处理、硬件</w:t>
      </w:r>
      <w:r>
        <w:rPr>
          <w:rFonts w:hint="eastAsia" w:ascii="Times New Roman" w:hAnsi="Times New Roman" w:eastAsia="方正仿宋_GBK" w:cs="Times New Roman"/>
          <w:b w:val="0"/>
          <w:strike w:val="0"/>
          <w:dstrike w:val="0"/>
          <w:color w:val="000000" w:themeColor="text1"/>
          <w:kern w:val="0"/>
          <w:sz w:val="32"/>
          <w:szCs w:val="32"/>
          <w:lang w:val="en-US" w:eastAsia="zh-CN" w:bidi="ar"/>
          <w14:textFill>
            <w14:solidFill>
              <w14:schemeClr w14:val="tx1"/>
            </w14:solidFill>
          </w14:textFill>
        </w:rPr>
        <w:t>研发</w:t>
      </w:r>
      <w:r>
        <w:rPr>
          <w:rFonts w:hint="default" w:ascii="Times New Roman" w:hAnsi="Times New Roman" w:eastAsia="方正仿宋_GBK" w:cs="Times New Roman"/>
          <w:b w:val="0"/>
          <w:strike w:val="0"/>
          <w:dstrike w:val="0"/>
          <w:color w:val="000000" w:themeColor="text1"/>
          <w:kern w:val="0"/>
          <w:sz w:val="32"/>
          <w:szCs w:val="32"/>
          <w:lang w:val="en-US" w:eastAsia="zh-CN" w:bidi="ar"/>
          <w14:textFill>
            <w14:solidFill>
              <w14:schemeClr w14:val="tx1"/>
            </w14:solidFill>
          </w14:textFill>
        </w:rPr>
        <w:t>、应用服务和安全隐私等关键环节探索制定技术标准</w:t>
      </w:r>
      <w:r>
        <w:rPr>
          <w:rFonts w:hint="eastAsia" w:ascii="Times New Roman" w:hAnsi="Times New Roman" w:eastAsia="方正仿宋_GBK" w:cs="Times New Roman"/>
          <w:b w:val="0"/>
          <w:strike w:val="0"/>
          <w:dstrike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b w:val="0"/>
          <w:strike w:val="0"/>
          <w:dstrike w:val="0"/>
          <w:color w:val="000000" w:themeColor="text1"/>
          <w:kern w:val="0"/>
          <w:sz w:val="32"/>
          <w:szCs w:val="32"/>
          <w:lang w:val="en-US" w:eastAsia="zh-CN" w:bidi="ar"/>
          <w14:textFill>
            <w14:solidFill>
              <w14:schemeClr w14:val="tx1"/>
            </w14:solidFill>
          </w14:textFill>
        </w:rPr>
        <w:t>打造应用示范，开展数据知识产权登记。</w:t>
      </w:r>
      <w:r>
        <w:rPr>
          <w:rFonts w:hint="default" w:ascii="Times New Roman" w:hAnsi="Times New Roman" w:eastAsia="方正楷体_GBK" w:cs="Times New Roman"/>
          <w:b w:val="0"/>
          <w:bCs/>
          <w:strike w:val="0"/>
          <w:dstrike w:val="0"/>
          <w:color w:val="000000" w:themeColor="text1"/>
          <w:kern w:val="0"/>
          <w:sz w:val="32"/>
          <w:szCs w:val="32"/>
          <w:lang w:val="en-US" w:eastAsia="zh-CN" w:bidi="ar"/>
          <w14:textFill>
            <w14:solidFill>
              <w14:schemeClr w14:val="tx1"/>
            </w14:solidFill>
          </w14:textFill>
        </w:rPr>
        <w:t>〔牵头单位：</w:t>
      </w:r>
      <w:r>
        <w:rPr>
          <w:rFonts w:hint="eastAsia" w:ascii="Times New Roman" w:hAnsi="Times New Roman" w:eastAsia="方正楷体_GBK" w:cs="Times New Roman"/>
          <w:b w:val="0"/>
          <w:bCs/>
          <w:strike w:val="0"/>
          <w:dstrike w:val="0"/>
          <w:color w:val="000000" w:themeColor="text1"/>
          <w:kern w:val="0"/>
          <w:sz w:val="32"/>
          <w:szCs w:val="32"/>
          <w:lang w:val="en-US" w:eastAsia="zh-CN" w:bidi="ar"/>
          <w14:textFill>
            <w14:solidFill>
              <w14:schemeClr w14:val="tx1"/>
            </w14:solidFill>
          </w14:textFill>
        </w:rPr>
        <w:t>市科学技术局</w:t>
      </w:r>
      <w:r>
        <w:rPr>
          <w:rFonts w:hint="default" w:ascii="Times New Roman" w:hAnsi="Times New Roman" w:eastAsia="方正楷体_GBK" w:cs="Times New Roman"/>
          <w:b w:val="0"/>
          <w:bCs/>
          <w:strike w:val="0"/>
          <w:dstrike w:val="0"/>
          <w:color w:val="000000" w:themeColor="text1"/>
          <w:kern w:val="0"/>
          <w:sz w:val="32"/>
          <w:szCs w:val="32"/>
          <w:lang w:val="en-US" w:eastAsia="zh-CN" w:bidi="ar"/>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t>（</w:t>
      </w:r>
      <w:r>
        <w:rPr>
          <w:rFonts w:hint="eastAsia" w:ascii="Times New Roman" w:hAnsi="Times New Roman" w:eastAsia="方正楷体_GBK" w:cs="Times New Roman"/>
          <w:b w:val="0"/>
          <w:bCs/>
          <w:color w:val="000000" w:themeColor="text1"/>
          <w:sz w:val="32"/>
          <w:szCs w:val="32"/>
          <w:lang w:val="en-US" w:eastAsia="zh-CN"/>
          <w14:textFill>
            <w14:solidFill>
              <w14:schemeClr w14:val="tx1"/>
            </w14:solidFill>
          </w14:textFill>
        </w:rPr>
        <w:t>五</w:t>
      </w:r>
      <w:r>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t>）扶持产教融合AI实训基地建设。</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优先支持服务玉溪算力基础设施</w:t>
      </w: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w:t>
      </w:r>
      <w:r>
        <w:rPr>
          <w:rFonts w:hint="eastAsia" w:ascii="Times New Roman" w:hAnsi="Times New Roman" w:eastAsia="方正仿宋_GBK" w:cs="Times New Roman"/>
          <w:b w:val="0"/>
          <w:strike w:val="0"/>
          <w:dstrike w:val="0"/>
          <w:color w:val="000000" w:themeColor="text1"/>
          <w:kern w:val="0"/>
          <w:sz w:val="32"/>
          <w:szCs w:val="32"/>
          <w:lang w:val="en-US" w:eastAsia="zh-CN" w:bidi="ar"/>
          <w14:textFill>
            <w14:solidFill>
              <w14:schemeClr w14:val="tx1"/>
            </w14:solidFill>
          </w14:textFill>
        </w:rPr>
        <w:t>模型研发、数据标注</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等本地应用场景的实训基地建设，鼓励本地高校、职业院校与人工智能企业共建产教融合AI实训基地，按基地设备实际投资额30%给予补贴，最高不超过20万元。补贴资金专项用于实训设备更新、实训课程开发、师资培训</w:t>
      </w: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培养实用型人工智能技能人才</w:t>
      </w: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等</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〔牵头单位：市教育体育局〕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三、激活数据要素潜能，提升数据供给质效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t>（</w:t>
      </w:r>
      <w:r>
        <w:rPr>
          <w:rFonts w:hint="eastAsia" w:ascii="Times New Roman" w:hAnsi="Times New Roman" w:eastAsia="方正楷体_GBK" w:cs="Times New Roman"/>
          <w:b w:val="0"/>
          <w:bCs/>
          <w:color w:val="000000" w:themeColor="text1"/>
          <w:sz w:val="32"/>
          <w:szCs w:val="32"/>
          <w:lang w:val="en-US" w:eastAsia="zh-CN"/>
          <w14:textFill>
            <w14:solidFill>
              <w14:schemeClr w14:val="tx1"/>
            </w14:solidFill>
          </w14:textFill>
        </w:rPr>
        <w:t>六</w:t>
      </w:r>
      <w:r>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t>）鼓励数据产品交易流通。</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激活数据要素潜能，规范数据流通使用。对属地企业通过国家或省级批准设立的数据交易场所完成数据产品交易、且</w:t>
      </w: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单笔</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交易金额在3万元以上的，对该笔数据产品交易的出售方，给予</w:t>
      </w: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5</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万元一次性奖励。对年度内通过数据交易场所挂牌交易总金额达到500万元（含）以上的市场主体，分档给予奖励：500万-1000万元奖励0.5%，1000万元以上部分奖励1%，年度奖励最高不超过20万元。</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〔牵头单位：市数据局〕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t>（</w:t>
      </w:r>
      <w:r>
        <w:rPr>
          <w:rFonts w:hint="eastAsia" w:ascii="Times New Roman" w:hAnsi="Times New Roman" w:eastAsia="方正楷体_GBK" w:cs="Times New Roman"/>
          <w:b w:val="0"/>
          <w:bCs/>
          <w:color w:val="000000" w:themeColor="text1"/>
          <w:sz w:val="32"/>
          <w:szCs w:val="32"/>
          <w:lang w:val="en-US" w:eastAsia="zh-CN"/>
          <w14:textFill>
            <w14:solidFill>
              <w14:schemeClr w14:val="tx1"/>
            </w14:solidFill>
          </w14:textFill>
        </w:rPr>
        <w:t>七</w:t>
      </w:r>
      <w:r>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t>）支持数据资产化发展。</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对数据资源实现数据资产入表的企业，根据入表资产规模及合规性审核结果，给予</w:t>
      </w: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2</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万元一次性奖励。鼓励企业开展数据治理、数据质量提升等基础性工作，对通过国家数据管理能力成熟度评估（DCMM）3级及以上的企业，给予</w:t>
      </w:r>
      <w:r>
        <w:rPr>
          <w:rFonts w:hint="eastAsia" w:ascii="Times New Roman" w:hAnsi="Times New Roman" w:eastAsia="方正仿宋_GBK" w:cs="Times New Roman"/>
          <w:b w:val="0"/>
          <w:strike w:val="0"/>
          <w:dstrike w:val="0"/>
          <w:color w:val="000000" w:themeColor="text1"/>
          <w:kern w:val="0"/>
          <w:sz w:val="32"/>
          <w:szCs w:val="32"/>
          <w:lang w:val="en-US" w:eastAsia="zh-CN" w:bidi="ar"/>
          <w14:textFill>
            <w14:solidFill>
              <w14:schemeClr w14:val="tx1"/>
            </w14:solidFill>
          </w14:textFill>
        </w:rPr>
        <w:t>5</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万元奖励，推动数据资源向数据资产转化。</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〔牵头单位：市数据局；配合单位：市市场监督管理局〕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四、强化创新主体培育</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color w:val="000000" w:themeColor="text1"/>
          <w:highlight w:val="none"/>
          <w:lang w:val="en-US" w:eastAsia="zh-CN"/>
          <w14:textFill>
            <w14:solidFill>
              <w14:schemeClr w14:val="tx1"/>
            </w14:solidFill>
          </w14:textFill>
        </w:rPr>
      </w:pP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w:t>
      </w:r>
      <w:r>
        <w:rPr>
          <w:rFonts w:hint="eastAsia" w:eastAsia="方正仿宋_GBK" w:cs="Times New Roman"/>
          <w:b w:val="0"/>
          <w:color w:val="000000" w:themeColor="text1"/>
          <w:kern w:val="0"/>
          <w:sz w:val="32"/>
          <w:szCs w:val="32"/>
          <w:highlight w:val="none"/>
          <w:lang w:val="en-US" w:eastAsia="zh-CN" w:bidi="ar"/>
          <w14:textFill>
            <w14:solidFill>
              <w14:schemeClr w14:val="tx1"/>
            </w14:solidFill>
          </w14:textFill>
        </w:rPr>
        <w:t>八</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方正楷体_GBK" w:cs="Times New Roman"/>
          <w:b w:val="0"/>
          <w:bCs/>
          <w:strike w:val="0"/>
          <w:dstrike w:val="0"/>
          <w:color w:val="000000" w:themeColor="text1"/>
          <w:kern w:val="0"/>
          <w:sz w:val="32"/>
          <w:szCs w:val="32"/>
          <w:highlight w:val="none"/>
          <w:lang w:val="en-US" w:eastAsia="zh-CN" w:bidi="ar"/>
          <w14:textFill>
            <w14:solidFill>
              <w14:schemeClr w14:val="tx1"/>
            </w14:solidFill>
          </w14:textFill>
        </w:rPr>
        <w:t>奖励新增规上软件信息企业。</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对玉溪市2024年、2025年、2026年内新建或投产（新开业）、达到规模以上软件和信息技术服务企业标准并首次进入统计联网直报名录库的企业给予奖励。其中，年度营业收入达到500万元、1000万元、2000万元的，分别给予4万元、5万元、6万元奖励。奖励资金分两年兑付，每年兑付50%；企业升规纳统后次年退出规上企业库或在库未正常报送数据的，尚未兑现部分不再兑付。同一企业已享受省级以上</w:t>
      </w:r>
      <w:r>
        <w:rPr>
          <w:rFonts w:hint="eastAsia" w:eastAsia="方正仿宋_GBK" w:cs="Times New Roman"/>
          <w:b w:val="0"/>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四上</w:t>
      </w:r>
      <w:r>
        <w:rPr>
          <w:rFonts w:hint="eastAsia" w:eastAsia="方正仿宋_GBK" w:cs="Times New Roman"/>
          <w:b w:val="0"/>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企业奖励政策的，不再享受市级奖励；同时符合市本级其他</w:t>
      </w:r>
      <w:r>
        <w:rPr>
          <w:rFonts w:hint="eastAsia" w:eastAsia="方正仿宋_GBK" w:cs="Times New Roman"/>
          <w:b w:val="0"/>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四上</w:t>
      </w:r>
      <w:r>
        <w:rPr>
          <w:rFonts w:hint="eastAsia" w:eastAsia="方正仿宋_GBK" w:cs="Times New Roman"/>
          <w:b w:val="0"/>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企业奖励政策的，按照</w:t>
      </w:r>
      <w:r>
        <w:rPr>
          <w:rFonts w:hint="eastAsia" w:eastAsia="方正仿宋_GBK" w:cs="Times New Roman"/>
          <w:b w:val="0"/>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择优不重复</w:t>
      </w:r>
      <w:r>
        <w:rPr>
          <w:rFonts w:hint="eastAsia" w:eastAsia="方正仿宋_GBK" w:cs="Times New Roman"/>
          <w:b w:val="0"/>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原则执行。</w:t>
      </w:r>
      <w:r>
        <w:rPr>
          <w:rFonts w:hint="default" w:ascii="Times New Roman" w:hAnsi="Times New Roman" w:eastAsia="方正楷体_GBK" w:cs="Times New Roman"/>
          <w:b w:val="0"/>
          <w:bCs/>
          <w:strike w:val="0"/>
          <w:dstrike w:val="0"/>
          <w:color w:val="000000" w:themeColor="text1"/>
          <w:kern w:val="0"/>
          <w:sz w:val="32"/>
          <w:szCs w:val="32"/>
          <w:highlight w:val="none"/>
          <w:u w:val="none"/>
          <w:lang w:val="en-US" w:eastAsia="zh-CN" w:bidi="ar"/>
          <w14:textFill>
            <w14:solidFill>
              <w14:schemeClr w14:val="tx1"/>
            </w14:solidFill>
          </w14:textFill>
        </w:rPr>
        <w:t>〔牵头单位：市市场监督管理局；配合单位：市发展改革委、市统计局〕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w:t>
      </w:r>
      <w:r>
        <w:rPr>
          <w:rFonts w:hint="eastAsia" w:eastAsia="方正楷体_GBK" w:cs="Times New Roman"/>
          <w:b w:val="0"/>
          <w:bCs/>
          <w:color w:val="000000" w:themeColor="text1"/>
          <w:kern w:val="0"/>
          <w:sz w:val="32"/>
          <w:szCs w:val="32"/>
          <w:lang w:val="en-US" w:eastAsia="zh-CN" w:bidi="ar"/>
          <w14:textFill>
            <w14:solidFill>
              <w14:schemeClr w14:val="tx1"/>
            </w14:solidFill>
          </w14:textFill>
        </w:rPr>
        <w:t>九</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）支持</w:t>
      </w:r>
      <w:r>
        <w:rPr>
          <w:rFonts w:hint="default" w:ascii="Times New Roman" w:hAnsi="Times New Roman" w:eastAsia="方正楷体_GBK" w:cs="Times New Roman"/>
          <w:b w:val="0"/>
          <w:bCs/>
          <w:color w:val="000000" w:themeColor="text1"/>
          <w:kern w:val="0"/>
          <w:sz w:val="32"/>
          <w:szCs w:val="32"/>
          <w:highlight w:val="none"/>
          <w:lang w:val="en-US" w:eastAsia="zh-CN" w:bidi="ar"/>
          <w14:textFill>
            <w14:solidFill>
              <w14:schemeClr w14:val="tx1"/>
            </w14:solidFill>
          </w14:textFill>
        </w:rPr>
        <w:t>企业数字化业务剥离单独注册</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鼓励非数字经济核心产业企业剥离内部涉及数字经济核心产业的业务，投资组建独立法人企业，对剥离后新组建企业</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首次</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达到</w:t>
      </w:r>
      <w:r>
        <w:rPr>
          <w:rFonts w:hint="eastAsia" w:eastAsia="方正仿宋_GBK" w:cs="Times New Roman"/>
          <w:b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四上</w:t>
      </w:r>
      <w:r>
        <w:rPr>
          <w:rFonts w:hint="eastAsia" w:eastAsia="方正仿宋_GBK" w:cs="Times New Roman"/>
          <w:b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标准的，</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在其升规纳统当年度</w:t>
      </w:r>
      <w:r>
        <w:rPr>
          <w:rFonts w:hint="eastAsia" w:eastAsia="方正仿宋_GBK" w:cs="Times New Roman"/>
          <w:b w:val="0"/>
          <w:color w:val="000000" w:themeColor="text1"/>
          <w:kern w:val="0"/>
          <w:sz w:val="32"/>
          <w:szCs w:val="32"/>
          <w:highlight w:val="none"/>
          <w:lang w:val="en-US" w:eastAsia="zh-CN" w:bidi="ar"/>
          <w14:textFill>
            <w14:solidFill>
              <w14:schemeClr w14:val="tx1"/>
            </w14:solidFill>
          </w14:textFill>
        </w:rPr>
        <w:t>单独</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一次性给予</w:t>
      </w:r>
      <w:r>
        <w:rPr>
          <w:rFonts w:hint="eastAsia" w:eastAsia="方正仿宋_GBK" w:cs="Times New Roman"/>
          <w:b w:val="0"/>
          <w:color w:val="000000" w:themeColor="text1"/>
          <w:kern w:val="0"/>
          <w:sz w:val="32"/>
          <w:szCs w:val="32"/>
          <w:highlight w:val="none"/>
          <w:lang w:val="en-US" w:eastAsia="zh-CN" w:bidi="ar"/>
          <w14:textFill>
            <w14:solidFill>
              <w14:schemeClr w14:val="tx1"/>
            </w14:solidFill>
          </w14:textFill>
        </w:rPr>
        <w:t>6</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万元</w:t>
      </w:r>
      <w:r>
        <w:rPr>
          <w:rFonts w:hint="eastAsia" w:eastAsia="方正仿宋_GBK" w:cs="Times New Roman"/>
          <w:b w:val="0"/>
          <w:strike w:val="0"/>
          <w:dstrike w:val="0"/>
          <w:color w:val="000000" w:themeColor="text1"/>
          <w:kern w:val="0"/>
          <w:sz w:val="32"/>
          <w:szCs w:val="32"/>
          <w:highlight w:val="none"/>
          <w:lang w:val="en-US" w:eastAsia="zh-CN" w:bidi="ar"/>
          <w14:textFill>
            <w14:solidFill>
              <w14:schemeClr w14:val="tx1"/>
            </w14:solidFill>
          </w14:textFill>
        </w:rPr>
        <w:t>奖励</w:t>
      </w:r>
      <w:r>
        <w:rPr>
          <w:rFonts w:hint="eastAsia" w:eastAsia="方正仿宋_GBK" w:cs="Times New Roman"/>
          <w:b w:val="0"/>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〔牵头单位：</w:t>
      </w:r>
      <w:r>
        <w:rPr>
          <w:rFonts w:hint="default" w:ascii="Times New Roman" w:hAnsi="Times New Roman" w:eastAsia="方正楷体_GBK" w:cs="Times New Roman"/>
          <w:b w:val="0"/>
          <w:bCs/>
          <w:strike w:val="0"/>
          <w:dstrike w:val="0"/>
          <w:color w:val="000000" w:themeColor="text1"/>
          <w:kern w:val="0"/>
          <w:sz w:val="32"/>
          <w:szCs w:val="32"/>
          <w:highlight w:val="none"/>
          <w:u w:val="none"/>
          <w:lang w:val="en-US" w:eastAsia="zh-CN" w:bidi="ar"/>
          <w14:textFill>
            <w14:solidFill>
              <w14:schemeClr w14:val="tx1"/>
            </w14:solidFill>
          </w14:textFill>
        </w:rPr>
        <w:t>市市场监督管理局</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；配合单位：市统计局〕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pP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（十）奖励规上软件企业营收突破。</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对营业收入首次超过5000万元、1亿元、3亿元的规上软件和信息技术服务企业，分别一次性奖励</w:t>
      </w:r>
      <w:r>
        <w:rPr>
          <w:rFonts w:hint="eastAsia" w:eastAsia="方正仿宋_GBK" w:cs="Times New Roman"/>
          <w:b w:val="0"/>
          <w:color w:val="000000" w:themeColor="text1"/>
          <w:kern w:val="0"/>
          <w:sz w:val="32"/>
          <w:szCs w:val="32"/>
          <w:highlight w:val="none"/>
          <w:lang w:val="en-US" w:eastAsia="zh-CN" w:bidi="ar"/>
          <w14:textFill>
            <w14:solidFill>
              <w14:schemeClr w14:val="tx1"/>
            </w14:solidFill>
          </w14:textFill>
        </w:rPr>
        <w:t>10</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万元、</w:t>
      </w:r>
      <w:r>
        <w:rPr>
          <w:rFonts w:hint="eastAsia" w:eastAsia="方正仿宋_GBK" w:cs="Times New Roman"/>
          <w:b w:val="0"/>
          <w:color w:val="000000" w:themeColor="text1"/>
          <w:kern w:val="0"/>
          <w:sz w:val="32"/>
          <w:szCs w:val="32"/>
          <w:highlight w:val="none"/>
          <w:lang w:val="en-US" w:eastAsia="zh-CN" w:bidi="ar"/>
          <w14:textFill>
            <w14:solidFill>
              <w14:schemeClr w14:val="tx1"/>
            </w14:solidFill>
          </w14:textFill>
        </w:rPr>
        <w:t>20</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万元、</w:t>
      </w:r>
      <w:r>
        <w:rPr>
          <w:rFonts w:hint="eastAsia" w:eastAsia="方正仿宋_GBK" w:cs="Times New Roman"/>
          <w:b w:val="0"/>
          <w:color w:val="000000" w:themeColor="text1"/>
          <w:kern w:val="0"/>
          <w:sz w:val="32"/>
          <w:szCs w:val="32"/>
          <w:highlight w:val="none"/>
          <w:lang w:val="en-US" w:eastAsia="zh-CN" w:bidi="ar"/>
          <w14:textFill>
            <w14:solidFill>
              <w14:schemeClr w14:val="tx1"/>
            </w14:solidFill>
          </w14:textFill>
        </w:rPr>
        <w:t>5</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0万元</w:t>
      </w:r>
      <w:r>
        <w:rPr>
          <w:rFonts w:hint="eastAsia" w:eastAsia="方正仿宋_GBK" w:cs="Times New Roman"/>
          <w:b w:val="0"/>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〔牵头单位：市数据局；配合单位：市统计局〕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eastAsia="方正黑体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、支持企业数字化转型，助推产业提档升级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color w:val="000000" w:themeColor="text1"/>
          <w:kern w:val="0"/>
          <w:sz w:val="32"/>
          <w:szCs w:val="32"/>
          <w:highlight w:val="none"/>
          <w:lang w:val="en-US" w:eastAsia="zh-CN" w:bidi="ar"/>
          <w14:textFill>
            <w14:solidFill>
              <w14:schemeClr w14:val="tx1"/>
            </w14:solidFill>
          </w14:textFill>
        </w:rPr>
      </w:pPr>
      <w:r>
        <w:rPr>
          <w:rFonts w:hint="eastAsia" w:ascii="方正楷体_GBK" w:hAnsi="方正楷体_GBK" w:eastAsia="方正楷体_GBK" w:cs="方正楷体_GBK"/>
          <w:color w:val="000000" w:themeColor="text1"/>
          <w:kern w:val="0"/>
          <w:sz w:val="32"/>
          <w:szCs w:val="32"/>
          <w:highlight w:val="none"/>
          <w:lang w:val="en-US" w:eastAsia="zh-CN" w:bidi="ar"/>
          <w14:textFill>
            <w14:solidFill>
              <w14:schemeClr w14:val="tx1"/>
            </w14:solidFill>
          </w14:textFill>
        </w:rPr>
        <w:t>（十一）推进制造业企业数智化转型。</w:t>
      </w:r>
      <w:r>
        <w:rPr>
          <w:rFonts w:hint="eastAsia"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支持制造业企业智能化、绿色化、融合化发展，采取</w:t>
      </w:r>
      <w:r>
        <w:rPr>
          <w:rFonts w:hint="eastAsia" w:eastAsia="方正仿宋_GBK" w:cs="Times New Roman"/>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政产学研</w:t>
      </w:r>
      <w:r>
        <w:rPr>
          <w:rFonts w:hint="eastAsia" w:eastAsia="方正仿宋_GBK" w:cs="Times New Roman"/>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协同模式开展智能化咨询诊断服务。对优质</w:t>
      </w:r>
      <w:r>
        <w:rPr>
          <w:rFonts w:hint="eastAsia" w:eastAsia="方正仿宋_GBK" w:cs="Times New Roman"/>
          <w:color w:val="000000" w:themeColor="text1"/>
          <w:kern w:val="0"/>
          <w:sz w:val="32"/>
          <w:szCs w:val="32"/>
          <w:highlight w:val="none"/>
          <w:lang w:val="en-US" w:eastAsia="zh-CN" w:bidi="ar"/>
          <w14:textFill>
            <w14:solidFill>
              <w14:schemeClr w14:val="tx1"/>
            </w14:solidFill>
          </w14:textFill>
        </w:rPr>
        <w:t>规上</w:t>
      </w:r>
      <w:r>
        <w:rPr>
          <w:rFonts w:hint="eastAsia"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企业数字化项目投入</w:t>
      </w:r>
      <w:r>
        <w:rPr>
          <w:rFonts w:hint="eastAsia" w:eastAsia="方正仿宋_GBK" w:cs="Times New Roman"/>
          <w:color w:val="000000" w:themeColor="text1"/>
          <w:kern w:val="0"/>
          <w:sz w:val="32"/>
          <w:szCs w:val="32"/>
          <w:highlight w:val="none"/>
          <w:lang w:val="en-US" w:eastAsia="zh-CN" w:bidi="ar"/>
          <w14:textFill>
            <w14:solidFill>
              <w14:schemeClr w14:val="tx1"/>
            </w14:solidFill>
          </w14:textFill>
        </w:rPr>
        <w:t>按</w:t>
      </w:r>
      <w:r>
        <w:rPr>
          <w:rFonts w:hint="default"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10%</w:t>
      </w:r>
      <w:r>
        <w:rPr>
          <w:rFonts w:hint="eastAsia"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给予补助，每</w:t>
      </w:r>
      <w:r>
        <w:rPr>
          <w:rFonts w:hint="eastAsia" w:eastAsia="方正仿宋_GBK" w:cs="Times New Roman"/>
          <w:color w:val="000000" w:themeColor="text1"/>
          <w:kern w:val="0"/>
          <w:sz w:val="32"/>
          <w:szCs w:val="32"/>
          <w:highlight w:val="none"/>
          <w:lang w:val="en-US" w:eastAsia="zh-CN" w:bidi="ar"/>
          <w14:textFill>
            <w14:solidFill>
              <w14:schemeClr w14:val="tx1"/>
            </w14:solidFill>
          </w14:textFill>
        </w:rPr>
        <w:t>户补助</w:t>
      </w:r>
      <w:r>
        <w:rPr>
          <w:rFonts w:hint="eastAsia"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不超过</w:t>
      </w:r>
      <w:r>
        <w:rPr>
          <w:rFonts w:hint="default"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20</w:t>
      </w:r>
      <w:r>
        <w:rPr>
          <w:rFonts w:hint="eastAsia"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万元；支持企业创建智能工厂，智能工厂获评先进级及以上每</w:t>
      </w:r>
      <w:r>
        <w:rPr>
          <w:rFonts w:hint="eastAsia" w:eastAsia="方正仿宋_GBK" w:cs="Times New Roman"/>
          <w:color w:val="000000" w:themeColor="text1"/>
          <w:kern w:val="0"/>
          <w:sz w:val="32"/>
          <w:szCs w:val="32"/>
          <w:highlight w:val="none"/>
          <w:lang w:val="en-US" w:eastAsia="zh-CN" w:bidi="ar"/>
          <w14:textFill>
            <w14:solidFill>
              <w14:schemeClr w14:val="tx1"/>
            </w14:solidFill>
          </w14:textFill>
        </w:rPr>
        <w:t>户</w:t>
      </w:r>
      <w:r>
        <w:rPr>
          <w:rFonts w:hint="eastAsia"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奖励</w:t>
      </w:r>
      <w:r>
        <w:rPr>
          <w:rFonts w:hint="default"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10</w:t>
      </w:r>
      <w:r>
        <w:rPr>
          <w:rFonts w:hint="eastAsia"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万元；获评省级数字化试点示范的企业（项目）每</w:t>
      </w:r>
      <w:r>
        <w:rPr>
          <w:rFonts w:hint="eastAsia" w:eastAsia="方正仿宋_GBK" w:cs="Times New Roman"/>
          <w:color w:val="000000" w:themeColor="text1"/>
          <w:kern w:val="0"/>
          <w:sz w:val="32"/>
          <w:szCs w:val="32"/>
          <w:highlight w:val="none"/>
          <w:lang w:val="en-US" w:eastAsia="zh-CN" w:bidi="ar"/>
          <w14:textFill>
            <w14:solidFill>
              <w14:schemeClr w14:val="tx1"/>
            </w14:solidFill>
          </w14:textFill>
        </w:rPr>
        <w:t>户</w:t>
      </w:r>
      <w:r>
        <w:rPr>
          <w:rFonts w:hint="eastAsia"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奖励</w:t>
      </w:r>
      <w:r>
        <w:rPr>
          <w:rFonts w:hint="default"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10</w:t>
      </w:r>
      <w:r>
        <w:rPr>
          <w:rFonts w:hint="eastAsia"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万元；对于达到数字化水平四级的企业，额外奖励</w:t>
      </w:r>
      <w:r>
        <w:rPr>
          <w:rFonts w:hint="default"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10</w:t>
      </w:r>
      <w:r>
        <w:rPr>
          <w:rFonts w:hint="eastAsia"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万元。</w:t>
      </w:r>
      <w:r>
        <w:rPr>
          <w:rFonts w:hint="eastAsia" w:ascii="方正楷体_GBK" w:hAnsi="方正楷体_GBK" w:eastAsia="方正楷体_GBK" w:cs="方正楷体_GBK"/>
          <w:color w:val="000000" w:themeColor="text1"/>
          <w:kern w:val="0"/>
          <w:sz w:val="32"/>
          <w:szCs w:val="32"/>
          <w:highlight w:val="none"/>
          <w:lang w:val="en-US" w:eastAsia="zh-CN" w:bidi="ar"/>
          <w14:textFill>
            <w14:solidFill>
              <w14:schemeClr w14:val="tx1"/>
            </w14:solidFill>
          </w14:textFill>
        </w:rPr>
        <w:t>〔牵头单位：市工业和信息化局；配合单位：市发展改革委、各县（市、区），高新区管委会〕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eastAsia="方正黑体_GBK" w:cs="Times New Roman"/>
          <w:color w:val="000000" w:themeColor="text1"/>
          <w:sz w:val="32"/>
          <w:szCs w:val="32"/>
          <w:lang w:val="en-US" w:eastAsia="zh-CN"/>
          <w14:textFill>
            <w14:solidFill>
              <w14:schemeClr w14:val="tx1"/>
            </w14:solidFill>
          </w14:textFill>
        </w:rPr>
        <w:t>六</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、打造数字应用场景，赋能产业深度融合</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（十</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二</w:t>
      </w: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）打造人工智能优秀应用场景。</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充分发挥人工智能赋能经济社会发展的作用，聚焦政务服务、先进装备制造、数字金融、智慧医疗、教育数字化、现代商贸、绿色建筑、高原特色农业、智慧城市治理等我市重点领域，加快典型应用场景复制推广。鼓励全市</w:t>
      </w:r>
      <w:r>
        <w:rPr>
          <w:rFonts w:hint="eastAsia" w:eastAsia="方正仿宋_GBK" w:cs="Times New Roman"/>
          <w:color w:val="000000" w:themeColor="text1"/>
          <w:sz w:val="32"/>
          <w:szCs w:val="32"/>
          <w:lang w:val="en-US" w:eastAsia="zh-CN"/>
          <w14:textFill>
            <w14:solidFill>
              <w14:schemeClr w14:val="tx1"/>
            </w14:solidFill>
          </w14:textFill>
        </w:rPr>
        <w:t>行政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机关、</w:t>
      </w:r>
      <w:r>
        <w:rPr>
          <w:rFonts w:hint="eastAsia" w:eastAsia="方正仿宋_GBK" w:cs="Times New Roman"/>
          <w:color w:val="000000" w:themeColor="text1"/>
          <w:sz w:val="32"/>
          <w:szCs w:val="32"/>
          <w:lang w:val="en-US" w:eastAsia="zh-CN"/>
          <w14:textFill>
            <w14:solidFill>
              <w14:schemeClr w14:val="tx1"/>
            </w14:solidFill>
          </w14:textFill>
        </w:rPr>
        <w:t>党群部门、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事业单位、国有企业结合发展实际，选取适配的应用场景开展先行先试，打造具有玉溪特色的人工智能示范应用。对纳入市级人工智能应用场景清单的项目，每项给予5万元奖励。</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w:t>
      </w:r>
      <w:r>
        <w:rPr>
          <w:rFonts w:hint="eastAsia" w:eastAsia="方正楷体_GBK" w:cs="Times New Roman"/>
          <w:b w:val="0"/>
          <w:bCs/>
          <w:color w:val="000000" w:themeColor="text1"/>
          <w:kern w:val="0"/>
          <w:sz w:val="32"/>
          <w:szCs w:val="32"/>
          <w:lang w:val="en-US" w:eastAsia="zh-CN" w:bidi="ar"/>
          <w14:textFill>
            <w14:solidFill>
              <w14:schemeClr w14:val="tx1"/>
            </w14:solidFill>
          </w14:textFill>
        </w:rPr>
        <w:t>牵头</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单位：市数据局；配合单位：各相关行业主管部门〕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（十</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三</w:t>
      </w: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）深入实施</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w:t>
      </w: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数据要素×</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w:t>
      </w: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行动计划。</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充分发挥数据要素的放大、叠加、倍增作用，加快推动数据要素与劳动力、资本等要素协同，培育新产业、新模式、新动能。支持数字经济核心产业</w:t>
      </w:r>
      <w:r>
        <w:rPr>
          <w:rFonts w:hint="default" w:ascii="Times New Roman" w:hAnsi="Times New Roman" w:eastAsia="方正仿宋_GBK" w:cs="Times New Roman"/>
          <w:strike w:val="0"/>
          <w:dstrike w:val="0"/>
          <w:color w:val="000000" w:themeColor="text1"/>
          <w:kern w:val="0"/>
          <w:sz w:val="32"/>
          <w:szCs w:val="32"/>
          <w:lang w:val="en-US" w:eastAsia="zh-CN" w:bidi="ar"/>
          <w14:textFill>
            <w14:solidFill>
              <w14:schemeClr w14:val="tx1"/>
            </w14:solidFill>
          </w14:textFill>
        </w:rPr>
        <w:t>经营主体</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积极参加国家</w:t>
      </w:r>
      <w:r>
        <w:rPr>
          <w:rFonts w:hint="eastAsia" w:eastAsia="方正仿宋_GBK"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数据要素×</w:t>
      </w:r>
      <w:r>
        <w:rPr>
          <w:rFonts w:hint="eastAsia" w:eastAsia="方正仿宋_GBK"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大赛，对在省级分赛中获得一等奖、二等奖、三等奖的项目分别给予5万元、3万元、2万元一次性奖励；对在全国总决赛中获得一等奖、二等奖、三等奖的项目分别给予10万元、8万元、5万元一次性奖励</w:t>
      </w:r>
      <w:r>
        <w:rPr>
          <w:rFonts w:hint="eastAsia" w:eastAsia="方正仿宋_GBK"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highlight w:val="none"/>
          <w:lang w:val="en-US" w:eastAsia="zh-CN" w:bidi="ar"/>
          <w14:textFill>
            <w14:solidFill>
              <w14:schemeClr w14:val="tx1"/>
            </w14:solidFill>
          </w14:textFill>
        </w:rPr>
        <w:t>同一</w:t>
      </w:r>
      <w:r>
        <w:rPr>
          <w:rFonts w:hint="eastAsia" w:eastAsia="方正仿宋_GBK" w:cs="Times New Roman"/>
          <w:b w:val="0"/>
          <w:color w:val="000000" w:themeColor="text1"/>
          <w:kern w:val="0"/>
          <w:sz w:val="32"/>
          <w:szCs w:val="32"/>
          <w:highlight w:val="none"/>
          <w:lang w:val="en-US" w:eastAsia="zh-CN" w:bidi="ar"/>
          <w14:textFill>
            <w14:solidFill>
              <w14:schemeClr w14:val="tx1"/>
            </w14:solidFill>
          </w14:textFill>
        </w:rPr>
        <w:t>项目同时获国家级、省级奖励的，就高享受奖励金，不重复奖补</w:t>
      </w:r>
      <w:r>
        <w:rPr>
          <w:rFonts w:hint="default" w:ascii="Times New Roman" w:hAnsi="Times New Roman" w:eastAsia="方正仿宋_GBK"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〔牵头单位：市数据局〕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eastAsia="方正黑体_GBK" w:cs="Times New Roman"/>
          <w:color w:val="000000" w:themeColor="text1"/>
          <w:sz w:val="32"/>
          <w:szCs w:val="32"/>
          <w:lang w:val="en-US" w:eastAsia="zh-CN"/>
          <w14:textFill>
            <w14:solidFill>
              <w14:schemeClr w14:val="tx1"/>
            </w14:solidFill>
          </w14:textFill>
        </w:rPr>
        <w:t>七</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、强化金融信贷赋能，拓宽多元融资渠道</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pPr>
      <w:bookmarkStart w:id="2" w:name="OLE_LINK2"/>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（十</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四</w:t>
      </w: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w:t>
      </w:r>
      <w:bookmarkStart w:id="3" w:name="OLE_LINK3"/>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支持人工智能相关领域创业担保贷款。</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鼓励个人创业担保贷款和小微企业创业担保贷款，在贷款额度方面，个人创业者最高可申请30万元，期限不超过3年；小微企业最高可申请400万元，期限不超过2年。对还款积极、带动就业能力强的借款人，还清贷款后可持续申请贷款及贴息支持，累计不超过3次</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财政部门对符合条件的贷款给予贴息。</w:t>
      </w:r>
      <w:bookmarkEnd w:id="2"/>
      <w:bookmarkEnd w:id="3"/>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〔牵头单位：玉溪市公共就业和人才服务中心；配合单位：</w:t>
      </w:r>
      <w:r>
        <w:rPr>
          <w:rFonts w:hint="eastAsia" w:eastAsia="方正楷体_GBK" w:cs="Times New Roman"/>
          <w:b w:val="0"/>
          <w:bCs/>
          <w:strike w:val="0"/>
          <w:dstrike w:val="0"/>
          <w:color w:val="000000" w:themeColor="text1"/>
          <w:kern w:val="0"/>
          <w:sz w:val="32"/>
          <w:szCs w:val="32"/>
          <w:lang w:val="en-US" w:eastAsia="zh-CN" w:bidi="ar"/>
          <w14:textFill>
            <w14:solidFill>
              <w14:schemeClr w14:val="tx1"/>
            </w14:solidFill>
          </w14:textFill>
        </w:rPr>
        <w:t>玉溪市财政局、</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中国人民银行玉溪市分行、各经办银行〕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eastAsia" w:eastAsia="方正黑体_GBK" w:cs="Times New Roman"/>
          <w:color w:val="000000" w:themeColor="text1"/>
          <w:sz w:val="32"/>
          <w:szCs w:val="32"/>
          <w:lang w:val="en-US" w:eastAsia="zh-CN"/>
          <w14:textFill>
            <w14:solidFill>
              <w14:schemeClr w14:val="tx1"/>
            </w14:solidFill>
          </w14:textFill>
        </w:rPr>
        <w:t>八</w:t>
      </w: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、强化AI人才引育，护航创新创业生态</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（十五）打造人工智能产业园。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统筹现有各类园区平台，鼓励建设人工智能产业园区，提供人才配套公寓，完善人工智能产业园区交通、水电、环保、消防、生活等基础设施。持续吸引和集聚人工智能领军企业、创新创业企业，打造人工智能特色产业集群。</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〔牵头单位：市</w:t>
      </w:r>
      <w:r>
        <w:rPr>
          <w:rFonts w:hint="eastAsia" w:eastAsia="方正楷体_GBK" w:cs="Times New Roman"/>
          <w:b w:val="0"/>
          <w:bCs/>
          <w:color w:val="000000" w:themeColor="text1"/>
          <w:kern w:val="0"/>
          <w:sz w:val="32"/>
          <w:szCs w:val="32"/>
          <w:lang w:val="en-US" w:eastAsia="zh-CN" w:bidi="ar"/>
          <w14:textFill>
            <w14:solidFill>
              <w14:schemeClr w14:val="tx1"/>
            </w14:solidFill>
          </w14:textFill>
        </w:rPr>
        <w:t>数据局</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；配合单位：市人力资源和社会保障局、高新区管委会、各产业园区〕</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（十</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六</w:t>
      </w: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共建产教融合产业学院。</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强化人工智能学科建设，鼓励校企联合共建产业学院，促进产学研协同创新发展。支持人工智能</w:t>
      </w:r>
      <w:r>
        <w:rPr>
          <w:rFonts w:hint="eastAsia" w:eastAsia="方正仿宋_GBK" w:cs="Times New Roman"/>
          <w:color w:val="000000" w:themeColor="text1"/>
          <w:sz w:val="32"/>
          <w:szCs w:val="32"/>
          <w:lang w:val="en-US" w:eastAsia="zh-CN"/>
          <w14:textFill>
            <w14:solidFill>
              <w14:schemeClr w14:val="tx1"/>
            </w14:solidFill>
          </w14:textFill>
        </w:rPr>
        <w:t>相关</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职业技能等级认定及培训，鼓励符合条件的机构申报人工智能相关工种职业技能等级认定试点，支持企业、劳动者参与人工智能相关职业技能培训，符合条件的按规定享受职业培训补贴政策。</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〔牵头单位：市教育体育局；配合单位：市人力资源和社会保障局〕</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十七</w:t>
      </w: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建设人工智能</w:t>
      </w:r>
      <w:r>
        <w:rPr>
          <w:rFonts w:hint="eastAsia" w:ascii="方正楷体_GBK" w:hAnsi="方正楷体_GBK" w:eastAsia="方正楷体_GBK" w:cs="方正楷体_GBK"/>
          <w:strike w:val="0"/>
          <w:dstrike w:val="0"/>
          <w:color w:val="000000" w:themeColor="text1"/>
          <w:sz w:val="32"/>
          <w:szCs w:val="32"/>
          <w:lang w:val="en-US" w:eastAsia="zh-CN"/>
          <w14:textFill>
            <w14:solidFill>
              <w14:schemeClr w14:val="tx1"/>
            </w14:solidFill>
          </w14:textFill>
        </w:rPr>
        <w:t>创业</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社区。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鼓励</w:t>
      </w:r>
      <w:r>
        <w:rPr>
          <w:rFonts w:hint="default" w:ascii="Times New Roman" w:hAnsi="Times New Roman" w:eastAsia="方正仿宋_GBK" w:cs="Times New Roman"/>
          <w:strike w:val="0"/>
          <w:dstrike w:val="0"/>
          <w:color w:val="000000" w:themeColor="text1"/>
          <w:sz w:val="32"/>
          <w:szCs w:val="32"/>
          <w:lang w:val="en-US" w:eastAsia="zh-CN"/>
          <w14:textFill>
            <w14:solidFill>
              <w14:schemeClr w14:val="tx1"/>
            </w14:solidFill>
          </w14:textFill>
        </w:rPr>
        <w:t>依托</w:t>
      </w:r>
      <w:r>
        <w:rPr>
          <w:rFonts w:hint="eastAsia" w:eastAsia="方正仿宋_GBK" w:cs="Times New Roman"/>
          <w:strike w:val="0"/>
          <w:dstrike w:val="0"/>
          <w:color w:val="000000" w:themeColor="text1"/>
          <w:sz w:val="32"/>
          <w:szCs w:val="32"/>
          <w:lang w:val="en-US" w:eastAsia="zh-CN"/>
          <w14:textFill>
            <w14:solidFill>
              <w14:schemeClr w14:val="tx1"/>
            </w14:solidFill>
          </w14:textFill>
        </w:rPr>
        <w:t>产业园区、成熟商业体、闲置物业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规划建设人工智能</w:t>
      </w:r>
      <w:r>
        <w:rPr>
          <w:rFonts w:hint="eastAsia" w:eastAsia="方正仿宋_GBK" w:cs="Times New Roman"/>
          <w:color w:val="000000" w:themeColor="text1"/>
          <w:sz w:val="32"/>
          <w:szCs w:val="32"/>
          <w:lang w:val="en-US" w:eastAsia="zh-CN"/>
          <w14:textFill>
            <w14:solidFill>
              <w14:schemeClr w14:val="tx1"/>
            </w14:solidFill>
          </w14:textFill>
        </w:rPr>
        <w:t>创业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社区，聚焦</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单人成军</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式创新</w:t>
      </w:r>
      <w:r>
        <w:rPr>
          <w:rFonts w:hint="eastAsia" w:eastAsia="方正仿宋_GBK" w:cs="Times New Roman"/>
          <w:color w:val="000000" w:themeColor="text1"/>
          <w:sz w:val="32"/>
          <w:szCs w:val="32"/>
          <w:lang w:val="en-US" w:eastAsia="zh-CN"/>
          <w14:textFill>
            <w14:solidFill>
              <w14:schemeClr w14:val="tx1"/>
            </w14:solidFill>
          </w14:textFill>
        </w:rPr>
        <w:t>创业方向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，完善共享办公空间、公共算力</w:t>
      </w:r>
      <w:r>
        <w:rPr>
          <w:rFonts w:hint="eastAsia" w:eastAsia="方正仿宋_GBK" w:cs="Times New Roman"/>
          <w:color w:val="000000" w:themeColor="text1"/>
          <w:sz w:val="32"/>
          <w:szCs w:val="32"/>
          <w:lang w:val="en-US" w:eastAsia="zh-CN"/>
          <w14:textFill>
            <w14:solidFill>
              <w14:schemeClr w14:val="tx1"/>
            </w14:solidFill>
          </w14:textFill>
        </w:rPr>
        <w:t>提供</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、创业辅导等配套。对经认定的</w:t>
      </w:r>
      <w:r>
        <w:rPr>
          <w:rFonts w:hint="eastAsia" w:eastAsia="方正仿宋_GBK" w:cs="Times New Roman"/>
          <w:color w:val="000000" w:themeColor="text1"/>
          <w:sz w:val="32"/>
          <w:szCs w:val="32"/>
          <w:lang w:val="en-US" w:eastAsia="zh-CN"/>
          <w14:textFill>
            <w14:solidFill>
              <w14:schemeClr w14:val="tx1"/>
            </w14:solidFill>
          </w14:textFill>
        </w:rPr>
        <w:t>创业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社区运营主体，按年度运营成本的40%给予补助，单个社区每年补助最高不超过</w:t>
      </w:r>
      <w:r>
        <w:rPr>
          <w:rFonts w:hint="eastAsia" w:eastAsia="方正仿宋_GBK" w:cs="Times New Roman"/>
          <w:color w:val="000000" w:themeColor="text1"/>
          <w:sz w:val="32"/>
          <w:szCs w:val="32"/>
          <w:lang w:val="en-US" w:eastAsia="zh-CN"/>
          <w14:textFill>
            <w14:solidFill>
              <w14:schemeClr w14:val="tx1"/>
            </w14:solidFill>
          </w14:textFill>
        </w:rPr>
        <w:t>25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万元，连续补助3年。</w:t>
      </w:r>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〔牵头单位：市数据局；配合单位：高新区管委会、各产业园区〕</w:t>
      </w:r>
    </w:p>
    <w:p>
      <w:pPr>
        <w:keepNext w:val="0"/>
        <w:keepLines w:val="0"/>
        <w:pageBreakBefore w:val="0"/>
        <w:widowControl/>
        <w:suppressLineNumbers w:val="0"/>
        <w:kinsoku/>
        <w:wordWrap/>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十八</w:t>
      </w: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扶持高端人才引育。</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支持人工智能</w:t>
      </w:r>
      <w:r>
        <w:rPr>
          <w:rFonts w:hint="eastAsia" w:eastAsia="方正仿宋_GBK" w:cs="Times New Roman"/>
          <w:b w:val="0"/>
          <w:color w:val="000000" w:themeColor="text1"/>
          <w:kern w:val="0"/>
          <w:sz w:val="32"/>
          <w:szCs w:val="32"/>
          <w:lang w:val="en-US" w:eastAsia="zh-CN" w:bidi="ar"/>
          <w14:textFill>
            <w14:solidFill>
              <w14:schemeClr w14:val="tx1"/>
            </w14:solidFill>
          </w14:textFill>
        </w:rPr>
        <w:t>产业链</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企业引进和培育高端人才，对符合条件的创新创业团队、领军人才，按《玉溪市</w:t>
      </w:r>
      <w:r>
        <w:rPr>
          <w:rFonts w:hint="eastAsia" w:eastAsia="方正仿宋_GBK" w:cs="Times New Roman"/>
          <w:b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兴玉产业领军人才</w:t>
      </w:r>
      <w:r>
        <w:rPr>
          <w:rFonts w:hint="eastAsia" w:eastAsia="方正仿宋_GBK" w:cs="Times New Roman"/>
          <w:b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专项实施细则》（玉党人才办〔2025〕12号）等相关人才政策给予扶持。涉及高技能人才培训、专利补贴等相关内容，同步衔接《玉溪市贯彻落实云南省加强新时代高技能人才队伍建设实施意见的若干措施》等市级配套政策执行。</w:t>
      </w:r>
      <w:bookmarkStart w:id="4" w:name="OLE_LINK4"/>
      <w:r>
        <w:rPr>
          <w:rFonts w:hint="default" w:ascii="Times New Roman" w:hAnsi="Times New Roman" w:eastAsia="方正楷体_GBK" w:cs="Times New Roman"/>
          <w:b w:val="0"/>
          <w:bCs/>
          <w:color w:val="000000" w:themeColor="text1"/>
          <w:kern w:val="0"/>
          <w:sz w:val="32"/>
          <w:szCs w:val="32"/>
          <w:lang w:val="en-US" w:eastAsia="zh-CN" w:bidi="ar"/>
          <w14:textFill>
            <w14:solidFill>
              <w14:schemeClr w14:val="tx1"/>
            </w14:solidFill>
          </w14:textFill>
        </w:rPr>
        <w:t>〔牵头单位：市委组织部；配合单位：市人力资源和社会保障局〕</w:t>
      </w:r>
      <w:bookmarkEnd w:id="4"/>
    </w:p>
    <w:p>
      <w:pPr>
        <w:pStyle w:val="3"/>
        <w:keepNext w:val="0"/>
        <w:keepLines w:val="0"/>
        <w:pageBreakBefore w:val="0"/>
        <w:widowControl/>
        <w:suppressLineNumbers w:val="0"/>
        <w:kinsoku/>
        <w:wordWrap/>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黑体_GBK" w:cs="Times New Roman"/>
          <w:b w:val="0"/>
          <w:color w:val="000000" w:themeColor="text1"/>
          <w:kern w:val="0"/>
          <w:sz w:val="32"/>
          <w:szCs w:val="32"/>
          <w:lang w:val="en-US" w:eastAsia="zh-CN"/>
          <w14:textFill>
            <w14:solidFill>
              <w14:schemeClr w14:val="tx1"/>
            </w14:solidFill>
          </w14:textFill>
        </w:rPr>
      </w:pPr>
      <w:r>
        <w:rPr>
          <w:rFonts w:hint="eastAsia" w:ascii="Times New Roman" w:hAnsi="Times New Roman" w:eastAsia="方正黑体_GBK" w:cs="Times New Roman"/>
          <w:b w:val="0"/>
          <w:color w:val="000000" w:themeColor="text1"/>
          <w:kern w:val="0"/>
          <w:sz w:val="32"/>
          <w:szCs w:val="32"/>
          <w:lang w:val="en-US" w:eastAsia="zh-CN"/>
          <w14:textFill>
            <w14:solidFill>
              <w14:schemeClr w14:val="tx1"/>
            </w14:solidFill>
          </w14:textFill>
        </w:rPr>
        <w:t>九</w:t>
      </w:r>
      <w:r>
        <w:rPr>
          <w:rFonts w:hint="default" w:ascii="Times New Roman" w:hAnsi="Times New Roman" w:eastAsia="方正黑体_GBK" w:cs="Times New Roman"/>
          <w:b w:val="0"/>
          <w:color w:val="000000" w:themeColor="text1"/>
          <w:kern w:val="0"/>
          <w:sz w:val="32"/>
          <w:szCs w:val="32"/>
          <w:lang w:val="en-US" w:eastAsia="zh-CN"/>
          <w14:textFill>
            <w14:solidFill>
              <w14:schemeClr w14:val="tx1"/>
            </w14:solidFill>
          </w14:textFill>
        </w:rPr>
        <w:t>、附则</w:t>
      </w:r>
    </w:p>
    <w:p>
      <w:pPr>
        <w:keepNext w:val="0"/>
        <w:keepLines w:val="0"/>
        <w:pageBreakBefore w:val="0"/>
        <w:widowControl/>
        <w:suppressLineNumbers w:val="0"/>
        <w:kinsoku/>
        <w:wordWrap/>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十九</w:t>
      </w: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本措施自印发之日起实施，有效期至2028年12月31日</w:t>
      </w:r>
      <w:r>
        <w:rPr>
          <w:rFonts w:hint="eastAsia"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由市数据局会同相关部门负责解释。</w:t>
      </w:r>
    </w:p>
    <w:p>
      <w:pPr>
        <w:keepNext w:val="0"/>
        <w:keepLines w:val="0"/>
        <w:pageBreakBefore w:val="0"/>
        <w:widowControl/>
        <w:suppressLineNumbers w:val="0"/>
        <w:kinsoku/>
        <w:wordWrap/>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（二十）</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本条款所称市场主体</w:t>
      </w:r>
      <w:r>
        <w:rPr>
          <w:rFonts w:hint="eastAsia" w:eastAsia="方正仿宋_GBK" w:cs="Times New Roman"/>
          <w:b w:val="0"/>
          <w:color w:val="000000" w:themeColor="text1"/>
          <w:kern w:val="0"/>
          <w:sz w:val="32"/>
          <w:szCs w:val="32"/>
          <w:lang w:val="en-US" w:eastAsia="zh-CN" w:bidi="ar"/>
          <w14:textFill>
            <w14:solidFill>
              <w14:schemeClr w14:val="tx1"/>
            </w14:solidFill>
          </w14:textFill>
        </w:rPr>
        <w:t>、属地企业</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，是指在本市行政区域内依法登记注册、具有独立法人资格，正常开展生产经营活动的企业、事业单位、新型研发机构及其他从事数据交易活动的法人组织。</w:t>
      </w:r>
    </w:p>
    <w:p>
      <w:pPr>
        <w:keepNext w:val="0"/>
        <w:keepLines w:val="0"/>
        <w:pageBreakBefore w:val="0"/>
        <w:widowControl/>
        <w:suppressLineNumbers w:val="0"/>
        <w:kinsoku/>
        <w:wordWrap/>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（二十</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本措施各项条款的具体操作细则，由各对应牵头单位分别会同市财政局联合制定并发布实施，操作细则须明确各项政策的申请条件、申报材料、办理流程、审核标准、资金兑付时限、绩效核验要求及职责分工等核心内容。本措施所有奖补扶持资金由市财政局结合全市年度财政预算安排及各项政策奖补测算规模，核定年度奖补资金总规模，统一纳入市级年度财政预算管理。市级扶持资金由市财政局统筹安排，严格按照预算管理规定及细则要求保障、拨付，确保资金规范使用、足额保障、落实到位。各牵头单位须于本措施印发之日起30个工作日内完成细则制定，报市数据局备案后实施。</w:t>
      </w:r>
    </w:p>
    <w:p>
      <w:pPr>
        <w:keepNext w:val="0"/>
        <w:keepLines w:val="0"/>
        <w:pageBreakBefore w:val="0"/>
        <w:widowControl/>
        <w:suppressLineNumbers w:val="0"/>
        <w:kinsoku/>
        <w:wordWrap/>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（二十</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二</w:t>
      </w: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同一企业、同一项目同时符合本市其他相关扶持政策规定的，按照</w:t>
      </w:r>
      <w:r>
        <w:rPr>
          <w:rFonts w:hint="eastAsia" w:eastAsia="方正仿宋_GBK" w:cs="Times New Roman"/>
          <w:b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就高不重复享受</w:t>
      </w:r>
      <w:r>
        <w:rPr>
          <w:rFonts w:hint="eastAsia" w:eastAsia="方正仿宋_GBK" w:cs="Times New Roman"/>
          <w:b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方正仿宋_GBK" w:cs="Times New Roman"/>
          <w:b w:val="0"/>
          <w:color w:val="000000" w:themeColor="text1"/>
          <w:kern w:val="0"/>
          <w:sz w:val="32"/>
          <w:szCs w:val="32"/>
          <w:lang w:val="en-US" w:eastAsia="zh-CN" w:bidi="ar"/>
          <w14:textFill>
            <w14:solidFill>
              <w14:schemeClr w14:val="tx1"/>
            </w14:solidFill>
          </w14:textFill>
        </w:rPr>
        <w:t>的原则执行，本市另有明确规定的除外。</w:t>
      </w:r>
    </w:p>
    <w:p>
      <w:pPr>
        <w:pStyle w:val="2"/>
        <w:rPr>
          <w:rFonts w:hint="eastAsia"/>
          <w:lang w:val="en-US" w:eastAsia="zh-CN"/>
        </w:rPr>
      </w:pPr>
    </w:p>
    <w:sectPr>
      <w:footerReference r:id="rId3" w:type="default"/>
      <w:pgSz w:w="11905" w:h="16840"/>
      <w:pgMar w:top="2041" w:right="1474" w:bottom="1304" w:left="1587" w:header="720" w:footer="119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E45E7"/>
    <w:rsid w:val="002D23AA"/>
    <w:rsid w:val="01C81E05"/>
    <w:rsid w:val="02B439FF"/>
    <w:rsid w:val="02D332A1"/>
    <w:rsid w:val="06374AB2"/>
    <w:rsid w:val="064643DB"/>
    <w:rsid w:val="08306686"/>
    <w:rsid w:val="086929B5"/>
    <w:rsid w:val="09CD4790"/>
    <w:rsid w:val="0AF310F0"/>
    <w:rsid w:val="0D84060E"/>
    <w:rsid w:val="0DE53C72"/>
    <w:rsid w:val="0DE60E7C"/>
    <w:rsid w:val="0EA24629"/>
    <w:rsid w:val="10783684"/>
    <w:rsid w:val="112321B3"/>
    <w:rsid w:val="11675BED"/>
    <w:rsid w:val="13BB68DD"/>
    <w:rsid w:val="13C01E8F"/>
    <w:rsid w:val="15821C18"/>
    <w:rsid w:val="16C430DB"/>
    <w:rsid w:val="16C44303"/>
    <w:rsid w:val="18200461"/>
    <w:rsid w:val="18296735"/>
    <w:rsid w:val="1A385D9E"/>
    <w:rsid w:val="1B1C0793"/>
    <w:rsid w:val="1B256ABF"/>
    <w:rsid w:val="1BF514D2"/>
    <w:rsid w:val="1D161F30"/>
    <w:rsid w:val="1DCF7340"/>
    <w:rsid w:val="1F751F6C"/>
    <w:rsid w:val="1FF775BA"/>
    <w:rsid w:val="20A17EEF"/>
    <w:rsid w:val="23CB227B"/>
    <w:rsid w:val="253717E4"/>
    <w:rsid w:val="254C5A43"/>
    <w:rsid w:val="26021E18"/>
    <w:rsid w:val="288830BF"/>
    <w:rsid w:val="28BC1569"/>
    <w:rsid w:val="28EE24FF"/>
    <w:rsid w:val="28F47396"/>
    <w:rsid w:val="29FA474F"/>
    <w:rsid w:val="2AD96270"/>
    <w:rsid w:val="2B076179"/>
    <w:rsid w:val="2BFA1AB2"/>
    <w:rsid w:val="2CCA0DFC"/>
    <w:rsid w:val="2E4A5A66"/>
    <w:rsid w:val="2FE03D53"/>
    <w:rsid w:val="315E4CB7"/>
    <w:rsid w:val="36083681"/>
    <w:rsid w:val="3706331F"/>
    <w:rsid w:val="381B7445"/>
    <w:rsid w:val="39AD54C4"/>
    <w:rsid w:val="39B54DE8"/>
    <w:rsid w:val="39F207DD"/>
    <w:rsid w:val="3BAA6906"/>
    <w:rsid w:val="3C5F6FBC"/>
    <w:rsid w:val="3CA456D4"/>
    <w:rsid w:val="3F8D6EFF"/>
    <w:rsid w:val="40ED3D34"/>
    <w:rsid w:val="410C3FA8"/>
    <w:rsid w:val="41467EF1"/>
    <w:rsid w:val="42A92AEA"/>
    <w:rsid w:val="45750A8F"/>
    <w:rsid w:val="45FC72D5"/>
    <w:rsid w:val="461C5A12"/>
    <w:rsid w:val="462D1F69"/>
    <w:rsid w:val="46FC1282"/>
    <w:rsid w:val="49C05854"/>
    <w:rsid w:val="4D85B0F7"/>
    <w:rsid w:val="4E151E5A"/>
    <w:rsid w:val="4E6B7395"/>
    <w:rsid w:val="4EFA443F"/>
    <w:rsid w:val="4F9071D6"/>
    <w:rsid w:val="503820C4"/>
    <w:rsid w:val="513614BF"/>
    <w:rsid w:val="52D62C52"/>
    <w:rsid w:val="532C1F90"/>
    <w:rsid w:val="53740362"/>
    <w:rsid w:val="560D43FB"/>
    <w:rsid w:val="56706C82"/>
    <w:rsid w:val="58484CE8"/>
    <w:rsid w:val="59960CD1"/>
    <w:rsid w:val="59D07815"/>
    <w:rsid w:val="59D52EB0"/>
    <w:rsid w:val="5A942E1B"/>
    <w:rsid w:val="5BB97151"/>
    <w:rsid w:val="5C072C89"/>
    <w:rsid w:val="5CBE4BC6"/>
    <w:rsid w:val="5E4A34CE"/>
    <w:rsid w:val="5F041BD2"/>
    <w:rsid w:val="615B690C"/>
    <w:rsid w:val="636A5E9B"/>
    <w:rsid w:val="63A845B7"/>
    <w:rsid w:val="662A615F"/>
    <w:rsid w:val="66E315DD"/>
    <w:rsid w:val="66F74C22"/>
    <w:rsid w:val="671E2403"/>
    <w:rsid w:val="698A3AB5"/>
    <w:rsid w:val="6B6506EA"/>
    <w:rsid w:val="6B7F86F6"/>
    <w:rsid w:val="6BDB1A37"/>
    <w:rsid w:val="6E5A4716"/>
    <w:rsid w:val="6EBC7FAC"/>
    <w:rsid w:val="6F9D7D3F"/>
    <w:rsid w:val="72F775F0"/>
    <w:rsid w:val="75391AEB"/>
    <w:rsid w:val="77B5577D"/>
    <w:rsid w:val="77D97B65"/>
    <w:rsid w:val="78335681"/>
    <w:rsid w:val="7A7E4484"/>
    <w:rsid w:val="7BCD29C9"/>
    <w:rsid w:val="7CA5456A"/>
    <w:rsid w:val="7EE76FF6"/>
    <w:rsid w:val="7F242A9B"/>
    <w:rsid w:val="BCA5035B"/>
    <w:rsid w:val="CDD366C9"/>
    <w:rsid w:val="DEDEEDD6"/>
    <w:rsid w:val="F36D84C3"/>
    <w:rsid w:val="FBFB7C22"/>
    <w:rsid w:val="FBFE8483"/>
    <w:rsid w:val="FD9A5628"/>
    <w:rsid w:val="FDC37EAB"/>
    <w:rsid w:val="FFF425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5">
    <w:name w:val="Body Text"/>
    <w:basedOn w:val="1"/>
    <w:qFormat/>
    <w:uiPriority w:val="0"/>
    <w:rPr>
      <w:rFonts w:eastAsia="文星仿宋"/>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14</TotalTime>
  <ScaleCrop>false</ScaleCrop>
  <LinksUpToDate>false</LinksUpToDate>
  <Application>WPS Office_11.8.2.8875_F1E327BC-269C-435d-A152-05C5408002CA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2026-01-09T19:50:00Z</dcterms:created>
  <dc:creator>Apache POI</dc:creator>
  <cp:lastModifiedBy>akino野</cp:lastModifiedBy>
  <cp:lastPrinted>2026-02-24T02:07:00Z</cp:lastPrinted>
  <dcterms:modified xsi:type="dcterms:W3CDTF">2026-02-27T03:52:45Z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E7307C0C5CDD4F4DA40D10661F375DE0</vt:lpwstr>
  </property>
</Properties>
</file>