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F4CBE">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建筑起重机械使用登记（设区的市级权限）（注销）</w:t>
      </w:r>
    </w:p>
    <w:p w14:paraId="68B63930">
      <w:pPr>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rPr>
        <w:t>【00011714100202】</w:t>
      </w:r>
    </w:p>
    <w:p w14:paraId="735EAED8">
      <w:pPr>
        <w:numPr>
          <w:ilvl w:val="0"/>
          <w:numId w:val="1"/>
        </w:num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基本要素</w:t>
      </w:r>
    </w:p>
    <w:p w14:paraId="7AA38220">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行政许可事项名称</w:t>
      </w:r>
      <w:r>
        <w:rPr>
          <w:rFonts w:hint="eastAsia" w:ascii="Times New Roman" w:hAnsi="Times New Roman" w:eastAsia="仿宋GB2312"/>
          <w:b/>
          <w:bCs/>
          <w:color w:val="auto"/>
          <w:sz w:val="28"/>
          <w:szCs w:val="28"/>
          <w:highlight w:val="none"/>
        </w:rPr>
        <w:t>及编码</w:t>
      </w:r>
    </w:p>
    <w:p w14:paraId="07085C7F">
      <w:pPr>
        <w:spacing w:line="360" w:lineRule="auto"/>
        <w:ind w:firstLine="560" w:firstLineChars="200"/>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建筑起重机械使用登记【00011714100Y】</w:t>
      </w:r>
    </w:p>
    <w:p w14:paraId="7C2725D1">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行政许可</w:t>
      </w:r>
      <w:r>
        <w:rPr>
          <w:rFonts w:hint="eastAsia" w:ascii="Times New Roman" w:hAnsi="Times New Roman" w:eastAsia="仿宋GB2312"/>
          <w:b/>
          <w:bCs/>
          <w:color w:val="auto"/>
          <w:sz w:val="28"/>
          <w:szCs w:val="28"/>
          <w:highlight w:val="none"/>
        </w:rPr>
        <w:t>事项子项名称及编码</w:t>
      </w:r>
    </w:p>
    <w:p w14:paraId="20C21317">
      <w:pPr>
        <w:spacing w:line="360" w:lineRule="auto"/>
        <w:ind w:firstLine="560" w:firstLineChars="20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建筑起重机械使用登记（设区的市级权限）【000117141002】</w:t>
      </w:r>
    </w:p>
    <w:p w14:paraId="3A2B6073">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3.行政许可事项业务办理项名称及编码</w:t>
      </w:r>
    </w:p>
    <w:p w14:paraId="624ADF81">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建筑起重机械使用登记（设区的市级权限）（注销）(00011714100202)(审核通过)</w:t>
      </w:r>
    </w:p>
    <w:p w14:paraId="5CBC9FCA">
      <w:pPr>
        <w:spacing w:line="360" w:lineRule="auto"/>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4.设定依据</w:t>
      </w:r>
    </w:p>
    <w:p w14:paraId="4F23A0E6">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（1）《中华人民共和国特种设备安全法》第三十三、一百条</w:t>
      </w:r>
    </w:p>
    <w:p w14:paraId="79DB6F6C">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《特种设备安全监察条例》第二十五条</w:t>
      </w:r>
    </w:p>
    <w:p w14:paraId="6D34DFA7">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）《建设工程安全生产管理条例》第三十五条</w:t>
      </w:r>
    </w:p>
    <w:p w14:paraId="6A5DC3C9">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《建筑起重机械安全监督管理规定》第十七条</w:t>
      </w:r>
    </w:p>
    <w:p w14:paraId="54F06E82">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5.实施依据</w:t>
      </w:r>
    </w:p>
    <w:p w14:paraId="75E83989">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w:t>
      </w:r>
      <w:r>
        <w:rPr>
          <w:rFonts w:ascii="方正仿宋_GBK" w:hAnsi="方正仿宋_GBK" w:eastAsia="方正仿宋_GBK" w:cs="方正仿宋_GBK"/>
          <w:color w:val="auto"/>
          <w:sz w:val="28"/>
          <w:szCs w:val="28"/>
          <w:highlight w:val="none"/>
        </w:rPr>
        <w:t>）《建筑起重机械安全监督管理规定》（建设部令第166号）第三、十七条</w:t>
      </w:r>
    </w:p>
    <w:p w14:paraId="2FC8E084">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（2）《云南省人民政府关于调整482项涉及省级行政权力事项的决定》（云政发</w:t>
      </w:r>
      <w:r>
        <w:rPr>
          <w:rFonts w:hint="eastAsia" w:ascii="方正隶书_GBK" w:hAnsi="方正隶书_GBK" w:eastAsia="方正隶书_GBK" w:cs="方正隶书_GBK"/>
          <w:color w:val="auto"/>
          <w:sz w:val="28"/>
          <w:szCs w:val="28"/>
          <w:highlight w:val="none"/>
        </w:rPr>
        <w:t>〔2020〕</w:t>
      </w:r>
      <w:r>
        <w:rPr>
          <w:rFonts w:hint="eastAsia" w:ascii="方正仿宋_GBK" w:hAnsi="方正仿宋_GBK" w:eastAsia="方正仿宋_GBK" w:cs="方正仿宋_GBK"/>
          <w:color w:val="auto"/>
          <w:sz w:val="28"/>
          <w:szCs w:val="28"/>
          <w:highlight w:val="none"/>
        </w:rPr>
        <w:t>16号）第209项</w:t>
      </w:r>
    </w:p>
    <w:p w14:paraId="10E1E516">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p>
    <w:p w14:paraId="6507DA3F">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6.监管依据</w:t>
      </w:r>
    </w:p>
    <w:p w14:paraId="329C62CA">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（1）《中华人民共和国特种设备安全法》第八十三条</w:t>
      </w:r>
    </w:p>
    <w:p w14:paraId="1933BC1D">
      <w:pPr>
        <w:spacing w:line="540" w:lineRule="exact"/>
        <w:ind w:firstLine="560" w:firstLineChars="200"/>
        <w:outlineLvl w:val="2"/>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（2）《建设工程安全生产管理条例》第六十二条</w:t>
      </w:r>
    </w:p>
    <w:p w14:paraId="422F9A3E">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《建筑起重机械安全监督管理规定》</w:t>
      </w:r>
      <w:r>
        <w:rPr>
          <w:rFonts w:hint="eastAsia" w:ascii="方正仿宋_GBK" w:hAnsi="方正仿宋_GBK" w:eastAsia="方正仿宋_GBK" w:cs="方正仿宋_GBK"/>
          <w:color w:val="auto"/>
          <w:sz w:val="28"/>
          <w:szCs w:val="28"/>
          <w:highlight w:val="none"/>
          <w:lang w:eastAsia="zh-CN"/>
        </w:rPr>
        <w:t>第三条、第十七条</w:t>
      </w:r>
    </w:p>
    <w:p w14:paraId="25462DA3">
      <w:pPr>
        <w:spacing w:line="600" w:lineRule="exact"/>
        <w:ind w:firstLine="562" w:firstLineChars="200"/>
        <w:rPr>
          <w:rFonts w:hint="eastAsia" w:ascii="Times New Roman" w:hAnsi="Times New Roman" w:eastAsia="仿宋GB2312"/>
          <w:color w:val="auto"/>
          <w:sz w:val="28"/>
          <w:szCs w:val="28"/>
          <w:highlight w:val="none"/>
          <w:lang w:eastAsia="zh-CN"/>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实施机关</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玉溪市住房和城乡建设局</w:t>
      </w:r>
    </w:p>
    <w:p w14:paraId="64C991D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审批层级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设区的市级</w:t>
      </w:r>
    </w:p>
    <w:p w14:paraId="0518AC25">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9.行使</w:t>
      </w:r>
      <w:r>
        <w:rPr>
          <w:rFonts w:ascii="Times New Roman" w:hAnsi="Times New Roman" w:eastAsia="仿宋GB2312"/>
          <w:b/>
          <w:bCs/>
          <w:color w:val="auto"/>
          <w:sz w:val="28"/>
          <w:szCs w:val="28"/>
          <w:highlight w:val="none"/>
        </w:rPr>
        <w:t>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市级/隶属</w:t>
      </w:r>
    </w:p>
    <w:p w14:paraId="427AC112">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是否由审批机关受理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是</w:t>
      </w:r>
    </w:p>
    <w:p w14:paraId="06859E5C">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11.</w:t>
      </w:r>
      <w:r>
        <w:rPr>
          <w:rFonts w:ascii="Times New Roman" w:hAnsi="Times New Roman" w:eastAsia="仿宋GB2312"/>
          <w:b/>
          <w:bCs/>
          <w:color w:val="auto"/>
          <w:sz w:val="28"/>
          <w:szCs w:val="28"/>
          <w:highlight w:val="none"/>
        </w:rPr>
        <w:t>受理层级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设区的市级</w:t>
      </w:r>
    </w:p>
    <w:p w14:paraId="02DF08FA">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12.</w:t>
      </w:r>
      <w:r>
        <w:rPr>
          <w:rFonts w:ascii="Times New Roman" w:hAnsi="Times New Roman" w:eastAsia="仿宋GB2312"/>
          <w:b/>
          <w:bCs/>
          <w:color w:val="auto"/>
          <w:sz w:val="28"/>
          <w:szCs w:val="28"/>
          <w:highlight w:val="none"/>
        </w:rPr>
        <w:t>是否存在初审环节</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60E7CEF7">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13.</w:t>
      </w:r>
      <w:r>
        <w:rPr>
          <w:rFonts w:ascii="Times New Roman" w:hAnsi="Times New Roman" w:eastAsia="仿宋GB2312"/>
          <w:b/>
          <w:bCs/>
          <w:color w:val="auto"/>
          <w:sz w:val="28"/>
          <w:szCs w:val="28"/>
          <w:highlight w:val="none"/>
        </w:rPr>
        <w:t>初审层级</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0985469C">
      <w:pPr>
        <w:spacing w:line="600" w:lineRule="exact"/>
        <w:ind w:firstLine="562" w:firstLineChars="200"/>
        <w:jc w:val="left"/>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14.</w:t>
      </w:r>
      <w:r>
        <w:rPr>
          <w:rFonts w:ascii="Times New Roman" w:hAnsi="Times New Roman" w:eastAsia="仿宋GB2312"/>
          <w:b/>
          <w:bCs/>
          <w:color w:val="auto"/>
          <w:sz w:val="28"/>
          <w:szCs w:val="28"/>
          <w:highlight w:val="none"/>
        </w:rPr>
        <w:t>对应政务服务事项国家级基本目录名称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建筑起重机械使用登记</w:t>
      </w:r>
    </w:p>
    <w:p w14:paraId="7DBBCCB8">
      <w:pPr>
        <w:numPr>
          <w:ilvl w:val="0"/>
          <w:numId w:val="1"/>
        </w:num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行政许可事项类型</w:t>
      </w:r>
    </w:p>
    <w:p w14:paraId="3BBD11A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条件型</w:t>
      </w:r>
    </w:p>
    <w:p w14:paraId="52CB4658">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行政许可条件</w:t>
      </w:r>
    </w:p>
    <w:p w14:paraId="0AF0E21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1.准予行政许可的条件</w:t>
      </w:r>
    </w:p>
    <w:p w14:paraId="0024A262">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（1）按规定办理使用登记；</w:t>
      </w:r>
    </w:p>
    <w:p w14:paraId="374EB85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（2）按规定办理拆除告知手续。</w:t>
      </w:r>
    </w:p>
    <w:p w14:paraId="4D92A814">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规定行政许可条件的依据</w:t>
      </w:r>
    </w:p>
    <w:p w14:paraId="31EAC0A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（1）《建筑起重机械安全监督管理规定》（建设部令第166号）第六、七、十六、十七条第六条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14:paraId="4B94CBB8">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14:paraId="0527F65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14:paraId="398B12E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17A8783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w:t>
      </w:r>
      <w:r>
        <w:rPr>
          <w:rFonts w:ascii="方正仿宋_GBK" w:hAnsi="方正仿宋_GBK" w:eastAsia="方正仿宋_GBK" w:cs="方正仿宋_GBK"/>
          <w:color w:val="auto"/>
          <w:sz w:val="28"/>
          <w:szCs w:val="28"/>
          <w:highlight w:val="none"/>
        </w:rPr>
        <w:t>《建筑起重机械备案登记办法》（建质〔2008〕76号）</w:t>
      </w:r>
      <w:r>
        <w:rPr>
          <w:rFonts w:ascii="方正仿宋_GBK" w:hAnsi="方正仿宋_GBK" w:eastAsia="方正仿宋_GBK" w:cs="方正仿宋_GBK"/>
          <w:color w:val="auto"/>
          <w:sz w:val="28"/>
          <w:szCs w:val="28"/>
          <w:highlight w:val="none"/>
        </w:rPr>
        <w:t>第十四、十五、十六、十七、十八条第十四条　建筑起重机械使用单位在建筑起重机械安装验收合格之日起30日内，向工程所在地县级以上地方人民政府建设主管部门（以下简称“使用登记机关”）办理使用登记。</w:t>
      </w:r>
    </w:p>
    <w:p w14:paraId="5BA9FBF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078536A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1586AB8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30A7517C">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0B78080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238E5C4D">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2CCCA53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7C8D67D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5CF02FB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5121F3F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第十七条　有下列情形之一的建筑起重机械，使用登记机关不予使用登记并有权责令使用单位立即停止使用或者拆除：</w:t>
      </w:r>
    </w:p>
    <w:p w14:paraId="05A5C7A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（一）属于本办法第八条情形之一的；</w:t>
      </w:r>
    </w:p>
    <w:p w14:paraId="4F1B38D6">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（二）未经检验检测或者经检验检测不合格的；</w:t>
      </w:r>
    </w:p>
    <w:p w14:paraId="5B59233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（三）未经安装验收或者经安装验收不合格的。</w:t>
      </w:r>
    </w:p>
    <w:p w14:paraId="758BEF7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06411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11F6C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510B2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24A05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0EF75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752C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51F98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1B3F4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65A30AD1">
      <w:pPr>
        <w:spacing w:line="540" w:lineRule="exact"/>
        <w:ind w:firstLine="560" w:firstLineChars="200"/>
        <w:outlineLvl w:val="1"/>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453163CB">
      <w:pPr>
        <w:numPr>
          <w:ilvl w:val="0"/>
          <w:numId w:val="1"/>
        </w:numPr>
        <w:spacing w:line="540" w:lineRule="exact"/>
        <w:outlineLvl w:val="1"/>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行政许可服务对象类型</w:t>
      </w:r>
      <w:r>
        <w:rPr>
          <w:rFonts w:hint="eastAsia" w:ascii="Times New Roman" w:hAnsi="Times New Roman" w:eastAsia="黑体"/>
          <w:color w:val="auto"/>
          <w:sz w:val="28"/>
          <w:szCs w:val="28"/>
          <w:highlight w:val="none"/>
        </w:rPr>
        <w:t>与改革举措</w:t>
      </w:r>
    </w:p>
    <w:p w14:paraId="4FFE1A90">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1.服务对象类型：</w:t>
      </w:r>
      <w:r>
        <w:rPr>
          <w:rFonts w:ascii="方正仿宋_GBK" w:hAnsi="方正仿宋_GBK" w:eastAsia="方正仿宋_GBK" w:cs="方正仿宋_GBK"/>
          <w:color w:val="auto"/>
          <w:sz w:val="28"/>
          <w:szCs w:val="28"/>
          <w:highlight w:val="none"/>
        </w:rPr>
        <w:t>企业法人</w:t>
      </w:r>
    </w:p>
    <w:p w14:paraId="4A750C9C">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2.是否为涉企许可事项：</w:t>
      </w:r>
      <w:r>
        <w:rPr>
          <w:rFonts w:ascii="方正仿宋_GBK" w:hAnsi="方正仿宋_GBK" w:eastAsia="方正仿宋_GBK" w:cs="方正仿宋_GBK"/>
          <w:color w:val="auto"/>
          <w:sz w:val="28"/>
          <w:szCs w:val="28"/>
          <w:highlight w:val="none"/>
        </w:rPr>
        <w:t>否</w:t>
      </w:r>
    </w:p>
    <w:p w14:paraId="421342B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3.涉企经营许可事项名称：</w:t>
      </w:r>
      <w:r>
        <w:rPr>
          <w:rFonts w:ascii="方正仿宋_GBK" w:hAnsi="方正仿宋_GBK" w:eastAsia="方正仿宋_GBK" w:cs="方正仿宋_GBK"/>
          <w:color w:val="auto"/>
          <w:sz w:val="28"/>
          <w:szCs w:val="28"/>
          <w:highlight w:val="none"/>
        </w:rPr>
        <w:t>无</w:t>
      </w:r>
    </w:p>
    <w:p w14:paraId="27A35E9E">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4.许可证件名称：</w:t>
      </w:r>
      <w:r>
        <w:rPr>
          <w:rFonts w:ascii="方正仿宋_GBK" w:hAnsi="方正仿宋_GBK" w:eastAsia="方正仿宋_GBK" w:cs="方正仿宋_GBK"/>
          <w:color w:val="auto"/>
          <w:sz w:val="28"/>
          <w:szCs w:val="28"/>
          <w:highlight w:val="none"/>
        </w:rPr>
        <w:t>无</w:t>
      </w:r>
    </w:p>
    <w:p w14:paraId="2B01E7C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5.改革方式：</w:t>
      </w:r>
      <w:r>
        <w:rPr>
          <w:rFonts w:ascii="方正仿宋_GBK" w:hAnsi="方正仿宋_GBK" w:eastAsia="方正仿宋_GBK" w:cs="方正仿宋_GBK"/>
          <w:color w:val="auto"/>
          <w:sz w:val="28"/>
          <w:szCs w:val="28"/>
          <w:highlight w:val="none"/>
        </w:rPr>
        <w:t>无</w:t>
      </w:r>
    </w:p>
    <w:p w14:paraId="0A509BCF">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6.具体改革举措</w:t>
      </w:r>
    </w:p>
    <w:p w14:paraId="2BFA33DF">
      <w:pPr>
        <w:spacing w:line="600" w:lineRule="exact"/>
        <w:ind w:firstLine="560" w:firstLineChars="200"/>
        <w:rPr>
          <w:rFonts w:ascii="方正仿宋_GBK" w:hAnsi="方正仿宋_GBK" w:eastAsia="方正仿宋_GBK" w:cs="方正仿宋_GBK"/>
          <w:strike/>
          <w:dstrike w:val="0"/>
          <w:color w:val="auto"/>
          <w:sz w:val="28"/>
          <w:szCs w:val="28"/>
          <w:highlight w:val="none"/>
        </w:rPr>
      </w:pPr>
      <w:r>
        <w:rPr>
          <w:rFonts w:ascii="方正仿宋_GBK" w:hAnsi="方正仿宋_GBK" w:eastAsia="方正仿宋_GBK" w:cs="方正仿宋_GBK"/>
          <w:color w:val="auto"/>
          <w:sz w:val="28"/>
          <w:szCs w:val="28"/>
          <w:highlight w:val="none"/>
        </w:rPr>
        <w:t>督促各地住房和城乡建设部门进一步优化审批服务，强化建筑起重机械管理的信息化支撑和网上办理服务，在建筑起重机械使用登记等方面为企业提供更多便利。</w:t>
      </w:r>
    </w:p>
    <w:p w14:paraId="1C1B041B">
      <w:pPr>
        <w:spacing w:line="54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7.加强事中事后监管措施</w:t>
      </w:r>
    </w:p>
    <w:p w14:paraId="14E67A49">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1.健全管控体系。认真落实</w:t>
      </w:r>
      <w:r>
        <w:rPr>
          <w:rFonts w:ascii="方正仿宋_GBK" w:hAnsi="方正仿宋_GBK" w:eastAsia="方正仿宋_GBK" w:cs="方正仿宋_GBK"/>
          <w:color w:val="auto"/>
          <w:sz w:val="28"/>
          <w:szCs w:val="28"/>
          <w:highlight w:val="none"/>
        </w:rPr>
        <w:t>《危险性较大的分部分项工程安全管理规定》（住房和城乡建设部令第37号），严格要求工程参建单位建立健全危大工程安全管控体系，加强对建筑起重机械安装、顶升、拆卸等环节的管理，编制专项施工方案，开展专家论证工作。2.开展安全隐患排查。严格按照</w:t>
      </w:r>
      <w:r>
        <w:rPr>
          <w:rFonts w:ascii="方正仿宋_GBK" w:hAnsi="方正仿宋_GBK" w:eastAsia="方正仿宋_GBK" w:cs="方正仿宋_GBK"/>
          <w:color w:val="auto"/>
          <w:sz w:val="28"/>
          <w:szCs w:val="28"/>
          <w:highlight w:val="none"/>
        </w:rPr>
        <w:t>《房屋市政工程生产安全重大事故隐患判定标准（202</w:t>
      </w:r>
      <w:r>
        <w:rPr>
          <w:rFonts w:hint="eastAsia" w:ascii="方正仿宋_GBK" w:hAnsi="方正仿宋_GBK" w:eastAsia="方正仿宋_GBK" w:cs="方正仿宋_GBK"/>
          <w:color w:val="auto"/>
          <w:sz w:val="28"/>
          <w:szCs w:val="28"/>
          <w:highlight w:val="none"/>
          <w:lang w:val="en-US" w:eastAsia="zh-CN"/>
        </w:rPr>
        <w:t>4</w:t>
      </w:r>
      <w:r>
        <w:rPr>
          <w:rFonts w:ascii="方正仿宋_GBK" w:hAnsi="方正仿宋_GBK" w:eastAsia="方正仿宋_GBK" w:cs="方正仿宋_GBK"/>
          <w:color w:val="auto"/>
          <w:sz w:val="28"/>
          <w:szCs w:val="28"/>
          <w:highlight w:val="none"/>
        </w:rPr>
        <w:t>版）》（建质规〔20</w:t>
      </w:r>
      <w:r>
        <w:rPr>
          <w:rFonts w:hint="eastAsia" w:ascii="方正仿宋_GBK" w:hAnsi="方正仿宋_GBK" w:eastAsia="方正仿宋_GBK" w:cs="方正仿宋_GBK"/>
          <w:color w:val="auto"/>
          <w:sz w:val="28"/>
          <w:szCs w:val="28"/>
          <w:highlight w:val="none"/>
          <w:lang w:val="en-US" w:eastAsia="zh-CN"/>
        </w:rPr>
        <w:t>24</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ascii="方正仿宋_GBK" w:hAnsi="方正仿宋_GBK" w:eastAsia="方正仿宋_GBK" w:cs="方正仿宋_GBK"/>
          <w:color w:val="auto"/>
          <w:sz w:val="28"/>
          <w:szCs w:val="28"/>
          <w:highlight w:val="none"/>
        </w:rPr>
        <w:t>号</w:t>
      </w:r>
      <w:r>
        <w:rPr>
          <w:rFonts w:ascii="方正仿宋_GBK" w:hAnsi="方正仿宋_GBK" w:eastAsia="方正仿宋_GBK" w:cs="方正仿宋_GBK"/>
          <w:color w:val="auto"/>
          <w:sz w:val="28"/>
          <w:szCs w:val="28"/>
          <w:highlight w:val="none"/>
        </w:rPr>
        <w:t>）</w:t>
      </w:r>
      <w:r>
        <w:rPr>
          <w:rFonts w:ascii="方正仿宋_GBK" w:hAnsi="方正仿宋_GBK" w:eastAsia="方正仿宋_GBK" w:cs="方正仿宋_GBK"/>
          <w:color w:val="auto"/>
          <w:sz w:val="28"/>
          <w:szCs w:val="28"/>
          <w:highlight w:val="none"/>
        </w:rPr>
        <w:t>，突出建筑起重机械等危大工程和高危环节，“逐企业、逐项目、逐设备”精准排查各类重大隐患。3.狠抓隐患整改。对重大事故隐患进行挂牌督办，实现闭环管理，逐项跟踪整改落实。对拒绝整改或拖延整改的企业和人员，依法依规整顿，确保整改到位。</w:t>
      </w:r>
    </w:p>
    <w:p w14:paraId="6A585EA4">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申请材料</w:t>
      </w:r>
    </w:p>
    <w:p w14:paraId="1690F7CB">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1.申请材料名称</w:t>
      </w:r>
    </w:p>
    <w:p w14:paraId="4364DC8E">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）办理建筑起重机械拆卸告知手续时所需的材料；</w:t>
      </w:r>
    </w:p>
    <w:p w14:paraId="5CC126DB">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）使用登记机关规定的其他资料。</w:t>
      </w:r>
    </w:p>
    <w:p w14:paraId="5F13104C">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规定申请材料的依据</w:t>
      </w:r>
    </w:p>
    <w:p w14:paraId="2E6D5016">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w:t>
      </w:r>
      <w:bookmarkStart w:id="0" w:name="_GoBack"/>
      <w:bookmarkEnd w:id="0"/>
      <w:r>
        <w:rPr>
          <w:rFonts w:hint="eastAsia" w:ascii="方正仿宋_GBK" w:hAnsi="方正仿宋_GBK" w:eastAsia="方正仿宋_GBK" w:cs="方正仿宋_GBK"/>
          <w:color w:val="auto"/>
          <w:sz w:val="28"/>
          <w:szCs w:val="28"/>
          <w:highlight w:val="none"/>
        </w:rPr>
        <w:t>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513B0EB7">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（2）《建筑起重机械登记备案办法》（建质〔2008〕76号通知）第十八条使用登记机关应当在安装单位办理建筑起重机械拆卸告知手续时，注销建筑起重机械使用登记证明。</w:t>
      </w:r>
    </w:p>
    <w:p w14:paraId="6F8CB6D4">
      <w:pPr>
        <w:spacing w:line="540" w:lineRule="exact"/>
        <w:ind w:firstLine="560" w:firstLineChars="20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48E8F467">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中介服务</w:t>
      </w:r>
    </w:p>
    <w:p w14:paraId="79EEC0F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1.有无法定中介服务事项：</w:t>
      </w:r>
      <w:r>
        <w:rPr>
          <w:rFonts w:ascii="方正仿宋_GBK" w:hAnsi="方正仿宋_GBK" w:eastAsia="方正仿宋_GBK" w:cs="方正仿宋_GBK"/>
          <w:color w:val="auto"/>
          <w:sz w:val="28"/>
          <w:szCs w:val="28"/>
          <w:highlight w:val="none"/>
        </w:rPr>
        <w:t>无</w:t>
      </w:r>
    </w:p>
    <w:p w14:paraId="072F7394">
      <w:pPr>
        <w:spacing w:line="600" w:lineRule="exact"/>
        <w:ind w:firstLine="562" w:firstLineChars="200"/>
        <w:rPr>
          <w:rFonts w:ascii="方正仿宋_GBK" w:hAnsi="方正仿宋_GBK" w:eastAsia="方正仿宋_GBK" w:cs="方正仿宋_GBK"/>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中介服务事项名称</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01BEC424">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设定中介服务事项的依据</w:t>
      </w:r>
    </w:p>
    <w:p w14:paraId="7CFCF303">
      <w:pPr>
        <w:spacing w:line="600" w:lineRule="exact"/>
        <w:ind w:firstLine="560" w:firstLineChars="200"/>
        <w:rPr>
          <w:rFonts w:ascii="Times New Roman" w:hAnsi="Times New Roman" w:eastAsia="仿宋GB2312"/>
          <w:color w:val="auto"/>
          <w:sz w:val="28"/>
          <w:szCs w:val="28"/>
          <w:highlight w:val="none"/>
        </w:rPr>
      </w:pPr>
      <w:r>
        <w:rPr>
          <w:rFonts w:ascii="方正仿宋_GBK" w:hAnsi="方正仿宋_GBK" w:eastAsia="方正仿宋_GBK" w:cs="方正仿宋_GBK"/>
          <w:color w:val="auto"/>
          <w:sz w:val="28"/>
          <w:szCs w:val="28"/>
          <w:highlight w:val="none"/>
        </w:rPr>
        <w:t>无</w:t>
      </w:r>
    </w:p>
    <w:p w14:paraId="163BA81F">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提供中介服务的机构</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6105A4F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中介服务事项的收费性质</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无</w:t>
      </w:r>
    </w:p>
    <w:p w14:paraId="08BF86C1">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审批程序</w:t>
      </w:r>
    </w:p>
    <w:p w14:paraId="0FF6BE17">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1.办理行政许可的程序环节</w:t>
      </w:r>
    </w:p>
    <w:p w14:paraId="767604CE">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（1）申请</w:t>
      </w:r>
    </w:p>
    <w:p w14:paraId="42F0DD91">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（2）注销</w:t>
      </w:r>
    </w:p>
    <w:p w14:paraId="09BE6B6A">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2.规定行政许可程序的依据</w:t>
      </w:r>
    </w:p>
    <w:p w14:paraId="07FB02D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619CA300">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14:paraId="5331A0A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第十五条　使用单位在办理建筑起重机械使用登记时，应当向使用登记机关提交下列资料：</w:t>
      </w:r>
    </w:p>
    <w:p w14:paraId="6E6B38C3">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（一）建筑起重机械备案证明；</w:t>
      </w:r>
    </w:p>
    <w:p w14:paraId="764AC63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（二）建筑起重机械租赁合同；</w:t>
      </w:r>
    </w:p>
    <w:p w14:paraId="67C5875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（三）建筑起重机械检验检测报告和安装验收资料；</w:t>
      </w:r>
    </w:p>
    <w:p w14:paraId="42812F87">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（四）使用单位特种作业人员资格证书；</w:t>
      </w:r>
    </w:p>
    <w:p w14:paraId="588E486F">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（五）建筑起重机械维护保养等管理制度；</w:t>
      </w:r>
    </w:p>
    <w:p w14:paraId="238107B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（六）建筑起重机械生产安全事故应急救援预案；</w:t>
      </w:r>
    </w:p>
    <w:p w14:paraId="6A4782A4">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（七）使用登记机关规定的其他资料。</w:t>
      </w:r>
    </w:p>
    <w:p w14:paraId="1F9C13BB">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第十六条　使用登记机关应当自收到使用单位提交的资料之日起7个工作日内，对于符合登记条件且资料齐全的建筑起重机械核发建筑起重机械使用登记证明。</w:t>
      </w:r>
    </w:p>
    <w:p w14:paraId="570587C5">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第十八条　使用登记机关应当在安装单位办理建筑起重机械拆卸告知手续时，注销建筑起重机械使用登记证明。</w:t>
      </w:r>
    </w:p>
    <w:p w14:paraId="05485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color w:val="auto"/>
          <w:sz w:val="28"/>
          <w:szCs w:val="28"/>
          <w:highlight w:val="none"/>
          <w:lang w:val="en-US" w:eastAsia="zh-CN"/>
        </w:rPr>
        <w:t xml:space="preserve"> </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680E1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（一）建筑起重机械产权备案证；</w:t>
      </w:r>
    </w:p>
    <w:p w14:paraId="2661B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（二）《建筑起重机械一体化专业分包合同》、安全协议书；</w:t>
      </w:r>
    </w:p>
    <w:p w14:paraId="1658B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（三）建筑起重机械检验检测报告和安装验收记录；</w:t>
      </w:r>
    </w:p>
    <w:p w14:paraId="3B79A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（四）施工总承包单位或一体化单位特种作业人员资格证书；</w:t>
      </w:r>
    </w:p>
    <w:p w14:paraId="50912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（五）建筑起重机械维护保养等管理制度；</w:t>
      </w:r>
    </w:p>
    <w:p w14:paraId="41DD9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（六）建筑起重机械安全生产事故应急救援预案；</w:t>
      </w:r>
    </w:p>
    <w:p w14:paraId="32C5D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（七）使用登记机关规定的其他资料。</w:t>
      </w:r>
    </w:p>
    <w:p w14:paraId="032AD7B7">
      <w:pPr>
        <w:spacing w:line="540" w:lineRule="exact"/>
        <w:ind w:firstLine="560" w:firstLineChars="200"/>
        <w:outlineLvl w:val="1"/>
        <w:rPr>
          <w:rFonts w:hint="eastAsia" w:ascii="Times New Roman" w:hAnsi="Times New Roman" w:eastAsia="仿宋GB2312"/>
          <w:b/>
          <w:bCs/>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4A5C4E9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是否需要现场勘验</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0FFE745A">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是否需要组织听证</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7FA273DD">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w:t>
      </w:r>
      <w:r>
        <w:rPr>
          <w:rFonts w:ascii="Times New Roman" w:hAnsi="Times New Roman" w:eastAsia="仿宋GB2312"/>
          <w:b/>
          <w:bCs/>
          <w:color w:val="auto"/>
          <w:sz w:val="28"/>
          <w:szCs w:val="28"/>
          <w:highlight w:val="none"/>
        </w:rPr>
        <w:t>是否需要招标、拍卖、挂牌交易</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4F88441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w:t>
      </w:r>
      <w:r>
        <w:rPr>
          <w:rFonts w:ascii="Times New Roman" w:hAnsi="Times New Roman" w:eastAsia="仿宋GB2312"/>
          <w:b/>
          <w:bCs/>
          <w:color w:val="auto"/>
          <w:sz w:val="28"/>
          <w:szCs w:val="28"/>
          <w:highlight w:val="none"/>
        </w:rPr>
        <w:t>是否需要检验、检测、检疫</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8D96A36">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w:t>
      </w:r>
      <w:r>
        <w:rPr>
          <w:rFonts w:ascii="Times New Roman" w:hAnsi="Times New Roman" w:eastAsia="仿宋GB2312"/>
          <w:b/>
          <w:bCs/>
          <w:color w:val="auto"/>
          <w:sz w:val="28"/>
          <w:szCs w:val="28"/>
          <w:highlight w:val="none"/>
        </w:rPr>
        <w:t>是否需要鉴定</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406E54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w:t>
      </w:r>
      <w:r>
        <w:rPr>
          <w:rFonts w:ascii="Times New Roman" w:hAnsi="Times New Roman" w:eastAsia="仿宋GB2312"/>
          <w:b/>
          <w:bCs/>
          <w:color w:val="auto"/>
          <w:sz w:val="28"/>
          <w:szCs w:val="28"/>
          <w:highlight w:val="none"/>
        </w:rPr>
        <w:t>是否需要专家评审</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5AFC23E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9.</w:t>
      </w:r>
      <w:r>
        <w:rPr>
          <w:rFonts w:ascii="Times New Roman" w:hAnsi="Times New Roman" w:eastAsia="仿宋GB2312"/>
          <w:b/>
          <w:bCs/>
          <w:color w:val="auto"/>
          <w:sz w:val="28"/>
          <w:szCs w:val="28"/>
          <w:highlight w:val="none"/>
        </w:rPr>
        <w:t>是否需要向社会公示</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44A0D5E9">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10.</w:t>
      </w:r>
      <w:r>
        <w:rPr>
          <w:rFonts w:ascii="Times New Roman" w:hAnsi="Times New Roman" w:eastAsia="仿宋GB2312"/>
          <w:b/>
          <w:bCs/>
          <w:color w:val="auto"/>
          <w:sz w:val="28"/>
          <w:szCs w:val="28"/>
          <w:highlight w:val="none"/>
        </w:rPr>
        <w:t>是否实行告知承诺办理</w:t>
      </w:r>
      <w:r>
        <w:rPr>
          <w:rFonts w:hint="eastAsia" w:ascii="Times New Roman" w:hAnsi="Times New Roman" w:eastAsia="仿宋GB2312"/>
          <w:b/>
          <w:bCs/>
          <w:color w:val="auto"/>
          <w:sz w:val="28"/>
          <w:szCs w:val="28"/>
          <w:highlight w:val="none"/>
        </w:rPr>
        <w:t>：</w:t>
      </w:r>
      <w:r>
        <w:rPr>
          <w:rFonts w:ascii="方正仿宋_GBK" w:hAnsi="方正仿宋_GBK" w:eastAsia="方正仿宋_GBK" w:cs="方正仿宋_GBK"/>
          <w:color w:val="auto"/>
          <w:sz w:val="28"/>
          <w:szCs w:val="28"/>
          <w:highlight w:val="none"/>
        </w:rPr>
        <w:t>否</w:t>
      </w:r>
    </w:p>
    <w:p w14:paraId="375743F3">
      <w:pPr>
        <w:spacing w:line="600" w:lineRule="exact"/>
        <w:ind w:firstLine="562" w:firstLineChars="200"/>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11.审批机关是否委托服务机构开展技术性服务：</w:t>
      </w:r>
      <w:r>
        <w:rPr>
          <w:rFonts w:hint="eastAsia" w:ascii="方正仿宋_GBK" w:hAnsi="方正仿宋_GBK" w:eastAsia="方正仿宋_GBK" w:cs="方正仿宋_GBK"/>
          <w:color w:val="auto"/>
          <w:sz w:val="28"/>
          <w:szCs w:val="28"/>
          <w:highlight w:val="none"/>
        </w:rPr>
        <w:t>否</w:t>
      </w:r>
    </w:p>
    <w:p w14:paraId="0CDEB9B9">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受理和审批时限</w:t>
      </w:r>
    </w:p>
    <w:p w14:paraId="6823E1C1">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1.承诺受理时限：</w:t>
      </w:r>
      <w:r>
        <w:rPr>
          <w:rFonts w:ascii="方正仿宋_GBK" w:hAnsi="方正仿宋_GBK" w:eastAsia="方正仿宋_GBK" w:cs="方正仿宋_GBK"/>
          <w:color w:val="auto"/>
          <w:sz w:val="28"/>
          <w:szCs w:val="28"/>
          <w:highlight w:val="none"/>
        </w:rPr>
        <w:t>当场办理</w:t>
      </w:r>
    </w:p>
    <w:p w14:paraId="59E6CBEC">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2.法定审批时限：</w:t>
      </w:r>
      <w:r>
        <w:rPr>
          <w:rFonts w:hint="eastAsia" w:ascii="方正仿宋_GBK" w:hAnsi="方正仿宋_GBK" w:eastAsia="方正仿宋_GBK" w:cs="方正仿宋_GBK"/>
          <w:color w:val="auto"/>
          <w:sz w:val="28"/>
          <w:szCs w:val="28"/>
          <w:highlight w:val="none"/>
        </w:rPr>
        <w:t>7个工作日</w:t>
      </w:r>
    </w:p>
    <w:p w14:paraId="0F875608">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3.规定法定审批时限依据</w:t>
      </w:r>
    </w:p>
    <w:p w14:paraId="6FB881EA">
      <w:pPr>
        <w:spacing w:line="600" w:lineRule="exact"/>
        <w:ind w:firstLine="560" w:firstLineChars="200"/>
        <w:rPr>
          <w:rFonts w:ascii="方正仿宋_GBK" w:hAnsi="方正仿宋_GBK" w:eastAsia="方正仿宋_GBK" w:cs="方正仿宋_GBK"/>
          <w:color w:val="auto"/>
          <w:sz w:val="28"/>
          <w:szCs w:val="28"/>
          <w:highlight w:val="none"/>
        </w:rPr>
      </w:pPr>
      <w:r>
        <w:rPr>
          <w:rFonts w:ascii="方正仿宋_GBK" w:hAnsi="方正仿宋_GBK" w:eastAsia="方正仿宋_GBK" w:cs="方正仿宋_GBK"/>
          <w:color w:val="auto"/>
          <w:sz w:val="28"/>
          <w:szCs w:val="28"/>
          <w:highlight w:val="none"/>
        </w:rPr>
        <w:t>（1）《建筑起重机械备案登记办法》（建质〔2008〕76号）第十六条使用登记机关应当自收到使用单位提交的资料之日起7个工作日内，对于符合登记条件且资料齐全的建筑起重机械核发建筑起重机械使用登记证明。</w:t>
      </w:r>
    </w:p>
    <w:p w14:paraId="48A9C777">
      <w:pPr>
        <w:spacing w:line="540" w:lineRule="exact"/>
        <w:ind w:firstLine="560" w:firstLineChars="200"/>
        <w:outlineLvl w:val="1"/>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2538D01A">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4.承诺审批时限：</w:t>
      </w:r>
      <w:r>
        <w:rPr>
          <w:rFonts w:hint="eastAsia" w:ascii="方正仿宋_GBK" w:hAnsi="方正仿宋_GBK" w:eastAsia="方正仿宋_GBK" w:cs="方正仿宋_GBK"/>
          <w:color w:val="auto"/>
          <w:sz w:val="28"/>
          <w:szCs w:val="28"/>
          <w:highlight w:val="none"/>
        </w:rPr>
        <w:t>2</w:t>
      </w:r>
      <w:r>
        <w:rPr>
          <w:rFonts w:ascii="方正仿宋_GBK" w:hAnsi="方正仿宋_GBK" w:eastAsia="方正仿宋_GBK" w:cs="方正仿宋_GBK"/>
          <w:color w:val="auto"/>
          <w:sz w:val="28"/>
          <w:szCs w:val="28"/>
          <w:highlight w:val="none"/>
        </w:rPr>
        <w:t>个工作日</w:t>
      </w:r>
    </w:p>
    <w:p w14:paraId="4C3154D8">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收费</w:t>
      </w:r>
    </w:p>
    <w:p w14:paraId="4DA5C610">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1.办理行政许可是否收费：</w:t>
      </w:r>
      <w:r>
        <w:rPr>
          <w:rFonts w:hint="eastAsia" w:ascii="方正仿宋_GBK" w:hAnsi="方正仿宋_GBK" w:eastAsia="方正仿宋_GBK" w:cs="方正仿宋_GBK"/>
          <w:color w:val="auto"/>
          <w:sz w:val="28"/>
          <w:szCs w:val="28"/>
          <w:highlight w:val="none"/>
        </w:rPr>
        <w:t>否</w:t>
      </w:r>
    </w:p>
    <w:p w14:paraId="68158BFB">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2.收费项目的名称、收费项目的标准、设定收费项目的依据、规定收费标准的依据</w:t>
      </w:r>
    </w:p>
    <w:p w14:paraId="5BB1E100">
      <w:pPr>
        <w:spacing w:line="600" w:lineRule="exact"/>
        <w:ind w:firstLine="560" w:firstLineChars="20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77EBE282">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行政许可证件</w:t>
      </w:r>
    </w:p>
    <w:p w14:paraId="0FD8B942">
      <w:pPr>
        <w:spacing w:line="540" w:lineRule="exact"/>
        <w:ind w:firstLine="562" w:firstLineChars="200"/>
        <w:outlineLvl w:val="2"/>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1.审批结果类型：</w:t>
      </w:r>
      <w:r>
        <w:rPr>
          <w:rFonts w:ascii="方正仿宋_GBK" w:hAnsi="方正仿宋_GBK" w:eastAsia="方正仿宋_GBK" w:cs="方正仿宋_GBK"/>
          <w:color w:val="auto"/>
          <w:sz w:val="28"/>
          <w:szCs w:val="28"/>
          <w:highlight w:val="none"/>
        </w:rPr>
        <w:t>证照</w:t>
      </w:r>
    </w:p>
    <w:p w14:paraId="0176E41E">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2.审批结果名称：</w:t>
      </w:r>
      <w:r>
        <w:rPr>
          <w:rFonts w:hint="eastAsia" w:ascii="方正仿宋_GBK" w:hAnsi="方正仿宋_GBK" w:eastAsia="方正仿宋_GBK" w:cs="方正仿宋_GBK"/>
          <w:color w:val="auto"/>
          <w:sz w:val="28"/>
          <w:szCs w:val="28"/>
          <w:highlight w:val="none"/>
        </w:rPr>
        <w:t>建筑起重机械使用登记证明</w:t>
      </w:r>
    </w:p>
    <w:p w14:paraId="482AB101">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3.审批结果的有效期限：</w:t>
      </w:r>
      <w:r>
        <w:rPr>
          <w:rFonts w:hint="eastAsia" w:ascii="方正仿宋_GBK" w:hAnsi="方正仿宋_GBK" w:eastAsia="方正仿宋_GBK" w:cs="方正仿宋_GBK"/>
          <w:color w:val="auto"/>
          <w:sz w:val="28"/>
          <w:szCs w:val="28"/>
          <w:highlight w:val="none"/>
        </w:rPr>
        <w:t>使用登记机关应当在安装单位办理建筑起重机械拆卸告知手续时，注销建筑起重机械使用登记证明。</w:t>
      </w:r>
    </w:p>
    <w:p w14:paraId="31127ADA">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4.规定审批结果有效期限的依据</w:t>
      </w:r>
    </w:p>
    <w:p w14:paraId="3BE501D6">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（1）《建筑起重机械备案登记办法》（建质〔2008〕76号）第十八条第十八条　使用登记机关应当在安装单位办理建筑起重机械拆卸告知手续时，注销建筑起重机械使用登记证明。</w:t>
      </w:r>
    </w:p>
    <w:p w14:paraId="2687D902">
      <w:pPr>
        <w:spacing w:line="540" w:lineRule="exact"/>
        <w:ind w:firstLine="560" w:firstLineChars="20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hint="eastAsia" w:ascii="方正仿宋_GBK" w:hAnsi="方正仿宋_GBK" w:eastAsia="方正仿宋_GBK" w:cs="方正仿宋_GBK"/>
          <w:color w:val="auto"/>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0FAD62CB">
      <w:pPr>
        <w:spacing w:line="600" w:lineRule="exact"/>
        <w:ind w:firstLine="562" w:firstLineChars="200"/>
        <w:rPr>
          <w:rFonts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5.是否需要办理审批结果变更手续：</w:t>
      </w:r>
      <w:r>
        <w:rPr>
          <w:rFonts w:ascii="方正仿宋_GBK" w:hAnsi="方正仿宋_GBK" w:eastAsia="方正仿宋_GBK" w:cs="方正仿宋_GBK"/>
          <w:color w:val="auto"/>
          <w:sz w:val="28"/>
          <w:szCs w:val="28"/>
          <w:highlight w:val="none"/>
        </w:rPr>
        <w:t>否</w:t>
      </w:r>
    </w:p>
    <w:p w14:paraId="6D3E050E">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6.办理审批结果变更手续的要求</w:t>
      </w:r>
    </w:p>
    <w:p w14:paraId="179933FC">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486B3DF4">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7.是否需要办理审批结果延续手续：</w:t>
      </w:r>
      <w:r>
        <w:rPr>
          <w:rFonts w:hint="eastAsia" w:ascii="方正仿宋_GBK" w:hAnsi="方正仿宋_GBK" w:eastAsia="方正仿宋_GBK" w:cs="方正仿宋_GBK"/>
          <w:color w:val="auto"/>
          <w:sz w:val="28"/>
          <w:szCs w:val="28"/>
          <w:highlight w:val="none"/>
        </w:rPr>
        <w:t>否</w:t>
      </w:r>
    </w:p>
    <w:p w14:paraId="10A3402A">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8.办理审批结果延续手续的要求</w:t>
      </w:r>
    </w:p>
    <w:p w14:paraId="187F5F6F">
      <w:pPr>
        <w:spacing w:line="600" w:lineRule="exact"/>
        <w:ind w:firstLine="560" w:firstLineChars="200"/>
        <w:rPr>
          <w:rFonts w:hint="eastAsia" w:ascii="Times New Roman" w:hAnsi="Times New Roman" w:eastAsia="仿宋GB2312"/>
          <w:color w:val="auto"/>
          <w:sz w:val="32"/>
          <w:szCs w:val="32"/>
          <w:highlight w:val="none"/>
        </w:rPr>
      </w:pPr>
      <w:r>
        <w:rPr>
          <w:rFonts w:hint="eastAsia" w:ascii="方正仿宋_GBK" w:hAnsi="方正仿宋_GBK" w:eastAsia="方正仿宋_GBK" w:cs="方正仿宋_GBK"/>
          <w:color w:val="auto"/>
          <w:sz w:val="28"/>
          <w:szCs w:val="28"/>
          <w:highlight w:val="none"/>
        </w:rPr>
        <w:t>无</w:t>
      </w:r>
    </w:p>
    <w:p w14:paraId="40CCB8C8">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9.审批结果的有效地域范围</w:t>
      </w:r>
    </w:p>
    <w:p w14:paraId="4D17474E">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适用于当前使用建筑起重机械的建设工程项目</w:t>
      </w:r>
    </w:p>
    <w:p w14:paraId="4EA2D009">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10.规定审批结果有效地域范围的依据</w:t>
      </w:r>
    </w:p>
    <w:p w14:paraId="6383271E">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（1）《建筑起重机械安全监督管理规定》（建设部第166号令）第十七条第十七条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68F46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）《云南省建筑起重机械安全监督管理实施细则》（云建规〔2024〕2号）</w:t>
      </w:r>
      <w:r>
        <w:rPr>
          <w:rFonts w:ascii="方正仿宋_GBK" w:hAnsi="方正仿宋_GBK" w:eastAsia="方正仿宋_GBK" w:cs="方正仿宋_GBK"/>
          <w:color w:val="auto"/>
          <w:kern w:val="2"/>
          <w:sz w:val="28"/>
          <w:szCs w:val="28"/>
          <w:highlight w:val="none"/>
          <w:lang w:val="en-US" w:eastAsia="zh-CN" w:bidi="ar-SA"/>
        </w:rPr>
        <w:t>第二十</w:t>
      </w:r>
      <w:r>
        <w:rPr>
          <w:rFonts w:hint="eastAsia" w:ascii="方正仿宋_GBK" w:hAnsi="方正仿宋_GBK" w:eastAsia="方正仿宋_GBK" w:cs="方正仿宋_GBK"/>
          <w:color w:val="auto"/>
          <w:kern w:val="2"/>
          <w:sz w:val="28"/>
          <w:szCs w:val="28"/>
          <w:highlight w:val="none"/>
          <w:lang w:val="en-US" w:eastAsia="zh-CN" w:bidi="ar-SA"/>
        </w:rPr>
        <w:t>一条</w:t>
      </w:r>
      <w:r>
        <w:rPr>
          <w:rFonts w:ascii="方正仿宋_GBK" w:hAnsi="方正仿宋_GBK" w:eastAsia="方正仿宋_GBK" w:cs="方正仿宋_GBK"/>
          <w:color w:val="auto"/>
          <w:kern w:val="2"/>
          <w:sz w:val="28"/>
          <w:szCs w:val="28"/>
          <w:highlight w:val="none"/>
          <w:lang w:val="en-US" w:eastAsia="zh-CN" w:bidi="ar-SA"/>
        </w:rPr>
        <w:t>  </w:t>
      </w:r>
      <w:r>
        <w:rPr>
          <w:rFonts w:hint="eastAsia" w:ascii="方正仿宋_GBK" w:hAnsi="方正仿宋_GBK" w:eastAsia="方正仿宋_GBK" w:cs="方正仿宋_GBK"/>
          <w:color w:val="auto"/>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w:t>
      </w:r>
    </w:p>
    <w:p w14:paraId="35D45DE2">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行政许可数量限制</w:t>
      </w:r>
    </w:p>
    <w:p w14:paraId="7AB43685">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1.有无行政许可数量限制：</w:t>
      </w:r>
      <w:r>
        <w:rPr>
          <w:rFonts w:hint="eastAsia" w:ascii="方正仿宋_GBK" w:hAnsi="方正仿宋_GBK" w:eastAsia="方正仿宋_GBK" w:cs="方正仿宋_GBK"/>
          <w:color w:val="auto"/>
          <w:sz w:val="28"/>
          <w:szCs w:val="28"/>
          <w:highlight w:val="none"/>
        </w:rPr>
        <w:t>无</w:t>
      </w:r>
    </w:p>
    <w:p w14:paraId="45C36BF2">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2.公布数量限制的方式：</w:t>
      </w:r>
      <w:r>
        <w:rPr>
          <w:rFonts w:hint="eastAsia" w:ascii="方正仿宋_GBK" w:hAnsi="方正仿宋_GBK" w:eastAsia="方正仿宋_GBK" w:cs="方正仿宋_GBK"/>
          <w:color w:val="auto"/>
          <w:sz w:val="28"/>
          <w:szCs w:val="28"/>
          <w:highlight w:val="none"/>
        </w:rPr>
        <w:t>无</w:t>
      </w:r>
    </w:p>
    <w:p w14:paraId="3F4F136B">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3.公布数量限制的周期：</w:t>
      </w:r>
      <w:r>
        <w:rPr>
          <w:rFonts w:hint="eastAsia" w:ascii="方正仿宋_GBK" w:hAnsi="方正仿宋_GBK" w:eastAsia="方正仿宋_GBK" w:cs="方正仿宋_GBK"/>
          <w:color w:val="auto"/>
          <w:sz w:val="28"/>
          <w:szCs w:val="28"/>
          <w:highlight w:val="none"/>
        </w:rPr>
        <w:t>无</w:t>
      </w:r>
    </w:p>
    <w:p w14:paraId="393FAAFD">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4.在数量限制条件下实施行政许可的方式：</w:t>
      </w:r>
      <w:r>
        <w:rPr>
          <w:rFonts w:hint="eastAsia" w:ascii="方正仿宋_GBK" w:hAnsi="方正仿宋_GBK" w:eastAsia="方正仿宋_GBK" w:cs="方正仿宋_GBK"/>
          <w:color w:val="auto"/>
          <w:sz w:val="28"/>
          <w:szCs w:val="28"/>
          <w:highlight w:val="none"/>
        </w:rPr>
        <w:t>无</w:t>
      </w:r>
    </w:p>
    <w:p w14:paraId="051E3C9B">
      <w:pPr>
        <w:spacing w:line="600" w:lineRule="exact"/>
        <w:ind w:firstLine="562" w:firstLineChars="200"/>
        <w:jc w:val="left"/>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5.规定在数量限制条件下实施行政许可方式的依据</w:t>
      </w:r>
    </w:p>
    <w:p w14:paraId="55CF1A36">
      <w:pPr>
        <w:spacing w:line="600" w:lineRule="exact"/>
        <w:ind w:firstLine="560" w:firstLineChars="200"/>
        <w:jc w:val="left"/>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1629B0C0">
      <w:pPr>
        <w:numPr>
          <w:ilvl w:val="0"/>
          <w:numId w:val="1"/>
        </w:num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行政许可后年检</w:t>
      </w:r>
    </w:p>
    <w:p w14:paraId="28863CFB">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1.有无年检要求：</w:t>
      </w:r>
      <w:r>
        <w:rPr>
          <w:rFonts w:hint="eastAsia" w:ascii="方正仿宋_GBK" w:hAnsi="方正仿宋_GBK" w:eastAsia="方正仿宋_GBK" w:cs="方正仿宋_GBK"/>
          <w:color w:val="auto"/>
          <w:sz w:val="28"/>
          <w:szCs w:val="28"/>
          <w:highlight w:val="none"/>
        </w:rPr>
        <w:t>无</w:t>
      </w:r>
    </w:p>
    <w:p w14:paraId="31228E98">
      <w:pPr>
        <w:spacing w:line="540" w:lineRule="exact"/>
        <w:ind w:firstLine="562" w:firstLineChars="200"/>
        <w:outlineLvl w:val="2"/>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2.设定年检要求的依据</w:t>
      </w:r>
    </w:p>
    <w:p w14:paraId="78606FF3">
      <w:pPr>
        <w:spacing w:line="540" w:lineRule="exact"/>
        <w:ind w:firstLine="560" w:firstLineChars="200"/>
        <w:outlineLvl w:val="2"/>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2EA6F5C9">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3.年检周期：</w:t>
      </w:r>
      <w:r>
        <w:rPr>
          <w:rFonts w:hint="eastAsia" w:ascii="方正仿宋_GBK" w:hAnsi="方正仿宋_GBK" w:eastAsia="方正仿宋_GBK" w:cs="方正仿宋_GBK"/>
          <w:color w:val="auto"/>
          <w:sz w:val="28"/>
          <w:szCs w:val="28"/>
          <w:highlight w:val="none"/>
        </w:rPr>
        <w:t>无</w:t>
      </w:r>
    </w:p>
    <w:p w14:paraId="0DE2C500">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4.年检是否要求报送材料：</w:t>
      </w:r>
      <w:r>
        <w:rPr>
          <w:rFonts w:hint="eastAsia" w:ascii="方正仿宋_GBK" w:hAnsi="方正仿宋_GBK" w:eastAsia="方正仿宋_GBK" w:cs="方正仿宋_GBK"/>
          <w:color w:val="auto"/>
          <w:sz w:val="28"/>
          <w:szCs w:val="28"/>
          <w:highlight w:val="none"/>
        </w:rPr>
        <w:t>无</w:t>
      </w:r>
    </w:p>
    <w:p w14:paraId="741B60A4">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5.年检报送材料名称：</w:t>
      </w:r>
      <w:r>
        <w:rPr>
          <w:rFonts w:hint="eastAsia" w:ascii="方正仿宋_GBK" w:hAnsi="方正仿宋_GBK" w:eastAsia="方正仿宋_GBK" w:cs="方正仿宋_GBK"/>
          <w:color w:val="auto"/>
          <w:sz w:val="28"/>
          <w:szCs w:val="28"/>
          <w:highlight w:val="none"/>
        </w:rPr>
        <w:t>无</w:t>
      </w:r>
    </w:p>
    <w:p w14:paraId="5ACA2276">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6.年检是否收费：</w:t>
      </w:r>
      <w:r>
        <w:rPr>
          <w:rFonts w:hint="eastAsia" w:ascii="方正仿宋_GBK" w:hAnsi="方正仿宋_GBK" w:eastAsia="方正仿宋_GBK" w:cs="方正仿宋_GBK"/>
          <w:color w:val="auto"/>
          <w:sz w:val="28"/>
          <w:szCs w:val="28"/>
          <w:highlight w:val="none"/>
        </w:rPr>
        <w:t>无</w:t>
      </w:r>
    </w:p>
    <w:p w14:paraId="1924D600">
      <w:pPr>
        <w:spacing w:line="600" w:lineRule="exact"/>
        <w:ind w:firstLine="562" w:firstLineChars="200"/>
        <w:rPr>
          <w:rFonts w:hint="eastAsia"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7.年检收费项目的名称、年检收费项目的标准、设定年检收费项目的依据、规定年检项目收费标准的依据</w:t>
      </w:r>
    </w:p>
    <w:p w14:paraId="1424427F">
      <w:pPr>
        <w:spacing w:line="600" w:lineRule="exact"/>
        <w:ind w:firstLine="560" w:firstLineChars="200"/>
        <w:rPr>
          <w:rFonts w:hint="eastAsia" w:ascii="Times New Roman" w:hAnsi="Times New Roman" w:eastAsia="仿宋GB2312"/>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65AC0B7C">
      <w:pPr>
        <w:spacing w:line="540" w:lineRule="exact"/>
        <w:ind w:firstLine="562" w:firstLineChars="200"/>
        <w:outlineLvl w:val="2"/>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8.通过年检的证明或者标志：</w:t>
      </w:r>
      <w:r>
        <w:rPr>
          <w:rFonts w:hint="eastAsia" w:ascii="方正仿宋_GBK" w:hAnsi="方正仿宋_GBK" w:eastAsia="方正仿宋_GBK" w:cs="方正仿宋_GBK"/>
          <w:color w:val="auto"/>
          <w:sz w:val="28"/>
          <w:szCs w:val="28"/>
          <w:highlight w:val="none"/>
        </w:rPr>
        <w:t>无</w:t>
      </w:r>
    </w:p>
    <w:p w14:paraId="596FAD3F">
      <w:pPr>
        <w:numPr>
          <w:ilvl w:val="0"/>
          <w:numId w:val="1"/>
        </w:num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行政许可后年报</w:t>
      </w:r>
    </w:p>
    <w:p w14:paraId="0A762104">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1.</w:t>
      </w:r>
      <w:r>
        <w:rPr>
          <w:rFonts w:ascii="Times New Roman" w:hAnsi="Times New Roman" w:eastAsia="仿宋GB2312"/>
          <w:b/>
          <w:bCs/>
          <w:color w:val="auto"/>
          <w:sz w:val="28"/>
          <w:szCs w:val="28"/>
          <w:highlight w:val="none"/>
        </w:rPr>
        <w:t>有无年报要求</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69B941E1">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2.</w:t>
      </w:r>
      <w:r>
        <w:rPr>
          <w:rFonts w:ascii="Times New Roman" w:hAnsi="Times New Roman" w:eastAsia="仿宋GB2312"/>
          <w:b/>
          <w:bCs/>
          <w:color w:val="auto"/>
          <w:sz w:val="28"/>
          <w:szCs w:val="28"/>
          <w:highlight w:val="none"/>
        </w:rPr>
        <w:t>年报报送材料名称</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6C0801B2">
      <w:pPr>
        <w:spacing w:line="540" w:lineRule="exact"/>
        <w:ind w:firstLine="562" w:firstLineChars="200"/>
        <w:outlineLvl w:val="2"/>
        <w:rPr>
          <w:rFonts w:ascii="Times New Roman" w:hAnsi="Times New Roman" w:eastAsia="仿宋GB2312"/>
          <w:b/>
          <w:bCs/>
          <w:color w:val="auto"/>
          <w:sz w:val="28"/>
          <w:szCs w:val="28"/>
          <w:highlight w:val="none"/>
        </w:rPr>
      </w:pPr>
      <w:r>
        <w:rPr>
          <w:rFonts w:hint="eastAsia" w:ascii="Times New Roman" w:hAnsi="Times New Roman" w:eastAsia="仿宋GB2312"/>
          <w:b/>
          <w:bCs/>
          <w:color w:val="auto"/>
          <w:sz w:val="28"/>
          <w:szCs w:val="28"/>
          <w:highlight w:val="none"/>
        </w:rPr>
        <w:t>3.</w:t>
      </w:r>
      <w:r>
        <w:rPr>
          <w:rFonts w:ascii="Times New Roman" w:hAnsi="Times New Roman" w:eastAsia="仿宋GB2312"/>
          <w:b/>
          <w:bCs/>
          <w:color w:val="auto"/>
          <w:sz w:val="28"/>
          <w:szCs w:val="28"/>
          <w:highlight w:val="none"/>
        </w:rPr>
        <w:t>设定年报要求的依据</w:t>
      </w:r>
    </w:p>
    <w:p w14:paraId="0B85E0F3">
      <w:pPr>
        <w:spacing w:line="540" w:lineRule="exact"/>
        <w:ind w:firstLine="560" w:firstLineChars="200"/>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无</w:t>
      </w:r>
    </w:p>
    <w:p w14:paraId="26CE441A">
      <w:pPr>
        <w:spacing w:line="600" w:lineRule="exact"/>
        <w:ind w:firstLine="562" w:firstLineChars="200"/>
        <w:rPr>
          <w:rFonts w:hint="eastAsia" w:ascii="Times New Roman" w:hAnsi="Times New Roman" w:eastAsia="仿宋GB2312"/>
          <w:color w:val="auto"/>
          <w:sz w:val="28"/>
          <w:szCs w:val="28"/>
          <w:highlight w:val="none"/>
        </w:rPr>
      </w:pPr>
      <w:r>
        <w:rPr>
          <w:rFonts w:hint="eastAsia" w:ascii="Times New Roman" w:hAnsi="Times New Roman" w:eastAsia="仿宋GB2312"/>
          <w:b/>
          <w:bCs/>
          <w:color w:val="auto"/>
          <w:sz w:val="28"/>
          <w:szCs w:val="28"/>
          <w:highlight w:val="none"/>
        </w:rPr>
        <w:t>4.</w:t>
      </w:r>
      <w:r>
        <w:rPr>
          <w:rFonts w:ascii="Times New Roman" w:hAnsi="Times New Roman" w:eastAsia="仿宋GB2312"/>
          <w:b/>
          <w:bCs/>
          <w:color w:val="auto"/>
          <w:sz w:val="28"/>
          <w:szCs w:val="28"/>
          <w:highlight w:val="none"/>
        </w:rPr>
        <w:t>年报周期</w:t>
      </w:r>
      <w:r>
        <w:rPr>
          <w:rFonts w:hint="eastAsia" w:ascii="Times New Roman" w:hAnsi="Times New Roman" w:eastAsia="仿宋GB2312"/>
          <w:b/>
          <w:bCs/>
          <w:color w:val="auto"/>
          <w:sz w:val="28"/>
          <w:szCs w:val="28"/>
          <w:highlight w:val="none"/>
        </w:rPr>
        <w:t>：</w:t>
      </w:r>
      <w:r>
        <w:rPr>
          <w:rFonts w:hint="eastAsia" w:ascii="方正仿宋_GBK" w:hAnsi="方正仿宋_GBK" w:eastAsia="方正仿宋_GBK" w:cs="方正仿宋_GBK"/>
          <w:color w:val="auto"/>
          <w:sz w:val="28"/>
          <w:szCs w:val="28"/>
          <w:highlight w:val="none"/>
        </w:rPr>
        <w:t>无</w:t>
      </w:r>
    </w:p>
    <w:p w14:paraId="2A1D574B">
      <w:pPr>
        <w:numPr>
          <w:ilvl w:val="0"/>
          <w:numId w:val="1"/>
        </w:numPr>
        <w:spacing w:line="540" w:lineRule="exact"/>
        <w:outlineLvl w:val="1"/>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监管主体</w:t>
      </w:r>
    </w:p>
    <w:p w14:paraId="4E54D54E">
      <w:pPr>
        <w:spacing w:line="6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县级以上住房城乡建设部门</w:t>
      </w:r>
    </w:p>
    <w:p w14:paraId="4D29F06F">
      <w:pPr>
        <w:spacing w:line="540" w:lineRule="exact"/>
        <w:outlineLvl w:val="1"/>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十五、备注</w:t>
      </w:r>
    </w:p>
    <w:p w14:paraId="219FCE1B">
      <w:pPr>
        <w:spacing w:line="600" w:lineRule="exact"/>
        <w:ind w:firstLine="560" w:firstLineChars="200"/>
        <w:rPr>
          <w:rFonts w:hint="eastAsia" w:ascii="方正仿宋_GBK" w:hAnsi="方正仿宋_GBK" w:eastAsia="方正仿宋_GBK" w:cs="方正仿宋_GBK"/>
          <w:color w:val="auto"/>
          <w:sz w:val="28"/>
          <w:szCs w:val="28"/>
          <w:highlight w:val="none"/>
        </w:rPr>
      </w:pPr>
    </w:p>
    <w:p w14:paraId="36FC0586">
      <w:pPr>
        <w:spacing w:line="540" w:lineRule="exact"/>
        <w:outlineLvl w:val="1"/>
        <w:rPr>
          <w:rFonts w:ascii="Times New Roman" w:hAnsi="Times New Roman" w:eastAsia="黑体"/>
          <w:color w:val="auto"/>
          <w:sz w:val="28"/>
          <w:szCs w:val="28"/>
          <w:highlight w:val="none"/>
        </w:rPr>
      </w:pPr>
    </w:p>
    <w:p w14:paraId="30525153">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隶书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E6271"/>
    <w:rsid w:val="012616B6"/>
    <w:rsid w:val="18AE6271"/>
    <w:rsid w:val="23F642EC"/>
    <w:rsid w:val="45285045"/>
    <w:rsid w:val="4ACA1110"/>
    <w:rsid w:val="6AF11067"/>
    <w:rsid w:val="73F05DCF"/>
    <w:rsid w:val="79652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2023-11-04T04:53:00Z</dcterms:created>
  <dc:creator>DELL</dc:creator>
  <cp:lastModifiedBy>Administrator</cp:lastModifiedBy>
  <dcterms:modified xsi:type="dcterms:W3CDTF">2026-02-25T07:09:37Z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F050FCF62A3742788BD73E1A22D92E00_12</vt:lpwstr>
  </property>
</Properties>
</file>